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488B4">
      <w:pPr>
        <w:spacing w:line="600" w:lineRule="exact"/>
        <w:jc w:val="left"/>
        <w:outlineLvl w:val="0"/>
        <w:rPr>
          <w:rFonts w:ascii="方正小标宋简体" w:hAnsi="宋体" w:eastAsia="方正小标宋简体"/>
          <w:szCs w:val="21"/>
        </w:rPr>
      </w:pPr>
      <w:bookmarkStart w:id="0" w:name="_Toc15306267"/>
    </w:p>
    <w:p w14:paraId="553FB5D4">
      <w:pPr>
        <w:spacing w:line="600" w:lineRule="exact"/>
        <w:jc w:val="center"/>
        <w:outlineLvl w:val="0"/>
        <w:rPr>
          <w:rFonts w:ascii="方正小标宋简体" w:hAnsi="宋体" w:eastAsia="方正小标宋简体"/>
          <w:sz w:val="72"/>
          <w:szCs w:val="72"/>
        </w:rPr>
      </w:pPr>
    </w:p>
    <w:p w14:paraId="6956CA58">
      <w:pPr>
        <w:spacing w:line="600" w:lineRule="exact"/>
        <w:jc w:val="center"/>
        <w:outlineLvl w:val="0"/>
        <w:rPr>
          <w:rFonts w:ascii="方正小标宋简体" w:hAnsi="宋体" w:eastAsia="方正小标宋简体"/>
          <w:sz w:val="72"/>
          <w:szCs w:val="72"/>
        </w:rPr>
      </w:pPr>
    </w:p>
    <w:p w14:paraId="69C045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sz w:val="72"/>
          <w:szCs w:val="72"/>
        </w:rPr>
      </w:pPr>
      <w:bookmarkStart w:id="1" w:name="_Toc15396597"/>
      <w:bookmarkStart w:id="2" w:name="_Toc15377193"/>
      <w:bookmarkStart w:id="3" w:name="_Toc15378441"/>
      <w:bookmarkStart w:id="4" w:name="_Toc15377425"/>
      <w:bookmarkStart w:id="5" w:name="_Toc15396475"/>
      <w:r>
        <w:rPr>
          <w:rFonts w:hint="default" w:ascii="Times New Roman" w:hAnsi="Times New Roman" w:eastAsia="方正小标宋简体" w:cs="Times New Roman"/>
          <w:sz w:val="72"/>
          <w:szCs w:val="72"/>
          <w:lang w:eastAsia="zh-CN"/>
        </w:rPr>
        <w:t>2024</w:t>
      </w:r>
      <w:r>
        <w:rPr>
          <w:rFonts w:hint="default" w:ascii="Times New Roman" w:hAnsi="Times New Roman" w:eastAsia="方正小标宋简体" w:cs="Times New Roman"/>
          <w:sz w:val="72"/>
          <w:szCs w:val="72"/>
        </w:rPr>
        <w:t>年度</w:t>
      </w:r>
      <w:bookmarkEnd w:id="1"/>
      <w:bookmarkEnd w:id="2"/>
      <w:bookmarkEnd w:id="3"/>
      <w:bookmarkEnd w:id="4"/>
      <w:bookmarkEnd w:id="5"/>
    </w:p>
    <w:p w14:paraId="003989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sz w:val="72"/>
          <w:szCs w:val="72"/>
        </w:rPr>
      </w:pPr>
      <w:bookmarkStart w:id="6" w:name="_Toc15396476"/>
      <w:bookmarkStart w:id="7" w:name="_Toc15377426"/>
      <w:bookmarkStart w:id="8" w:name="_Toc15377194"/>
      <w:bookmarkStart w:id="9" w:name="_Toc15378442"/>
      <w:bookmarkStart w:id="10" w:name="_Toc15396598"/>
      <w:r>
        <w:rPr>
          <w:rFonts w:hint="default" w:ascii="Times New Roman" w:hAnsi="Times New Roman" w:eastAsia="方正小标宋简体" w:cs="Times New Roman"/>
          <w:sz w:val="72"/>
          <w:szCs w:val="72"/>
        </w:rPr>
        <w:t>四川省</w:t>
      </w:r>
      <w:bookmarkEnd w:id="0"/>
      <w:bookmarkStart w:id="11" w:name="_Toc15306268"/>
      <w:r>
        <w:rPr>
          <w:rFonts w:hint="default" w:ascii="Times New Roman" w:hAnsi="Times New Roman" w:eastAsia="方正小标宋简体" w:cs="Times New Roman"/>
          <w:sz w:val="72"/>
          <w:szCs w:val="72"/>
        </w:rPr>
        <w:t>遂宁市安居区</w:t>
      </w:r>
    </w:p>
    <w:p w14:paraId="69DD76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白马镇单位决算</w:t>
      </w:r>
      <w:bookmarkEnd w:id="6"/>
      <w:bookmarkEnd w:id="7"/>
      <w:bookmarkEnd w:id="8"/>
      <w:bookmarkEnd w:id="9"/>
      <w:bookmarkEnd w:id="10"/>
      <w:bookmarkEnd w:id="11"/>
    </w:p>
    <w:p w14:paraId="40006A18">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D3C7DE9">
      <w:pPr>
        <w:widowControl/>
        <w:jc w:val="center"/>
        <w:rPr>
          <w:rFonts w:ascii="黑体" w:hAnsi="黑体" w:eastAsia="黑体"/>
          <w:sz w:val="28"/>
          <w:szCs w:val="28"/>
        </w:rPr>
      </w:pPr>
    </w:p>
    <w:p w14:paraId="02A775CE">
      <w:pPr>
        <w:pStyle w:val="13"/>
        <w:rPr>
          <w:rFonts w:hint="default" w:ascii="Times New Roman" w:hAnsi="Times New Roman" w:eastAsia="仿宋_GB2312" w:cs="Times New Roman"/>
        </w:rPr>
      </w:pPr>
      <w:r>
        <w:rPr>
          <w:rFonts w:hint="default" w:ascii="Times New Roman" w:hAnsi="Times New Roman" w:eastAsia="仿宋_GB2312" w:cs="Times New Roman"/>
        </w:rPr>
        <w:t>公开时间：</w:t>
      </w:r>
      <w:r>
        <w:rPr>
          <w:rFonts w:hint="default" w:ascii="Times New Roman" w:hAnsi="Times New Roman" w:eastAsia="仿宋_GB2312" w:cs="Times New Roman"/>
          <w:lang w:eastAsia="zh-CN"/>
        </w:rPr>
        <w:t>2024</w:t>
      </w:r>
      <w:r>
        <w:rPr>
          <w:rFonts w:hint="default" w:ascii="Times New Roman" w:hAnsi="Times New Roman" w:eastAsia="仿宋_GB2312" w:cs="Times New Roman"/>
        </w:rPr>
        <w:t>年8月2</w:t>
      </w:r>
      <w:r>
        <w:rPr>
          <w:rFonts w:hint="eastAsia" w:ascii="Times New Roman" w:hAnsi="Times New Roman" w:eastAsia="仿宋_GB2312" w:cs="Times New Roman"/>
          <w:lang w:val="en-US" w:eastAsia="zh-CN"/>
        </w:rPr>
        <w:t>9</w:t>
      </w:r>
      <w:r>
        <w:rPr>
          <w:rFonts w:hint="default" w:ascii="Times New Roman" w:hAnsi="Times New Roman" w:eastAsia="仿宋_GB2312" w:cs="Times New Roman"/>
        </w:rPr>
        <w:t>日</w:t>
      </w:r>
    </w:p>
    <w:p w14:paraId="0EA582EA"/>
    <w:p w14:paraId="0A008E73">
      <w:pPr>
        <w:pStyle w:val="13"/>
        <w:adjustRightInd w:val="0"/>
        <w:snapToGrid w:val="0"/>
        <w:spacing w:before="0" w:line="440" w:lineRule="exact"/>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 xml:space="preserve">第一部分 </w:t>
      </w:r>
      <w:r>
        <w:rPr>
          <w:rFonts w:hint="default" w:ascii="Times New Roman" w:hAnsi="Times New Roman" w:eastAsia="楷体_GB2312" w:cs="Times New Roman"/>
          <w:sz w:val="24"/>
          <w:szCs w:val="24"/>
          <w:lang w:val="en-US" w:eastAsia="zh-CN"/>
        </w:rPr>
        <w:t>部门</w:t>
      </w:r>
      <w:r>
        <w:rPr>
          <w:rFonts w:hint="default" w:ascii="Times New Roman" w:hAnsi="Times New Roman" w:eastAsia="楷体_GB2312" w:cs="Times New Roman"/>
          <w:sz w:val="24"/>
          <w:szCs w:val="24"/>
        </w:rPr>
        <w:t>概况</w:t>
      </w:r>
      <w:r>
        <w:rPr>
          <w:rFonts w:hint="eastAsia" w:ascii="楷体_GB2312" w:hAnsi="楷体_GB2312" w:eastAsia="楷体_GB2312" w:cs="楷体_GB2312"/>
          <w:sz w:val="24"/>
          <w:szCs w:val="24"/>
          <w:lang w:eastAsia="zh-CN"/>
        </w:rPr>
        <w:t>˙˙˙˙˙˙˙˙˙˙˙˙</w:t>
      </w:r>
      <w:r>
        <w:rPr>
          <w:rFonts w:hint="default" w:ascii="Times New Roman" w:hAnsi="Times New Roman" w:eastAsia="楷体_GB2312" w:cs="Times New Roman"/>
          <w:sz w:val="24"/>
          <w:szCs w:val="24"/>
        </w:rPr>
        <w:t>4</w:t>
      </w:r>
    </w:p>
    <w:p w14:paraId="302D0AA6">
      <w:pPr>
        <w:pStyle w:val="15"/>
        <w:adjustRightInd w:val="0"/>
        <w:snapToGrid w:val="0"/>
        <w:spacing w:line="440" w:lineRule="exact"/>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一、主要职责</w:t>
      </w:r>
      <w:r>
        <w:rPr>
          <w:rFonts w:hint="eastAsia" w:ascii="楷体_GB2312" w:hAnsi="楷体_GB2312" w:eastAsia="楷体_GB2312" w:cs="楷体_GB2312"/>
          <w:sz w:val="24"/>
          <w:szCs w:val="24"/>
          <w:lang w:eastAsia="zh-CN"/>
        </w:rPr>
        <w:t>˙˙˙˙˙˙˙˙˙˙˙˙˙</w:t>
      </w:r>
      <w:r>
        <w:rPr>
          <w:rFonts w:hint="default" w:ascii="Times New Roman" w:hAnsi="Times New Roman" w:eastAsia="楷体_GB2312" w:cs="Times New Roman"/>
          <w:sz w:val="24"/>
          <w:szCs w:val="24"/>
        </w:rPr>
        <w:t>4</w:t>
      </w:r>
    </w:p>
    <w:p w14:paraId="5474C978">
      <w:pPr>
        <w:pStyle w:val="15"/>
        <w:adjustRightInd w:val="0"/>
        <w:snapToGrid w:val="0"/>
        <w:spacing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二、机构设置</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5</w:t>
      </w:r>
    </w:p>
    <w:p w14:paraId="0CBAFF02">
      <w:pPr>
        <w:pStyle w:val="13"/>
        <w:adjustRightInd w:val="0"/>
        <w:snapToGrid w:val="0"/>
        <w:spacing w:before="0"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 xml:space="preserve">第二部分 </w:t>
      </w:r>
      <w:r>
        <w:rPr>
          <w:rFonts w:hint="default" w:ascii="Times New Roman" w:hAnsi="Times New Roman" w:eastAsia="楷体_GB2312" w:cs="Times New Roman"/>
          <w:sz w:val="24"/>
          <w:szCs w:val="24"/>
          <w:lang w:eastAsia="zh-CN"/>
        </w:rPr>
        <w:t>2024</w:t>
      </w:r>
      <w:r>
        <w:rPr>
          <w:rFonts w:hint="default" w:ascii="Times New Roman" w:hAnsi="Times New Roman" w:eastAsia="楷体_GB2312" w:cs="Times New Roman"/>
          <w:sz w:val="24"/>
          <w:szCs w:val="24"/>
        </w:rPr>
        <w:t>年度单位决算情况说明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5</w:t>
      </w:r>
    </w:p>
    <w:p w14:paraId="2887F52A">
      <w:pPr>
        <w:pStyle w:val="15"/>
        <w:adjustRightInd w:val="0"/>
        <w:snapToGrid w:val="0"/>
        <w:spacing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一、收入支出决算总体情况说明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5</w:t>
      </w:r>
    </w:p>
    <w:p w14:paraId="00C16548">
      <w:pPr>
        <w:pStyle w:val="15"/>
        <w:adjustRightInd w:val="0"/>
        <w:snapToGrid w:val="0"/>
        <w:spacing w:line="440" w:lineRule="exact"/>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二、收入决算情况说明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6</w:t>
      </w:r>
    </w:p>
    <w:p w14:paraId="1CFAF3DE">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三、支出决算情况说明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7</w:t>
      </w:r>
    </w:p>
    <w:p w14:paraId="54844FB8">
      <w:pPr>
        <w:pStyle w:val="15"/>
        <w:adjustRightInd w:val="0"/>
        <w:snapToGrid w:val="0"/>
        <w:spacing w:line="440" w:lineRule="exact"/>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四、财政拨款收入支出决算总体情况说明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7</w:t>
      </w:r>
    </w:p>
    <w:p w14:paraId="71CEE4F8">
      <w:pPr>
        <w:pStyle w:val="15"/>
        <w:adjustRightInd w:val="0"/>
        <w:snapToGrid w:val="0"/>
        <w:spacing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五、一般公共预算财政拨款支出决算情况说明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8</w:t>
      </w:r>
    </w:p>
    <w:p w14:paraId="25EF2062">
      <w:pPr>
        <w:pStyle w:val="15"/>
        <w:adjustRightInd w:val="0"/>
        <w:snapToGrid w:val="0"/>
        <w:spacing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六、一般公共预算财政拨款基本支出决算情况说明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1</w:t>
      </w:r>
      <w:r>
        <w:rPr>
          <w:rFonts w:hint="default" w:ascii="Times New Roman" w:hAnsi="Times New Roman" w:eastAsia="楷体_GB2312" w:cs="Times New Roman"/>
          <w:sz w:val="24"/>
          <w:szCs w:val="24"/>
          <w:lang w:val="en-US" w:eastAsia="zh-CN"/>
        </w:rPr>
        <w:t>4</w:t>
      </w:r>
    </w:p>
    <w:p w14:paraId="53F86405">
      <w:pPr>
        <w:pStyle w:val="15"/>
        <w:adjustRightInd w:val="0"/>
        <w:snapToGrid w:val="0"/>
        <w:spacing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七、财政拨款“三公”经费支出决算情况说明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1</w:t>
      </w:r>
      <w:r>
        <w:rPr>
          <w:rFonts w:hint="default" w:ascii="Times New Roman" w:hAnsi="Times New Roman" w:eastAsia="楷体_GB2312" w:cs="Times New Roman"/>
          <w:sz w:val="24"/>
          <w:szCs w:val="24"/>
          <w:lang w:val="en-US" w:eastAsia="zh-CN"/>
        </w:rPr>
        <w:t>5</w:t>
      </w:r>
    </w:p>
    <w:p w14:paraId="378A3659">
      <w:pPr>
        <w:pStyle w:val="15"/>
        <w:adjustRightInd w:val="0"/>
        <w:snapToGrid w:val="0"/>
        <w:spacing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八、政府性基金预算支出决算情况说明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1</w:t>
      </w:r>
      <w:r>
        <w:rPr>
          <w:rFonts w:hint="default" w:ascii="Times New Roman" w:hAnsi="Times New Roman" w:eastAsia="楷体_GB2312" w:cs="Times New Roman"/>
          <w:sz w:val="24"/>
          <w:szCs w:val="24"/>
          <w:lang w:val="en-US" w:eastAsia="zh-CN"/>
        </w:rPr>
        <w:t>7</w:t>
      </w:r>
    </w:p>
    <w:p w14:paraId="0F3D68B9">
      <w:pPr>
        <w:pStyle w:val="15"/>
        <w:adjustRightInd w:val="0"/>
        <w:snapToGrid w:val="0"/>
        <w:spacing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九、国有资本经营预算支出决算情况说明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1</w:t>
      </w:r>
      <w:r>
        <w:rPr>
          <w:rFonts w:hint="default" w:ascii="Times New Roman" w:hAnsi="Times New Roman" w:eastAsia="楷体_GB2312" w:cs="Times New Roman"/>
          <w:sz w:val="24"/>
          <w:szCs w:val="24"/>
          <w:lang w:val="en-US" w:eastAsia="zh-CN"/>
        </w:rPr>
        <w:t>7</w:t>
      </w:r>
    </w:p>
    <w:p w14:paraId="1CC0A376">
      <w:pPr>
        <w:pStyle w:val="15"/>
        <w:adjustRightInd w:val="0"/>
        <w:snapToGrid w:val="0"/>
        <w:spacing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十、其他重要事项的情况说明</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18</w:t>
      </w:r>
    </w:p>
    <w:p w14:paraId="14C08C05">
      <w:pPr>
        <w:pStyle w:val="13"/>
        <w:adjustRightInd w:val="0"/>
        <w:snapToGrid w:val="0"/>
        <w:spacing w:before="0"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第三部分 名词解释</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20</w:t>
      </w:r>
    </w:p>
    <w:p w14:paraId="439A5FBA">
      <w:pPr>
        <w:pStyle w:val="13"/>
        <w:adjustRightInd w:val="0"/>
        <w:snapToGrid w:val="0"/>
        <w:spacing w:before="0" w:line="440" w:lineRule="exact"/>
        <w:jc w:val="left"/>
        <w:rPr>
          <w:rFonts w:hint="default" w:ascii="Times New Roman" w:hAnsi="Times New Roman" w:eastAsia="楷体_GB2312" w:cs="Times New Roman"/>
          <w:sz w:val="24"/>
          <w:szCs w:val="24"/>
          <w:lang w:eastAsia="zh-CN"/>
        </w:rPr>
      </w:pPr>
      <w:r>
        <w:rPr>
          <w:rFonts w:hint="default" w:ascii="Times New Roman" w:hAnsi="Times New Roman" w:eastAsia="楷体_GB2312" w:cs="Times New Roman"/>
          <w:sz w:val="24"/>
          <w:szCs w:val="24"/>
        </w:rPr>
        <w:t>第四部分 附件</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rPr>
        <w:t>2</w:t>
      </w:r>
      <w:r>
        <w:rPr>
          <w:rFonts w:hint="default" w:ascii="Times New Roman" w:hAnsi="Times New Roman" w:eastAsia="楷体_GB2312" w:cs="Times New Roman"/>
          <w:sz w:val="24"/>
          <w:szCs w:val="24"/>
          <w:lang w:val="en-US" w:eastAsia="zh-CN"/>
        </w:rPr>
        <w:t>5</w:t>
      </w:r>
    </w:p>
    <w:p w14:paraId="0AF4A124">
      <w:pPr>
        <w:pStyle w:val="13"/>
        <w:adjustRightInd w:val="0"/>
        <w:snapToGrid w:val="0"/>
        <w:spacing w:before="0"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第五部分 附表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6F461FC1">
      <w:pPr>
        <w:pStyle w:val="13"/>
        <w:adjustRightInd w:val="0"/>
        <w:snapToGrid w:val="0"/>
        <w:spacing w:before="0"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一、收入支出决算总表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355554B5">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二、收入决算表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23803098">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三、支出决算表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587C0800">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四、财政拨款收入支出决算总表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4488EA4D">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五、财政拨款支出决算明细表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0223E169">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六、一般公共预算财政拨款支出决算表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5C17269E">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七、一般公共预算财政拨款支出决算明细表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473AC000">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八、一般公共预算财政拨款基本支出决算明细表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2F054E41">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九、一般公共预算财政拨款项目支出决算表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6A634D51">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十、政府性基金预算财政拨款收入支出决算表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0DBE34BC">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十一、国有资本经营预算财政拨款收入支出决算表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02A66DAF">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十二、国有资本经营预算财政拨款支出决算表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681480F0">
      <w:pPr>
        <w:pStyle w:val="15"/>
        <w:adjustRightInd w:val="0"/>
        <w:snapToGrid w:val="0"/>
        <w:spacing w:line="440" w:lineRule="exact"/>
        <w:jc w:val="left"/>
        <w:rPr>
          <w:rFonts w:hint="default" w:ascii="Times New Roman" w:hAnsi="Times New Roman" w:eastAsia="楷体_GB2312" w:cs="Times New Roman"/>
          <w:sz w:val="24"/>
          <w:szCs w:val="24"/>
          <w:lang w:val="en-US" w:eastAsia="zh-CN"/>
        </w:rPr>
      </w:pPr>
      <w:r>
        <w:rPr>
          <w:rFonts w:hint="default" w:ascii="Times New Roman" w:hAnsi="Times New Roman" w:eastAsia="楷体_GB2312" w:cs="Times New Roman"/>
          <w:sz w:val="24"/>
          <w:szCs w:val="24"/>
        </w:rPr>
        <w:t>十三、财政拨款“三公”经费支出决算表</w:t>
      </w:r>
      <w:r>
        <w:rPr>
          <w:rFonts w:hint="eastAsia" w:ascii="Times New Roman" w:hAnsi="Times New Roman" w:eastAsia="楷体_GB2312" w:cs="Times New Roman"/>
          <w:sz w:val="24"/>
          <w:szCs w:val="24"/>
          <w:lang w:eastAsia="zh-CN"/>
        </w:rPr>
        <w:t>˙˙˙˙˙˙</w:t>
      </w:r>
      <w:r>
        <w:rPr>
          <w:rFonts w:hint="default" w:ascii="Times New Roman" w:hAnsi="Times New Roman" w:eastAsia="楷体_GB2312" w:cs="Times New Roman"/>
          <w:sz w:val="24"/>
          <w:szCs w:val="24"/>
          <w:lang w:val="en-US" w:eastAsia="zh-CN"/>
        </w:rPr>
        <w:t>110</w:t>
      </w:r>
    </w:p>
    <w:p w14:paraId="7A2CE0D6">
      <w:pPr>
        <w:pStyle w:val="15"/>
        <w:adjustRightInd w:val="0"/>
        <w:snapToGrid w:val="0"/>
        <w:spacing w:line="440" w:lineRule="exact"/>
        <w:jc w:val="left"/>
        <w:rPr>
          <w:sz w:val="24"/>
        </w:rPr>
      </w:pPr>
    </w:p>
    <w:p w14:paraId="48428A19">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06DD63D5">
      <w:pPr>
        <w:pStyle w:val="5"/>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方正小标宋简体" w:cs="Times New Roman"/>
          <w:b w:val="0"/>
          <w:bCs w:val="0"/>
        </w:rPr>
      </w:pPr>
    </w:p>
    <w:p w14:paraId="5DE5A17F">
      <w:pPr>
        <w:pStyle w:val="5"/>
        <w:pageBreakBefore w:val="0"/>
        <w:widowControl w:val="0"/>
        <w:kinsoku/>
        <w:wordWrap/>
        <w:overflowPunct/>
        <w:topLinePunct w:val="0"/>
        <w:autoSpaceDE/>
        <w:autoSpaceDN/>
        <w:bidi w:val="0"/>
        <w:adjustRightInd/>
        <w:snapToGrid/>
        <w:spacing w:before="0" w:after="0" w:line="560" w:lineRule="exact"/>
        <w:jc w:val="center"/>
        <w:textAlignment w:val="auto"/>
        <w:rPr>
          <w:rStyle w:val="21"/>
          <w:rFonts w:hint="default" w:ascii="Times New Roman" w:hAnsi="Times New Roman" w:eastAsia="方正小标宋简体" w:cs="Times New Roman"/>
          <w:b w:val="0"/>
          <w:bCs w:val="0"/>
        </w:rPr>
      </w:pPr>
      <w:r>
        <w:rPr>
          <w:rFonts w:hint="default" w:ascii="Times New Roman" w:hAnsi="Times New Roman" w:eastAsia="方正小标宋简体" w:cs="Times New Roman"/>
          <w:b w:val="0"/>
          <w:bCs w:val="0"/>
        </w:rPr>
        <w:t xml:space="preserve">第一部分 </w:t>
      </w:r>
      <w:r>
        <w:rPr>
          <w:rFonts w:hint="default" w:ascii="Times New Roman" w:hAnsi="Times New Roman" w:eastAsia="方正小标宋简体" w:cs="Times New Roman"/>
          <w:b w:val="0"/>
          <w:bCs w:val="0"/>
          <w:lang w:val="en-US" w:eastAsia="zh-CN"/>
        </w:rPr>
        <w:t>部门</w:t>
      </w:r>
      <w:r>
        <w:rPr>
          <w:rStyle w:val="21"/>
          <w:rFonts w:hint="default" w:ascii="Times New Roman" w:hAnsi="Times New Roman" w:eastAsia="方正小标宋简体" w:cs="Times New Roman"/>
          <w:b w:val="0"/>
          <w:bCs w:val="0"/>
        </w:rPr>
        <w:t>概况</w:t>
      </w:r>
      <w:bookmarkEnd w:id="12"/>
      <w:bookmarkEnd w:id="13"/>
    </w:p>
    <w:p w14:paraId="04B957D0">
      <w:pPr>
        <w:pageBreakBefore w:val="0"/>
        <w:widowControl w:val="0"/>
        <w:kinsoku/>
        <w:wordWrap/>
        <w:overflowPunct/>
        <w:topLinePunct w:val="0"/>
        <w:autoSpaceDE/>
        <w:autoSpaceDN/>
        <w:bidi w:val="0"/>
        <w:adjustRightInd/>
        <w:snapToGrid/>
        <w:spacing w:line="560" w:lineRule="exact"/>
        <w:textAlignment w:val="auto"/>
        <w:rPr>
          <w:rFonts w:hint="default"/>
        </w:rPr>
      </w:pPr>
    </w:p>
    <w:p w14:paraId="7F00B11C">
      <w:pPr>
        <w:pStyle w:val="6"/>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Style w:val="22"/>
          <w:rFonts w:hint="default" w:ascii="Times New Roman" w:hAnsi="Times New Roman" w:eastAsia="黑体" w:cs="Times New Roman"/>
          <w:b w:val="0"/>
          <w:bCs w:val="0"/>
        </w:rPr>
      </w:pPr>
      <w:bookmarkStart w:id="14" w:name="_Toc15396600"/>
      <w:bookmarkStart w:id="15" w:name="_Toc15377197"/>
      <w:r>
        <w:rPr>
          <w:rStyle w:val="22"/>
          <w:rFonts w:hint="default" w:ascii="Times New Roman" w:hAnsi="Times New Roman" w:eastAsia="黑体" w:cs="Times New Roman"/>
          <w:b w:val="0"/>
          <w:bCs w:val="0"/>
          <w:lang w:val="en-US" w:eastAsia="zh-CN"/>
        </w:rPr>
        <w:t>一、部门</w:t>
      </w:r>
      <w:r>
        <w:rPr>
          <w:rStyle w:val="22"/>
          <w:rFonts w:hint="default" w:ascii="Times New Roman" w:hAnsi="Times New Roman" w:eastAsia="黑体" w:cs="Times New Roman"/>
          <w:b w:val="0"/>
          <w:bCs w:val="0"/>
        </w:rPr>
        <w:t>职责</w:t>
      </w:r>
    </w:p>
    <w:p w14:paraId="4FF044C5">
      <w:pPr>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rPr>
        <w:t xml:space="preserve">   </w:t>
      </w:r>
      <w:r>
        <w:rPr>
          <w:rFonts w:hint="default" w:ascii="Times New Roman" w:hAnsi="Times New Roman" w:eastAsia="仿宋_GB2312" w:cs="Times New Roman"/>
          <w:sz w:val="32"/>
          <w:szCs w:val="32"/>
        </w:rPr>
        <w:t>(1)落实政策。宣传、落实好党的路线、方针、政策和国家的法律法规，稳定农村基本经济制度，坚持依法行政，推进政务公开，加强对村民委员会的指导，提高、培育村民委员会自治能力。</w:t>
      </w:r>
    </w:p>
    <w:p w14:paraId="48CD93A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(2)促进发展。科学制定乡镇发展规划，营造农村经济发展环境，加强农村市场监督，</w:t>
      </w:r>
      <w:bookmarkStart w:id="67" w:name="_GoBack"/>
      <w:bookmarkEnd w:id="67"/>
      <w:r>
        <w:rPr>
          <w:rFonts w:hint="default" w:ascii="Times New Roman" w:hAnsi="Times New Roman" w:eastAsia="仿宋_GB2312" w:cs="Times New Roman"/>
          <w:sz w:val="32"/>
          <w:szCs w:val="32"/>
        </w:rPr>
        <w:t>培育、提升市场功能，搞活市场流通，推广农业技术，完善农业社会化服务体系，引导本乡镇农民发展现代农业，调整产业结构，加强农村劳动力技能培训，引导农村劳动力转移和就业，不断提高社会主义新农村建设水平。</w:t>
      </w:r>
    </w:p>
    <w:p w14:paraId="0C570C1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维护稳定。坚持“立党为公、执政为民”，紧紧围绕实现和维护群众利益开展工作，突出解决人民群众最关心、最直接、最现实的利益问题。加强和巩固农村基层政权建设和民主法制建设，加强社会治安综合管理，加强对突发事件的预警和管理，建立、健全各种应急机制，加强民事纠纷调解，化解农村社会矛盾，开展农村扶贫和社会救助，切实保障农民的合法权益，维护农村社会稳定。</w:t>
      </w:r>
    </w:p>
    <w:p w14:paraId="1A6B95F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加强管理。加强民政、教育、科技、文化、卫生、计划生育、安全生产、集乡管理、劳动保障和乡村规划等社会管理，加强社会主义精神文明建设，做好防灾减灾工作，加强环境保护，努力改善农村人居环境，不断提高乡镇农村人口素质和农民生活质量。</w:t>
      </w:r>
    </w:p>
    <w:p w14:paraId="7BF74361">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eastAsia="仿宋_GB2312" w:cs="Times New Roman"/>
          <w:sz w:val="32"/>
          <w:szCs w:val="32"/>
        </w:rPr>
        <w:t>(5)提供服务。进一步发展和完善乡镇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w:t>
      </w:r>
      <w:r>
        <w:rPr>
          <w:rFonts w:hint="eastAsia" w:eastAsia="仿宋_GB2312" w:cs="Times New Roman"/>
          <w:sz w:val="32"/>
          <w:szCs w:val="32"/>
          <w:lang w:eastAsia="zh-CN"/>
        </w:rPr>
        <w:t>人民群众</w:t>
      </w:r>
      <w:r>
        <w:rPr>
          <w:rFonts w:hint="default" w:ascii="Times New Roman" w:hAnsi="Times New Roman" w:eastAsia="仿宋_GB2312" w:cs="Times New Roman"/>
          <w:sz w:val="32"/>
          <w:szCs w:val="32"/>
        </w:rPr>
        <w:t>的关系。</w:t>
      </w:r>
    </w:p>
    <w:p w14:paraId="1BF6C51D">
      <w:pPr>
        <w:pStyle w:val="6"/>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黑体" w:cs="Times New Roman"/>
          <w:b w:val="0"/>
        </w:rPr>
      </w:pPr>
      <w:r>
        <w:rPr>
          <w:rFonts w:hint="default" w:ascii="Times New Roman" w:hAnsi="Times New Roman" w:eastAsia="黑体" w:cs="Times New Roman"/>
          <w:b w:val="0"/>
        </w:rPr>
        <w:t>二、机构设置</w:t>
      </w:r>
    </w:p>
    <w:bookmarkEnd w:id="14"/>
    <w:bookmarkEnd w:id="15"/>
    <w:p w14:paraId="44C282C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白马镇人民政府下属二级预算单位0个，其中行政单位0个，参照公务员法管理的事业单位0个，其他事业单位0个。</w:t>
      </w:r>
    </w:p>
    <w:p w14:paraId="6FDA36C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1F77C10B">
      <w:pPr>
        <w:pStyle w:val="5"/>
        <w:pageBreakBefore w:val="0"/>
        <w:widowControl w:val="0"/>
        <w:kinsoku/>
        <w:wordWrap/>
        <w:overflowPunct/>
        <w:topLinePunct w:val="0"/>
        <w:autoSpaceDE/>
        <w:autoSpaceDN/>
        <w:bidi w:val="0"/>
        <w:adjustRightInd/>
        <w:snapToGrid w:val="0"/>
        <w:spacing w:before="0" w:after="0" w:line="560" w:lineRule="exact"/>
        <w:ind w:left="0" w:right="0"/>
        <w:jc w:val="center"/>
        <w:textAlignment w:val="auto"/>
        <w:rPr>
          <w:rFonts w:hint="default" w:ascii="Times New Roman" w:hAnsi="Times New Roman" w:eastAsia="方正小标宋简体" w:cs="Times New Roman"/>
          <w:b w:val="0"/>
        </w:rPr>
      </w:pPr>
      <w:bookmarkStart w:id="16" w:name="_Toc15377204"/>
      <w:bookmarkStart w:id="17" w:name="_Toc15396602"/>
    </w:p>
    <w:p w14:paraId="447DDCED">
      <w:pPr>
        <w:pStyle w:val="5"/>
        <w:pageBreakBefore w:val="0"/>
        <w:widowControl w:val="0"/>
        <w:kinsoku/>
        <w:wordWrap/>
        <w:overflowPunct/>
        <w:topLinePunct w:val="0"/>
        <w:autoSpaceDE/>
        <w:autoSpaceDN/>
        <w:bidi w:val="0"/>
        <w:adjustRightInd/>
        <w:snapToGrid w:val="0"/>
        <w:spacing w:before="0" w:after="0" w:line="560" w:lineRule="exact"/>
        <w:ind w:left="0" w:right="0"/>
        <w:jc w:val="center"/>
        <w:textAlignment w:val="auto"/>
        <w:rPr>
          <w:rFonts w:hint="default" w:ascii="Times New Roman" w:hAnsi="Times New Roman" w:eastAsia="方正小标宋简体" w:cs="Times New Roman"/>
          <w:b w:val="0"/>
        </w:rPr>
      </w:pPr>
    </w:p>
    <w:p w14:paraId="22D4B5C1">
      <w:pPr>
        <w:pStyle w:val="5"/>
        <w:pageBreakBefore w:val="0"/>
        <w:widowControl w:val="0"/>
        <w:kinsoku/>
        <w:wordWrap/>
        <w:overflowPunct/>
        <w:topLinePunct w:val="0"/>
        <w:autoSpaceDE/>
        <w:autoSpaceDN/>
        <w:bidi w:val="0"/>
        <w:adjustRightInd/>
        <w:snapToGrid w:val="0"/>
        <w:spacing w:before="0" w:after="0" w:line="560" w:lineRule="exact"/>
        <w:ind w:left="0" w:right="0"/>
        <w:jc w:val="both"/>
        <w:textAlignment w:val="auto"/>
        <w:rPr>
          <w:rFonts w:hint="default" w:ascii="Times New Roman" w:hAnsi="Times New Roman" w:eastAsia="方正小标宋简体" w:cs="Times New Roman"/>
          <w:b w:val="0"/>
        </w:rPr>
      </w:pPr>
    </w:p>
    <w:p w14:paraId="273DC303">
      <w:pPr>
        <w:pStyle w:val="5"/>
        <w:pageBreakBefore w:val="0"/>
        <w:widowControl w:val="0"/>
        <w:kinsoku/>
        <w:wordWrap/>
        <w:overflowPunct/>
        <w:topLinePunct w:val="0"/>
        <w:autoSpaceDE/>
        <w:autoSpaceDN/>
        <w:bidi w:val="0"/>
        <w:adjustRightInd/>
        <w:snapToGrid w:val="0"/>
        <w:spacing w:before="0" w:after="0" w:line="560" w:lineRule="exact"/>
        <w:ind w:left="0" w:right="0"/>
        <w:jc w:val="center"/>
        <w:textAlignment w:val="auto"/>
        <w:rPr>
          <w:rFonts w:hint="eastAsia" w:ascii="方正小标宋简体" w:hAnsi="方正小标宋简体" w:eastAsia="方正小标宋简体" w:cs="方正小标宋简体"/>
          <w:b w:val="0"/>
          <w:sz w:val="44"/>
          <w:szCs w:val="44"/>
        </w:rPr>
      </w:pPr>
    </w:p>
    <w:p w14:paraId="60437AB0">
      <w:pPr>
        <w:pStyle w:val="5"/>
        <w:pageBreakBefore w:val="0"/>
        <w:widowControl w:val="0"/>
        <w:kinsoku/>
        <w:wordWrap/>
        <w:overflowPunct/>
        <w:topLinePunct w:val="0"/>
        <w:autoSpaceDE/>
        <w:autoSpaceDN/>
        <w:bidi w:val="0"/>
        <w:adjustRightInd/>
        <w:snapToGrid w:val="0"/>
        <w:spacing w:before="0" w:after="0" w:line="560" w:lineRule="exact"/>
        <w:ind w:left="0" w:right="0"/>
        <w:jc w:val="center"/>
        <w:textAlignment w:val="auto"/>
        <w:rPr>
          <w:rFonts w:hint="eastAsia" w:ascii="方正小标宋简体" w:hAnsi="方正小标宋简体" w:eastAsia="方正小标宋简体" w:cs="方正小标宋简体"/>
          <w:b w:val="0"/>
          <w:sz w:val="44"/>
          <w:szCs w:val="44"/>
        </w:rPr>
      </w:pPr>
    </w:p>
    <w:p w14:paraId="2D0BCF0F">
      <w:pPr>
        <w:pStyle w:val="5"/>
        <w:pageBreakBefore w:val="0"/>
        <w:widowControl w:val="0"/>
        <w:kinsoku/>
        <w:wordWrap/>
        <w:overflowPunct/>
        <w:topLinePunct w:val="0"/>
        <w:autoSpaceDE/>
        <w:autoSpaceDN/>
        <w:bidi w:val="0"/>
        <w:adjustRightInd/>
        <w:snapToGrid w:val="0"/>
        <w:spacing w:before="0" w:after="0" w:line="560" w:lineRule="exact"/>
        <w:ind w:left="0" w:right="0"/>
        <w:jc w:val="center"/>
        <w:textAlignment w:val="auto"/>
        <w:rPr>
          <w:rFonts w:hint="eastAsia" w:ascii="方正小标宋简体" w:hAnsi="方正小标宋简体" w:eastAsia="方正小标宋简体" w:cs="方正小标宋简体"/>
          <w:b w:val="0"/>
          <w:sz w:val="44"/>
          <w:szCs w:val="44"/>
        </w:rPr>
      </w:pPr>
    </w:p>
    <w:p w14:paraId="208F3047">
      <w:pPr>
        <w:pStyle w:val="5"/>
        <w:pageBreakBefore w:val="0"/>
        <w:widowControl w:val="0"/>
        <w:kinsoku/>
        <w:wordWrap/>
        <w:overflowPunct/>
        <w:topLinePunct w:val="0"/>
        <w:autoSpaceDE/>
        <w:autoSpaceDN/>
        <w:bidi w:val="0"/>
        <w:adjustRightInd/>
        <w:snapToGrid w:val="0"/>
        <w:spacing w:before="0" w:after="0" w:line="560" w:lineRule="exact"/>
        <w:ind w:left="0" w:right="0"/>
        <w:jc w:val="center"/>
        <w:textAlignment w:val="auto"/>
        <w:rPr>
          <w:rFonts w:hint="eastAsia" w:ascii="方正小标宋简体" w:hAnsi="方正小标宋简体" w:eastAsia="方正小标宋简体" w:cs="方正小标宋简体"/>
          <w:b w:val="0"/>
          <w:sz w:val="44"/>
          <w:szCs w:val="44"/>
        </w:rPr>
      </w:pPr>
    </w:p>
    <w:p w14:paraId="1EFD3FBF">
      <w:pPr>
        <w:pStyle w:val="5"/>
        <w:pageBreakBefore w:val="0"/>
        <w:widowControl w:val="0"/>
        <w:kinsoku/>
        <w:wordWrap/>
        <w:overflowPunct/>
        <w:topLinePunct w:val="0"/>
        <w:autoSpaceDE/>
        <w:autoSpaceDN/>
        <w:bidi w:val="0"/>
        <w:adjustRightInd/>
        <w:snapToGrid w:val="0"/>
        <w:spacing w:before="0" w:after="0" w:line="560" w:lineRule="exact"/>
        <w:ind w:left="0" w:right="0"/>
        <w:jc w:val="both"/>
        <w:textAlignment w:val="auto"/>
        <w:rPr>
          <w:rFonts w:hint="eastAsia" w:ascii="方正小标宋简体" w:hAnsi="方正小标宋简体" w:eastAsia="方正小标宋简体" w:cs="方正小标宋简体"/>
          <w:b w:val="0"/>
          <w:sz w:val="44"/>
          <w:szCs w:val="44"/>
        </w:rPr>
      </w:pPr>
    </w:p>
    <w:bookmarkEnd w:id="16"/>
    <w:bookmarkEnd w:id="17"/>
    <w:p w14:paraId="59AC59B6">
      <w:pPr>
        <w:pStyle w:val="3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textAlignment w:val="auto"/>
        <w:outlineLvl w:val="1"/>
        <w:rPr>
          <w:rFonts w:hint="default" w:ascii="Times New Roman" w:hAnsi="Times New Roman" w:eastAsia="黑体" w:cs="Times New Roman"/>
          <w:sz w:val="32"/>
          <w:szCs w:val="32"/>
          <w:lang w:eastAsia="zh-CN"/>
        </w:rPr>
      </w:pPr>
      <w:bookmarkStart w:id="18" w:name="_Toc15377205"/>
      <w:bookmarkStart w:id="19" w:name="_Toc15396603"/>
    </w:p>
    <w:p w14:paraId="676F709A">
      <w:pPr>
        <w:pStyle w:val="5"/>
        <w:pageBreakBefore w:val="0"/>
        <w:widowControl w:val="0"/>
        <w:kinsoku/>
        <w:wordWrap/>
        <w:overflowPunct/>
        <w:topLinePunct w:val="0"/>
        <w:autoSpaceDE/>
        <w:autoSpaceDN/>
        <w:bidi w:val="0"/>
        <w:adjustRightInd/>
        <w:snapToGrid w:val="0"/>
        <w:spacing w:before="0" w:after="0" w:line="560" w:lineRule="exact"/>
        <w:ind w:left="0" w:right="0"/>
        <w:jc w:val="both"/>
        <w:textAlignment w:val="auto"/>
        <w:rPr>
          <w:rFonts w:hint="eastAsia" w:ascii="方正小标宋简体" w:hAnsi="方正小标宋简体" w:eastAsia="方正小标宋简体" w:cs="方正小标宋简体"/>
          <w:b w:val="0"/>
          <w:sz w:val="44"/>
          <w:szCs w:val="44"/>
        </w:rPr>
      </w:pPr>
    </w:p>
    <w:p w14:paraId="02ED4BB9">
      <w:pPr>
        <w:pStyle w:val="5"/>
        <w:pageBreakBefore w:val="0"/>
        <w:widowControl w:val="0"/>
        <w:kinsoku/>
        <w:wordWrap/>
        <w:overflowPunct/>
        <w:topLinePunct w:val="0"/>
        <w:autoSpaceDE/>
        <w:autoSpaceDN/>
        <w:bidi w:val="0"/>
        <w:adjustRightInd/>
        <w:snapToGrid w:val="0"/>
        <w:spacing w:before="0" w:after="0" w:line="560" w:lineRule="exact"/>
        <w:ind w:left="0" w:right="0"/>
        <w:jc w:val="center"/>
        <w:textAlignment w:val="auto"/>
        <w:rPr>
          <w:rStyle w:val="21"/>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sz w:val="44"/>
          <w:szCs w:val="44"/>
        </w:rPr>
        <w:t xml:space="preserve">第二部分 </w:t>
      </w:r>
      <w:r>
        <w:rPr>
          <w:rFonts w:hint="eastAsia" w:ascii="方正小标宋简体" w:hAnsi="方正小标宋简体" w:eastAsia="方正小标宋简体" w:cs="方正小标宋简体"/>
          <w:b w:val="0"/>
          <w:sz w:val="44"/>
          <w:szCs w:val="44"/>
          <w:lang w:eastAsia="zh-CN"/>
        </w:rPr>
        <w:t>2024</w:t>
      </w:r>
      <w:r>
        <w:rPr>
          <w:rFonts w:hint="eastAsia" w:ascii="方正小标宋简体" w:hAnsi="方正小标宋简体" w:eastAsia="方正小标宋简体" w:cs="方正小标宋简体"/>
          <w:b w:val="0"/>
          <w:sz w:val="44"/>
          <w:szCs w:val="44"/>
        </w:rPr>
        <w:t>年度</w:t>
      </w:r>
      <w:r>
        <w:rPr>
          <w:rStyle w:val="21"/>
          <w:rFonts w:hint="eastAsia" w:ascii="方正小标宋简体" w:hAnsi="方正小标宋简体" w:eastAsia="方正小标宋简体" w:cs="方正小标宋简体"/>
          <w:b w:val="0"/>
          <w:bCs/>
          <w:sz w:val="44"/>
          <w:szCs w:val="44"/>
        </w:rPr>
        <w:t>单位决算情况说明</w:t>
      </w:r>
    </w:p>
    <w:p w14:paraId="7727DCA1">
      <w:pPr>
        <w:pStyle w:val="3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textAlignment w:val="auto"/>
        <w:outlineLvl w:val="1"/>
        <w:rPr>
          <w:rFonts w:hint="default" w:ascii="Times New Roman" w:hAnsi="Times New Roman" w:eastAsia="黑体" w:cs="Times New Roman"/>
          <w:b/>
          <w:bCs/>
          <w:sz w:val="32"/>
          <w:szCs w:val="32"/>
          <w:lang w:eastAsia="zh-CN"/>
        </w:rPr>
      </w:pPr>
    </w:p>
    <w:p w14:paraId="03352984">
      <w:pPr>
        <w:pStyle w:val="3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right="0" w:rightChars="0" w:firstLine="640" w:firstLineChars="200"/>
        <w:textAlignment w:val="auto"/>
        <w:outlineLvl w:val="1"/>
        <w:rPr>
          <w:rStyle w:val="22"/>
          <w:rFonts w:hint="default" w:ascii="Times New Roman" w:hAnsi="Times New Roman" w:eastAsia="黑体" w:cs="Times New Roman"/>
          <w:b w:val="0"/>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收</w:t>
      </w:r>
      <w:r>
        <w:rPr>
          <w:rStyle w:val="22"/>
          <w:rFonts w:hint="default" w:ascii="Times New Roman" w:hAnsi="Times New Roman" w:eastAsia="黑体" w:cs="Times New Roman"/>
          <w:b w:val="0"/>
        </w:rPr>
        <w:t>入支出决算总体情况说明</w:t>
      </w:r>
      <w:bookmarkEnd w:id="18"/>
      <w:bookmarkEnd w:id="19"/>
    </w:p>
    <w:p w14:paraId="60001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年度收、支各总计2</w:t>
      </w:r>
      <w:r>
        <w:rPr>
          <w:rFonts w:hint="default" w:ascii="Times New Roman" w:hAnsi="Times New Roman" w:eastAsia="仿宋_GB2312" w:cs="Times New Roman"/>
          <w:sz w:val="32"/>
          <w:szCs w:val="32"/>
          <w:lang w:val="en-US" w:eastAsia="zh-CN"/>
        </w:rPr>
        <w:t>061.7</w:t>
      </w:r>
      <w:r>
        <w:rPr>
          <w:rFonts w:hint="default" w:ascii="Times New Roman" w:hAnsi="Times New Roman" w:eastAsia="仿宋_GB2312" w:cs="Times New Roman"/>
          <w:sz w:val="32"/>
          <w:szCs w:val="32"/>
        </w:rPr>
        <w:t>万元。与</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年相比，收、支总计各</w:t>
      </w:r>
      <w:r>
        <w:rPr>
          <w:rFonts w:hint="default" w:ascii="Times New Roman" w:hAnsi="Times New Roman" w:eastAsia="仿宋_GB2312" w:cs="Times New Roman"/>
          <w:sz w:val="32"/>
          <w:szCs w:val="32"/>
          <w:lang w:val="en-US" w:eastAsia="zh-CN"/>
        </w:rPr>
        <w:t>增加1.71</w:t>
      </w:r>
      <w:r>
        <w:rPr>
          <w:rFonts w:hint="default" w:ascii="Times New Roman" w:hAnsi="Times New Roman" w:eastAsia="仿宋_GB2312" w:cs="Times New Roman"/>
          <w:sz w:val="32"/>
          <w:szCs w:val="32"/>
        </w:rPr>
        <w:t>万元，均</w:t>
      </w:r>
      <w:r>
        <w:rPr>
          <w:rFonts w:hint="default" w:ascii="Times New Roman" w:hAnsi="Times New Roman" w:eastAsia="仿宋_GB2312" w:cs="Times New Roman"/>
          <w:sz w:val="32"/>
          <w:szCs w:val="32"/>
          <w:lang w:val="en-US" w:eastAsia="zh-CN"/>
        </w:rPr>
        <w:t>增加0.08</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年本单位</w:t>
      </w:r>
      <w:r>
        <w:rPr>
          <w:rFonts w:hint="default" w:ascii="Times New Roman" w:hAnsi="Times New Roman" w:eastAsia="仿宋_GB2312" w:cs="Times New Roman"/>
          <w:sz w:val="32"/>
          <w:szCs w:val="32"/>
          <w:lang w:val="en-US" w:eastAsia="zh-CN"/>
        </w:rPr>
        <w:t>人员增加</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财政拨款</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rPr>
        <w:t>。</w:t>
      </w:r>
    </w:p>
    <w:p w14:paraId="16D31FC7">
      <w:pPr>
        <w:pStyle w:val="8"/>
        <w:pageBreakBefore w:val="0"/>
        <w:kinsoku/>
        <w:wordWrap/>
        <w:overflowPunct/>
        <w:topLinePunct w:val="0"/>
        <w:bidi w:val="0"/>
        <w:spacing w:beforeLines="0" w:line="560" w:lineRule="exac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drawing>
          <wp:inline distT="0" distB="0" distL="114300" distR="114300">
            <wp:extent cx="5256530" cy="2541270"/>
            <wp:effectExtent l="4445" t="4445" r="1587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C8AB54A">
      <w:pPr>
        <w:pStyle w:val="8"/>
        <w:pageBreakBefore w:val="0"/>
        <w:kinsoku/>
        <w:wordWrap/>
        <w:overflowPunct/>
        <w:topLinePunct w:val="0"/>
        <w:bidi w:val="0"/>
        <w:spacing w:beforeLines="0" w:line="560" w:lineRule="exact"/>
        <w:textAlignment w:val="auto"/>
        <w:rPr>
          <w:rFonts w:hint="default" w:ascii="Times New Roman" w:hAnsi="Times New Roman" w:cs="Times New Roman"/>
        </w:rPr>
      </w:pPr>
      <w:r>
        <w:rPr>
          <w:rFonts w:hint="default" w:ascii="Times New Roman" w:hAnsi="Times New Roman" w:eastAsia="仿宋" w:cs="Times New Roman"/>
          <w:sz w:val="32"/>
          <w:szCs w:val="32"/>
        </w:rPr>
        <w:t>（图1：收、支决算总计变动情况图）</w:t>
      </w:r>
    </w:p>
    <w:p w14:paraId="2F26A4BB">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Style w:val="22"/>
          <w:rFonts w:hint="default" w:ascii="Times New Roman" w:hAnsi="Times New Roman" w:eastAsia="黑体" w:cs="Times New Roman"/>
          <w:b w:val="0"/>
        </w:rPr>
      </w:pPr>
      <w:bookmarkStart w:id="20" w:name="_Toc15396604"/>
      <w:bookmarkStart w:id="21" w:name="_Toc15377206"/>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收</w:t>
      </w:r>
      <w:r>
        <w:rPr>
          <w:rStyle w:val="22"/>
          <w:rFonts w:hint="default" w:ascii="Times New Roman" w:hAnsi="Times New Roman" w:eastAsia="黑体" w:cs="Times New Roman"/>
          <w:b w:val="0"/>
        </w:rPr>
        <w:t>入决算情况说明</w:t>
      </w:r>
      <w:bookmarkEnd w:id="20"/>
      <w:bookmarkEnd w:id="21"/>
    </w:p>
    <w:p w14:paraId="25201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2024年本年收入合计</w:t>
      </w:r>
      <w:r>
        <w:rPr>
          <w:rFonts w:hint="default" w:ascii="Times New Roman" w:hAnsi="Times New Roman" w:eastAsia="仿宋_GB2312" w:cs="Times New Roman"/>
          <w:sz w:val="32"/>
          <w:szCs w:val="32"/>
          <w:lang w:val="en-US" w:eastAsia="zh-CN"/>
        </w:rPr>
        <w:t>2061.7</w:t>
      </w:r>
      <w:r>
        <w:rPr>
          <w:rFonts w:hint="default" w:ascii="Times New Roman" w:hAnsi="Times New Roman" w:eastAsia="仿宋_GB2312" w:cs="Times New Roman"/>
          <w:sz w:val="32"/>
          <w:szCs w:val="32"/>
          <w:lang w:eastAsia="zh-CN"/>
        </w:rPr>
        <w:t>万元，其中：一般公共预算财政拨款收入</w:t>
      </w:r>
      <w:r>
        <w:rPr>
          <w:rFonts w:hint="default" w:ascii="Times New Roman" w:hAnsi="Times New Roman" w:eastAsia="仿宋_GB2312" w:cs="Times New Roman"/>
          <w:sz w:val="32"/>
          <w:szCs w:val="32"/>
          <w:lang w:val="en-US" w:eastAsia="zh-CN"/>
        </w:rPr>
        <w:t>1954.38</w:t>
      </w:r>
      <w:r>
        <w:rPr>
          <w:rFonts w:hint="default" w:ascii="Times New Roman" w:hAnsi="Times New Roman" w:eastAsia="仿宋_GB2312" w:cs="Times New Roman"/>
          <w:sz w:val="32"/>
          <w:szCs w:val="32"/>
          <w:lang w:eastAsia="zh-CN"/>
        </w:rPr>
        <w:t>万元，占9</w:t>
      </w:r>
      <w:r>
        <w:rPr>
          <w:rFonts w:hint="default" w:ascii="Times New Roman" w:hAnsi="Times New Roman" w:eastAsia="仿宋_GB2312" w:cs="Times New Roman"/>
          <w:sz w:val="32"/>
          <w:szCs w:val="32"/>
          <w:lang w:val="en-US" w:eastAsia="zh-CN"/>
        </w:rPr>
        <w:t>4.79</w:t>
      </w:r>
      <w:r>
        <w:rPr>
          <w:rFonts w:hint="default" w:ascii="Times New Roman" w:hAnsi="Times New Roman" w:eastAsia="仿宋_GB2312" w:cs="Times New Roman"/>
          <w:sz w:val="32"/>
          <w:szCs w:val="32"/>
          <w:lang w:eastAsia="zh-CN"/>
        </w:rPr>
        <w:t>%；政府性基金预算财政拨款收入</w:t>
      </w:r>
      <w:r>
        <w:rPr>
          <w:rFonts w:hint="default" w:ascii="Times New Roman" w:hAnsi="Times New Roman" w:eastAsia="仿宋_GB2312" w:cs="Times New Roman"/>
          <w:sz w:val="32"/>
          <w:szCs w:val="32"/>
          <w:lang w:val="en-US" w:eastAsia="zh-CN"/>
        </w:rPr>
        <w:t>107.32</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5.21</w:t>
      </w:r>
      <w:r>
        <w:rPr>
          <w:rFonts w:hint="default" w:ascii="Times New Roman" w:hAnsi="Times New Roman" w:eastAsia="仿宋_GB2312" w:cs="Times New Roman"/>
          <w:sz w:val="32"/>
          <w:szCs w:val="32"/>
          <w:lang w:eastAsia="zh-CN"/>
        </w:rPr>
        <w:t>%。</w:t>
      </w:r>
    </w:p>
    <w:p w14:paraId="34836BFF">
      <w:pPr>
        <w:pStyle w:val="8"/>
        <w:pageBreakBefore w:val="0"/>
        <w:kinsoku/>
        <w:wordWrap/>
        <w:overflowPunct/>
        <w:topLinePunct w:val="0"/>
        <w:bidi w:val="0"/>
        <w:spacing w:beforeLines="0"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drawing>
          <wp:inline distT="0" distB="0" distL="114300" distR="114300">
            <wp:extent cx="5256530" cy="2635885"/>
            <wp:effectExtent l="4445" t="4445" r="15875" b="7620"/>
            <wp:docPr id="3" name="图表 3"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B2D7B39">
      <w:pPr>
        <w:pStyle w:val="8"/>
        <w:pageBreakBefore w:val="0"/>
        <w:kinsoku/>
        <w:wordWrap/>
        <w:overflowPunct/>
        <w:topLinePunct w:val="0"/>
        <w:bidi w:val="0"/>
        <w:spacing w:beforeLines="0"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（图2：收入决算结构图）</w:t>
      </w:r>
    </w:p>
    <w:p w14:paraId="65D5CC24">
      <w:pPr>
        <w:pStyle w:val="3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Style w:val="22"/>
          <w:rFonts w:hint="default" w:ascii="Times New Roman" w:hAnsi="Times New Roman" w:eastAsia="黑体" w:cs="Times New Roman"/>
          <w:b w:val="0"/>
        </w:rPr>
      </w:pPr>
      <w:bookmarkStart w:id="22" w:name="_Toc15396605"/>
      <w:bookmarkStart w:id="23" w:name="_Toc15377207"/>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支</w:t>
      </w:r>
      <w:r>
        <w:rPr>
          <w:rStyle w:val="22"/>
          <w:rFonts w:hint="default" w:ascii="Times New Roman" w:hAnsi="Times New Roman" w:eastAsia="黑体" w:cs="Times New Roman"/>
          <w:b w:val="0"/>
        </w:rPr>
        <w:t>出决算情况说明</w:t>
      </w:r>
      <w:bookmarkEnd w:id="22"/>
      <w:bookmarkEnd w:id="23"/>
    </w:p>
    <w:p w14:paraId="6E994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2024年本年支出合计</w:t>
      </w:r>
      <w:r>
        <w:rPr>
          <w:rFonts w:hint="default" w:ascii="Times New Roman" w:hAnsi="Times New Roman" w:eastAsia="仿宋_GB2312" w:cs="Times New Roman"/>
          <w:sz w:val="32"/>
          <w:szCs w:val="32"/>
          <w:lang w:val="en-US" w:eastAsia="zh-CN"/>
        </w:rPr>
        <w:t>2061.7</w:t>
      </w:r>
      <w:r>
        <w:rPr>
          <w:rFonts w:hint="default" w:ascii="Times New Roman" w:hAnsi="Times New Roman" w:eastAsia="仿宋_GB2312" w:cs="Times New Roman"/>
          <w:sz w:val="32"/>
          <w:szCs w:val="32"/>
          <w:lang w:eastAsia="zh-CN"/>
        </w:rPr>
        <w:t>万元，其中：基本支出16</w:t>
      </w:r>
      <w:r>
        <w:rPr>
          <w:rFonts w:hint="default" w:ascii="Times New Roman" w:hAnsi="Times New Roman" w:eastAsia="仿宋_GB2312" w:cs="Times New Roman"/>
          <w:sz w:val="32"/>
          <w:szCs w:val="32"/>
          <w:lang w:val="en-US" w:eastAsia="zh-CN"/>
        </w:rPr>
        <w:t>20.96</w:t>
      </w:r>
      <w:r>
        <w:rPr>
          <w:rFonts w:hint="default" w:ascii="Times New Roman" w:hAnsi="Times New Roman" w:eastAsia="仿宋_GB2312" w:cs="Times New Roman"/>
          <w:sz w:val="32"/>
          <w:szCs w:val="32"/>
          <w:lang w:eastAsia="zh-CN"/>
        </w:rPr>
        <w:t>万元，占7</w:t>
      </w:r>
      <w:r>
        <w:rPr>
          <w:rFonts w:hint="default" w:ascii="Times New Roman" w:hAnsi="Times New Roman" w:eastAsia="仿宋_GB2312" w:cs="Times New Roman"/>
          <w:sz w:val="32"/>
          <w:szCs w:val="32"/>
          <w:lang w:val="en-US" w:eastAsia="zh-CN"/>
        </w:rPr>
        <w:t>8.62</w:t>
      </w:r>
      <w:r>
        <w:rPr>
          <w:rFonts w:hint="default" w:ascii="Times New Roman" w:hAnsi="Times New Roman" w:eastAsia="仿宋_GB2312" w:cs="Times New Roman"/>
          <w:sz w:val="32"/>
          <w:szCs w:val="32"/>
          <w:lang w:eastAsia="zh-CN"/>
        </w:rPr>
        <w:t>%；项目支出</w:t>
      </w:r>
      <w:r>
        <w:rPr>
          <w:rFonts w:hint="default" w:ascii="Times New Roman" w:hAnsi="Times New Roman" w:eastAsia="仿宋_GB2312" w:cs="Times New Roman"/>
          <w:sz w:val="32"/>
          <w:szCs w:val="32"/>
          <w:lang w:val="en-US" w:eastAsia="zh-CN"/>
        </w:rPr>
        <w:t>440.74</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21.38</w:t>
      </w:r>
      <w:r>
        <w:rPr>
          <w:rFonts w:hint="default" w:ascii="Times New Roman" w:hAnsi="Times New Roman" w:eastAsia="仿宋_GB2312" w:cs="Times New Roman"/>
          <w:sz w:val="32"/>
          <w:szCs w:val="32"/>
          <w:lang w:eastAsia="zh-CN"/>
        </w:rPr>
        <w:t>%。</w:t>
      </w:r>
    </w:p>
    <w:p w14:paraId="03B27597">
      <w:pPr>
        <w:pStyle w:val="8"/>
        <w:pageBreakBefore w:val="0"/>
        <w:kinsoku/>
        <w:wordWrap/>
        <w:overflowPunct/>
        <w:topLinePunct w:val="0"/>
        <w:bidi w:val="0"/>
        <w:spacing w:beforeLines="0" w:line="560" w:lineRule="exact"/>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drawing>
          <wp:inline distT="0" distB="0" distL="114300" distR="114300">
            <wp:extent cx="5256530" cy="2533015"/>
            <wp:effectExtent l="4445" t="4445" r="15875" b="15240"/>
            <wp:docPr id="4" name="图表 4"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921C9D">
      <w:pPr>
        <w:pStyle w:val="8"/>
        <w:pageBreakBefore w:val="0"/>
        <w:kinsoku/>
        <w:wordWrap/>
        <w:overflowPunct/>
        <w:topLinePunct w:val="0"/>
        <w:bidi w:val="0"/>
        <w:spacing w:beforeLines="0" w:line="560" w:lineRule="exact"/>
        <w:textAlignment w:val="auto"/>
        <w:rPr>
          <w:rFonts w:hint="default" w:ascii="Times New Roman" w:hAnsi="Times New Roman" w:cs="Times New Roman"/>
        </w:rPr>
      </w:pPr>
      <w:r>
        <w:rPr>
          <w:rFonts w:hint="default" w:ascii="Times New Roman" w:hAnsi="Times New Roman" w:eastAsia="仿宋" w:cs="Times New Roman"/>
          <w:sz w:val="32"/>
          <w:szCs w:val="32"/>
        </w:rPr>
        <w:t>（图3：支出决算结构图）</w:t>
      </w:r>
    </w:p>
    <w:p w14:paraId="7678E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2"/>
          <w:rFonts w:hint="default" w:ascii="Times New Roman" w:hAnsi="Times New Roman" w:eastAsia="黑体" w:cs="Times New Roman"/>
          <w:b w:val="0"/>
        </w:rPr>
      </w:pPr>
      <w:bookmarkStart w:id="24" w:name="_Toc15377208"/>
      <w:bookmarkStart w:id="25" w:name="_Toc15396606"/>
      <w:r>
        <w:rPr>
          <w:rFonts w:hint="default" w:ascii="Times New Roman" w:hAnsi="Times New Roman" w:eastAsia="黑体" w:cs="Times New Roman"/>
          <w:sz w:val="32"/>
          <w:szCs w:val="32"/>
        </w:rPr>
        <w:t>四、财</w:t>
      </w:r>
      <w:r>
        <w:rPr>
          <w:rStyle w:val="22"/>
          <w:rFonts w:hint="default" w:ascii="Times New Roman" w:hAnsi="Times New Roman" w:eastAsia="黑体" w:cs="Times New Roman"/>
          <w:b w:val="0"/>
        </w:rPr>
        <w:t>政拨款收入支出决算总体情况说明</w:t>
      </w:r>
      <w:bookmarkEnd w:id="24"/>
      <w:bookmarkEnd w:id="25"/>
    </w:p>
    <w:p w14:paraId="45F37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2024年财政拨款收、支各总计</w:t>
      </w:r>
      <w:r>
        <w:rPr>
          <w:rFonts w:hint="default" w:ascii="Times New Roman" w:hAnsi="Times New Roman" w:eastAsia="仿宋_GB2312" w:cs="Times New Roman"/>
          <w:sz w:val="32"/>
          <w:szCs w:val="32"/>
          <w:lang w:val="en-US" w:eastAsia="zh-CN"/>
        </w:rPr>
        <w:t>2061.7</w:t>
      </w:r>
      <w:r>
        <w:rPr>
          <w:rFonts w:hint="default" w:ascii="Times New Roman" w:hAnsi="Times New Roman" w:eastAsia="仿宋_GB2312" w:cs="Times New Roman"/>
          <w:sz w:val="32"/>
          <w:szCs w:val="32"/>
          <w:lang w:eastAsia="zh-CN"/>
        </w:rPr>
        <w:t>万元。与2023年相比，财政拨款收、支总计各</w:t>
      </w:r>
      <w:r>
        <w:rPr>
          <w:rFonts w:hint="default" w:ascii="Times New Roman" w:hAnsi="Times New Roman" w:eastAsia="仿宋_GB2312" w:cs="Times New Roman"/>
          <w:sz w:val="32"/>
          <w:szCs w:val="32"/>
          <w:lang w:val="en-US" w:eastAsia="zh-CN"/>
        </w:rPr>
        <w:t>增加1.71</w:t>
      </w:r>
      <w:r>
        <w:rPr>
          <w:rFonts w:hint="default" w:ascii="Times New Roman" w:hAnsi="Times New Roman" w:eastAsia="仿宋_GB2312" w:cs="Times New Roman"/>
          <w:sz w:val="32"/>
          <w:szCs w:val="32"/>
          <w:lang w:eastAsia="zh-CN"/>
        </w:rPr>
        <w:t>万元，均</w:t>
      </w:r>
      <w:r>
        <w:rPr>
          <w:rFonts w:hint="default" w:ascii="Times New Roman" w:hAnsi="Times New Roman" w:eastAsia="仿宋_GB2312" w:cs="Times New Roman"/>
          <w:sz w:val="32"/>
          <w:szCs w:val="32"/>
          <w:lang w:val="en-US" w:eastAsia="zh-CN"/>
        </w:rPr>
        <w:t>上升0.08</w:t>
      </w:r>
      <w:r>
        <w:rPr>
          <w:rFonts w:hint="default" w:ascii="Times New Roman" w:hAnsi="Times New Roman" w:eastAsia="仿宋_GB2312" w:cs="Times New Roman"/>
          <w:sz w:val="32"/>
          <w:szCs w:val="32"/>
          <w:lang w:eastAsia="zh-CN"/>
        </w:rPr>
        <w:t>%。主要变动原因是2024年本单位</w:t>
      </w:r>
      <w:r>
        <w:rPr>
          <w:rFonts w:hint="default" w:ascii="Times New Roman" w:hAnsi="Times New Roman" w:eastAsia="仿宋_GB2312" w:cs="Times New Roman"/>
          <w:sz w:val="32"/>
          <w:szCs w:val="32"/>
          <w:lang w:val="en-US" w:eastAsia="zh-CN"/>
        </w:rPr>
        <w:t>人员增加</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财政拨款</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eastAsia="zh-CN"/>
        </w:rPr>
        <w:t>。</w:t>
      </w:r>
    </w:p>
    <w:p w14:paraId="35C84145">
      <w:pPr>
        <w:pStyle w:val="8"/>
        <w:pageBreakBefore w:val="0"/>
        <w:kinsoku/>
        <w:wordWrap/>
        <w:overflowPunct/>
        <w:topLinePunct w:val="0"/>
        <w:bidi w:val="0"/>
        <w:spacing w:beforeLines="0" w:line="560" w:lineRule="exact"/>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drawing>
          <wp:inline distT="0" distB="0" distL="114300" distR="114300">
            <wp:extent cx="5256530" cy="3663950"/>
            <wp:effectExtent l="5080" t="4445" r="15240" b="82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9201E5">
      <w:pPr>
        <w:pStyle w:val="8"/>
        <w:pageBreakBefore w:val="0"/>
        <w:kinsoku/>
        <w:wordWrap/>
        <w:overflowPunct/>
        <w:topLinePunct w:val="0"/>
        <w:bidi w:val="0"/>
        <w:spacing w:beforeLines="0" w:line="560" w:lineRule="exact"/>
        <w:textAlignment w:val="auto"/>
        <w:rPr>
          <w:rFonts w:hint="default" w:ascii="Times New Roman" w:hAnsi="Times New Roman" w:cs="Times New Roman"/>
        </w:rPr>
      </w:pPr>
      <w:r>
        <w:rPr>
          <w:rFonts w:hint="default" w:ascii="Times New Roman" w:hAnsi="Times New Roman" w:eastAsia="仿宋" w:cs="Times New Roman"/>
          <w:sz w:val="32"/>
          <w:szCs w:val="32"/>
        </w:rPr>
        <w:t>（图4：财政拨款收、支决算总计变动情况）</w:t>
      </w:r>
    </w:p>
    <w:p w14:paraId="15A579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2"/>
          <w:rFonts w:hint="default" w:ascii="Times New Roman" w:hAnsi="Times New Roman" w:eastAsia="黑体" w:cs="Times New Roman"/>
          <w:b w:val="0"/>
        </w:rPr>
      </w:pPr>
      <w:bookmarkStart w:id="26" w:name="_Toc15396607"/>
      <w:bookmarkStart w:id="27" w:name="_Toc15377209"/>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2"/>
          <w:rFonts w:hint="default" w:ascii="Times New Roman" w:hAnsi="Times New Roman" w:eastAsia="黑体" w:cs="Times New Roman"/>
          <w:b w:val="0"/>
        </w:rPr>
        <w:t>般公共预算财政拨款支出决算情况说明</w:t>
      </w:r>
      <w:bookmarkEnd w:id="26"/>
      <w:bookmarkEnd w:id="27"/>
    </w:p>
    <w:p w14:paraId="1A32A0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sz w:val="32"/>
          <w:szCs w:val="32"/>
        </w:rPr>
      </w:pPr>
      <w:bookmarkStart w:id="28" w:name="_Toc15377210"/>
      <w:r>
        <w:rPr>
          <w:rFonts w:hint="default" w:ascii="Times New Roman" w:hAnsi="Times New Roman" w:eastAsia="楷体_GB2312" w:cs="Times New Roman"/>
          <w:b/>
          <w:sz w:val="32"/>
          <w:szCs w:val="32"/>
        </w:rPr>
        <w:t>（一）一般公共预算财政拨款支出决算总体情况</w:t>
      </w:r>
      <w:bookmarkEnd w:id="28"/>
    </w:p>
    <w:p w14:paraId="3F331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2024年一般公共预算财政拨款支出</w:t>
      </w:r>
      <w:r>
        <w:rPr>
          <w:rFonts w:hint="default" w:ascii="Times New Roman" w:hAnsi="Times New Roman" w:eastAsia="仿宋_GB2312" w:cs="Times New Roman"/>
          <w:sz w:val="32"/>
          <w:szCs w:val="32"/>
          <w:lang w:val="en-US" w:eastAsia="zh-CN"/>
        </w:rPr>
        <w:t>1954.38</w:t>
      </w:r>
      <w:r>
        <w:rPr>
          <w:rFonts w:hint="default" w:ascii="Times New Roman" w:hAnsi="Times New Roman" w:eastAsia="仿宋_GB2312" w:cs="Times New Roman"/>
          <w:sz w:val="32"/>
          <w:szCs w:val="32"/>
          <w:lang w:eastAsia="zh-CN"/>
        </w:rPr>
        <w:t>万元，占本年支出合计的9</w:t>
      </w:r>
      <w:r>
        <w:rPr>
          <w:rFonts w:hint="default" w:ascii="Times New Roman" w:hAnsi="Times New Roman" w:eastAsia="仿宋_GB2312" w:cs="Times New Roman"/>
          <w:sz w:val="32"/>
          <w:szCs w:val="32"/>
          <w:lang w:val="en-US" w:eastAsia="zh-CN"/>
        </w:rPr>
        <w:t>7.82</w:t>
      </w:r>
      <w:r>
        <w:rPr>
          <w:rFonts w:hint="default" w:ascii="Times New Roman" w:hAnsi="Times New Roman" w:eastAsia="仿宋_GB2312" w:cs="Times New Roman"/>
          <w:sz w:val="32"/>
          <w:szCs w:val="32"/>
          <w:lang w:eastAsia="zh-CN"/>
        </w:rPr>
        <w:t>%。与2023年相比，一般公共预算财政拨款支出减少</w:t>
      </w:r>
      <w:r>
        <w:rPr>
          <w:rFonts w:hint="default" w:ascii="Times New Roman" w:hAnsi="Times New Roman" w:eastAsia="仿宋_GB2312" w:cs="Times New Roman"/>
          <w:sz w:val="32"/>
          <w:szCs w:val="32"/>
          <w:lang w:val="en-US" w:eastAsia="zh-CN"/>
        </w:rPr>
        <w:t>60.61</w:t>
      </w:r>
      <w:r>
        <w:rPr>
          <w:rFonts w:hint="default" w:ascii="Times New Roman" w:hAnsi="Times New Roman" w:eastAsia="仿宋_GB2312" w:cs="Times New Roman"/>
          <w:sz w:val="32"/>
          <w:szCs w:val="32"/>
          <w:lang w:eastAsia="zh-CN"/>
        </w:rPr>
        <w:t>万元，下降</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%。主要变动原因是2024年本单位</w:t>
      </w:r>
      <w:r>
        <w:rPr>
          <w:rFonts w:hint="default" w:ascii="Times New Roman" w:hAnsi="Times New Roman" w:eastAsia="仿宋_GB2312" w:cs="Times New Roman"/>
          <w:sz w:val="32"/>
          <w:szCs w:val="32"/>
          <w:lang w:val="en-US" w:eastAsia="zh-CN"/>
        </w:rPr>
        <w:t>村级公共服务项目经费拨付减少，</w:t>
      </w:r>
      <w:r>
        <w:rPr>
          <w:rFonts w:hint="eastAsia" w:eastAsia="仿宋_GB2312" w:cs="Times New Roman"/>
          <w:sz w:val="32"/>
          <w:szCs w:val="32"/>
          <w:lang w:eastAsia="zh-CN"/>
        </w:rPr>
        <w:t>财政拨款</w:t>
      </w:r>
      <w:r>
        <w:rPr>
          <w:rFonts w:hint="default" w:ascii="Times New Roman" w:hAnsi="Times New Roman" w:eastAsia="仿宋_GB2312" w:cs="Times New Roman"/>
          <w:sz w:val="32"/>
          <w:szCs w:val="32"/>
          <w:lang w:val="en-US" w:eastAsia="zh-CN"/>
        </w:rPr>
        <w:t>支出相应</w:t>
      </w:r>
      <w:r>
        <w:rPr>
          <w:rFonts w:hint="default" w:ascii="Times New Roman" w:hAnsi="Times New Roman" w:eastAsia="仿宋_GB2312" w:cs="Times New Roman"/>
          <w:sz w:val="32"/>
          <w:szCs w:val="32"/>
          <w:lang w:eastAsia="zh-CN"/>
        </w:rPr>
        <w:t>减少。</w:t>
      </w:r>
    </w:p>
    <w:p w14:paraId="59F8ABBD">
      <w:pPr>
        <w:pStyle w:val="8"/>
        <w:pageBreakBefore w:val="0"/>
        <w:kinsoku/>
        <w:wordWrap/>
        <w:overflowPunct/>
        <w:topLinePunct w:val="0"/>
        <w:bidi w:val="0"/>
        <w:spacing w:beforeLines="0"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drawing>
          <wp:inline distT="0" distB="0" distL="114300" distR="114300">
            <wp:extent cx="5256530" cy="3368675"/>
            <wp:effectExtent l="4445" t="4445" r="15875" b="17780"/>
            <wp:docPr id="5" name="图表 5" descr="7b0a202020202263686172745265734964223a2022343631303335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9CFF15">
      <w:pPr>
        <w:pStyle w:val="8"/>
        <w:pageBreakBefore w:val="0"/>
        <w:kinsoku/>
        <w:wordWrap/>
        <w:overflowPunct/>
        <w:topLinePunct w:val="0"/>
        <w:bidi w:val="0"/>
        <w:spacing w:beforeLines="0"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（图5：一般公共预算财政拨款支出决算变动情况）</w:t>
      </w:r>
      <w:bookmarkStart w:id="29" w:name="_Toc15377211"/>
    </w:p>
    <w:p w14:paraId="4A4CD68B">
      <w:pPr>
        <w:pStyle w:val="8"/>
        <w:keepNext w:val="0"/>
        <w:keepLines w:val="0"/>
        <w:pageBreakBefore w:val="0"/>
        <w:widowControl w:val="0"/>
        <w:kinsoku/>
        <w:wordWrap/>
        <w:overflowPunct/>
        <w:topLinePunct w:val="0"/>
        <w:autoSpaceDE/>
        <w:autoSpaceDN/>
        <w:bidi w:val="0"/>
        <w:adjustRightInd/>
        <w:snapToGrid/>
        <w:spacing w:beforeLines="0" w:line="560" w:lineRule="exact"/>
        <w:ind w:firstLine="643"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（二）一般公共预算财政拨款支出决算结构情况</w:t>
      </w:r>
      <w:bookmarkEnd w:id="29"/>
    </w:p>
    <w:p w14:paraId="4DDB7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2024年一般公共预算财政拨款支出</w:t>
      </w:r>
      <w:r>
        <w:rPr>
          <w:rFonts w:hint="default" w:ascii="Times New Roman" w:hAnsi="Times New Roman" w:eastAsia="仿宋_GB2312" w:cs="Times New Roman"/>
          <w:sz w:val="32"/>
          <w:szCs w:val="32"/>
          <w:lang w:val="en-US" w:eastAsia="zh-CN"/>
        </w:rPr>
        <w:t>1954.38</w:t>
      </w:r>
      <w:r>
        <w:rPr>
          <w:rFonts w:hint="default" w:ascii="Times New Roman" w:hAnsi="Times New Roman" w:eastAsia="仿宋_GB2312" w:cs="Times New Roman"/>
          <w:sz w:val="32"/>
          <w:szCs w:val="32"/>
          <w:lang w:eastAsia="zh-CN"/>
        </w:rPr>
        <w:t>万元，主要用于以下方面:一般公共服务支出</w:t>
      </w:r>
      <w:r>
        <w:rPr>
          <w:rFonts w:hint="default" w:ascii="Times New Roman" w:hAnsi="Times New Roman" w:eastAsia="仿宋_GB2312" w:cs="Times New Roman"/>
          <w:sz w:val="32"/>
          <w:szCs w:val="32"/>
          <w:lang w:val="en-US" w:eastAsia="zh-CN"/>
        </w:rPr>
        <w:t>716.33</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36.65</w:t>
      </w:r>
      <w:r>
        <w:rPr>
          <w:rFonts w:hint="default" w:ascii="Times New Roman" w:hAnsi="Times New Roman" w:eastAsia="仿宋_GB2312" w:cs="Times New Roman"/>
          <w:sz w:val="32"/>
          <w:szCs w:val="32"/>
          <w:lang w:eastAsia="zh-CN"/>
        </w:rPr>
        <w:t>%；教育支出0万元，占0%；科学技术支出0万元，占0%；文化旅游体育与传媒支出</w:t>
      </w:r>
      <w:r>
        <w:rPr>
          <w:rFonts w:hint="default" w:ascii="Times New Roman" w:hAnsi="Times New Roman" w:eastAsia="仿宋_GB2312" w:cs="Times New Roman"/>
          <w:sz w:val="32"/>
          <w:szCs w:val="32"/>
          <w:lang w:val="en-US" w:eastAsia="zh-CN"/>
        </w:rPr>
        <w:t>34.66</w:t>
      </w:r>
      <w:r>
        <w:rPr>
          <w:rFonts w:hint="default" w:ascii="Times New Roman" w:hAnsi="Times New Roman" w:eastAsia="仿宋_GB2312" w:cs="Times New Roman"/>
          <w:sz w:val="32"/>
          <w:szCs w:val="32"/>
          <w:lang w:eastAsia="zh-CN"/>
        </w:rPr>
        <w:t>万元，占1.</w:t>
      </w:r>
      <w:r>
        <w:rPr>
          <w:rFonts w:hint="default" w:ascii="Times New Roman" w:hAnsi="Times New Roman" w:eastAsia="仿宋_GB2312" w:cs="Times New Roman"/>
          <w:sz w:val="32"/>
          <w:szCs w:val="32"/>
          <w:lang w:val="en-US" w:eastAsia="zh-CN"/>
        </w:rPr>
        <w:t>77</w:t>
      </w:r>
      <w:r>
        <w:rPr>
          <w:rFonts w:hint="default" w:ascii="Times New Roman" w:hAnsi="Times New Roman" w:eastAsia="仿宋_GB2312" w:cs="Times New Roman"/>
          <w:sz w:val="32"/>
          <w:szCs w:val="32"/>
          <w:lang w:eastAsia="zh-CN"/>
        </w:rPr>
        <w:t>%；社会保障和就业支出</w:t>
      </w:r>
      <w:r>
        <w:rPr>
          <w:rFonts w:hint="default" w:ascii="Times New Roman" w:hAnsi="Times New Roman" w:eastAsia="仿宋_GB2312" w:cs="Times New Roman"/>
          <w:sz w:val="32"/>
          <w:szCs w:val="32"/>
          <w:lang w:val="en-US" w:eastAsia="zh-CN"/>
        </w:rPr>
        <w:t>225.28</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11.53</w:t>
      </w:r>
      <w:r>
        <w:rPr>
          <w:rFonts w:hint="default" w:ascii="Times New Roman" w:hAnsi="Times New Roman" w:eastAsia="仿宋_GB2312" w:cs="Times New Roman"/>
          <w:sz w:val="32"/>
          <w:szCs w:val="32"/>
          <w:lang w:eastAsia="zh-CN"/>
        </w:rPr>
        <w:t>%；卫生健康支出</w:t>
      </w:r>
      <w:r>
        <w:rPr>
          <w:rFonts w:hint="default" w:ascii="Times New Roman" w:hAnsi="Times New Roman" w:eastAsia="仿宋_GB2312" w:cs="Times New Roman"/>
          <w:sz w:val="32"/>
          <w:szCs w:val="32"/>
          <w:lang w:val="en-US" w:eastAsia="zh-CN"/>
        </w:rPr>
        <w:t>63.92</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3.27</w:t>
      </w:r>
      <w:r>
        <w:rPr>
          <w:rFonts w:hint="default" w:ascii="Times New Roman" w:hAnsi="Times New Roman" w:eastAsia="仿宋_GB2312" w:cs="Times New Roman"/>
          <w:sz w:val="32"/>
          <w:szCs w:val="32"/>
          <w:lang w:eastAsia="zh-CN"/>
        </w:rPr>
        <w:t>%；住房保障支出</w:t>
      </w:r>
      <w:r>
        <w:rPr>
          <w:rFonts w:hint="default" w:ascii="Times New Roman" w:hAnsi="Times New Roman" w:eastAsia="仿宋_GB2312" w:cs="Times New Roman"/>
          <w:sz w:val="32"/>
          <w:szCs w:val="32"/>
          <w:lang w:val="en-US" w:eastAsia="zh-CN"/>
        </w:rPr>
        <w:t>72.23</w:t>
      </w:r>
      <w:r>
        <w:rPr>
          <w:rFonts w:hint="default" w:ascii="Times New Roman" w:hAnsi="Times New Roman" w:eastAsia="仿宋_GB2312" w:cs="Times New Roman"/>
          <w:sz w:val="32"/>
          <w:szCs w:val="32"/>
          <w:lang w:eastAsia="zh-CN"/>
        </w:rPr>
        <w:t>万元，占3.</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%；节能环保支出</w:t>
      </w:r>
      <w:r>
        <w:rPr>
          <w:rFonts w:hint="default" w:ascii="Times New Roman" w:hAnsi="Times New Roman" w:eastAsia="仿宋_GB2312" w:cs="Times New Roman"/>
          <w:sz w:val="32"/>
          <w:szCs w:val="32"/>
          <w:lang w:val="en-US" w:eastAsia="zh-CN"/>
        </w:rPr>
        <w:t>9.98</w:t>
      </w:r>
      <w:r>
        <w:rPr>
          <w:rFonts w:hint="default" w:ascii="Times New Roman" w:hAnsi="Times New Roman" w:eastAsia="仿宋_GB2312" w:cs="Times New Roman"/>
          <w:sz w:val="32"/>
          <w:szCs w:val="32"/>
          <w:lang w:eastAsia="zh-CN"/>
        </w:rPr>
        <w:t>万元，占0.</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lang w:eastAsia="zh-CN"/>
        </w:rPr>
        <w:t>%；城乡社区支出</w:t>
      </w:r>
      <w:r>
        <w:rPr>
          <w:rFonts w:hint="default" w:ascii="Times New Roman" w:hAnsi="Times New Roman" w:eastAsia="仿宋_GB2312" w:cs="Times New Roman"/>
          <w:sz w:val="32"/>
          <w:szCs w:val="32"/>
          <w:lang w:val="en-US" w:eastAsia="zh-CN"/>
        </w:rPr>
        <w:t>116.12</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5.94</w:t>
      </w:r>
      <w:r>
        <w:rPr>
          <w:rFonts w:hint="default" w:ascii="Times New Roman" w:hAnsi="Times New Roman" w:eastAsia="仿宋_GB2312" w:cs="Times New Roman"/>
          <w:sz w:val="32"/>
          <w:szCs w:val="32"/>
          <w:lang w:eastAsia="zh-CN"/>
        </w:rPr>
        <w:t>%；农林水支出</w:t>
      </w:r>
      <w:r>
        <w:rPr>
          <w:rFonts w:hint="default" w:ascii="Times New Roman" w:hAnsi="Times New Roman" w:eastAsia="仿宋_GB2312" w:cs="Times New Roman"/>
          <w:sz w:val="32"/>
          <w:szCs w:val="32"/>
          <w:lang w:val="en-US" w:eastAsia="zh-CN"/>
        </w:rPr>
        <w:t>803.24</w:t>
      </w:r>
      <w:r>
        <w:rPr>
          <w:rFonts w:hint="default" w:ascii="Times New Roman" w:hAnsi="Times New Roman" w:eastAsia="仿宋_GB2312" w:cs="Times New Roman"/>
          <w:sz w:val="32"/>
          <w:szCs w:val="32"/>
          <w:lang w:eastAsia="zh-CN"/>
        </w:rPr>
        <w:t>万元，占</w:t>
      </w:r>
      <w:r>
        <w:rPr>
          <w:rFonts w:hint="default" w:ascii="Times New Roman" w:hAnsi="Times New Roman" w:eastAsia="仿宋_GB2312" w:cs="Times New Roman"/>
          <w:sz w:val="32"/>
          <w:szCs w:val="32"/>
          <w:lang w:val="en-US" w:eastAsia="zh-CN"/>
        </w:rPr>
        <w:t>41.1</w:t>
      </w:r>
      <w:r>
        <w:rPr>
          <w:rFonts w:hint="default" w:ascii="Times New Roman" w:hAnsi="Times New Roman" w:eastAsia="仿宋_GB2312" w:cs="Times New Roman"/>
          <w:sz w:val="32"/>
          <w:szCs w:val="32"/>
          <w:lang w:eastAsia="zh-CN"/>
        </w:rPr>
        <w:t>%；灾害防治及应急管理支出</w:t>
      </w:r>
      <w:r>
        <w:rPr>
          <w:rFonts w:hint="default" w:ascii="Times New Roman" w:hAnsi="Times New Roman" w:eastAsia="仿宋_GB2312" w:cs="Times New Roman"/>
          <w:sz w:val="32"/>
          <w:szCs w:val="32"/>
          <w:lang w:val="en-US" w:eastAsia="zh-CN"/>
        </w:rPr>
        <w:t>19.95万元，占1.02%</w:t>
      </w:r>
      <w:r>
        <w:rPr>
          <w:rFonts w:hint="default" w:ascii="Times New Roman" w:hAnsi="Times New Roman" w:eastAsia="仿宋_GB2312" w:cs="Times New Roman"/>
          <w:sz w:val="32"/>
          <w:szCs w:val="32"/>
          <w:lang w:eastAsia="zh-CN"/>
        </w:rPr>
        <w:t>。</w:t>
      </w:r>
    </w:p>
    <w:p w14:paraId="140A482F">
      <w:pPr>
        <w:pStyle w:val="8"/>
        <w:pageBreakBefore w:val="0"/>
        <w:kinsoku/>
        <w:wordWrap/>
        <w:overflowPunct/>
        <w:topLinePunct w:val="0"/>
        <w:bidi w:val="0"/>
        <w:spacing w:beforeLines="0" w:line="560" w:lineRule="exact"/>
        <w:textAlignment w:val="auto"/>
        <w:rPr>
          <w:rFonts w:hint="default" w:ascii="Times New Roman" w:hAnsi="Times New Roman" w:eastAsia="仿宋" w:cs="Times New Roman"/>
          <w:sz w:val="32"/>
          <w:szCs w:val="32"/>
        </w:rPr>
      </w:pPr>
    </w:p>
    <w:p w14:paraId="21936930">
      <w:pPr>
        <w:pStyle w:val="8"/>
        <w:pageBreakBefore w:val="0"/>
        <w:kinsoku/>
        <w:wordWrap/>
        <w:overflowPunct/>
        <w:topLinePunct w:val="0"/>
        <w:bidi w:val="0"/>
        <w:spacing w:beforeLines="0"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object>
          <v:shape id="_x0000_i1025" o:spt="75" type="#_x0000_t75" style="height:362.5pt;width:458.8pt;" o:ole="t" filled="f" o:preferrelative="t" stroked="f" coordsize="21600,21600">
            <v:path/>
            <v:fill on="f" focussize="0,0"/>
            <v:stroke on="f"/>
            <v:imagedata r:id="rId12" o:title=""/>
            <o:lock v:ext="edit" aspectratio="t"/>
            <w10:wrap type="none"/>
            <w10:anchorlock/>
          </v:shape>
          <o:OLEObject Type="Embed" ProgID="Excel.Chart.8" ShapeID="_x0000_i1025" DrawAspect="Content" ObjectID="_1468075725" r:id="rId11">
            <o:LockedField>false</o:LockedField>
          </o:OLEObject>
        </w:object>
      </w:r>
    </w:p>
    <w:p w14:paraId="1F77AD05">
      <w:pPr>
        <w:pStyle w:val="8"/>
        <w:pageBreakBefore w:val="0"/>
        <w:kinsoku/>
        <w:wordWrap/>
        <w:overflowPunct/>
        <w:topLinePunct w:val="0"/>
        <w:bidi w:val="0"/>
        <w:spacing w:beforeLines="0"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（图6：一般公共预算财政拨款支出决算结构）</w:t>
      </w:r>
    </w:p>
    <w:p w14:paraId="2C3F6647">
      <w:pPr>
        <w:pageBreakBefore w:val="0"/>
        <w:kinsoku/>
        <w:wordWrap/>
        <w:overflowPunct/>
        <w:topLinePunct w:val="0"/>
        <w:bidi w:val="0"/>
        <w:spacing w:line="560" w:lineRule="exact"/>
        <w:ind w:firstLine="643" w:firstLineChars="200"/>
        <w:textAlignment w:val="auto"/>
        <w:outlineLvl w:val="2"/>
        <w:rPr>
          <w:rFonts w:hint="default" w:ascii="Times New Roman" w:hAnsi="Times New Roman" w:eastAsia="楷体_GB2312" w:cs="Times New Roman"/>
          <w:b/>
          <w:sz w:val="32"/>
          <w:szCs w:val="32"/>
        </w:rPr>
      </w:pPr>
      <w:bookmarkStart w:id="30" w:name="_Toc15377212"/>
      <w:r>
        <w:rPr>
          <w:rFonts w:hint="default" w:ascii="Times New Roman" w:hAnsi="Times New Roman" w:eastAsia="楷体_GB2312" w:cs="Times New Roman"/>
          <w:b/>
          <w:sz w:val="32"/>
          <w:szCs w:val="32"/>
        </w:rPr>
        <w:t>（三）一般公共预算财政拨款支出决算具体情况</w:t>
      </w:r>
      <w:bookmarkEnd w:id="30"/>
    </w:p>
    <w:p w14:paraId="4A608517">
      <w:pPr>
        <w:pageBreakBefore w:val="0"/>
        <w:kinsoku/>
        <w:wordWrap/>
        <w:overflowPunct/>
        <w:topLinePunct w:val="0"/>
        <w:bidi w:val="0"/>
        <w:spacing w:line="560" w:lineRule="exact"/>
        <w:ind w:firstLine="640" w:firstLineChars="200"/>
        <w:textAlignment w:val="auto"/>
        <w:outlineLvl w:val="2"/>
        <w:rPr>
          <w:rFonts w:hint="default" w:ascii="Times New Roman" w:hAnsi="Times New Roman" w:eastAsia="仿宋_GB2312" w:cs="Times New Roman"/>
          <w:b w:val="0"/>
          <w:bCs/>
          <w:sz w:val="32"/>
          <w:szCs w:val="32"/>
        </w:rPr>
      </w:pPr>
      <w:bookmarkStart w:id="31" w:name="_Toc15377444"/>
      <w:bookmarkStart w:id="32" w:name="_Toc15377213"/>
      <w:bookmarkStart w:id="33" w:name="_Toc15378460"/>
      <w:r>
        <w:rPr>
          <w:rFonts w:hint="default" w:ascii="Times New Roman" w:hAnsi="Times New Roman" w:eastAsia="仿宋_GB2312" w:cs="Times New Roman"/>
          <w:b w:val="0"/>
          <w:bCs/>
          <w:sz w:val="32"/>
          <w:szCs w:val="32"/>
          <w:lang w:eastAsia="zh-CN"/>
        </w:rPr>
        <w:t>2024</w:t>
      </w:r>
      <w:r>
        <w:rPr>
          <w:rFonts w:hint="default" w:ascii="Times New Roman" w:hAnsi="Times New Roman" w:eastAsia="仿宋_GB2312" w:cs="Times New Roman"/>
          <w:b w:val="0"/>
          <w:bCs/>
          <w:sz w:val="32"/>
          <w:szCs w:val="32"/>
        </w:rPr>
        <w:t>年一般公共预算支出决算数为</w:t>
      </w:r>
      <w:r>
        <w:rPr>
          <w:rFonts w:hint="default" w:ascii="Times New Roman" w:hAnsi="Times New Roman" w:eastAsia="仿宋_GB2312" w:cs="Times New Roman"/>
          <w:b w:val="0"/>
          <w:bCs/>
          <w:sz w:val="32"/>
          <w:szCs w:val="32"/>
          <w:lang w:val="en-US" w:eastAsia="zh-CN"/>
        </w:rPr>
        <w:t>1954.38</w:t>
      </w:r>
      <w:r>
        <w:rPr>
          <w:rFonts w:hint="default" w:ascii="Times New Roman" w:hAnsi="Times New Roman" w:eastAsia="仿宋_GB2312" w:cs="Times New Roman"/>
          <w:b w:val="0"/>
          <w:bCs/>
          <w:sz w:val="32"/>
          <w:szCs w:val="32"/>
        </w:rPr>
        <w:t>万元，</w:t>
      </w:r>
      <w:r>
        <w:rPr>
          <w:rStyle w:val="18"/>
          <w:rFonts w:hint="default" w:ascii="Times New Roman" w:hAnsi="Times New Roman" w:eastAsia="仿宋_GB2312" w:cs="Times New Roman"/>
          <w:b w:val="0"/>
          <w:bCs/>
          <w:sz w:val="32"/>
          <w:szCs w:val="32"/>
        </w:rPr>
        <w:t>完成预算100%。其中：</w:t>
      </w:r>
      <w:bookmarkEnd w:id="31"/>
      <w:bookmarkEnd w:id="32"/>
      <w:bookmarkEnd w:id="33"/>
    </w:p>
    <w:p w14:paraId="4891B440">
      <w:pPr>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rPr>
      </w:pPr>
      <w:r>
        <w:rPr>
          <w:rStyle w:val="18"/>
          <w:rFonts w:hint="default" w:ascii="Times New Roman" w:hAnsi="Times New Roman" w:eastAsia="仿宋_GB2312" w:cs="Times New Roman"/>
          <w:b/>
          <w:bCs w:val="0"/>
          <w:sz w:val="32"/>
          <w:szCs w:val="32"/>
        </w:rPr>
        <w:t>1.一般公共服务（类）人大事务（款）代表工作（项）:</w:t>
      </w:r>
      <w:r>
        <w:rPr>
          <w:rStyle w:val="18"/>
          <w:rFonts w:hint="default" w:ascii="Times New Roman" w:hAnsi="Times New Roman" w:eastAsia="仿宋" w:cs="Times New Roman"/>
          <w:b w:val="0"/>
          <w:bCs/>
          <w:sz w:val="32"/>
          <w:szCs w:val="32"/>
        </w:rPr>
        <w:t xml:space="preserve"> </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4.19</w:t>
      </w:r>
      <w:r>
        <w:rPr>
          <w:rStyle w:val="18"/>
          <w:rFonts w:hint="default" w:ascii="Times New Roman" w:hAnsi="Times New Roman" w:eastAsia="仿宋_GB2312" w:cs="Times New Roman"/>
          <w:b w:val="0"/>
          <w:color w:val="000000"/>
          <w:sz w:val="32"/>
          <w:szCs w:val="32"/>
        </w:rPr>
        <w:t>万元，完成预算100%，决算数与预算数持平</w:t>
      </w:r>
      <w:r>
        <w:rPr>
          <w:rStyle w:val="18"/>
          <w:rFonts w:hint="default" w:ascii="Times New Roman" w:hAnsi="Times New Roman" w:eastAsia="仿宋_GB2312" w:cs="Times New Roman"/>
          <w:b w:val="0"/>
          <w:bCs/>
          <w:sz w:val="32"/>
          <w:szCs w:val="32"/>
        </w:rPr>
        <w:t>。</w:t>
      </w:r>
    </w:p>
    <w:p w14:paraId="547021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val="0"/>
          <w:sz w:val="32"/>
          <w:szCs w:val="32"/>
        </w:rPr>
        <w:t>2.一般公共服务（类）人大事务（款）</w:t>
      </w:r>
      <w:r>
        <w:rPr>
          <w:rStyle w:val="18"/>
          <w:rFonts w:hint="default" w:ascii="Times New Roman" w:hAnsi="Times New Roman" w:eastAsia="仿宋_GB2312" w:cs="Times New Roman"/>
          <w:b/>
          <w:bCs w:val="0"/>
          <w:sz w:val="32"/>
          <w:szCs w:val="32"/>
          <w:lang w:val="en-US" w:eastAsia="zh-CN"/>
        </w:rPr>
        <w:t>人大监督</w:t>
      </w:r>
      <w:r>
        <w:rPr>
          <w:rStyle w:val="18"/>
          <w:rFonts w:hint="default" w:ascii="Times New Roman" w:hAnsi="Times New Roman" w:eastAsia="仿宋_GB2312" w:cs="Times New Roman"/>
          <w:b/>
          <w:bCs w:val="0"/>
          <w:sz w:val="32"/>
          <w:szCs w:val="32"/>
        </w:rPr>
        <w:t xml:space="preserve">（项）: </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2</w:t>
      </w:r>
      <w:r>
        <w:rPr>
          <w:rStyle w:val="18"/>
          <w:rFonts w:hint="default" w:ascii="Times New Roman" w:hAnsi="Times New Roman" w:eastAsia="仿宋_GB2312" w:cs="Times New Roman"/>
          <w:b w:val="0"/>
          <w:color w:val="000000"/>
          <w:sz w:val="32"/>
          <w:szCs w:val="32"/>
        </w:rPr>
        <w:t>万元，完成预算100%，决算数与预算数持平。</w:t>
      </w:r>
    </w:p>
    <w:p w14:paraId="2B7C86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val="0"/>
          <w:sz w:val="32"/>
          <w:szCs w:val="32"/>
        </w:rPr>
        <w:t xml:space="preserve">3.一般公共服务（类）政协事务（款）其他政协事务支出（项）: </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1</w:t>
      </w:r>
      <w:r>
        <w:rPr>
          <w:rStyle w:val="18"/>
          <w:rFonts w:hint="default" w:ascii="Times New Roman" w:hAnsi="Times New Roman" w:eastAsia="仿宋_GB2312" w:cs="Times New Roman"/>
          <w:b w:val="0"/>
          <w:color w:val="000000"/>
          <w:sz w:val="32"/>
          <w:szCs w:val="32"/>
        </w:rPr>
        <w:t>万元，完成预算100%，决算数与预算数持平。</w:t>
      </w:r>
    </w:p>
    <w:p w14:paraId="5EA9F2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val="0"/>
          <w:sz w:val="32"/>
          <w:szCs w:val="32"/>
        </w:rPr>
        <w:t>4.一般公共服务支出（类）政府办公厅（室）及相关机构事务（款）行政运行（项）：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529.22</w:t>
      </w:r>
      <w:r>
        <w:rPr>
          <w:rStyle w:val="18"/>
          <w:rFonts w:hint="default" w:ascii="Times New Roman" w:hAnsi="Times New Roman" w:eastAsia="仿宋_GB2312" w:cs="Times New Roman"/>
          <w:b w:val="0"/>
          <w:color w:val="000000"/>
          <w:sz w:val="32"/>
          <w:szCs w:val="32"/>
        </w:rPr>
        <w:t>万元，完成预算100%，决算数与预算数持平。</w:t>
      </w:r>
    </w:p>
    <w:p w14:paraId="47BF0D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val="0"/>
          <w:sz w:val="32"/>
          <w:szCs w:val="32"/>
        </w:rPr>
        <w:t>5.一般公共服务支出（类）</w:t>
      </w:r>
      <w:r>
        <w:rPr>
          <w:rStyle w:val="18"/>
          <w:rFonts w:hint="default" w:ascii="Times New Roman" w:hAnsi="Times New Roman" w:eastAsia="仿宋_GB2312" w:cs="Times New Roman"/>
          <w:b/>
          <w:bCs w:val="0"/>
          <w:sz w:val="32"/>
          <w:szCs w:val="32"/>
          <w:lang w:eastAsia="zh-CN"/>
        </w:rPr>
        <w:t>信访</w:t>
      </w:r>
      <w:r>
        <w:rPr>
          <w:rStyle w:val="18"/>
          <w:rFonts w:hint="default" w:ascii="Times New Roman" w:hAnsi="Times New Roman" w:eastAsia="仿宋_GB2312" w:cs="Times New Roman"/>
          <w:b/>
          <w:bCs w:val="0"/>
          <w:sz w:val="32"/>
          <w:szCs w:val="32"/>
        </w:rPr>
        <w:t>事务（款）</w:t>
      </w:r>
      <w:r>
        <w:rPr>
          <w:rStyle w:val="18"/>
          <w:rFonts w:hint="default" w:ascii="Times New Roman" w:hAnsi="Times New Roman" w:eastAsia="仿宋_GB2312" w:cs="Times New Roman"/>
          <w:b/>
          <w:bCs w:val="0"/>
          <w:sz w:val="32"/>
          <w:szCs w:val="32"/>
          <w:lang w:eastAsia="zh-CN"/>
        </w:rPr>
        <w:t>其它</w:t>
      </w:r>
      <w:r>
        <w:rPr>
          <w:rStyle w:val="18"/>
          <w:rFonts w:hint="default" w:ascii="Times New Roman" w:hAnsi="Times New Roman" w:eastAsia="仿宋_GB2312" w:cs="Times New Roman"/>
          <w:b/>
          <w:bCs w:val="0"/>
          <w:sz w:val="32"/>
          <w:szCs w:val="32"/>
        </w:rPr>
        <w:t>信访事务</w:t>
      </w:r>
      <w:r>
        <w:rPr>
          <w:rStyle w:val="18"/>
          <w:rFonts w:hint="default" w:ascii="Times New Roman" w:hAnsi="Times New Roman" w:eastAsia="仿宋_GB2312" w:cs="Times New Roman"/>
          <w:b/>
          <w:bCs w:val="0"/>
          <w:sz w:val="32"/>
          <w:szCs w:val="32"/>
          <w:lang w:eastAsia="zh-CN"/>
        </w:rPr>
        <w:t>支出</w:t>
      </w:r>
      <w:r>
        <w:rPr>
          <w:rStyle w:val="18"/>
          <w:rFonts w:hint="default" w:ascii="Times New Roman" w:hAnsi="Times New Roman" w:eastAsia="仿宋_GB2312" w:cs="Times New Roman"/>
          <w:b/>
          <w:bCs w:val="0"/>
          <w:sz w:val="32"/>
          <w:szCs w:val="32"/>
        </w:rPr>
        <w:t>（项）：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9.99</w:t>
      </w:r>
      <w:r>
        <w:rPr>
          <w:rStyle w:val="18"/>
          <w:rFonts w:hint="default" w:ascii="Times New Roman" w:hAnsi="Times New Roman" w:eastAsia="仿宋_GB2312" w:cs="Times New Roman"/>
          <w:b w:val="0"/>
          <w:color w:val="000000"/>
          <w:sz w:val="32"/>
          <w:szCs w:val="32"/>
        </w:rPr>
        <w:t>万元，完成预算100%，决算数与预算数持平。</w:t>
      </w:r>
    </w:p>
    <w:p w14:paraId="7C2D28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lang w:val="en-US" w:eastAsia="zh-CN"/>
        </w:rPr>
      </w:pPr>
      <w:r>
        <w:rPr>
          <w:rStyle w:val="18"/>
          <w:rFonts w:hint="default" w:ascii="Times New Roman" w:hAnsi="Times New Roman" w:eastAsia="仿宋_GB2312" w:cs="Times New Roman"/>
          <w:b/>
          <w:bCs w:val="0"/>
          <w:sz w:val="32"/>
          <w:szCs w:val="32"/>
          <w:lang w:val="en-US" w:eastAsia="zh-CN"/>
        </w:rPr>
        <w:t>6.一般公共服务支出（类）政府办公厅（室）及相关机构事务（款）事业运行（项）：</w:t>
      </w:r>
      <w:r>
        <w:rPr>
          <w:rStyle w:val="18"/>
          <w:rFonts w:hint="default" w:ascii="Times New Roman" w:hAnsi="Times New Roman" w:eastAsia="仿宋_GB2312" w:cs="Times New Roman"/>
          <w:b w:val="0"/>
          <w:color w:val="000000"/>
          <w:sz w:val="32"/>
          <w:szCs w:val="32"/>
          <w:lang w:val="en-US" w:eastAsia="zh-CN"/>
        </w:rPr>
        <w:t>支出决算为112.48万元，完成预算100%，决算数与预算数持平。</w:t>
      </w:r>
    </w:p>
    <w:p w14:paraId="076A04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val="0"/>
          <w:sz w:val="32"/>
          <w:szCs w:val="32"/>
          <w:lang w:val="en-US" w:eastAsia="zh-CN"/>
        </w:rPr>
        <w:t>7.一般公共服务支出（类）政府办公厅（室）及相关机构事务（款）其他政府办公厅（室）及相关机构事务支出（项）: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36.69</w:t>
      </w:r>
      <w:r>
        <w:rPr>
          <w:rStyle w:val="18"/>
          <w:rFonts w:hint="default" w:ascii="Times New Roman" w:hAnsi="Times New Roman" w:eastAsia="仿宋_GB2312" w:cs="Times New Roman"/>
          <w:b w:val="0"/>
          <w:color w:val="000000"/>
          <w:sz w:val="32"/>
          <w:szCs w:val="32"/>
        </w:rPr>
        <w:t>万元，完成预算100%，决算数与预算数持平。</w:t>
      </w:r>
    </w:p>
    <w:p w14:paraId="52512B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val="0"/>
          <w:sz w:val="32"/>
          <w:szCs w:val="32"/>
          <w:lang w:val="en-US" w:eastAsia="zh-CN"/>
        </w:rPr>
        <w:t>8.一般公共服务支出（类）统计信息事务（款）其他统计信息事务支出（项）: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1.95</w:t>
      </w:r>
      <w:r>
        <w:rPr>
          <w:rStyle w:val="18"/>
          <w:rFonts w:hint="default" w:ascii="Times New Roman" w:hAnsi="Times New Roman" w:eastAsia="仿宋_GB2312" w:cs="Times New Roman"/>
          <w:b w:val="0"/>
          <w:color w:val="000000"/>
          <w:sz w:val="32"/>
          <w:szCs w:val="32"/>
        </w:rPr>
        <w:t>万元，完成预算100%，决算数与预算数持平。</w:t>
      </w:r>
    </w:p>
    <w:p w14:paraId="1B4C9A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val="0"/>
          <w:sz w:val="32"/>
          <w:szCs w:val="32"/>
          <w:lang w:val="en-US" w:eastAsia="zh-CN"/>
        </w:rPr>
        <w:t>9.一般公共服务支出（类）财政事务（款）行政运行（项）: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18.8</w:t>
      </w:r>
      <w:r>
        <w:rPr>
          <w:rStyle w:val="18"/>
          <w:rFonts w:hint="default" w:ascii="Times New Roman" w:hAnsi="Times New Roman" w:eastAsia="仿宋_GB2312" w:cs="Times New Roman"/>
          <w:b w:val="0"/>
          <w:color w:val="000000"/>
          <w:sz w:val="32"/>
          <w:szCs w:val="32"/>
        </w:rPr>
        <w:t>万元，完成预算100%，决算数与预算数持平。</w:t>
      </w:r>
    </w:p>
    <w:p w14:paraId="070D04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val="0"/>
          <w:sz w:val="32"/>
          <w:szCs w:val="32"/>
          <w:lang w:val="en-US" w:eastAsia="zh-CN"/>
        </w:rPr>
        <w:t xml:space="preserve">10.文化旅游体育与传媒（类）文化和旅游（款）其他文化和旅游支出（项）: </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34.66</w:t>
      </w:r>
      <w:r>
        <w:rPr>
          <w:rStyle w:val="18"/>
          <w:rFonts w:hint="default" w:ascii="Times New Roman" w:hAnsi="Times New Roman" w:eastAsia="仿宋_GB2312" w:cs="Times New Roman"/>
          <w:b w:val="0"/>
          <w:color w:val="000000"/>
          <w:sz w:val="32"/>
          <w:szCs w:val="32"/>
        </w:rPr>
        <w:t>万元，完成预算100%，决算数与预算数持平。</w:t>
      </w:r>
    </w:p>
    <w:p w14:paraId="4386700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lang w:val="en-US" w:eastAsia="zh-CN"/>
        </w:rPr>
      </w:pPr>
      <w:r>
        <w:rPr>
          <w:rStyle w:val="18"/>
          <w:rFonts w:hint="default" w:ascii="Times New Roman" w:hAnsi="Times New Roman" w:eastAsia="仿宋_GB2312" w:cs="Times New Roman"/>
          <w:b/>
          <w:bCs/>
          <w:color w:val="000000"/>
          <w:sz w:val="32"/>
          <w:szCs w:val="32"/>
          <w:lang w:val="en-US" w:eastAsia="zh-CN"/>
        </w:rPr>
        <w:t xml:space="preserve">11.社会保障和就业（类）行政事业单位养老支出（款）行政单位离退休（项）: </w:t>
      </w:r>
      <w:r>
        <w:rPr>
          <w:rStyle w:val="18"/>
          <w:rFonts w:hint="default" w:ascii="Times New Roman" w:hAnsi="Times New Roman" w:eastAsia="仿宋_GB2312" w:cs="Times New Roman"/>
          <w:b w:val="0"/>
          <w:color w:val="000000"/>
          <w:sz w:val="32"/>
          <w:szCs w:val="32"/>
          <w:lang w:val="en-US" w:eastAsia="zh-CN"/>
        </w:rPr>
        <w:t>支出决算为116.36万元，完成预算100%，决算数与预算数持平。</w:t>
      </w:r>
    </w:p>
    <w:p w14:paraId="7D5EED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val="0"/>
          <w:sz w:val="32"/>
          <w:szCs w:val="32"/>
          <w:lang w:val="en-US" w:eastAsia="zh-CN"/>
        </w:rPr>
        <w:t xml:space="preserve">12.社会保障和就业（类）行政事业单位养老支出（款）机关事业单位基本养老保险缴费支出（项）: </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95.66</w:t>
      </w:r>
      <w:r>
        <w:rPr>
          <w:rStyle w:val="18"/>
          <w:rFonts w:hint="default" w:ascii="Times New Roman" w:hAnsi="Times New Roman" w:eastAsia="仿宋_GB2312" w:cs="Times New Roman"/>
          <w:b w:val="0"/>
          <w:color w:val="000000"/>
          <w:sz w:val="32"/>
          <w:szCs w:val="32"/>
        </w:rPr>
        <w:t>万元，完成预算100%，决算数与预算数持平。</w:t>
      </w:r>
    </w:p>
    <w:p w14:paraId="325A2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lang w:val="en-US" w:eastAsia="zh-CN"/>
        </w:rPr>
        <w:t xml:space="preserve">13.社会保障和就业（类）行政事业单位养老支出（款）其他行政事业单位养老支出（项）: </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7.91</w:t>
      </w:r>
      <w:r>
        <w:rPr>
          <w:rStyle w:val="18"/>
          <w:rFonts w:hint="default" w:ascii="Times New Roman" w:hAnsi="Times New Roman" w:eastAsia="仿宋_GB2312" w:cs="Times New Roman"/>
          <w:b w:val="0"/>
          <w:color w:val="000000"/>
          <w:sz w:val="32"/>
          <w:szCs w:val="32"/>
        </w:rPr>
        <w:t>万元，完成预算100%，决算数与预算数持平。</w:t>
      </w:r>
    </w:p>
    <w:p w14:paraId="7032D0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lang w:val="en-US" w:eastAsia="zh-CN"/>
        </w:rPr>
        <w:t xml:space="preserve">14.社会保障和就业（类）其他社会保障和就业支出（款）其他社会保障和就业支出（项）: </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5.35</w:t>
      </w:r>
      <w:r>
        <w:rPr>
          <w:rStyle w:val="18"/>
          <w:rFonts w:hint="default" w:ascii="Times New Roman" w:hAnsi="Times New Roman" w:eastAsia="仿宋_GB2312" w:cs="Times New Roman"/>
          <w:b w:val="0"/>
          <w:color w:val="000000"/>
          <w:sz w:val="32"/>
          <w:szCs w:val="32"/>
        </w:rPr>
        <w:t>万元，完成预算100%，决算数与预算数持平。</w:t>
      </w:r>
    </w:p>
    <w:p w14:paraId="40DACA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lang w:val="en-US" w:eastAsia="zh-CN"/>
        </w:rPr>
        <w:t>15.卫生健康（类）卫生健康管理事务（款）行政运行（项）: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6.93</w:t>
      </w:r>
      <w:r>
        <w:rPr>
          <w:rStyle w:val="18"/>
          <w:rFonts w:hint="default" w:ascii="Times New Roman" w:hAnsi="Times New Roman" w:eastAsia="仿宋_GB2312" w:cs="Times New Roman"/>
          <w:b w:val="0"/>
          <w:color w:val="000000"/>
          <w:sz w:val="32"/>
          <w:szCs w:val="32"/>
        </w:rPr>
        <w:t>万元，完成预算100%，决算数与预算数持平。</w:t>
      </w:r>
    </w:p>
    <w:p w14:paraId="79EFE6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rPr>
        <w:t>1</w:t>
      </w:r>
      <w:r>
        <w:rPr>
          <w:rStyle w:val="18"/>
          <w:rFonts w:hint="default" w:ascii="Times New Roman" w:hAnsi="Times New Roman" w:eastAsia="仿宋_GB2312" w:cs="Times New Roman"/>
          <w:b/>
          <w:bCs/>
          <w:color w:val="000000"/>
          <w:sz w:val="32"/>
          <w:szCs w:val="32"/>
          <w:lang w:val="en-US" w:eastAsia="zh-CN"/>
        </w:rPr>
        <w:t>6</w:t>
      </w:r>
      <w:r>
        <w:rPr>
          <w:rStyle w:val="18"/>
          <w:rFonts w:hint="default" w:ascii="Times New Roman" w:hAnsi="Times New Roman" w:eastAsia="仿宋_GB2312" w:cs="Times New Roman"/>
          <w:b/>
          <w:bCs/>
          <w:color w:val="000000"/>
          <w:sz w:val="32"/>
          <w:szCs w:val="32"/>
        </w:rPr>
        <w:t>.卫生健康（类）</w:t>
      </w:r>
      <w:r>
        <w:rPr>
          <w:rStyle w:val="18"/>
          <w:rFonts w:hint="default" w:ascii="Times New Roman" w:hAnsi="Times New Roman" w:eastAsia="仿宋_GB2312" w:cs="Times New Roman"/>
          <w:b/>
          <w:bCs/>
          <w:color w:val="000000"/>
          <w:sz w:val="32"/>
          <w:szCs w:val="32"/>
          <w:lang w:eastAsia="zh-CN"/>
        </w:rPr>
        <w:t>计划生育</w:t>
      </w:r>
      <w:r>
        <w:rPr>
          <w:rStyle w:val="18"/>
          <w:rFonts w:hint="default" w:ascii="Times New Roman" w:hAnsi="Times New Roman" w:eastAsia="仿宋_GB2312" w:cs="Times New Roman"/>
          <w:b/>
          <w:bCs/>
          <w:color w:val="000000"/>
          <w:sz w:val="32"/>
          <w:szCs w:val="32"/>
        </w:rPr>
        <w:t>事务（款）行政运行（项）: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1.32</w:t>
      </w:r>
      <w:r>
        <w:rPr>
          <w:rStyle w:val="18"/>
          <w:rFonts w:hint="default" w:ascii="Times New Roman" w:hAnsi="Times New Roman" w:eastAsia="仿宋_GB2312" w:cs="Times New Roman"/>
          <w:b w:val="0"/>
          <w:color w:val="000000"/>
          <w:sz w:val="32"/>
          <w:szCs w:val="32"/>
        </w:rPr>
        <w:t>万元，完成预算100%，决算数与预算数持平。</w:t>
      </w:r>
    </w:p>
    <w:p w14:paraId="456BAA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rPr>
        <w:t>1</w:t>
      </w:r>
      <w:r>
        <w:rPr>
          <w:rStyle w:val="18"/>
          <w:rFonts w:hint="default" w:ascii="Times New Roman" w:hAnsi="Times New Roman" w:eastAsia="仿宋_GB2312" w:cs="Times New Roman"/>
          <w:b/>
          <w:bCs/>
          <w:color w:val="000000"/>
          <w:sz w:val="32"/>
          <w:szCs w:val="32"/>
          <w:lang w:val="en-US" w:eastAsia="zh-CN"/>
        </w:rPr>
        <w:t>7</w:t>
      </w:r>
      <w:r>
        <w:rPr>
          <w:rStyle w:val="18"/>
          <w:rFonts w:hint="default" w:ascii="Times New Roman" w:hAnsi="Times New Roman" w:eastAsia="仿宋_GB2312" w:cs="Times New Roman"/>
          <w:b/>
          <w:bCs/>
          <w:color w:val="000000"/>
          <w:sz w:val="32"/>
          <w:szCs w:val="32"/>
        </w:rPr>
        <w:t>.卫生健康（类）行政事业单位医疗（款）行政单位医疗（项）: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27</w:t>
      </w:r>
      <w:r>
        <w:rPr>
          <w:rStyle w:val="18"/>
          <w:rFonts w:hint="default" w:ascii="Times New Roman" w:hAnsi="Times New Roman" w:eastAsia="仿宋_GB2312" w:cs="Times New Roman"/>
          <w:b w:val="0"/>
          <w:color w:val="000000"/>
          <w:sz w:val="32"/>
          <w:szCs w:val="32"/>
        </w:rPr>
        <w:t>万元，完成预算100%，决算数与预算数持平。</w:t>
      </w:r>
    </w:p>
    <w:p w14:paraId="666601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rPr>
        <w:t>1</w:t>
      </w:r>
      <w:r>
        <w:rPr>
          <w:rStyle w:val="18"/>
          <w:rFonts w:hint="default" w:ascii="Times New Roman" w:hAnsi="Times New Roman" w:eastAsia="仿宋_GB2312" w:cs="Times New Roman"/>
          <w:b/>
          <w:bCs/>
          <w:color w:val="000000"/>
          <w:sz w:val="32"/>
          <w:szCs w:val="32"/>
          <w:lang w:val="en-US" w:eastAsia="zh-CN"/>
        </w:rPr>
        <w:t>8</w:t>
      </w:r>
      <w:r>
        <w:rPr>
          <w:rStyle w:val="18"/>
          <w:rFonts w:hint="default" w:ascii="Times New Roman" w:hAnsi="Times New Roman" w:eastAsia="仿宋_GB2312" w:cs="Times New Roman"/>
          <w:b/>
          <w:bCs/>
          <w:color w:val="000000"/>
          <w:sz w:val="32"/>
          <w:szCs w:val="32"/>
        </w:rPr>
        <w:t>.卫生健康（类）行政事业单位医疗（款）事业单位医疗（项）: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12.62</w:t>
      </w:r>
      <w:r>
        <w:rPr>
          <w:rStyle w:val="18"/>
          <w:rFonts w:hint="default" w:ascii="Times New Roman" w:hAnsi="Times New Roman" w:eastAsia="仿宋_GB2312" w:cs="Times New Roman"/>
          <w:b w:val="0"/>
          <w:color w:val="000000"/>
          <w:sz w:val="32"/>
          <w:szCs w:val="32"/>
        </w:rPr>
        <w:t>万元，完成预算100%，决算数与预算数持平。</w:t>
      </w:r>
    </w:p>
    <w:p w14:paraId="0AE45B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rPr>
        <w:t>1</w:t>
      </w:r>
      <w:r>
        <w:rPr>
          <w:rStyle w:val="18"/>
          <w:rFonts w:hint="default" w:ascii="Times New Roman" w:hAnsi="Times New Roman" w:eastAsia="仿宋_GB2312" w:cs="Times New Roman"/>
          <w:b/>
          <w:bCs/>
          <w:color w:val="000000"/>
          <w:sz w:val="32"/>
          <w:szCs w:val="32"/>
          <w:lang w:val="en-US" w:eastAsia="zh-CN"/>
        </w:rPr>
        <w:t>9</w:t>
      </w:r>
      <w:r>
        <w:rPr>
          <w:rStyle w:val="18"/>
          <w:rFonts w:hint="default" w:ascii="Times New Roman" w:hAnsi="Times New Roman" w:eastAsia="仿宋_GB2312" w:cs="Times New Roman"/>
          <w:b/>
          <w:bCs/>
          <w:color w:val="000000"/>
          <w:sz w:val="32"/>
          <w:szCs w:val="32"/>
        </w:rPr>
        <w:t>.卫生健康（类）行政事业单位医疗（款）公务员医疗补助（项）: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16.05</w:t>
      </w:r>
      <w:r>
        <w:rPr>
          <w:rStyle w:val="18"/>
          <w:rFonts w:hint="default" w:ascii="Times New Roman" w:hAnsi="Times New Roman" w:eastAsia="仿宋_GB2312" w:cs="Times New Roman"/>
          <w:b w:val="0"/>
          <w:color w:val="000000"/>
          <w:sz w:val="32"/>
          <w:szCs w:val="32"/>
        </w:rPr>
        <w:t>万元，完成预算100%，决算数与预算数持平。</w:t>
      </w:r>
    </w:p>
    <w:p w14:paraId="08E6C6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lang w:val="en-US" w:eastAsia="zh-CN"/>
        </w:rPr>
        <w:t>20</w:t>
      </w:r>
      <w:r>
        <w:rPr>
          <w:rStyle w:val="18"/>
          <w:rFonts w:hint="default" w:ascii="Times New Roman" w:hAnsi="Times New Roman" w:eastAsia="仿宋_GB2312" w:cs="Times New Roman"/>
          <w:b/>
          <w:bCs/>
          <w:color w:val="000000"/>
          <w:sz w:val="32"/>
          <w:szCs w:val="32"/>
        </w:rPr>
        <w:t>.节能环保支出（类）污染防治（款）水体（项）: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9.98</w:t>
      </w:r>
      <w:r>
        <w:rPr>
          <w:rStyle w:val="18"/>
          <w:rFonts w:hint="default" w:ascii="Times New Roman" w:hAnsi="Times New Roman" w:eastAsia="仿宋_GB2312" w:cs="Times New Roman"/>
          <w:b w:val="0"/>
          <w:color w:val="000000"/>
          <w:sz w:val="32"/>
          <w:szCs w:val="32"/>
        </w:rPr>
        <w:t>万元，完成预算100%，决算数与预算数持平。</w:t>
      </w:r>
    </w:p>
    <w:p w14:paraId="253EF5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lang w:val="en-US" w:eastAsia="zh-CN"/>
        </w:rPr>
        <w:t>21.城乡社区支出（类）城乡社区公共设施（款）其他城乡社区公共设施支出（项）: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8.8</w:t>
      </w:r>
      <w:r>
        <w:rPr>
          <w:rStyle w:val="18"/>
          <w:rFonts w:hint="default" w:ascii="Times New Roman" w:hAnsi="Times New Roman" w:eastAsia="仿宋_GB2312" w:cs="Times New Roman"/>
          <w:b w:val="0"/>
          <w:color w:val="000000"/>
          <w:sz w:val="32"/>
          <w:szCs w:val="32"/>
        </w:rPr>
        <w:t>万元，完成预算100%，决算数与预算数持平。</w:t>
      </w:r>
    </w:p>
    <w:p w14:paraId="3F8A74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lang w:val="en-US" w:eastAsia="zh-CN"/>
        </w:rPr>
        <w:t>22.农林水支出（类）农业农村（款）事业运行（项）: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117.1</w:t>
      </w:r>
      <w:r>
        <w:rPr>
          <w:rStyle w:val="18"/>
          <w:rFonts w:hint="default" w:ascii="Times New Roman" w:hAnsi="Times New Roman" w:eastAsia="仿宋_GB2312" w:cs="Times New Roman"/>
          <w:b w:val="0"/>
          <w:color w:val="000000"/>
          <w:sz w:val="32"/>
          <w:szCs w:val="32"/>
        </w:rPr>
        <w:t>万元，完成预算100%，决算数与预算数持平。</w:t>
      </w:r>
    </w:p>
    <w:p w14:paraId="64C6BBC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lang w:val="en-US" w:eastAsia="zh-CN"/>
        </w:rPr>
      </w:pPr>
      <w:r>
        <w:rPr>
          <w:rStyle w:val="18"/>
          <w:rFonts w:hint="default" w:ascii="Times New Roman" w:hAnsi="Times New Roman" w:eastAsia="仿宋_GB2312" w:cs="Times New Roman"/>
          <w:b/>
          <w:bCs/>
          <w:color w:val="000000"/>
          <w:sz w:val="32"/>
          <w:szCs w:val="32"/>
          <w:lang w:val="en-US" w:eastAsia="zh-CN"/>
        </w:rPr>
        <w:t>23.农林水支出（类）水利（款）其他水利支出（项）:</w:t>
      </w:r>
      <w:r>
        <w:rPr>
          <w:rStyle w:val="18"/>
          <w:rFonts w:hint="default" w:ascii="Times New Roman" w:hAnsi="Times New Roman" w:eastAsia="仿宋_GB2312" w:cs="Times New Roman"/>
          <w:b w:val="0"/>
          <w:color w:val="000000"/>
          <w:sz w:val="32"/>
          <w:szCs w:val="32"/>
          <w:lang w:val="en-US" w:eastAsia="zh-CN"/>
        </w:rPr>
        <w:t>支出决算为10元，完成预算100%，决算数与预算数持平。</w:t>
      </w:r>
    </w:p>
    <w:p w14:paraId="362F554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lang w:val="en-US" w:eastAsia="zh-CN"/>
        </w:rPr>
      </w:pPr>
      <w:r>
        <w:rPr>
          <w:rStyle w:val="18"/>
          <w:rFonts w:hint="default" w:ascii="Times New Roman" w:hAnsi="Times New Roman" w:eastAsia="仿宋_GB2312" w:cs="Times New Roman"/>
          <w:b/>
          <w:bCs/>
          <w:color w:val="000000"/>
          <w:sz w:val="32"/>
          <w:szCs w:val="32"/>
          <w:lang w:val="en-US" w:eastAsia="zh-CN"/>
        </w:rPr>
        <w:t>24.农林水支出（类）巩固脱贫攻坚成果衔接乡村振兴（款）其他巩固脱贫攻坚成果衔接乡村振兴支出（项）:</w:t>
      </w:r>
      <w:r>
        <w:rPr>
          <w:rStyle w:val="18"/>
          <w:rFonts w:hint="default" w:ascii="Times New Roman" w:hAnsi="Times New Roman" w:eastAsia="仿宋_GB2312" w:cs="Times New Roman"/>
          <w:b w:val="0"/>
          <w:color w:val="000000"/>
          <w:sz w:val="32"/>
          <w:szCs w:val="32"/>
          <w:lang w:val="en-US" w:eastAsia="zh-CN"/>
        </w:rPr>
        <w:t>支出决算为0.99万元，完成预算100%，决算数与预算数持平。</w:t>
      </w:r>
    </w:p>
    <w:p w14:paraId="6C9F28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rPr>
        <w:t>2</w:t>
      </w:r>
      <w:r>
        <w:rPr>
          <w:rStyle w:val="18"/>
          <w:rFonts w:hint="default" w:ascii="Times New Roman" w:hAnsi="Times New Roman" w:eastAsia="仿宋_GB2312" w:cs="Times New Roman"/>
          <w:b/>
          <w:bCs/>
          <w:color w:val="000000"/>
          <w:sz w:val="32"/>
          <w:szCs w:val="32"/>
          <w:lang w:val="en-US" w:eastAsia="zh-CN"/>
        </w:rPr>
        <w:t>5</w:t>
      </w:r>
      <w:r>
        <w:rPr>
          <w:rStyle w:val="18"/>
          <w:rFonts w:hint="default" w:ascii="Times New Roman" w:hAnsi="Times New Roman" w:eastAsia="仿宋_GB2312" w:cs="Times New Roman"/>
          <w:b/>
          <w:bCs/>
          <w:color w:val="000000"/>
          <w:sz w:val="32"/>
          <w:szCs w:val="32"/>
        </w:rPr>
        <w:t>.农林水支出（类）农村综合改革（款）对村民委员会和村党支部的补助（项）: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674.42</w:t>
      </w:r>
      <w:r>
        <w:rPr>
          <w:rStyle w:val="18"/>
          <w:rFonts w:hint="default" w:ascii="Times New Roman" w:hAnsi="Times New Roman" w:eastAsia="仿宋_GB2312" w:cs="Times New Roman"/>
          <w:b w:val="0"/>
          <w:color w:val="000000"/>
          <w:sz w:val="32"/>
          <w:szCs w:val="32"/>
        </w:rPr>
        <w:t>元，完成预算100%，决算数与预算数持平。</w:t>
      </w:r>
    </w:p>
    <w:p w14:paraId="5E0371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rPr>
        <w:t>2</w:t>
      </w:r>
      <w:r>
        <w:rPr>
          <w:rStyle w:val="18"/>
          <w:rFonts w:hint="default" w:ascii="Times New Roman" w:hAnsi="Times New Roman" w:eastAsia="仿宋_GB2312" w:cs="Times New Roman"/>
          <w:b/>
          <w:bCs/>
          <w:color w:val="000000"/>
          <w:sz w:val="32"/>
          <w:szCs w:val="32"/>
          <w:lang w:val="en-US" w:eastAsia="zh-CN"/>
        </w:rPr>
        <w:t>6</w:t>
      </w:r>
      <w:r>
        <w:rPr>
          <w:rStyle w:val="18"/>
          <w:rFonts w:hint="default" w:ascii="Times New Roman" w:hAnsi="Times New Roman" w:eastAsia="仿宋_GB2312" w:cs="Times New Roman"/>
          <w:b/>
          <w:bCs/>
          <w:color w:val="000000"/>
          <w:sz w:val="32"/>
          <w:szCs w:val="32"/>
        </w:rPr>
        <w:t>.农林水支出（类）其他农林水支出（款）其他农林水支出（项）: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0.72</w:t>
      </w:r>
      <w:r>
        <w:rPr>
          <w:rStyle w:val="18"/>
          <w:rFonts w:hint="default" w:ascii="Times New Roman" w:hAnsi="Times New Roman" w:eastAsia="仿宋_GB2312" w:cs="Times New Roman"/>
          <w:b w:val="0"/>
          <w:color w:val="000000"/>
          <w:sz w:val="32"/>
          <w:szCs w:val="32"/>
        </w:rPr>
        <w:t>万元，完成预算100%，决算数与预算数持平。</w:t>
      </w:r>
    </w:p>
    <w:p w14:paraId="0619AB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rPr>
      </w:pPr>
      <w:r>
        <w:rPr>
          <w:rStyle w:val="18"/>
          <w:rFonts w:hint="default" w:ascii="Times New Roman" w:hAnsi="Times New Roman" w:eastAsia="仿宋_GB2312" w:cs="Times New Roman"/>
          <w:b/>
          <w:bCs/>
          <w:color w:val="000000"/>
          <w:sz w:val="32"/>
          <w:szCs w:val="32"/>
        </w:rPr>
        <w:t>2</w:t>
      </w:r>
      <w:r>
        <w:rPr>
          <w:rStyle w:val="18"/>
          <w:rFonts w:hint="default" w:ascii="Times New Roman" w:hAnsi="Times New Roman" w:eastAsia="仿宋_GB2312" w:cs="Times New Roman"/>
          <w:b/>
          <w:bCs/>
          <w:color w:val="000000"/>
          <w:sz w:val="32"/>
          <w:szCs w:val="32"/>
          <w:lang w:val="en-US" w:eastAsia="zh-CN"/>
        </w:rPr>
        <w:t>7</w:t>
      </w:r>
      <w:r>
        <w:rPr>
          <w:rStyle w:val="18"/>
          <w:rFonts w:hint="default" w:ascii="Times New Roman" w:hAnsi="Times New Roman" w:eastAsia="仿宋_GB2312" w:cs="Times New Roman"/>
          <w:b/>
          <w:bCs/>
          <w:color w:val="000000"/>
          <w:sz w:val="32"/>
          <w:szCs w:val="32"/>
        </w:rPr>
        <w:t>.住房保障支出（类）住房改革支出（款）住房公积金（项）:</w:t>
      </w:r>
      <w:r>
        <w:rPr>
          <w:rStyle w:val="18"/>
          <w:rFonts w:hint="default" w:ascii="Times New Roman" w:hAnsi="Times New Roman" w:eastAsia="仿宋_GB2312" w:cs="Times New Roman"/>
          <w:b w:val="0"/>
          <w:color w:val="000000"/>
          <w:sz w:val="32"/>
          <w:szCs w:val="32"/>
        </w:rPr>
        <w:t>支出决算为</w:t>
      </w:r>
      <w:r>
        <w:rPr>
          <w:rStyle w:val="18"/>
          <w:rFonts w:hint="default" w:ascii="Times New Roman" w:hAnsi="Times New Roman" w:eastAsia="仿宋_GB2312" w:cs="Times New Roman"/>
          <w:b w:val="0"/>
          <w:color w:val="000000"/>
          <w:sz w:val="32"/>
          <w:szCs w:val="32"/>
          <w:lang w:val="en-US" w:eastAsia="zh-CN"/>
        </w:rPr>
        <w:t>72.23</w:t>
      </w:r>
      <w:r>
        <w:rPr>
          <w:rStyle w:val="18"/>
          <w:rFonts w:hint="default" w:ascii="Times New Roman" w:hAnsi="Times New Roman" w:eastAsia="仿宋_GB2312" w:cs="Times New Roman"/>
          <w:b w:val="0"/>
          <w:color w:val="000000"/>
          <w:sz w:val="32"/>
          <w:szCs w:val="32"/>
        </w:rPr>
        <w:t>万元，完成预算100%，决算数与预算数持平。</w:t>
      </w:r>
    </w:p>
    <w:p w14:paraId="410A18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8"/>
          <w:rFonts w:hint="default" w:ascii="Times New Roman" w:hAnsi="Times New Roman" w:eastAsia="仿宋_GB2312" w:cs="Times New Roman"/>
          <w:b w:val="0"/>
          <w:color w:val="000000"/>
          <w:sz w:val="32"/>
          <w:szCs w:val="32"/>
          <w:lang w:val="en-US" w:eastAsia="zh-CN"/>
        </w:rPr>
      </w:pPr>
      <w:r>
        <w:rPr>
          <w:rStyle w:val="18"/>
          <w:rFonts w:hint="default" w:ascii="Times New Roman" w:hAnsi="Times New Roman" w:eastAsia="仿宋_GB2312" w:cs="Times New Roman"/>
          <w:b/>
          <w:bCs/>
          <w:color w:val="000000"/>
          <w:sz w:val="32"/>
          <w:szCs w:val="32"/>
          <w:lang w:val="en-US" w:eastAsia="zh-CN"/>
        </w:rPr>
        <w:t>28.灾害防治及应急管理支出（类）应急管理事务（款）灾害风险防治（项）:</w:t>
      </w:r>
      <w:r>
        <w:rPr>
          <w:rStyle w:val="18"/>
          <w:rFonts w:hint="default" w:ascii="Times New Roman" w:hAnsi="Times New Roman" w:eastAsia="仿宋_GB2312" w:cs="Times New Roman"/>
          <w:b w:val="0"/>
          <w:color w:val="000000"/>
          <w:sz w:val="32"/>
          <w:szCs w:val="32"/>
          <w:lang w:val="en-US" w:eastAsia="zh-CN"/>
        </w:rPr>
        <w:t>支出决算为9.96万元，完成预算100%，决算数与预算数持平。</w:t>
      </w:r>
    </w:p>
    <w:p w14:paraId="2A72A17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Style w:val="18"/>
          <w:rFonts w:hint="default" w:ascii="Times New Roman" w:hAnsi="Times New Roman" w:eastAsia="仿宋_GB2312" w:cs="Times New Roman"/>
          <w:b/>
          <w:bCs/>
          <w:color w:val="000000"/>
          <w:sz w:val="32"/>
          <w:szCs w:val="32"/>
          <w:lang w:val="en-US" w:eastAsia="zh-CN"/>
        </w:rPr>
        <w:t>29.灾害防治及应急管理支出（类）应急管理事务（款）应急救援（项）:</w:t>
      </w:r>
      <w:r>
        <w:rPr>
          <w:rStyle w:val="18"/>
          <w:rFonts w:hint="default" w:ascii="Times New Roman" w:hAnsi="Times New Roman" w:eastAsia="仿宋_GB2312" w:cs="Times New Roman"/>
          <w:b w:val="0"/>
          <w:color w:val="000000"/>
          <w:sz w:val="32"/>
          <w:szCs w:val="32"/>
          <w:lang w:val="en-US" w:eastAsia="zh-CN"/>
        </w:rPr>
        <w:t>支出决算为9.99万元，完成预算100%，决算数与预算数持平。</w:t>
      </w:r>
    </w:p>
    <w:p w14:paraId="45A7D772">
      <w:pPr>
        <w:pageBreakBefore w:val="0"/>
        <w:tabs>
          <w:tab w:val="right" w:pos="8306"/>
        </w:tabs>
        <w:kinsoku/>
        <w:wordWrap/>
        <w:overflowPunct/>
        <w:topLinePunct w:val="0"/>
        <w:bidi w:val="0"/>
        <w:spacing w:line="560" w:lineRule="exact"/>
        <w:ind w:firstLine="640"/>
        <w:textAlignment w:val="auto"/>
        <w:outlineLvl w:val="1"/>
        <w:rPr>
          <w:rStyle w:val="22"/>
          <w:rFonts w:hint="default" w:ascii="Times New Roman" w:hAnsi="Times New Roman" w:cs="Times New Roman"/>
        </w:rPr>
      </w:pPr>
      <w:bookmarkStart w:id="34" w:name="_Toc15377214"/>
      <w:bookmarkStart w:id="35" w:name="_Toc15396608"/>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2"/>
          <w:rFonts w:hint="default" w:ascii="Times New Roman" w:hAnsi="Times New Roman" w:eastAsia="黑体" w:cs="Times New Roman"/>
          <w:b w:val="0"/>
        </w:rPr>
        <w:t>般公共预算财政拨款基本支出决算情况说明</w:t>
      </w:r>
      <w:bookmarkEnd w:id="34"/>
      <w:bookmarkEnd w:id="35"/>
      <w:r>
        <w:rPr>
          <w:rStyle w:val="22"/>
          <w:rFonts w:hint="default" w:ascii="Times New Roman" w:hAnsi="Times New Roman" w:eastAsia="黑体" w:cs="Times New Roman"/>
          <w:b w:val="0"/>
        </w:rPr>
        <w:tab/>
      </w:r>
    </w:p>
    <w:p w14:paraId="76F51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hint="default" w:ascii="Times New Roman" w:hAnsi="Times New Roman" w:eastAsia="仿宋_GB2312" w:cs="Times New Roman"/>
          <w:b w:val="0"/>
          <w:color w:val="000000"/>
          <w:sz w:val="32"/>
          <w:szCs w:val="32"/>
          <w:lang w:val="en-US" w:eastAsia="zh-CN"/>
        </w:rPr>
      </w:pPr>
      <w:r>
        <w:rPr>
          <w:rStyle w:val="18"/>
          <w:rFonts w:hint="default" w:ascii="Times New Roman" w:hAnsi="Times New Roman" w:eastAsia="仿宋_GB2312" w:cs="Times New Roman"/>
          <w:b w:val="0"/>
          <w:color w:val="000000"/>
          <w:sz w:val="32"/>
          <w:szCs w:val="32"/>
          <w:lang w:val="en-US" w:eastAsia="zh-CN"/>
        </w:rPr>
        <w:t>2024年一般公共预算财政拨款基本支出1954.38万元，其中：</w:t>
      </w:r>
    </w:p>
    <w:p w14:paraId="7420B9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Style w:val="18"/>
          <w:rFonts w:hint="default" w:ascii="Times New Roman" w:hAnsi="Times New Roman" w:eastAsia="仿宋_GB2312" w:cs="Times New Roman"/>
          <w:b w:val="0"/>
          <w:color w:val="000000"/>
          <w:sz w:val="32"/>
          <w:szCs w:val="32"/>
          <w:lang w:val="en-US" w:eastAsia="zh-CN"/>
        </w:rPr>
        <w:t>人员经费1485.8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Style w:val="18"/>
          <w:rFonts w:hint="default" w:ascii="Times New Roman" w:hAnsi="Times New Roman" w:eastAsia="仿宋_GB2312" w:cs="Times New Roman"/>
          <w:b w:val="0"/>
          <w:color w:val="000000"/>
          <w:sz w:val="32"/>
          <w:szCs w:val="32"/>
          <w:lang w:val="en-US" w:eastAsia="zh-CN"/>
        </w:rPr>
        <w:br w:type="textWrapping"/>
      </w:r>
      <w:r>
        <w:rPr>
          <w:rStyle w:val="18"/>
          <w:rFonts w:hint="default" w:ascii="Times New Roman" w:hAnsi="Times New Roman" w:eastAsia="仿宋_GB2312" w:cs="Times New Roman"/>
          <w:b w:val="0"/>
          <w:color w:val="000000"/>
          <w:sz w:val="32"/>
          <w:szCs w:val="32"/>
          <w:lang w:val="en-US" w:eastAsia="zh-CN"/>
        </w:rPr>
        <w:t>　　公用经费135.16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2CD6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2"/>
          <w:rFonts w:hint="default" w:ascii="Times New Roman" w:hAnsi="Times New Roman" w:eastAsia="黑体" w:cs="Times New Roman"/>
          <w:b w:val="0"/>
        </w:rPr>
      </w:pPr>
      <w:bookmarkStart w:id="36" w:name="_Toc15377215"/>
      <w:bookmarkStart w:id="37" w:name="_Toc15396609"/>
      <w:r>
        <w:rPr>
          <w:rFonts w:hint="default" w:ascii="Times New Roman" w:hAnsi="Times New Roman" w:eastAsia="黑体" w:cs="Times New Roman"/>
          <w:sz w:val="32"/>
          <w:szCs w:val="32"/>
        </w:rPr>
        <w:t>七、</w:t>
      </w:r>
      <w:r>
        <w:rPr>
          <w:rStyle w:val="22"/>
          <w:rFonts w:hint="default" w:ascii="Times New Roman" w:hAnsi="Times New Roman" w:eastAsia="黑体" w:cs="Times New Roman"/>
          <w:b w:val="0"/>
        </w:rPr>
        <w:t>财政拨款</w:t>
      </w:r>
      <w:r>
        <w:rPr>
          <w:rStyle w:val="22"/>
          <w:rFonts w:hint="default" w:ascii="Times New Roman" w:hAnsi="Times New Roman" w:eastAsia="黑体" w:cs="Times New Roman"/>
        </w:rPr>
        <w:t>“</w:t>
      </w:r>
      <w:r>
        <w:rPr>
          <w:rStyle w:val="22"/>
          <w:rFonts w:hint="default" w:ascii="Times New Roman" w:hAnsi="Times New Roman" w:eastAsia="黑体" w:cs="Times New Roman"/>
          <w:b w:val="0"/>
        </w:rPr>
        <w:t>三公”经费支出决算情况说明</w:t>
      </w:r>
      <w:bookmarkEnd w:id="36"/>
      <w:bookmarkEnd w:id="37"/>
    </w:p>
    <w:p w14:paraId="1A92B2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sz w:val="32"/>
          <w:szCs w:val="32"/>
        </w:rPr>
      </w:pPr>
      <w:bookmarkStart w:id="38" w:name="_Toc15377216"/>
      <w:r>
        <w:rPr>
          <w:rFonts w:hint="default" w:ascii="Times New Roman" w:hAnsi="Times New Roman" w:eastAsia="楷体_GB2312" w:cs="Times New Roman"/>
          <w:b/>
          <w:sz w:val="32"/>
          <w:szCs w:val="32"/>
        </w:rPr>
        <w:t>（一）“三公”经费财政拨款支出决算总体情况说明</w:t>
      </w:r>
      <w:bookmarkEnd w:id="38"/>
    </w:p>
    <w:p w14:paraId="0C995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2024</w:t>
      </w:r>
      <w:r>
        <w:rPr>
          <w:rFonts w:hint="default" w:ascii="Times New Roman" w:hAnsi="Times New Roman" w:eastAsia="仿宋" w:cs="Times New Roman"/>
          <w:sz w:val="32"/>
          <w:szCs w:val="32"/>
        </w:rPr>
        <w:t>年“三公”经费财政拨款支出决算为</w:t>
      </w:r>
      <w:r>
        <w:rPr>
          <w:rFonts w:hint="default" w:ascii="Times New Roman" w:hAnsi="Times New Roman" w:eastAsia="仿宋" w:cs="Times New Roman"/>
          <w:sz w:val="32"/>
          <w:szCs w:val="32"/>
          <w:lang w:val="en-US" w:eastAsia="zh-CN"/>
        </w:rPr>
        <w:t>7.36</w:t>
      </w:r>
      <w:r>
        <w:rPr>
          <w:rFonts w:hint="default" w:ascii="Times New Roman" w:hAnsi="Times New Roman" w:eastAsia="仿宋" w:cs="Times New Roman"/>
          <w:sz w:val="32"/>
          <w:szCs w:val="32"/>
        </w:rPr>
        <w:t>万元，完成预算100%，较上年</w:t>
      </w:r>
      <w:r>
        <w:rPr>
          <w:rFonts w:hint="default" w:ascii="Times New Roman" w:hAnsi="Times New Roman" w:eastAsia="仿宋" w:cs="Times New Roman"/>
          <w:sz w:val="32"/>
          <w:szCs w:val="32"/>
          <w:lang w:val="en-US" w:eastAsia="zh-CN"/>
        </w:rPr>
        <w:t>减少0.09</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val="en-US" w:eastAsia="zh-CN"/>
        </w:rPr>
        <w:t>下降1.2</w:t>
      </w:r>
      <w:r>
        <w:rPr>
          <w:rFonts w:hint="default" w:ascii="Times New Roman" w:hAnsi="Times New Roman" w:eastAsia="仿宋" w:cs="Times New Roman"/>
          <w:sz w:val="32"/>
          <w:szCs w:val="32"/>
        </w:rPr>
        <w:t>%。决算数</w:t>
      </w:r>
      <w:r>
        <w:rPr>
          <w:rFonts w:hint="default" w:ascii="Times New Roman" w:hAnsi="Times New Roman" w:eastAsia="仿宋" w:cs="Times New Roman"/>
          <w:sz w:val="32"/>
          <w:szCs w:val="32"/>
          <w:lang w:val="en-US" w:eastAsia="zh-CN"/>
        </w:rPr>
        <w:t>与</w:t>
      </w:r>
      <w:r>
        <w:rPr>
          <w:rFonts w:hint="default" w:ascii="Times New Roman" w:hAnsi="Times New Roman" w:eastAsia="仿宋" w:cs="Times New Roman"/>
          <w:sz w:val="32"/>
          <w:szCs w:val="32"/>
        </w:rPr>
        <w:t>预算数</w:t>
      </w:r>
      <w:r>
        <w:rPr>
          <w:rFonts w:hint="default" w:ascii="Times New Roman" w:hAnsi="Times New Roman" w:eastAsia="仿宋" w:cs="Times New Roman"/>
          <w:sz w:val="32"/>
          <w:szCs w:val="32"/>
          <w:lang w:val="en-US" w:eastAsia="zh-CN"/>
        </w:rPr>
        <w:t>持平</w:t>
      </w:r>
      <w:r>
        <w:rPr>
          <w:rFonts w:hint="default" w:ascii="Times New Roman" w:hAnsi="Times New Roman" w:eastAsia="仿宋" w:cs="Times New Roman"/>
          <w:sz w:val="32"/>
          <w:szCs w:val="32"/>
        </w:rPr>
        <w:t>。</w:t>
      </w:r>
    </w:p>
    <w:p w14:paraId="29FB35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sz w:val="32"/>
          <w:szCs w:val="32"/>
        </w:rPr>
      </w:pPr>
      <w:bookmarkStart w:id="39" w:name="_Toc15377217"/>
      <w:r>
        <w:rPr>
          <w:rFonts w:hint="default" w:ascii="Times New Roman" w:hAnsi="Times New Roman" w:eastAsia="楷体_GB2312" w:cs="Times New Roman"/>
          <w:b/>
          <w:sz w:val="32"/>
          <w:szCs w:val="32"/>
        </w:rPr>
        <w:t>（二）“三公”经费财政拨款支出决算具体情况说明</w:t>
      </w:r>
      <w:bookmarkEnd w:id="39"/>
    </w:p>
    <w:p w14:paraId="1D5DE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2024</w:t>
      </w:r>
      <w:r>
        <w:rPr>
          <w:rFonts w:hint="default" w:ascii="Times New Roman" w:hAnsi="Times New Roman" w:eastAsia="仿宋" w:cs="Times New Roman"/>
          <w:sz w:val="32"/>
          <w:szCs w:val="32"/>
        </w:rPr>
        <w:t>年“三公”经费财政拨款支出决算中，因公出国（境）费支出决算0万元，占0%；公务用车购置及运行维护费支出决算0万元，占0%；公务接待费支出决算</w:t>
      </w:r>
      <w:r>
        <w:rPr>
          <w:rFonts w:hint="default" w:ascii="Times New Roman" w:hAnsi="Times New Roman" w:eastAsia="仿宋" w:cs="Times New Roman"/>
          <w:sz w:val="32"/>
          <w:szCs w:val="32"/>
          <w:lang w:val="en-US" w:eastAsia="zh-CN"/>
        </w:rPr>
        <w:t>7.36</w:t>
      </w:r>
      <w:r>
        <w:rPr>
          <w:rFonts w:hint="default" w:ascii="Times New Roman" w:hAnsi="Times New Roman" w:eastAsia="仿宋" w:cs="Times New Roman"/>
          <w:sz w:val="32"/>
          <w:szCs w:val="32"/>
        </w:rPr>
        <w:t>万元，占100%。具体情况如下：</w:t>
      </w:r>
    </w:p>
    <w:p w14:paraId="68B844C4">
      <w:pPr>
        <w:pageBreakBefore w:val="0"/>
        <w:kinsoku/>
        <w:wordWrap/>
        <w:overflowPunct/>
        <w:topLinePunct w:val="0"/>
        <w:bidi w:val="0"/>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object>
          <v:shape id="_x0000_i1026" o:spt="75" type="#_x0000_t75" style="height:273.4pt;width:365.25pt;" o:ole="t" filled="f" o:preferrelative="t" stroked="f" coordsize="21600,21600">
            <v:path/>
            <v:fill on="f" focussize="0,0"/>
            <v:stroke on="f"/>
            <v:imagedata r:id="rId14" o:title=""/>
            <o:lock v:ext="edit" aspectratio="t"/>
            <w10:wrap type="none"/>
            <w10:anchorlock/>
          </v:shape>
          <o:OLEObject Type="Embed" ProgID="Excel.Chart.8" ShapeID="_x0000_i1026" DrawAspect="Content" ObjectID="_1468075726" r:id="rId13">
            <o:LockedField>false</o:LockedField>
          </o:OLEObject>
        </w:object>
      </w:r>
    </w:p>
    <w:p w14:paraId="07EA6D8E">
      <w:pPr>
        <w:pStyle w:val="8"/>
        <w:pageBreakBefore w:val="0"/>
        <w:kinsoku/>
        <w:wordWrap/>
        <w:overflowPunct/>
        <w:topLinePunct w:val="0"/>
        <w:bidi w:val="0"/>
        <w:spacing w:beforeLines="0" w:line="560" w:lineRule="exact"/>
        <w:textAlignment w:val="auto"/>
        <w:rPr>
          <w:rFonts w:hint="default" w:ascii="Times New Roman" w:hAnsi="Times New Roman" w:cs="Times New Roman"/>
        </w:rPr>
      </w:pPr>
      <w:r>
        <w:rPr>
          <w:rFonts w:hint="default" w:ascii="Times New Roman" w:hAnsi="Times New Roman" w:eastAsia="仿宋" w:cs="Times New Roman"/>
          <w:sz w:val="32"/>
          <w:szCs w:val="32"/>
        </w:rPr>
        <w:t>（图7：“三公”经费财政拨款支出结构）</w:t>
      </w:r>
    </w:p>
    <w:p w14:paraId="5D65D218">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1.因公出国（境）经费支出0万元，完成预算100%。</w:t>
      </w:r>
      <w:r>
        <w:rPr>
          <w:rFonts w:hint="default" w:ascii="Times New Roman" w:hAnsi="Times New Roman" w:eastAsia="仿宋_GB2312" w:cs="Times New Roman"/>
          <w:sz w:val="32"/>
          <w:szCs w:val="32"/>
          <w:lang w:eastAsia="zh-CN"/>
        </w:rPr>
        <w:t>全年安排因公出国（境）团组0次，出国（境）0人。因公出国（境）支出决算与2023年持平。</w:t>
      </w:r>
    </w:p>
    <w:p w14:paraId="463F5DF4">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2.公务用车购置及运行维护费支出0万元，完成预算100%。</w:t>
      </w:r>
      <w:r>
        <w:rPr>
          <w:rFonts w:hint="default" w:ascii="Times New Roman" w:hAnsi="Times New Roman" w:eastAsia="仿宋_GB2312" w:cs="Times New Roman"/>
          <w:sz w:val="32"/>
          <w:szCs w:val="32"/>
          <w:lang w:eastAsia="zh-CN"/>
        </w:rPr>
        <w:t>公务用车购置及运行维护费支出决算与2023年持平。</w:t>
      </w:r>
    </w:p>
    <w:p w14:paraId="45BD17A4">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11462C9F">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公务用车运行维护费支出0万元。</w:t>
      </w:r>
    </w:p>
    <w:p w14:paraId="1E3D81B5">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3.公务接待费支出</w:t>
      </w:r>
      <w:r>
        <w:rPr>
          <w:rFonts w:hint="default" w:ascii="Times New Roman" w:hAnsi="Times New Roman" w:eastAsia="仿宋_GB2312" w:cs="Times New Roman"/>
          <w:b/>
          <w:bCs/>
          <w:sz w:val="32"/>
          <w:szCs w:val="32"/>
          <w:lang w:val="en-US" w:eastAsia="zh-CN"/>
        </w:rPr>
        <w:t>7.36</w:t>
      </w:r>
      <w:r>
        <w:rPr>
          <w:rFonts w:hint="default" w:ascii="Times New Roman" w:hAnsi="Times New Roman" w:eastAsia="仿宋_GB2312" w:cs="Times New Roman"/>
          <w:b/>
          <w:bCs/>
          <w:sz w:val="32"/>
          <w:szCs w:val="32"/>
          <w:lang w:eastAsia="zh-CN"/>
        </w:rPr>
        <w:t>万元，完成预算100%。</w:t>
      </w:r>
      <w:r>
        <w:rPr>
          <w:rFonts w:hint="default" w:ascii="Times New Roman" w:hAnsi="Times New Roman" w:eastAsia="仿宋_GB2312" w:cs="Times New Roman"/>
          <w:sz w:val="32"/>
          <w:szCs w:val="32"/>
          <w:lang w:eastAsia="zh-CN"/>
        </w:rPr>
        <w:t>公务接待费支出决算较上年</w:t>
      </w:r>
      <w:r>
        <w:rPr>
          <w:rFonts w:hint="default" w:ascii="Times New Roman" w:hAnsi="Times New Roman" w:eastAsia="仿宋_GB2312" w:cs="Times New Roman"/>
          <w:sz w:val="32"/>
          <w:szCs w:val="32"/>
          <w:lang w:val="en-US" w:eastAsia="zh-CN"/>
        </w:rPr>
        <w:t>减少0.09</w:t>
      </w:r>
      <w:r>
        <w:rPr>
          <w:rFonts w:hint="default" w:ascii="Times New Roman" w:hAnsi="Times New Roman" w:eastAsia="仿宋_GB2312" w:cs="Times New Roman"/>
          <w:sz w:val="32"/>
          <w:szCs w:val="32"/>
          <w:lang w:eastAsia="zh-CN"/>
        </w:rPr>
        <w:t>万元，</w:t>
      </w:r>
      <w:r>
        <w:rPr>
          <w:rFonts w:hint="default" w:ascii="Times New Roman" w:hAnsi="Times New Roman" w:eastAsia="仿宋_GB2312" w:cs="Times New Roman"/>
          <w:sz w:val="32"/>
          <w:szCs w:val="32"/>
          <w:lang w:val="en-US" w:eastAsia="zh-CN"/>
        </w:rPr>
        <w:t>下降1.2</w:t>
      </w:r>
      <w:r>
        <w:rPr>
          <w:rFonts w:hint="default" w:ascii="Times New Roman" w:hAnsi="Times New Roman" w:eastAsia="仿宋_GB2312" w:cs="Times New Roman"/>
          <w:sz w:val="32"/>
          <w:szCs w:val="32"/>
          <w:lang w:eastAsia="zh-CN"/>
        </w:rPr>
        <w:t>%。其中：</w:t>
      </w:r>
    </w:p>
    <w:p w14:paraId="2CD6E9F1">
      <w:pPr>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国内公务接待支出</w:t>
      </w:r>
      <w:r>
        <w:rPr>
          <w:rFonts w:hint="default" w:ascii="Times New Roman" w:hAnsi="Times New Roman" w:eastAsia="仿宋_GB2312" w:cs="Times New Roman"/>
          <w:sz w:val="32"/>
          <w:szCs w:val="32"/>
          <w:lang w:val="en-US" w:eastAsia="zh-CN"/>
        </w:rPr>
        <w:t>7.36</w:t>
      </w:r>
      <w:r>
        <w:rPr>
          <w:rFonts w:hint="default" w:ascii="Times New Roman" w:hAnsi="Times New Roman" w:eastAsia="仿宋_GB2312" w:cs="Times New Roman"/>
          <w:sz w:val="32"/>
          <w:szCs w:val="32"/>
          <w:lang w:eastAsia="zh-CN"/>
        </w:rPr>
        <w:t>万元，主要用于执行公务、开展业务活动开支的交通费、住宿费、用餐费等。国内公务接待</w:t>
      </w:r>
      <w:r>
        <w:rPr>
          <w:rFonts w:hint="default" w:ascii="Times New Roman" w:hAnsi="Times New Roman" w:eastAsia="仿宋_GB2312" w:cs="Times New Roman"/>
          <w:sz w:val="32"/>
          <w:szCs w:val="32"/>
          <w:lang w:val="en-US" w:eastAsia="zh-CN"/>
        </w:rPr>
        <w:t>111</w:t>
      </w:r>
      <w:r>
        <w:rPr>
          <w:rFonts w:hint="default" w:ascii="Times New Roman" w:hAnsi="Times New Roman" w:eastAsia="仿宋_GB2312" w:cs="Times New Roman"/>
          <w:sz w:val="32"/>
          <w:szCs w:val="32"/>
          <w:lang w:eastAsia="zh-CN"/>
        </w:rPr>
        <w:t>批次，</w:t>
      </w:r>
      <w:r>
        <w:rPr>
          <w:rFonts w:hint="default" w:ascii="Times New Roman" w:hAnsi="Times New Roman" w:eastAsia="仿宋_GB2312" w:cs="Times New Roman"/>
          <w:sz w:val="32"/>
          <w:szCs w:val="32"/>
          <w:lang w:val="en-US" w:eastAsia="zh-CN"/>
        </w:rPr>
        <w:t>956</w:t>
      </w:r>
      <w:r>
        <w:rPr>
          <w:rFonts w:hint="default" w:ascii="Times New Roman" w:hAnsi="Times New Roman" w:eastAsia="仿宋_GB2312" w:cs="Times New Roman"/>
          <w:sz w:val="32"/>
          <w:szCs w:val="32"/>
          <w:lang w:eastAsia="zh-CN"/>
        </w:rPr>
        <w:t>人次（不包括陪同人员），共计支出</w:t>
      </w:r>
      <w:r>
        <w:rPr>
          <w:rFonts w:hint="default" w:ascii="Times New Roman" w:hAnsi="Times New Roman" w:eastAsia="仿宋_GB2312" w:cs="Times New Roman"/>
          <w:sz w:val="32"/>
          <w:szCs w:val="32"/>
          <w:lang w:val="en-US" w:eastAsia="zh-CN"/>
        </w:rPr>
        <w:t>7.36</w:t>
      </w:r>
      <w:r>
        <w:rPr>
          <w:rFonts w:hint="default" w:ascii="Times New Roman" w:hAnsi="Times New Roman" w:eastAsia="仿宋_GB2312" w:cs="Times New Roman"/>
          <w:sz w:val="32"/>
          <w:szCs w:val="32"/>
          <w:lang w:eastAsia="zh-CN"/>
        </w:rPr>
        <w:t>万元，具体内容包括：</w:t>
      </w:r>
      <w:r>
        <w:rPr>
          <w:rFonts w:hint="default" w:ascii="Times New Roman" w:hAnsi="Times New Roman" w:eastAsia="仿宋_GB2312" w:cs="Times New Roman"/>
          <w:sz w:val="32"/>
          <w:szCs w:val="32"/>
          <w:lang w:val="en-US" w:eastAsia="zh-CN"/>
        </w:rPr>
        <w:t>区分管领导到我镇检查园区情况，市、区</w:t>
      </w:r>
      <w:r>
        <w:rPr>
          <w:rFonts w:hint="default" w:ascii="Times New Roman" w:hAnsi="Times New Roman" w:eastAsia="仿宋_GB2312" w:cs="Times New Roman"/>
          <w:sz w:val="32"/>
          <w:szCs w:val="32"/>
          <w:lang w:eastAsia="zh-CN"/>
        </w:rPr>
        <w:t>级部门</w:t>
      </w:r>
      <w:r>
        <w:rPr>
          <w:rFonts w:hint="default" w:ascii="Times New Roman" w:hAnsi="Times New Roman" w:eastAsia="仿宋_GB2312" w:cs="Times New Roman"/>
          <w:sz w:val="32"/>
          <w:szCs w:val="32"/>
          <w:lang w:val="en-US" w:eastAsia="zh-CN"/>
        </w:rPr>
        <w:t>单位到我镇进行访问督查，我镇对其进行相应的接待等</w:t>
      </w:r>
      <w:r>
        <w:rPr>
          <w:rFonts w:hint="default" w:ascii="Times New Roman" w:hAnsi="Times New Roman" w:eastAsia="仿宋_GB2312" w:cs="Times New Roman"/>
          <w:sz w:val="32"/>
          <w:szCs w:val="32"/>
          <w:lang w:eastAsia="zh-CN"/>
        </w:rPr>
        <w:t>。</w:t>
      </w:r>
    </w:p>
    <w:p w14:paraId="6A191BAE">
      <w:pPr>
        <w:pageBreakBefore w:val="0"/>
        <w:kinsoku/>
        <w:wordWrap/>
        <w:overflowPunct/>
        <w:topLinePunct w:val="0"/>
        <w:bidi w:val="0"/>
        <w:spacing w:line="560" w:lineRule="exact"/>
        <w:ind w:firstLine="640"/>
        <w:textAlignment w:val="auto"/>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外事接待支出0万元。外事接待0批次，0人次（不包括陪同人员），共计支出0万元。</w:t>
      </w:r>
    </w:p>
    <w:p w14:paraId="20C8214A">
      <w:pPr>
        <w:keepNext w:val="0"/>
        <w:keepLines w:val="0"/>
        <w:pageBreakBefore w:val="0"/>
        <w:widowControl w:val="0"/>
        <w:kinsoku/>
        <w:wordWrap/>
        <w:overflowPunct/>
        <w:topLinePunct w:val="0"/>
        <w:bidi w:val="0"/>
        <w:snapToGrid/>
        <w:spacing w:line="560" w:lineRule="exact"/>
        <w:ind w:firstLine="640"/>
        <w:textAlignment w:val="auto"/>
        <w:outlineLvl w:val="1"/>
        <w:rPr>
          <w:rStyle w:val="22"/>
          <w:rFonts w:hint="default" w:ascii="Times New Roman" w:hAnsi="Times New Roman" w:eastAsia="黑体" w:cs="Times New Roman"/>
        </w:rPr>
      </w:pPr>
      <w:bookmarkStart w:id="40" w:name="_Toc15396610"/>
      <w:bookmarkStart w:id="41" w:name="_Toc15377218"/>
      <w:r>
        <w:rPr>
          <w:rFonts w:hint="default" w:ascii="Times New Roman" w:hAnsi="Times New Roman" w:eastAsia="黑体" w:cs="Times New Roman"/>
          <w:sz w:val="32"/>
          <w:szCs w:val="32"/>
        </w:rPr>
        <w:t>八、</w:t>
      </w:r>
      <w:r>
        <w:rPr>
          <w:rStyle w:val="22"/>
          <w:rFonts w:hint="default" w:ascii="Times New Roman" w:hAnsi="Times New Roman" w:eastAsia="黑体" w:cs="Times New Roman"/>
          <w:b w:val="0"/>
        </w:rPr>
        <w:t>政府性基金预算支出决算情况说明</w:t>
      </w:r>
      <w:bookmarkEnd w:id="40"/>
      <w:bookmarkEnd w:id="41"/>
    </w:p>
    <w:p w14:paraId="31943C75">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年政府性基金预算财政拨款支出</w:t>
      </w:r>
      <w:r>
        <w:rPr>
          <w:rFonts w:hint="default" w:ascii="Times New Roman" w:hAnsi="Times New Roman" w:eastAsia="仿宋_GB2312" w:cs="Times New Roman"/>
          <w:sz w:val="32"/>
          <w:szCs w:val="32"/>
          <w:lang w:val="en-US" w:eastAsia="zh-CN"/>
        </w:rPr>
        <w:t>107.32</w:t>
      </w:r>
      <w:r>
        <w:rPr>
          <w:rFonts w:hint="default" w:ascii="Times New Roman" w:hAnsi="Times New Roman" w:eastAsia="仿宋_GB2312" w:cs="Times New Roman"/>
          <w:sz w:val="32"/>
          <w:szCs w:val="32"/>
        </w:rPr>
        <w:t>万元。主要用于项目支出：城乡社区支出（类）国有土地使用权出让收入安排的支出（款）</w:t>
      </w:r>
      <w:r>
        <w:rPr>
          <w:rFonts w:hint="default" w:ascii="Times New Roman" w:hAnsi="Times New Roman" w:eastAsia="仿宋_GB2312" w:cs="Times New Roman"/>
          <w:sz w:val="32"/>
          <w:szCs w:val="32"/>
          <w:lang w:eastAsia="zh-CN"/>
        </w:rPr>
        <w:t>征地和拆迁补偿</w:t>
      </w:r>
      <w:r>
        <w:rPr>
          <w:rFonts w:hint="default" w:ascii="Times New Roman" w:hAnsi="Times New Roman" w:eastAsia="仿宋_GB2312" w:cs="Times New Roman"/>
          <w:sz w:val="32"/>
          <w:szCs w:val="32"/>
        </w:rPr>
        <w:t>支出（项），</w:t>
      </w:r>
      <w:r>
        <w:rPr>
          <w:rFonts w:hint="default" w:ascii="Times New Roman" w:hAnsi="Times New Roman" w:eastAsia="仿宋_GB2312" w:cs="Times New Roman"/>
          <w:sz w:val="32"/>
          <w:szCs w:val="32"/>
          <w:lang w:eastAsia="zh-CN"/>
        </w:rPr>
        <w:t>支出决算为</w:t>
      </w:r>
      <w:r>
        <w:rPr>
          <w:rFonts w:hint="default" w:ascii="Times New Roman" w:hAnsi="Times New Roman" w:eastAsia="仿宋_GB2312" w:cs="Times New Roman"/>
          <w:sz w:val="32"/>
          <w:szCs w:val="32"/>
          <w:lang w:val="en-US" w:eastAsia="zh-CN"/>
        </w:rPr>
        <w:t>74.32万元，</w:t>
      </w:r>
      <w:r>
        <w:rPr>
          <w:rFonts w:hint="default" w:ascii="Times New Roman" w:hAnsi="Times New Roman" w:eastAsia="仿宋_GB2312" w:cs="Times New Roman"/>
          <w:sz w:val="32"/>
          <w:szCs w:val="32"/>
        </w:rPr>
        <w:t>完成预算100%，决算数与预算数持平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城乡社区支出（类）国有土地使用权出让收入安排的支出（款）</w:t>
      </w:r>
      <w:r>
        <w:rPr>
          <w:rFonts w:hint="default" w:ascii="Times New Roman" w:hAnsi="Times New Roman" w:eastAsia="仿宋_GB2312" w:cs="Times New Roman"/>
          <w:sz w:val="32"/>
          <w:szCs w:val="32"/>
          <w:lang w:eastAsia="zh-CN"/>
        </w:rPr>
        <w:t>农业为生产发展</w:t>
      </w:r>
      <w:r>
        <w:rPr>
          <w:rFonts w:hint="default" w:ascii="Times New Roman" w:hAnsi="Times New Roman" w:eastAsia="仿宋_GB2312" w:cs="Times New Roman"/>
          <w:sz w:val="32"/>
          <w:szCs w:val="32"/>
        </w:rPr>
        <w:t>支出（项），</w:t>
      </w:r>
      <w:r>
        <w:rPr>
          <w:rFonts w:hint="default" w:ascii="Times New Roman" w:hAnsi="Times New Roman" w:eastAsia="仿宋_GB2312" w:cs="Times New Roman"/>
          <w:sz w:val="32"/>
          <w:szCs w:val="32"/>
          <w:lang w:eastAsia="zh-CN"/>
        </w:rPr>
        <w:t>支出决算为</w:t>
      </w:r>
      <w:r>
        <w:rPr>
          <w:rFonts w:hint="default" w:ascii="Times New Roman" w:hAnsi="Times New Roman" w:eastAsia="仿宋_GB2312" w:cs="Times New Roman"/>
          <w:sz w:val="32"/>
          <w:szCs w:val="32"/>
          <w:lang w:val="en-US" w:eastAsia="zh-CN"/>
        </w:rPr>
        <w:t>33万元，</w:t>
      </w:r>
      <w:r>
        <w:rPr>
          <w:rFonts w:hint="default" w:ascii="Times New Roman" w:hAnsi="Times New Roman" w:eastAsia="仿宋_GB2312" w:cs="Times New Roman"/>
          <w:sz w:val="32"/>
          <w:szCs w:val="32"/>
        </w:rPr>
        <w:t>完成预算100%，决算数与预算数持平。与2023年度相比，政府性基金预算财政拨款支出增加</w:t>
      </w:r>
      <w:r>
        <w:rPr>
          <w:rFonts w:hint="default" w:ascii="Times New Roman" w:hAnsi="Times New Roman" w:eastAsia="仿宋_GB2312" w:cs="Times New Roman"/>
          <w:sz w:val="32"/>
          <w:szCs w:val="32"/>
          <w:lang w:val="en-US" w:eastAsia="zh-CN"/>
        </w:rPr>
        <w:t>62.32</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lang w:val="en-US" w:eastAsia="zh-CN"/>
        </w:rPr>
        <w:t>38.48</w:t>
      </w:r>
      <w:r>
        <w:rPr>
          <w:rFonts w:hint="default" w:ascii="Times New Roman" w:hAnsi="Times New Roman" w:eastAsia="仿宋_GB2312" w:cs="Times New Roman"/>
          <w:sz w:val="32"/>
          <w:szCs w:val="32"/>
        </w:rPr>
        <w:t>%。主要变动原因是2024年本单位政府性基金财政拨款新增</w:t>
      </w:r>
      <w:r>
        <w:rPr>
          <w:rFonts w:hint="default" w:ascii="Times New Roman" w:hAnsi="Times New Roman" w:eastAsia="仿宋_GB2312" w:cs="Times New Roman"/>
          <w:sz w:val="32"/>
          <w:szCs w:val="32"/>
          <w:lang w:val="en-US" w:eastAsia="zh-CN"/>
        </w:rPr>
        <w:t>安白路白马段公路征地补偿</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个项目，相关收入上涨。</w:t>
      </w:r>
    </w:p>
    <w:p w14:paraId="73639A90">
      <w:pPr>
        <w:keepNext w:val="0"/>
        <w:keepLines w:val="0"/>
        <w:pageBreakBefore w:val="0"/>
        <w:widowControl w:val="0"/>
        <w:numPr>
          <w:ilvl w:val="0"/>
          <w:numId w:val="1"/>
        </w:numPr>
        <w:kinsoku/>
        <w:wordWrap/>
        <w:overflowPunct/>
        <w:topLinePunct w:val="0"/>
        <w:bidi w:val="0"/>
        <w:snapToGrid/>
        <w:spacing w:line="560" w:lineRule="exact"/>
        <w:ind w:firstLine="640"/>
        <w:textAlignment w:val="auto"/>
        <w:outlineLvl w:val="1"/>
        <w:rPr>
          <w:rStyle w:val="22"/>
          <w:rFonts w:hint="default" w:ascii="Times New Roman" w:hAnsi="Times New Roman" w:eastAsia="黑体" w:cs="Times New Roman"/>
          <w:b w:val="0"/>
        </w:rPr>
      </w:pPr>
      <w:bookmarkStart w:id="42" w:name="_Toc15377219"/>
      <w:bookmarkStart w:id="43" w:name="_Toc15396611"/>
      <w:r>
        <w:rPr>
          <w:rStyle w:val="22"/>
          <w:rFonts w:hint="default" w:ascii="Times New Roman" w:hAnsi="Times New Roman" w:eastAsia="黑体" w:cs="Times New Roman"/>
          <w:b w:val="0"/>
        </w:rPr>
        <w:t>国有资本经营预算支出决算情况说明</w:t>
      </w:r>
      <w:bookmarkEnd w:id="42"/>
      <w:bookmarkEnd w:id="43"/>
    </w:p>
    <w:p w14:paraId="12E758F1">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年国有资本经营预算财政拨款支出0万元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占本年支出合计的0%。国有资本经营预算财政拨款支出与2023年度相比持平。</w:t>
      </w:r>
    </w:p>
    <w:p w14:paraId="47290043">
      <w:pPr>
        <w:keepNext w:val="0"/>
        <w:keepLines w:val="0"/>
        <w:pageBreakBefore w:val="0"/>
        <w:widowControl w:val="0"/>
        <w:numPr>
          <w:ilvl w:val="0"/>
          <w:numId w:val="1"/>
        </w:numPr>
        <w:kinsoku/>
        <w:wordWrap/>
        <w:overflowPunct/>
        <w:topLinePunct w:val="0"/>
        <w:bidi w:val="0"/>
        <w:snapToGrid/>
        <w:spacing w:line="560" w:lineRule="exact"/>
        <w:ind w:firstLine="640"/>
        <w:textAlignment w:val="auto"/>
        <w:outlineLvl w:val="1"/>
        <w:rPr>
          <w:rStyle w:val="22"/>
          <w:rFonts w:hint="default" w:ascii="Times New Roman" w:hAnsi="Times New Roman" w:eastAsia="黑体" w:cs="Times New Roman"/>
          <w:b w:val="0"/>
        </w:rPr>
      </w:pPr>
      <w:bookmarkStart w:id="44" w:name="_Toc15377221"/>
      <w:bookmarkStart w:id="45" w:name="_Toc15396612"/>
      <w:r>
        <w:rPr>
          <w:rStyle w:val="22"/>
          <w:rFonts w:hint="default" w:ascii="Times New Roman" w:hAnsi="Times New Roman" w:eastAsia="黑体" w:cs="Times New Roman"/>
          <w:b w:val="0"/>
        </w:rPr>
        <w:t>其他重要事项的情况说明</w:t>
      </w:r>
      <w:bookmarkEnd w:id="44"/>
      <w:bookmarkEnd w:id="45"/>
    </w:p>
    <w:p w14:paraId="502CFC64">
      <w:pPr>
        <w:keepNext w:val="0"/>
        <w:keepLines w:val="0"/>
        <w:pageBreakBefore w:val="0"/>
        <w:widowControl w:val="0"/>
        <w:kinsoku/>
        <w:wordWrap/>
        <w:overflowPunct/>
        <w:topLinePunct w:val="0"/>
        <w:bidi w:val="0"/>
        <w:snapToGrid/>
        <w:spacing w:line="560" w:lineRule="exact"/>
        <w:ind w:firstLine="643" w:firstLineChars="200"/>
        <w:textAlignment w:val="auto"/>
        <w:outlineLvl w:val="2"/>
        <w:rPr>
          <w:rFonts w:hint="default" w:ascii="Times New Roman" w:hAnsi="Times New Roman" w:eastAsia="楷体_GB2312" w:cs="Times New Roman"/>
          <w:b/>
          <w:bCs w:val="0"/>
          <w:sz w:val="32"/>
          <w:szCs w:val="32"/>
        </w:rPr>
      </w:pPr>
      <w:bookmarkStart w:id="46" w:name="_Toc15377222"/>
      <w:r>
        <w:rPr>
          <w:rFonts w:hint="default" w:ascii="Times New Roman" w:hAnsi="Times New Roman" w:eastAsia="楷体_GB2312" w:cs="Times New Roman"/>
          <w:b/>
          <w:bCs w:val="0"/>
          <w:sz w:val="32"/>
          <w:szCs w:val="32"/>
        </w:rPr>
        <w:t>（一）机关运行经费支出情况</w:t>
      </w:r>
      <w:bookmarkEnd w:id="46"/>
    </w:p>
    <w:p w14:paraId="033B665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年，白马镇机关运行经费支出</w:t>
      </w:r>
      <w:r>
        <w:rPr>
          <w:rFonts w:hint="default" w:ascii="Times New Roman" w:hAnsi="Times New Roman" w:eastAsia="仿宋_GB2312" w:cs="Times New Roman"/>
          <w:sz w:val="32"/>
          <w:szCs w:val="32"/>
          <w:lang w:val="en-US" w:eastAsia="zh-CN"/>
        </w:rPr>
        <w:t>135.16</w:t>
      </w:r>
      <w:r>
        <w:rPr>
          <w:rFonts w:hint="default" w:ascii="Times New Roman" w:hAnsi="Times New Roman" w:eastAsia="仿宋_GB2312" w:cs="Times New Roman"/>
          <w:sz w:val="32"/>
          <w:szCs w:val="32"/>
        </w:rPr>
        <w:t>万元，比</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降低24.96</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降低15.59</w:t>
      </w:r>
      <w:r>
        <w:rPr>
          <w:rFonts w:hint="default" w:ascii="Times New Roman" w:hAnsi="Times New Roman" w:eastAsia="仿宋_GB2312" w:cs="Times New Roman"/>
          <w:sz w:val="32"/>
          <w:szCs w:val="32"/>
        </w:rPr>
        <w:t>%。主要原因是</w:t>
      </w:r>
      <w:r>
        <w:rPr>
          <w:rFonts w:hint="default" w:ascii="Times New Roman" w:hAnsi="Times New Roman" w:eastAsia="仿宋" w:cs="Times New Roman"/>
          <w:sz w:val="32"/>
          <w:szCs w:val="32"/>
          <w:lang w:eastAsia="zh-CN"/>
        </w:rPr>
        <w:t>2024</w:t>
      </w:r>
      <w:r>
        <w:rPr>
          <w:rFonts w:hint="default" w:ascii="Times New Roman" w:hAnsi="Times New Roman" w:eastAsia="仿宋" w:cs="Times New Roman"/>
          <w:sz w:val="32"/>
          <w:szCs w:val="32"/>
        </w:rPr>
        <w:t>年本单位</w:t>
      </w:r>
      <w:r>
        <w:rPr>
          <w:rFonts w:hint="default" w:ascii="Times New Roman" w:hAnsi="Times New Roman" w:eastAsia="仿宋" w:cs="Times New Roman"/>
          <w:sz w:val="32"/>
          <w:szCs w:val="32"/>
          <w:lang w:val="en-US" w:eastAsia="zh-CN"/>
        </w:rPr>
        <w:t>项目减少</w:t>
      </w:r>
      <w:r>
        <w:rPr>
          <w:rFonts w:hint="default" w:ascii="Times New Roman" w:hAnsi="Times New Roman" w:eastAsia="仿宋" w:cs="Times New Roman"/>
          <w:sz w:val="32"/>
          <w:szCs w:val="32"/>
        </w:rPr>
        <w:t>，</w:t>
      </w:r>
      <w:r>
        <w:rPr>
          <w:rFonts w:hint="eastAsia" w:eastAsia="仿宋" w:cs="Times New Roman"/>
          <w:sz w:val="32"/>
          <w:szCs w:val="32"/>
          <w:lang w:eastAsia="zh-CN"/>
        </w:rPr>
        <w:t>财政拨款</w:t>
      </w:r>
      <w:r>
        <w:rPr>
          <w:rFonts w:hint="default" w:ascii="Times New Roman" w:hAnsi="Times New Roman" w:eastAsia="仿宋" w:cs="Times New Roman"/>
          <w:sz w:val="32"/>
          <w:szCs w:val="32"/>
          <w:lang w:val="en-US" w:eastAsia="zh-CN"/>
        </w:rPr>
        <w:t>及经费支出也相应减少</w:t>
      </w:r>
      <w:r>
        <w:rPr>
          <w:rFonts w:hint="default" w:ascii="Times New Roman" w:hAnsi="Times New Roman" w:eastAsia="仿宋" w:cs="Times New Roman"/>
          <w:sz w:val="32"/>
          <w:szCs w:val="32"/>
        </w:rPr>
        <w:t>。</w:t>
      </w:r>
    </w:p>
    <w:p w14:paraId="2B89A3C1">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仿宋" w:cs="Times New Roman"/>
          <w:b/>
          <w:sz w:val="32"/>
          <w:szCs w:val="32"/>
        </w:rPr>
      </w:pPr>
      <w:bookmarkStart w:id="47" w:name="_Toc15377223"/>
      <w:r>
        <w:rPr>
          <w:rFonts w:hint="default" w:ascii="Times New Roman" w:hAnsi="Times New Roman" w:eastAsia="楷体_GB2312" w:cs="Times New Roman"/>
          <w:b/>
          <w:bCs w:val="0"/>
          <w:sz w:val="32"/>
          <w:szCs w:val="32"/>
        </w:rPr>
        <w:t>（二）政府采购支出情况</w:t>
      </w:r>
      <w:bookmarkEnd w:id="47"/>
    </w:p>
    <w:p w14:paraId="5863ECF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年，白马镇政府采购支出总额0万元，其中：政府采购货物支出0万元、政府采购工程支出0万元、政府采购服务支出0万元。</w:t>
      </w:r>
    </w:p>
    <w:p w14:paraId="01303472">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楷体_GB2312" w:cs="Times New Roman"/>
          <w:b/>
          <w:bCs w:val="0"/>
          <w:sz w:val="32"/>
          <w:szCs w:val="32"/>
        </w:rPr>
      </w:pPr>
      <w:bookmarkStart w:id="48" w:name="_Toc15377224"/>
      <w:r>
        <w:rPr>
          <w:rFonts w:hint="default" w:ascii="Times New Roman" w:hAnsi="Times New Roman" w:eastAsia="楷体_GB2312" w:cs="Times New Roman"/>
          <w:b/>
          <w:bCs w:val="0"/>
          <w:sz w:val="32"/>
          <w:szCs w:val="32"/>
        </w:rPr>
        <w:t>（三）国有资产占有使用情况</w:t>
      </w:r>
      <w:bookmarkEnd w:id="48"/>
    </w:p>
    <w:p w14:paraId="6870E9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w:t>
      </w:r>
      <w:r>
        <w:rPr>
          <w:rFonts w:hint="default"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12月31日，白马镇共有车辆0辆，其中：部级领导干部用车0辆、一般公务用车0辆、一般执法执勤用车0辆、特种专业技术用车0辆、其他用车0辆；单价50万元以上通用设备0台（套），单价100万元以上专用设备0台（套）。</w:t>
      </w:r>
    </w:p>
    <w:p w14:paraId="6AA966AA">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outlineLvl w:val="2"/>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（四）预算绩效管理情况</w:t>
      </w:r>
    </w:p>
    <w:p w14:paraId="4CAC08AB">
      <w:pPr>
        <w:pStyle w:val="8"/>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rPr>
        <w:t>根据预算绩效管理要求，本单位在</w:t>
      </w:r>
      <w:r>
        <w:rPr>
          <w:rFonts w:hint="default" w:ascii="Times New Roman" w:hAnsi="Times New Roman" w:cs="Times New Roman"/>
          <w:sz w:val="32"/>
          <w:szCs w:val="32"/>
          <w:lang w:eastAsia="zh-CN"/>
        </w:rPr>
        <w:t>2024</w:t>
      </w:r>
      <w:r>
        <w:rPr>
          <w:rFonts w:hint="default" w:ascii="Times New Roman" w:hAnsi="Times New Roman" w:cs="Times New Roman"/>
          <w:sz w:val="32"/>
          <w:szCs w:val="32"/>
        </w:rPr>
        <w:t>年度预算编制阶段，组织对乡风文明建设项目等24个项目开展了预算事前绩效评估，对24个项目编制了绩效目标，预算执行过程中，选取5个项目开展绩效监控</w:t>
      </w:r>
      <w:r>
        <w:rPr>
          <w:rFonts w:hint="default" w:ascii="Times New Roman" w:hAnsi="Times New Roman" w:cs="Times New Roman"/>
          <w:sz w:val="32"/>
          <w:szCs w:val="32"/>
          <w:lang w:eastAsia="zh-CN"/>
        </w:rPr>
        <w:t>。</w:t>
      </w:r>
    </w:p>
    <w:p w14:paraId="3CD4296A">
      <w:pPr>
        <w:pStyle w:val="8"/>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default" w:ascii="Times New Roman" w:hAnsi="Times New Roman" w:cs="Times New Roman"/>
          <w:highlight w:val="yellow"/>
        </w:rPr>
      </w:pPr>
      <w:r>
        <w:rPr>
          <w:rFonts w:hint="default" w:ascii="Times New Roman" w:hAnsi="Times New Roman" w:cs="Times New Roman"/>
          <w:sz w:val="32"/>
          <w:szCs w:val="32"/>
        </w:rPr>
        <w:t>组织对</w:t>
      </w:r>
      <w:r>
        <w:rPr>
          <w:rFonts w:hint="default" w:ascii="Times New Roman" w:hAnsi="Times New Roman" w:cs="Times New Roman"/>
          <w:sz w:val="32"/>
          <w:szCs w:val="32"/>
          <w:lang w:eastAsia="zh-CN"/>
        </w:rPr>
        <w:t>2024</w:t>
      </w:r>
      <w:r>
        <w:rPr>
          <w:rFonts w:hint="default" w:ascii="Times New Roman" w:hAnsi="Times New Roman" w:cs="Times New Roman"/>
          <w:sz w:val="32"/>
          <w:szCs w:val="32"/>
        </w:rPr>
        <w:t>年度一般公共预算、政府性基金预算、国有资本经营预算、社会保险基金预算以及资本资产、债券资金等全面开展绩效自评，形成</w:t>
      </w:r>
      <w:r>
        <w:rPr>
          <w:rFonts w:hint="default" w:ascii="Times New Roman" w:hAnsi="Times New Roman" w:cs="Times New Roman"/>
          <w:sz w:val="32"/>
          <w:szCs w:val="32"/>
          <w:lang w:val="en-US" w:eastAsia="zh-CN"/>
        </w:rPr>
        <w:t>白马镇</w:t>
      </w:r>
      <w:r>
        <w:rPr>
          <w:rFonts w:hint="default" w:ascii="Times New Roman" w:hAnsi="Times New Roman" w:cs="Times New Roman"/>
          <w:sz w:val="32"/>
          <w:szCs w:val="32"/>
        </w:rPr>
        <w:t>部门整体绩效自评报告、白马镇安全生产监管经费项目支出绩效评价报告等专项预算项目绩效自评报告，其中，</w:t>
      </w:r>
      <w:r>
        <w:rPr>
          <w:rFonts w:hint="default" w:ascii="Times New Roman" w:hAnsi="Times New Roman" w:cs="Times New Roman"/>
          <w:sz w:val="32"/>
          <w:szCs w:val="32"/>
          <w:lang w:val="en-US" w:eastAsia="zh-CN"/>
        </w:rPr>
        <w:t>白马镇</w:t>
      </w:r>
      <w:r>
        <w:rPr>
          <w:rFonts w:hint="default" w:ascii="Times New Roman" w:hAnsi="Times New Roman" w:cs="Times New Roman"/>
          <w:sz w:val="32"/>
          <w:szCs w:val="32"/>
        </w:rPr>
        <w:t>部门整体绩效自评得分为</w:t>
      </w:r>
      <w:r>
        <w:rPr>
          <w:rFonts w:hint="default" w:ascii="Times New Roman" w:hAnsi="Times New Roman" w:cs="Times New Roman"/>
          <w:sz w:val="32"/>
          <w:szCs w:val="32"/>
          <w:lang w:val="en-US" w:eastAsia="zh-CN"/>
        </w:rPr>
        <w:t>100</w:t>
      </w:r>
      <w:r>
        <w:rPr>
          <w:rFonts w:hint="default" w:ascii="Times New Roman" w:hAnsi="Times New Roman" w:cs="Times New Roman"/>
          <w:sz w:val="32"/>
          <w:szCs w:val="32"/>
        </w:rPr>
        <w:t>分，绩效自评综述：通过加强预算收支管理，不断建立健全内部管理制度，梳理内部管理流程，部门整体支出管理情况得到提升</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并围绕政府全面建成小康社会的发展蓝图，积极履职，强化管理，较</w:t>
      </w:r>
      <w:r>
        <w:rPr>
          <w:rFonts w:hint="eastAsia" w:ascii="Times New Roman" w:cs="Times New Roman"/>
          <w:sz w:val="32"/>
          <w:szCs w:val="32"/>
          <w:lang w:val="en-US" w:eastAsia="zh-CN"/>
        </w:rPr>
        <w:t>好地完成</w:t>
      </w:r>
      <w:r>
        <w:rPr>
          <w:rFonts w:hint="default" w:ascii="Times New Roman" w:hAnsi="Times New Roman" w:cs="Times New Roman"/>
          <w:sz w:val="32"/>
          <w:szCs w:val="32"/>
          <w:lang w:val="en-US" w:eastAsia="zh-CN"/>
        </w:rPr>
        <w:t>了年度工作目标</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白马镇</w:t>
      </w:r>
      <w:r>
        <w:rPr>
          <w:rFonts w:hint="default" w:ascii="Times New Roman" w:hAnsi="Times New Roman" w:cs="Times New Roman"/>
          <w:sz w:val="32"/>
          <w:szCs w:val="32"/>
        </w:rPr>
        <w:t>专项预算项目绩效自评得分</w:t>
      </w:r>
      <w:r>
        <w:rPr>
          <w:rFonts w:hint="default" w:ascii="Times New Roman" w:hAnsi="Times New Roman" w:cs="Times New Roman"/>
          <w:sz w:val="32"/>
          <w:szCs w:val="32"/>
          <w:lang w:val="en-US" w:eastAsia="zh-CN"/>
        </w:rPr>
        <w:t>均</w:t>
      </w:r>
      <w:r>
        <w:rPr>
          <w:rFonts w:hint="default" w:ascii="Times New Roman" w:hAnsi="Times New Roman" w:cs="Times New Roman"/>
          <w:sz w:val="32"/>
          <w:szCs w:val="32"/>
        </w:rPr>
        <w:t>为</w:t>
      </w:r>
      <w:r>
        <w:rPr>
          <w:rFonts w:hint="default" w:ascii="Times New Roman" w:hAnsi="Times New Roman" w:cs="Times New Roman"/>
          <w:sz w:val="32"/>
          <w:szCs w:val="32"/>
          <w:lang w:val="en-US" w:eastAsia="zh-CN"/>
        </w:rPr>
        <w:t>100</w:t>
      </w:r>
      <w:r>
        <w:rPr>
          <w:rFonts w:hint="default" w:ascii="Times New Roman" w:hAnsi="Times New Roman" w:cs="Times New Roman"/>
          <w:sz w:val="32"/>
          <w:szCs w:val="32"/>
        </w:rPr>
        <w:t>分，绩效自评综述：</w:t>
      </w:r>
      <w:r>
        <w:rPr>
          <w:rFonts w:hint="default" w:ascii="Times New Roman" w:hAnsi="Times New Roman" w:cs="Times New Roman"/>
          <w:sz w:val="32"/>
          <w:szCs w:val="32"/>
          <w:lang w:val="en-US" w:eastAsia="zh-CN"/>
        </w:rPr>
        <w:t>各个</w:t>
      </w:r>
      <w:r>
        <w:rPr>
          <w:rFonts w:hint="default" w:ascii="Times New Roman" w:hAnsi="Times New Roman" w:cs="Times New Roman"/>
          <w:sz w:val="32"/>
          <w:szCs w:val="32"/>
        </w:rPr>
        <w:t>项目目标明确、资金到位率高、组织监管体系完善</w:t>
      </w:r>
      <w:r>
        <w:rPr>
          <w:rFonts w:hint="default" w:ascii="Times New Roman" w:hAnsi="Times New Roman" w:cs="Times New Roman"/>
          <w:sz w:val="32"/>
          <w:szCs w:val="32"/>
          <w:lang w:eastAsia="zh-CN"/>
        </w:rPr>
        <w:t>，</w:t>
      </w:r>
      <w:r>
        <w:rPr>
          <w:rFonts w:hint="default" w:ascii="Times New Roman" w:hAnsi="Times New Roman" w:cs="Times New Roman"/>
          <w:sz w:val="32"/>
          <w:szCs w:val="32"/>
        </w:rPr>
        <w:t>白马镇人民政府较好地实现了绩效目标。绩效自评表详见第四部分附件。</w:t>
      </w:r>
    </w:p>
    <w:p w14:paraId="22A3AF5D">
      <w:pPr>
        <w:pageBreakBefore w:val="0"/>
        <w:widowControl/>
        <w:kinsoku/>
        <w:wordWrap/>
        <w:overflowPunct/>
        <w:topLinePunct w:val="0"/>
        <w:bidi w:val="0"/>
        <w:spacing w:line="560" w:lineRule="exact"/>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br w:type="page"/>
      </w:r>
    </w:p>
    <w:p w14:paraId="1B21F8D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Style w:val="21"/>
          <w:rFonts w:hint="default" w:ascii="Times New Roman" w:hAnsi="Times New Roman" w:eastAsia="方正小标宋简体" w:cs="Times New Roman"/>
          <w:b w:val="0"/>
        </w:rPr>
      </w:pPr>
      <w:bookmarkStart w:id="49" w:name="_Toc15377225"/>
      <w:bookmarkStart w:id="50" w:name="_Toc15396613"/>
      <w:r>
        <w:rPr>
          <w:rFonts w:hint="default" w:ascii="Times New Roman" w:hAnsi="Times New Roman" w:eastAsia="方正小标宋简体" w:cs="Times New Roman"/>
          <w:sz w:val="44"/>
          <w:szCs w:val="44"/>
          <w:lang w:eastAsia="zh-CN"/>
        </w:rPr>
        <w:t>第三部分</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名</w:t>
      </w:r>
      <w:r>
        <w:rPr>
          <w:rStyle w:val="21"/>
          <w:rFonts w:hint="default" w:ascii="Times New Roman" w:hAnsi="Times New Roman" w:eastAsia="方正小标宋简体" w:cs="Times New Roman"/>
          <w:b w:val="0"/>
        </w:rPr>
        <w:t>词解释</w:t>
      </w:r>
      <w:bookmarkEnd w:id="49"/>
      <w:bookmarkEnd w:id="50"/>
    </w:p>
    <w:p w14:paraId="5B3FE0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sz w:val="44"/>
          <w:szCs w:val="44"/>
        </w:rPr>
      </w:pPr>
    </w:p>
    <w:p w14:paraId="48B2B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51" w:name="_Toc15377226"/>
      <w:r>
        <w:rPr>
          <w:rFonts w:hint="default" w:ascii="Times New Roman" w:hAnsi="Times New Roman" w:eastAsia="仿宋_GB2312" w:cs="Times New Roman"/>
          <w:sz w:val="32"/>
          <w:szCs w:val="32"/>
        </w:rPr>
        <w:t>1.财政拨款收入：指单位从同级财政部门取得的财政预算资金。</w:t>
      </w:r>
    </w:p>
    <w:p w14:paraId="47989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14:paraId="19B55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14:paraId="03075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w:t>
      </w:r>
    </w:p>
    <w:p w14:paraId="71F41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14:paraId="5767A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14:paraId="17CDD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14:paraId="1A07E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14:paraId="20B2F2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9.一般公共服务（类）人大事务（款）代表工作（项）: 指乡镇人大代表监督、视察等工作。</w:t>
      </w:r>
    </w:p>
    <w:p w14:paraId="6CCD4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10.一般公共服务（类）人大事务（款）其他人大事务支出（项）:指乡镇人大代表工作。</w:t>
      </w:r>
    </w:p>
    <w:p w14:paraId="704F5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一般公共服务（类）政府办公厅（室）及相关机构事务（款）行政运行（项）: 指反映行政单位（包括实行公务员管理的事业单位）的基本支出。</w:t>
      </w:r>
    </w:p>
    <w:p w14:paraId="2450F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一般公共服务（类）政府办公厅（室）及相关机构事务（款）信访事务（项）: 指用于接待群众来信来访方面的支出。</w:t>
      </w:r>
    </w:p>
    <w:p w14:paraId="68040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一般公共服务（类）政府办公厅（室）及相关机构事务（款）  其他政府办公厅（室）及相关机构事务支出（项）: 指其他政府办公厅（室）及相关机构事务支出。</w:t>
      </w:r>
    </w:p>
    <w:p w14:paraId="7456F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一般公共服务（类）统计信息事务（款）其他统计信息事务支出（项）: 指镇（街道）统计工作支出。</w:t>
      </w:r>
    </w:p>
    <w:p w14:paraId="4EA5CD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 一般公共服务（类）纪检监察事务（款）其他纪检监察事务支出（项）: 指乡镇监察工作支出。</w:t>
      </w:r>
    </w:p>
    <w:p w14:paraId="0B7B5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16.一般公共服务（类）群众团体事务（款）行政运行（项）: 指其他群众团体事务支出。</w:t>
      </w:r>
    </w:p>
    <w:p w14:paraId="32488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17.一般公共服务（类）群众团体事务（款）其他群众团体事务支出（项）: 指镇（街道）团委工作支出。</w:t>
      </w:r>
    </w:p>
    <w:p w14:paraId="569E5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 文化旅游体育与传媒（类）文化和旅游（款）  其他文化和旅游支出（项）: 指其他文化和旅游支出。</w:t>
      </w:r>
    </w:p>
    <w:p w14:paraId="1119B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 社会保障和就业（类）民政管理事务（款） 其他民政管理事务支出（项）: 指创新社区管理工作支出。</w:t>
      </w:r>
    </w:p>
    <w:p w14:paraId="6D23F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 社会保障和就业（类）行政事业单位养老支出（款）机关事业单位基本养老保险缴费支出（项）: 指机关事业单位实施养老保险制度由单位缴纳的基本养老保险费支出。</w:t>
      </w:r>
    </w:p>
    <w:p w14:paraId="6BC11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 社会保障和就业（类）其他社会保障和就业支出（款）其他社会保障和就业支出(项）: 指其他用于社会保障和就业的支出。</w:t>
      </w:r>
    </w:p>
    <w:p w14:paraId="60E94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 卫生健康（类）卫生健康管理事务（款）行政运行(项）: 指反映事业单位的基本支出。</w:t>
      </w:r>
    </w:p>
    <w:p w14:paraId="507CB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 卫生健康（类）公共卫生（款）突发公共卫生事件应急处理(项）: 指用于突发公共卫生事件应急处理的支出。</w:t>
      </w:r>
    </w:p>
    <w:p w14:paraId="1179F6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 卫生健康（类）行政事业单位医疗（款）行政单位医疗(项）: 指财政部门安排的行政单位（包括实行公务员管理的事业单位）基本医疗保险缴费经费，未参加医疗保险的行政单位的公费医疗经费，按国家规定享受离休人员、红军老战士待遇人员的医疗经费。</w:t>
      </w:r>
    </w:p>
    <w:p w14:paraId="18C930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 卫生健康（类）行政事业单位医疗（款）事业单位医疗(项）: 指财政部门安排的事业单位医疗补助经费。</w:t>
      </w:r>
    </w:p>
    <w:p w14:paraId="7D3AE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 卫生健康（类）行政事业单位医疗（款）公务员医疗补助(项）: 指财政部门安排的公务员医疗补助经费。</w:t>
      </w:r>
    </w:p>
    <w:p w14:paraId="74002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 卫生健康（类）行政事业单位医疗（款）其他行政事业单位医疗支出(项）: 指财政部门安排的其他行政事业医疗保险缴费经费。</w:t>
      </w:r>
    </w:p>
    <w:p w14:paraId="1F2997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 节能环保（类）污染防治（款）水体(项）: 指高滩坝饮用水源保护专项工作支出。</w:t>
      </w:r>
    </w:p>
    <w:p w14:paraId="060D85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 节能环保（类）自然生态保护（款）农村环境保护(项）: 指环境卫生整治支出。</w:t>
      </w:r>
    </w:p>
    <w:p w14:paraId="1C9A5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 城乡社区（类）城乡社区公共设施（款）其他城乡社区公共设施支出(项）: 指乡镇基础设施和场镇街道维护支出。</w:t>
      </w:r>
    </w:p>
    <w:p w14:paraId="6221D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 农林水（类）农业农村（款）事业运行(项）:指用于农业事业单位基本支出。</w:t>
      </w:r>
    </w:p>
    <w:p w14:paraId="4FFFB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 农林水（类）农村综合改革（款）对村民委员会和村党支部的补助(项）: 指各级财政对村民委员会和村党支部的补助支出，以及支持建立县级基本财力保障机制安排的村级组织运转奖补资金。</w:t>
      </w:r>
    </w:p>
    <w:p w14:paraId="11DAD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 住房保障（类）住房改革支出（款）住房公积金(项）: 指缴纳住房公积金支出。</w:t>
      </w:r>
    </w:p>
    <w:p w14:paraId="60FC2E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34.基本支出：指为保障机构正常运转、完成日常工作任务而发生的人员支出和公用支出。</w:t>
      </w:r>
    </w:p>
    <w:p w14:paraId="18E37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35.项目支出：指在基本支出之外为完成特定行政任务和事业发展目标所发生的支出。 </w:t>
      </w:r>
    </w:p>
    <w:p w14:paraId="616E7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36.经营支出：指事业单位在专业业务活动及其辅助活动之外开展非独立核算经营活动发生的支出。</w:t>
      </w:r>
    </w:p>
    <w:p w14:paraId="50528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231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4F27853">
      <w:pPr>
        <w:pStyle w:val="14"/>
      </w:pPr>
    </w:p>
    <w:p w14:paraId="21D242DE"/>
    <w:p w14:paraId="4624E48D">
      <w:pPr>
        <w:pStyle w:val="14"/>
      </w:pPr>
    </w:p>
    <w:p w14:paraId="3D373E50"/>
    <w:p w14:paraId="4CA0F895">
      <w:pPr>
        <w:pStyle w:val="20"/>
      </w:pPr>
    </w:p>
    <w:p w14:paraId="7D5BEB59"/>
    <w:p w14:paraId="75DBD1BF">
      <w:pPr>
        <w:pStyle w:val="20"/>
      </w:pPr>
    </w:p>
    <w:p w14:paraId="14448834"/>
    <w:p w14:paraId="30B21E17">
      <w:pPr>
        <w:pStyle w:val="20"/>
      </w:pPr>
    </w:p>
    <w:p w14:paraId="5C38B433"/>
    <w:p w14:paraId="6CFCEEBE">
      <w:pPr>
        <w:pStyle w:val="20"/>
      </w:pPr>
    </w:p>
    <w:p w14:paraId="18FDC41D"/>
    <w:p w14:paraId="333E16BE">
      <w:pPr>
        <w:pStyle w:val="20"/>
      </w:pPr>
    </w:p>
    <w:p w14:paraId="3C100021"/>
    <w:p w14:paraId="667E7324">
      <w:pPr>
        <w:pStyle w:val="20"/>
      </w:pPr>
    </w:p>
    <w:p w14:paraId="44656410"/>
    <w:p w14:paraId="4DCAAEB6">
      <w:pPr>
        <w:pStyle w:val="20"/>
      </w:pPr>
    </w:p>
    <w:p w14:paraId="5F3D13BD"/>
    <w:p w14:paraId="6A18F412">
      <w:pPr>
        <w:pStyle w:val="20"/>
      </w:pPr>
    </w:p>
    <w:p w14:paraId="4CE3D5D0"/>
    <w:p w14:paraId="1D41E802">
      <w:pPr>
        <w:pStyle w:val="20"/>
      </w:pPr>
    </w:p>
    <w:p w14:paraId="7E06FC7A"/>
    <w:p w14:paraId="38AA1EAA">
      <w:pPr>
        <w:pStyle w:val="14"/>
      </w:pPr>
    </w:p>
    <w:p w14:paraId="54C2CA86"/>
    <w:p w14:paraId="71FF5D70">
      <w:pPr>
        <w:pStyle w:val="14"/>
      </w:pPr>
    </w:p>
    <w:p w14:paraId="4BE49330"/>
    <w:p w14:paraId="2E6DFF87">
      <w:pPr>
        <w:pStyle w:val="2"/>
      </w:pPr>
    </w:p>
    <w:p w14:paraId="31D52C8E">
      <w:pPr>
        <w:pStyle w:val="3"/>
      </w:pPr>
    </w:p>
    <w:p w14:paraId="4847E7CE">
      <w:pPr>
        <w:pStyle w:val="3"/>
      </w:pPr>
    </w:p>
    <w:p w14:paraId="180E9B8B">
      <w:pPr>
        <w:pStyle w:val="3"/>
      </w:pPr>
    </w:p>
    <w:p w14:paraId="4ADE9304">
      <w:pPr>
        <w:pStyle w:val="3"/>
      </w:pPr>
    </w:p>
    <w:p w14:paraId="527E61A4">
      <w:pPr>
        <w:pStyle w:val="3"/>
      </w:pPr>
    </w:p>
    <w:p w14:paraId="3148147C">
      <w:pPr>
        <w:pStyle w:val="3"/>
      </w:pPr>
    </w:p>
    <w:p w14:paraId="62FD23AC">
      <w:pPr>
        <w:pStyle w:val="14"/>
      </w:pPr>
    </w:p>
    <w:p w14:paraId="0359BAB3">
      <w:pPr>
        <w:keepNext w:val="0"/>
        <w:keepLines w:val="0"/>
        <w:pageBreakBefore w:val="0"/>
        <w:kinsoku/>
        <w:wordWrap/>
        <w:overflowPunct/>
        <w:topLinePunct w:val="0"/>
        <w:autoSpaceDE/>
        <w:autoSpaceDN/>
        <w:bidi w:val="0"/>
        <w:adjustRightInd/>
        <w:snapToGrid/>
        <w:spacing w:line="560" w:lineRule="exact"/>
        <w:ind w:firstLine="2640" w:firstLineChars="600"/>
        <w:textAlignment w:val="auto"/>
        <w:rPr>
          <w:rFonts w:hint="eastAsia"/>
          <w:lang w:val="en-US" w:eastAsia="zh-CN"/>
        </w:rPr>
      </w:pPr>
      <w:bookmarkStart w:id="52" w:name="_Toc15396614"/>
      <w:r>
        <w:rPr>
          <w:rFonts w:hint="eastAsia" w:ascii="方正小标宋简体" w:hAnsi="方正小标宋简体" w:eastAsia="方正小标宋简体" w:cs="方正小标宋简体"/>
          <w:b w:val="0"/>
          <w:bCs w:val="0"/>
          <w:sz w:val="44"/>
          <w:szCs w:val="44"/>
        </w:rPr>
        <w:t>第</w:t>
      </w:r>
      <w:r>
        <w:rPr>
          <w:rStyle w:val="21"/>
          <w:rFonts w:hint="eastAsia" w:ascii="方正小标宋简体" w:hAnsi="方正小标宋简体" w:eastAsia="方正小标宋简体" w:cs="方正小标宋简体"/>
          <w:b w:val="0"/>
          <w:bCs w:val="0"/>
        </w:rPr>
        <w:t>四部分 附件</w:t>
      </w:r>
      <w:bookmarkEnd w:id="52"/>
    </w:p>
    <w:p w14:paraId="1ECD700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14:paraId="66C4DF1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rPr>
      </w:pPr>
      <w:r>
        <w:rPr>
          <w:rFonts w:hint="default" w:ascii="Times New Roman" w:hAnsi="Times New Roman" w:eastAsia="方正小标宋简体" w:cs="Times New Roman"/>
          <w:b w:val="0"/>
          <w:bCs w:val="0"/>
          <w:color w:val="000000"/>
          <w:kern w:val="0"/>
          <w:sz w:val="36"/>
          <w:szCs w:val="36"/>
          <w:lang w:val="en-US" w:eastAsia="zh-CN" w:bidi="ar"/>
        </w:rPr>
        <w:t>白马镇 2024年部门整体支出绩效评价报告</w:t>
      </w:r>
    </w:p>
    <w:p w14:paraId="47CE73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color w:val="000000"/>
          <w:kern w:val="0"/>
          <w:sz w:val="31"/>
          <w:szCs w:val="31"/>
          <w:lang w:val="en-US" w:eastAsia="zh-CN" w:bidi="ar"/>
        </w:rPr>
      </w:pPr>
    </w:p>
    <w:p w14:paraId="0F798DF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kern w:val="0"/>
          <w:sz w:val="32"/>
          <w:szCs w:val="32"/>
          <w:lang w:val="en-US" w:eastAsia="zh-CN" w:bidi="ar"/>
        </w:rPr>
        <w:t xml:space="preserve">一、部门（单位）概况 </w:t>
      </w:r>
    </w:p>
    <w:p w14:paraId="182CAE0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color w:val="000000"/>
          <w:kern w:val="0"/>
          <w:sz w:val="32"/>
          <w:szCs w:val="32"/>
          <w:lang w:val="en-US" w:eastAsia="zh-CN" w:bidi="ar"/>
        </w:rPr>
        <w:t xml:space="preserve">（一）机构组成 </w:t>
      </w:r>
    </w:p>
    <w:p w14:paraId="6DC584E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白马镇人民政府属于一级预算单位。内设机构 7个，党政办公室、党建办公室、经济发展和乡村振兴办公室、社会事务和社会治理办公室、镇村建设办公室、应急管理办公室及综合执法办公室。 </w:t>
      </w:r>
    </w:p>
    <w:p w14:paraId="7E8C3E7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（二）机构职能</w:t>
      </w:r>
    </w:p>
    <w:p w14:paraId="7A7AC7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加强党的建设。强化党的经济建设、政治建设、文化建设、社会建设、生态文明建设。落实党建工作责任制，加强意识形态工作，推进全面从严治党。推进村（社区）党建、机关党建、行业党建互联互动。加强对人大工作机构、政协、人武部、群团组织等的领导。</w:t>
      </w:r>
    </w:p>
    <w:p w14:paraId="46F7A5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2、促进经济发展。编制实施辖区经济社会发展、国土空间等各项规划。加快构建现代乡村产业体系，因地制宜发展特色产业，促进农村一、二、三产业融合发展，发展壮大农村集体经济，促进农民持续增收致富，推动镇、村（社区）经济高质量发展，有效推进乡村全面振兴。 </w:t>
      </w:r>
    </w:p>
    <w:p w14:paraId="3678D1A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强化民生服务。组织实施辖区内各项公共服务，落实民生保障政策。加强辖区内公共基础设施、农田水利和各项公益事业建设，积极构建公共服务均等化体系。健全完善镇村两级为民服务体系，加强政府服务规范化建设。</w:t>
      </w:r>
    </w:p>
    <w:p w14:paraId="54C6F89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4、维护社会稳定。依法开展公共安全、平安建设、社会治安综合治理、安全生产监管、应急管理等工作，保障辖区内公民和各类经济组织的合法权益。推行网格化管理和服务，加强社会治安群防群治，及时化解各类矛盾纠纷。</w:t>
      </w:r>
    </w:p>
    <w:p w14:paraId="2F819CF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5、指导基层自治。完善党组织领导下的基层社会治理体系，提高基层自治水平，加强和改进对基层党组织的领导，指导和帮助村（社区）依法自治，推进村务公开、财务公开，促进村（社区）居民委员会的组织建设和制度建设。 </w:t>
      </w:r>
    </w:p>
    <w:p w14:paraId="012084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6.实施综合管理。依法履行上级赋予的行政执法权限，统筹协调辖区内派驻机构和派驻人员，依法开展综合执法，做好监督检查等事中事后监管工作。动员辖区内各类社会力量参与社会治理，引导辖区内单位履行社会责任。</w:t>
      </w:r>
    </w:p>
    <w:p w14:paraId="0CF666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7.完成区委、区政府交办的其他工作任务。 </w:t>
      </w:r>
    </w:p>
    <w:p w14:paraId="487182F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（三）人员概况</w:t>
      </w:r>
    </w:p>
    <w:p w14:paraId="25C30E0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rPr>
      </w:pPr>
      <w:r>
        <w:rPr>
          <w:rFonts w:hint="default" w:ascii="Times New Roman" w:hAnsi="Times New Roman" w:eastAsia="仿宋_GB2312" w:cs="Times New Roman"/>
          <w:color w:val="000000"/>
          <w:kern w:val="0"/>
          <w:sz w:val="31"/>
          <w:szCs w:val="31"/>
          <w:lang w:val="en-US" w:eastAsia="zh-CN" w:bidi="ar"/>
        </w:rPr>
        <w:t>2024年白马镇实际共有在编人员 5 1 人，其中：行政编制 35人，事业编制 16人，另有临聘人员5人.</w:t>
      </w:r>
    </w:p>
    <w:p w14:paraId="59AB8D3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二、部门财政资金收支情况 </w:t>
      </w:r>
    </w:p>
    <w:p w14:paraId="14224FC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 xml:space="preserve">（一）部门财政资金收入情况。 </w:t>
      </w:r>
    </w:p>
    <w:p w14:paraId="1B6829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2024年本年收入合计2061.7万元，其中：一般公共预算拨款收入1954.38万元，占94.79%；政府性基金预算收入107.32万元，占5.21%。   </w:t>
      </w:r>
    </w:p>
    <w:p w14:paraId="03BEC98C">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 xml:space="preserve">（二）部门财政资金支出情况。 </w:t>
      </w:r>
    </w:p>
    <w:p w14:paraId="3EC492F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白马镇人民政府2024年支出预算2061.7万元，其中：基本支出1620.96万元，占78.62%；项目支出440.74万，占21.38%。</w:t>
      </w:r>
    </w:p>
    <w:p w14:paraId="5E368C4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三、部门整体预算绩效管理情况</w:t>
      </w:r>
    </w:p>
    <w:p w14:paraId="579CB45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（一）部门预算总体绩效分析</w:t>
      </w:r>
    </w:p>
    <w:p w14:paraId="37CACFA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1</w:t>
      </w:r>
      <w:r>
        <w:rPr>
          <w:rFonts w:hint="eastAsia" w:ascii="仿宋_GB2312" w:hAnsi="仿宋_GB2312" w:eastAsia="仿宋_GB2312" w:cs="仿宋_GB2312"/>
          <w:b/>
          <w:bCs/>
          <w:color w:val="000000"/>
          <w:kern w:val="0"/>
          <w:sz w:val="32"/>
          <w:szCs w:val="32"/>
          <w:lang w:val="en-US" w:eastAsia="zh-CN" w:bidi="ar"/>
        </w:rPr>
        <w:t>、履职效能</w:t>
      </w:r>
    </w:p>
    <w:p w14:paraId="06EECCB3">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(1)经济发展情况</w:t>
      </w:r>
    </w:p>
    <w:p w14:paraId="651112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我镇成功引进多家企业创立农业农村合作社，大力发展并推动了本地农业现代化进程，创建了如遂宁</w:t>
      </w:r>
      <w:r>
        <w:rPr>
          <w:rFonts w:hint="eastAsia" w:eastAsia="仿宋_GB2312" w:cs="Times New Roman"/>
          <w:color w:val="000000"/>
          <w:kern w:val="0"/>
          <w:sz w:val="32"/>
          <w:szCs w:val="32"/>
          <w:lang w:val="en-US" w:eastAsia="zh-CN" w:bidi="ar"/>
        </w:rPr>
        <w:t>红薯等优质品牌</w:t>
      </w:r>
      <w:r>
        <w:rPr>
          <w:rFonts w:hint="default" w:ascii="Times New Roman" w:hAnsi="Times New Roman" w:eastAsia="仿宋_GB2312" w:cs="Times New Roman"/>
          <w:color w:val="000000"/>
          <w:kern w:val="0"/>
          <w:sz w:val="32"/>
          <w:szCs w:val="32"/>
          <w:lang w:val="en-US" w:eastAsia="zh-CN" w:bidi="ar"/>
        </w:rPr>
        <w:t>农产品，同时积极争取上级资金支持，改善了基础设施建设，并随时与上级部门沟通协调，确保农业发展项目顺利实施。</w:t>
      </w:r>
    </w:p>
    <w:p w14:paraId="5D8495F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（2）环境保护情况</w:t>
      </w:r>
    </w:p>
    <w:p w14:paraId="5FCC198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2"/>
          <w:szCs w:val="32"/>
          <w:lang w:val="en-US" w:eastAsia="zh-CN" w:bidi="ar"/>
        </w:rPr>
        <w:t>我镇严守生态红线，完成琼江河沿线污水管网改造工程，全镇禽畜整治覆盖率达到90%以上；新增绿化面积200亩，秸秆综合利用率达到95%以上。</w:t>
      </w:r>
    </w:p>
    <w:p w14:paraId="3CDD6589">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公共安全维护管理情况</w:t>
      </w:r>
    </w:p>
    <w:p w14:paraId="6C5A6F1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全镇落实安全生产网格化管理，大力排查整改存在的安全隐患点，全年未发生重大安全事故；多次组织民兵开展防汛防火演练，提高应急响应效率；与派出所一起组织成立禁毒安全工作小组，全面季度排查全镇禁毒情况。</w:t>
      </w:r>
    </w:p>
    <w:p w14:paraId="13F2111A">
      <w:pPr>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firstLine="620" w:firstLineChars="200"/>
        <w:jc w:val="left"/>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群众满意度情况</w:t>
      </w:r>
    </w:p>
    <w:p w14:paraId="20ED304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通过完成村道路硬化、饮水工程改造惠及上百户群众；开展“送医下乡”等活动，并解决群众急难愁盼各项问题100多件。第三方测评显示，群众满意度达到95%以上。</w:t>
      </w:r>
    </w:p>
    <w:p w14:paraId="3AA55DB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2、部门预算管理</w:t>
      </w:r>
    </w:p>
    <w:p w14:paraId="2185B8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根据2024年初预算批复文件及2024年1-12月预算可执行情况表，2024年支出总额控制在预算总额以内，本年部门预算未进行预算相关事项的调整。本单位2024年偏离度0%，但在部分项目预算细化上仍有不足；单位收入统筹能力较强，能充分利用各类资金来源；支出执行进度达到 100%，存在个别项目因客观因素导致进度缓慢；预算年终结余资金0万元；一般性支出得到有效控制，“三公”经费总体控制较好， 未超本年预算和上年决算支出未超预算标准，得 30 分。  </w:t>
      </w:r>
    </w:p>
    <w:p w14:paraId="13B7F66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3.资产管理</w:t>
      </w:r>
    </w:p>
    <w:p w14:paraId="38E7E51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24年本单位人均资产变化率大于24年市直行政事业单位人均资产变化率平均值，主要因部分办公设备更新购置及多项产品达到了折旧报废年限；资产利用率达到 60%，通过定期清查盘点，合理调配资产，提高使用效率；资产盘活率 80%，对闲置资产进行了清理和处置，得4.2 分。</w:t>
      </w:r>
    </w:p>
    <w:p w14:paraId="1EE67E5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4.采购管理</w:t>
      </w:r>
    </w:p>
    <w:p w14:paraId="1EE86B1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在采购过程中，严格执行政府采购政策，积极支持中小企业发展，中小企业采购比例达到 100%；采购执行率为100%，得6分。</w:t>
      </w:r>
    </w:p>
    <w:p w14:paraId="65B3A8F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5.财务管理</w:t>
      </w:r>
    </w:p>
    <w:p w14:paraId="208832F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建立健全财务管理制度，明确财务岗位设置及职责分工；资金使用严格按照规定流程审批，确保规范安全，但在财务档案管理的规范性上还需进一步加强。</w:t>
      </w:r>
    </w:p>
    <w:p w14:paraId="03667BC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color w:val="000000"/>
          <w:kern w:val="0"/>
          <w:sz w:val="32"/>
          <w:szCs w:val="32"/>
          <w:lang w:val="en-US" w:eastAsia="zh-CN" w:bidi="ar"/>
        </w:rPr>
        <w:t xml:space="preserve">（二）专项预算管理。 </w:t>
      </w:r>
    </w:p>
    <w:p w14:paraId="4E40EE93">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1</w:t>
      </w:r>
      <w:r>
        <w:rPr>
          <w:rFonts w:hint="eastAsia"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常年项目绩效分析</w:t>
      </w:r>
    </w:p>
    <w:p w14:paraId="284C0F5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常年项目总数为16个，涉及预算总金额260.94万元，1 - 12 月预算执行总体进度为 100%。其中，预算结余率大于 10% 的项目共计 0个。</w:t>
      </w:r>
    </w:p>
    <w:p w14:paraId="5E18240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2</w:t>
      </w:r>
      <w:r>
        <w:rPr>
          <w:rFonts w:hint="eastAsia"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阶段（一次性）项目绩效分析</w:t>
      </w:r>
    </w:p>
    <w:p w14:paraId="3345561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阶段（一次性）项目总数为0个，涉及预算总金额0万元，1 - 12 月预算执行总体进度为 100%。其中，预算结余率大于 10% 的项目共计0 个。</w:t>
      </w:r>
    </w:p>
    <w:p w14:paraId="28AC040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3</w:t>
      </w:r>
      <w:r>
        <w:rPr>
          <w:rFonts w:hint="eastAsia"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项目决策</w:t>
      </w:r>
    </w:p>
    <w:p w14:paraId="247DA2A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项目决策程序基本规范，按照规定进行立项审批；目标设置明确，与乡镇发展规划和实际需求紧密结合；但部分项目在入库审核时，对项目可行性研究不够深入，得12分。</w:t>
      </w:r>
    </w:p>
    <w:p w14:paraId="440F548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4</w:t>
      </w:r>
      <w:r>
        <w:rPr>
          <w:rFonts w:hint="eastAsia"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项目执行</w:t>
      </w:r>
    </w:p>
    <w:p w14:paraId="6A0261A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资金执行基本与项目进度同向，但存在个别项目因资金调度不及时影响推进；项目调整严格履行审批手续；执行结果大部分达到预期目标，得 15分。</w:t>
      </w:r>
    </w:p>
    <w:p w14:paraId="2B4C963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5</w:t>
      </w:r>
      <w:r>
        <w:rPr>
          <w:rFonts w:hint="eastAsia" w:ascii="Times New Roman" w:hAnsi="Times New Roman" w:eastAsia="仿宋_GB2312" w:cs="Times New Roman"/>
          <w:b/>
          <w:bCs/>
          <w:color w:val="000000"/>
          <w:kern w:val="0"/>
          <w:sz w:val="32"/>
          <w:szCs w:val="32"/>
          <w:lang w:val="en-US" w:eastAsia="zh-CN" w:bidi="ar"/>
        </w:rPr>
        <w:t>、</w:t>
      </w:r>
      <w:r>
        <w:rPr>
          <w:rFonts w:hint="default" w:ascii="Times New Roman" w:hAnsi="Times New Roman" w:eastAsia="仿宋_GB2312" w:cs="Times New Roman"/>
          <w:b/>
          <w:bCs/>
          <w:color w:val="000000"/>
          <w:kern w:val="0"/>
          <w:sz w:val="32"/>
          <w:szCs w:val="32"/>
          <w:lang w:val="en-US" w:eastAsia="zh-CN" w:bidi="ar"/>
        </w:rPr>
        <w:t>目标实现</w:t>
      </w:r>
    </w:p>
    <w:p w14:paraId="52303D0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多数项目目标完成情况良好，实现了预期效果，但仍有部分项目因外部因素导致目标偏离，如部分道路建设项目因征地困难未能完全按计划完成里程数，得17 分。</w:t>
      </w:r>
    </w:p>
    <w:p w14:paraId="38A187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项目资金，从立项、审批、设计、财评、建设、验收、审计全程监管，并由专人具体负责项目实施，取得了较好的经济效益和社会效益。 </w:t>
      </w:r>
    </w:p>
    <w:p w14:paraId="0578EEFF">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（三）重点领域绩效分析</w:t>
      </w:r>
    </w:p>
    <w:p w14:paraId="4DE59C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本乡镇 2024 年度涉及政府采购项目 1个，采购总金额5.4万元，严格按照采购流程执行，未出现违规采购行为。</w:t>
      </w:r>
    </w:p>
    <w:p w14:paraId="159D4692">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 xml:space="preserve">（四）结果应用情况。 </w:t>
      </w:r>
    </w:p>
    <w:p w14:paraId="750491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内部应用方面，将绩效评价结果作为下一年度预算安排、项目调整的重要依据；信息公开方面，按规定及时公开部门预算、决算及绩效评价结果，接受社会监督；整改反馈方面，针对绩效评价中发现的问题，及时制定整改措施并落实，不断改进管理水平。</w:t>
      </w:r>
    </w:p>
    <w:p w14:paraId="1915B3AD">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黑体" w:cs="Times New Roman"/>
          <w:b w:val="0"/>
          <w:bCs w:val="0"/>
          <w:color w:val="000000"/>
          <w:kern w:val="0"/>
          <w:sz w:val="32"/>
          <w:szCs w:val="32"/>
          <w:lang w:val="en-US" w:eastAsia="zh-CN" w:bidi="ar"/>
        </w:rPr>
      </w:pPr>
      <w:r>
        <w:rPr>
          <w:rFonts w:hint="default" w:ascii="Times New Roman" w:hAnsi="Times New Roman" w:eastAsia="黑体" w:cs="Times New Roman"/>
          <w:b w:val="0"/>
          <w:bCs w:val="0"/>
          <w:color w:val="000000"/>
          <w:kern w:val="0"/>
          <w:sz w:val="32"/>
          <w:szCs w:val="32"/>
          <w:lang w:val="en-US" w:eastAsia="zh-CN" w:bidi="ar"/>
        </w:rPr>
        <w:t>四、评价结论及建议</w:t>
      </w:r>
    </w:p>
    <w:p w14:paraId="2C89591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color w:val="000000"/>
          <w:kern w:val="0"/>
          <w:sz w:val="32"/>
          <w:szCs w:val="32"/>
          <w:lang w:val="en-US" w:eastAsia="zh-CN" w:bidi="ar"/>
        </w:rPr>
        <w:t>（一）评价结论</w:t>
      </w:r>
    </w:p>
    <w:p w14:paraId="6C3EEF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2024年，根据镇年初工作规划和重点性工作，积极履职，强化管理，较</w:t>
      </w:r>
      <w:r>
        <w:rPr>
          <w:rFonts w:hint="eastAsia" w:eastAsia="仿宋_GB2312" w:cs="Times New Roman"/>
          <w:color w:val="000000"/>
          <w:kern w:val="0"/>
          <w:sz w:val="32"/>
          <w:szCs w:val="32"/>
          <w:lang w:val="en-US" w:eastAsia="zh-CN" w:bidi="ar"/>
        </w:rPr>
        <w:t>好地完成</w:t>
      </w:r>
      <w:r>
        <w:rPr>
          <w:rFonts w:hint="default" w:ascii="Times New Roman" w:hAnsi="Times New Roman" w:eastAsia="仿宋_GB2312" w:cs="Times New Roman"/>
          <w:color w:val="000000"/>
          <w:kern w:val="0"/>
          <w:sz w:val="32"/>
          <w:szCs w:val="32"/>
          <w:lang w:val="en-US" w:eastAsia="zh-CN" w:bidi="ar"/>
        </w:rPr>
        <w:t xml:space="preserve">了年度工作目标。通过加强预算收支管理，不断建立健全内部管理制度，梳理内部管理流程，部门整体支出管理情况得到提升。整体来看，部门预算资金使用规范，在履行职能职责、推动乡镇发展方面取得了一定成效，但在预算管理、项目执行等方面仍存在一些不足。 </w:t>
      </w:r>
    </w:p>
    <w:p w14:paraId="7E550F5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（二）存在问题</w:t>
      </w:r>
    </w:p>
    <w:p w14:paraId="51C78B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在看到成绩的同时，我们也清醒地意识到，在与人民群众的要求相比，还存在一些不足和问题，主要体现在以下几个方面： </w:t>
      </w:r>
    </w:p>
    <w:p w14:paraId="0AFB955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1、农业产业发展特色不明显，</w:t>
      </w:r>
      <w:r>
        <w:rPr>
          <w:rFonts w:hint="default" w:ascii="Times New Roman" w:hAnsi="Times New Roman" w:eastAsia="仿宋_GB2312" w:cs="Times New Roman"/>
          <w:color w:val="000000"/>
          <w:kern w:val="0"/>
          <w:sz w:val="32"/>
          <w:szCs w:val="32"/>
          <w:lang w:val="en-US" w:eastAsia="zh-CN" w:bidi="ar"/>
        </w:rPr>
        <w:t xml:space="preserve">对农业产业化经营投入和服务不够，缺乏资金和技术扶持; </w:t>
      </w:r>
    </w:p>
    <w:p w14:paraId="3A991BB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 xml:space="preserve">2、农村基础设施建设仍需大力加强; </w:t>
      </w:r>
    </w:p>
    <w:p w14:paraId="7CF9F2B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3、财务制度方面不够规范、</w:t>
      </w:r>
      <w:r>
        <w:rPr>
          <w:rFonts w:hint="default" w:ascii="Times New Roman" w:hAnsi="Times New Roman" w:eastAsia="仿宋_GB2312" w:cs="Times New Roman"/>
          <w:color w:val="000000"/>
          <w:kern w:val="0"/>
          <w:sz w:val="32"/>
          <w:szCs w:val="32"/>
          <w:lang w:val="en-US" w:eastAsia="zh-CN" w:bidi="ar"/>
        </w:rPr>
        <w:t>人员分工不明等原因造成的财务工作的拖延和滞后。</w:t>
      </w:r>
    </w:p>
    <w:p w14:paraId="10B4775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4、预算编制的精准性有待提高，</w:t>
      </w:r>
      <w:r>
        <w:rPr>
          <w:rFonts w:hint="default" w:ascii="Times New Roman" w:hAnsi="Times New Roman" w:eastAsia="仿宋_GB2312" w:cs="Times New Roman"/>
          <w:color w:val="000000"/>
          <w:kern w:val="0"/>
          <w:sz w:val="32"/>
          <w:szCs w:val="32"/>
          <w:lang w:val="en-US" w:eastAsia="zh-CN" w:bidi="ar"/>
        </w:rPr>
        <w:t>部分项目预算与实际支出存在偏差。</w:t>
      </w:r>
    </w:p>
    <w:p w14:paraId="249A28A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5、项目推进过程中受外部因素影响较大，</w:t>
      </w:r>
      <w:r>
        <w:rPr>
          <w:rFonts w:hint="default" w:ascii="Times New Roman" w:hAnsi="Times New Roman" w:eastAsia="仿宋_GB2312" w:cs="Times New Roman"/>
          <w:color w:val="000000"/>
          <w:kern w:val="0"/>
          <w:sz w:val="32"/>
          <w:szCs w:val="32"/>
          <w:lang w:val="en-US" w:eastAsia="zh-CN" w:bidi="ar"/>
        </w:rPr>
        <w:t>导致部分项目进度滞后，资金使用效率不高。</w:t>
      </w:r>
    </w:p>
    <w:p w14:paraId="32C3672C">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 xml:space="preserve">（三）改进建议。 </w:t>
      </w:r>
    </w:p>
    <w:p w14:paraId="08545F5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1、推动集体经济组织模式创新。</w:t>
      </w:r>
      <w:r>
        <w:rPr>
          <w:rFonts w:hint="default" w:ascii="Times New Roman" w:hAnsi="Times New Roman" w:eastAsia="仿宋_GB2312" w:cs="Times New Roman"/>
          <w:color w:val="000000"/>
          <w:kern w:val="0"/>
          <w:sz w:val="32"/>
          <w:szCs w:val="32"/>
          <w:lang w:val="en-US" w:eastAsia="zh-CN" w:bidi="ar"/>
        </w:rPr>
        <w:t xml:space="preserve">按照因地制宜的原则， </w:t>
      </w:r>
    </w:p>
    <w:p w14:paraId="7F857407">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依托各集体经济组织固有属性和比较优势，发展“集体经济组织+协会”、“集体经济组织+龙头企业”、“集体经济组织+ 职业经理人+龙头企业”等多种模式，为集体经济组织引入资本实力、市场活力、技术效力。 </w:t>
      </w:r>
    </w:p>
    <w:p w14:paraId="711927F3">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2、推动集体资源要素集聚。</w:t>
      </w:r>
      <w:r>
        <w:rPr>
          <w:rFonts w:hint="default" w:ascii="Times New Roman" w:hAnsi="Times New Roman" w:eastAsia="仿宋_GB2312" w:cs="Times New Roman"/>
          <w:color w:val="000000"/>
          <w:kern w:val="0"/>
          <w:sz w:val="32"/>
          <w:szCs w:val="32"/>
          <w:lang w:val="en-US" w:eastAsia="zh-CN" w:bidi="ar"/>
        </w:rPr>
        <w:t xml:space="preserve">一是集合土地要素，鼓励和引导村集体成员以土地承包经营权折股入社，发展土地股 </w:t>
      </w:r>
    </w:p>
    <w:p w14:paraId="606301A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份合作社，提高土地生产效率。二是集合技术要素，培育或 </w:t>
      </w:r>
    </w:p>
    <w:p w14:paraId="5B6764D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 xml:space="preserve">组织一系列技术人员组建技术合作社，提高技术盈利率。 </w:t>
      </w:r>
    </w:p>
    <w:p w14:paraId="5A13DBB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 xml:space="preserve">3、抓产业结构优化，推动经济强劲发展 </w:t>
      </w:r>
    </w:p>
    <w:p w14:paraId="3A344A8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（1）提高现代农业水平，丰富农业发展业态。</w:t>
      </w:r>
      <w:r>
        <w:rPr>
          <w:rFonts w:hint="default" w:ascii="Times New Roman" w:hAnsi="Times New Roman" w:eastAsia="仿宋_GB2312" w:cs="Times New Roman"/>
          <w:color w:val="000000"/>
          <w:kern w:val="0"/>
          <w:sz w:val="32"/>
          <w:szCs w:val="32"/>
          <w:lang w:val="en-US" w:eastAsia="zh-CN" w:bidi="ar"/>
        </w:rPr>
        <w:t xml:space="preserve">一是要推动我镇农业部分规模化向整体规模化、工业化、产业化、产品化发展，打造 1-2 家大而强、叫得响、晒得出的现代农业企业。二是要完善和延伸农业产业链条，使我镇的红薯成为产业链。 </w:t>
      </w:r>
    </w:p>
    <w:p w14:paraId="3C1E2929">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（2）提升旅游产业层级，构建融合发展体系。</w:t>
      </w:r>
      <w:r>
        <w:rPr>
          <w:rFonts w:hint="default" w:ascii="Times New Roman" w:hAnsi="Times New Roman" w:eastAsia="仿宋_GB2312" w:cs="Times New Roman"/>
          <w:color w:val="000000"/>
          <w:kern w:val="0"/>
          <w:sz w:val="32"/>
          <w:szCs w:val="32"/>
          <w:lang w:val="en-US" w:eastAsia="zh-CN" w:bidi="ar"/>
        </w:rPr>
        <w:t xml:space="preserve">一是要以创新理念推动遂宁红薯品牌，推动周边农业、文化、商贸、服务等要素向一体区集聚，加快农一环建设。 </w:t>
      </w:r>
    </w:p>
    <w:p w14:paraId="56E25F8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color w:val="000000"/>
          <w:kern w:val="0"/>
          <w:sz w:val="32"/>
          <w:szCs w:val="32"/>
          <w:lang w:val="en-US" w:eastAsia="zh-CN" w:bidi="ar"/>
        </w:rPr>
        <w:t xml:space="preserve">（四）抓重点工程建设，推动项目扎实落地 </w:t>
      </w:r>
    </w:p>
    <w:p w14:paraId="4BC91D2D">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1.推动</w:t>
      </w:r>
      <w:r>
        <w:rPr>
          <w:rFonts w:hint="eastAsia" w:eastAsia="仿宋_GB2312" w:cs="Times New Roman"/>
          <w:b/>
          <w:bCs/>
          <w:color w:val="000000"/>
          <w:kern w:val="0"/>
          <w:sz w:val="32"/>
          <w:szCs w:val="32"/>
          <w:lang w:val="en-US" w:eastAsia="zh-CN" w:bidi="ar"/>
        </w:rPr>
        <w:t>乡村振兴</w:t>
      </w:r>
      <w:r>
        <w:rPr>
          <w:rFonts w:hint="default" w:ascii="Times New Roman" w:hAnsi="Times New Roman" w:eastAsia="仿宋_GB2312" w:cs="Times New Roman"/>
          <w:b/>
          <w:bCs/>
          <w:color w:val="000000"/>
          <w:kern w:val="0"/>
          <w:sz w:val="32"/>
          <w:szCs w:val="32"/>
          <w:lang w:val="en-US" w:eastAsia="zh-CN" w:bidi="ar"/>
        </w:rPr>
        <w:t>工作落地。</w:t>
      </w:r>
      <w:r>
        <w:rPr>
          <w:rFonts w:hint="default" w:ascii="Times New Roman" w:hAnsi="Times New Roman" w:eastAsia="仿宋_GB2312" w:cs="Times New Roman"/>
          <w:color w:val="000000"/>
          <w:kern w:val="0"/>
          <w:sz w:val="32"/>
          <w:szCs w:val="32"/>
          <w:lang w:val="en-US" w:eastAsia="zh-CN" w:bidi="ar"/>
        </w:rPr>
        <w:t>一是以“壮大集体经济发展扶持产业，提高思想认识，提升就业能力”为核心，提高农户自身“造血”能力。二是贯彻上级优惠政策，争取上级振兴资金、社会振兴资金，扩增“输血”源头。</w:t>
      </w:r>
    </w:p>
    <w:p w14:paraId="7C57A45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2.推动场镇建设攻坚工程落地。</w:t>
      </w:r>
      <w:r>
        <w:rPr>
          <w:rFonts w:hint="default" w:ascii="Times New Roman" w:hAnsi="Times New Roman" w:eastAsia="仿宋_GB2312" w:cs="Times New Roman"/>
          <w:color w:val="000000"/>
          <w:kern w:val="0"/>
          <w:sz w:val="32"/>
          <w:szCs w:val="32"/>
          <w:lang w:val="en-US" w:eastAsia="zh-CN" w:bidi="ar"/>
        </w:rPr>
        <w:t xml:space="preserve">一是按照“因地制宜、因需而定”的原则，科学合理完成场镇修建，完成农贸市场改造工程。二是确保污水处理厂建成并运行。三是优化场镇功能布局，调优商贸商业点位、车辆停放点位。四是发展住建产业；推进场镇建设；切实改善群众住宿环境；提升场镇品位。 </w:t>
      </w:r>
    </w:p>
    <w:p w14:paraId="2FD1274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楷体_GB2312" w:cs="Times New Roman"/>
          <w:b/>
          <w:bCs/>
          <w:color w:val="000000"/>
          <w:kern w:val="0"/>
          <w:sz w:val="32"/>
          <w:szCs w:val="32"/>
          <w:lang w:val="en-US" w:eastAsia="zh-CN" w:bidi="ar"/>
        </w:rPr>
      </w:pPr>
      <w:r>
        <w:rPr>
          <w:rFonts w:hint="default" w:ascii="Times New Roman" w:hAnsi="Times New Roman" w:eastAsia="楷体_GB2312" w:cs="Times New Roman"/>
          <w:b/>
          <w:bCs/>
          <w:color w:val="000000"/>
          <w:kern w:val="0"/>
          <w:sz w:val="32"/>
          <w:szCs w:val="32"/>
          <w:lang w:val="en-US" w:eastAsia="zh-CN" w:bidi="ar"/>
        </w:rPr>
        <w:t>五、大力整顿预算编制管理方式</w:t>
      </w:r>
    </w:p>
    <w:p w14:paraId="454C2D4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1.优化预算编制：</w:t>
      </w:r>
      <w:r>
        <w:rPr>
          <w:rFonts w:hint="default" w:ascii="Times New Roman" w:hAnsi="Times New Roman" w:eastAsia="仿宋_GB2312" w:cs="Times New Roman"/>
          <w:color w:val="000000"/>
          <w:kern w:val="0"/>
          <w:sz w:val="32"/>
          <w:szCs w:val="32"/>
          <w:lang w:val="en-US" w:eastAsia="zh-CN" w:bidi="ar"/>
        </w:rPr>
        <w:t>加强对项目的调研论证，提高预算编制的科学性和精准性，细化预算项目，确保预算与实际工作需求紧密结合。</w:t>
      </w:r>
    </w:p>
    <w:p w14:paraId="617D018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2.强化项目管理：</w:t>
      </w:r>
      <w:r>
        <w:rPr>
          <w:rFonts w:hint="default" w:ascii="Times New Roman" w:hAnsi="Times New Roman" w:eastAsia="仿宋_GB2312" w:cs="Times New Roman"/>
          <w:color w:val="000000"/>
          <w:kern w:val="0"/>
          <w:sz w:val="32"/>
          <w:szCs w:val="32"/>
          <w:lang w:val="en-US" w:eastAsia="zh-CN" w:bidi="ar"/>
        </w:rPr>
        <w:t>建立项目推进协调机制，提前预判和解决项目实施过程中可能出现的问题，加快项目进度；加强对项目资金的动态监控，提高资金使用效率。</w:t>
      </w:r>
    </w:p>
    <w:p w14:paraId="30F95F0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3.完善财务管理制度：</w:t>
      </w:r>
      <w:r>
        <w:rPr>
          <w:rFonts w:hint="default" w:ascii="Times New Roman" w:hAnsi="Times New Roman" w:eastAsia="仿宋_GB2312" w:cs="Times New Roman"/>
          <w:color w:val="000000"/>
          <w:kern w:val="0"/>
          <w:sz w:val="32"/>
          <w:szCs w:val="32"/>
          <w:lang w:val="en-US" w:eastAsia="zh-CN" w:bidi="ar"/>
        </w:rPr>
        <w:t>进一步细化财务管理制度，加强对财务人员的培训，规范财务档案管理等工作流程，确保财务管理制度严格执行。</w:t>
      </w:r>
    </w:p>
    <w:tbl>
      <w:tblPr>
        <w:tblStyle w:val="16"/>
        <w:tblpPr w:leftFromText="180" w:rightFromText="180" w:vertAnchor="text" w:horzAnchor="page" w:tblpX="1261" w:tblpY="279"/>
        <w:tblOverlap w:val="never"/>
        <w:tblW w:w="9585" w:type="dxa"/>
        <w:tblInd w:w="0" w:type="dxa"/>
        <w:shd w:val="clear" w:color="auto" w:fill="auto"/>
        <w:tblLayout w:type="autofit"/>
        <w:tblCellMar>
          <w:top w:w="0" w:type="dxa"/>
          <w:left w:w="0" w:type="dxa"/>
          <w:bottom w:w="0" w:type="dxa"/>
          <w:right w:w="0" w:type="dxa"/>
        </w:tblCellMar>
      </w:tblPr>
      <w:tblGrid>
        <w:gridCol w:w="1198"/>
        <w:gridCol w:w="1693"/>
        <w:gridCol w:w="854"/>
        <w:gridCol w:w="1843"/>
        <w:gridCol w:w="809"/>
        <w:gridCol w:w="1438"/>
        <w:gridCol w:w="1106"/>
        <w:gridCol w:w="644"/>
      </w:tblGrid>
      <w:tr w14:paraId="7695EBEC">
        <w:tblPrEx>
          <w:shd w:val="clear" w:color="auto" w:fill="auto"/>
          <w:tblCellMar>
            <w:top w:w="0" w:type="dxa"/>
            <w:left w:w="0" w:type="dxa"/>
            <w:bottom w:w="0" w:type="dxa"/>
            <w:right w:w="0" w:type="dxa"/>
          </w:tblCellMar>
        </w:tblPrEx>
        <w:trPr>
          <w:trHeight w:val="904" w:hRule="atLeast"/>
        </w:trPr>
        <w:tc>
          <w:tcPr>
            <w:tcW w:w="9585" w:type="dxa"/>
            <w:gridSpan w:val="8"/>
            <w:tcBorders>
              <w:top w:val="nil"/>
              <w:left w:val="nil"/>
              <w:bottom w:val="nil"/>
              <w:right w:val="nil"/>
            </w:tcBorders>
            <w:shd w:val="clear" w:color="auto" w:fill="auto"/>
            <w:tcMar>
              <w:top w:w="15" w:type="dxa"/>
              <w:left w:w="15" w:type="dxa"/>
              <w:right w:w="15" w:type="dxa"/>
            </w:tcMar>
            <w:vAlign w:val="center"/>
          </w:tcPr>
          <w:p w14:paraId="21C9B2D2">
            <w:pPr>
              <w:keepNext w:val="0"/>
              <w:keepLines w:val="0"/>
              <w:widowControl/>
              <w:suppressLineNumbers w:val="0"/>
              <w:jc w:val="center"/>
              <w:textAlignment w:val="center"/>
              <w:rPr>
                <w:rFonts w:hint="eastAsia" w:ascii="黑体" w:hAnsi="宋体" w:eastAsia="黑体" w:cs="黑体"/>
                <w:i w:val="0"/>
                <w:color w:val="000000"/>
                <w:kern w:val="0"/>
                <w:sz w:val="30"/>
                <w:szCs w:val="30"/>
                <w:u w:val="none"/>
                <w:lang w:val="en-US" w:eastAsia="zh-CN" w:bidi="ar"/>
              </w:rPr>
            </w:pPr>
          </w:p>
          <w:p w14:paraId="33B8DF3F">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部门整体支出绩效目标表</w:t>
            </w:r>
          </w:p>
        </w:tc>
      </w:tr>
      <w:tr w14:paraId="1FB2E92B">
        <w:tblPrEx>
          <w:tblCellMar>
            <w:top w:w="0" w:type="dxa"/>
            <w:left w:w="0" w:type="dxa"/>
            <w:bottom w:w="0" w:type="dxa"/>
            <w:right w:w="0" w:type="dxa"/>
          </w:tblCellMar>
        </w:tblPrEx>
        <w:trPr>
          <w:trHeight w:val="286" w:hRule="atLeast"/>
        </w:trPr>
        <w:tc>
          <w:tcPr>
            <w:tcW w:w="9585" w:type="dxa"/>
            <w:gridSpan w:val="8"/>
            <w:tcBorders>
              <w:top w:val="nil"/>
              <w:left w:val="nil"/>
              <w:bottom w:val="nil"/>
              <w:right w:val="nil"/>
            </w:tcBorders>
            <w:shd w:val="clear" w:color="auto" w:fill="auto"/>
            <w:tcMar>
              <w:top w:w="15" w:type="dxa"/>
              <w:left w:w="15" w:type="dxa"/>
              <w:right w:w="15" w:type="dxa"/>
            </w:tcMar>
            <w:vAlign w:val="center"/>
          </w:tcPr>
          <w:p w14:paraId="162AE3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（2024年度）</w:t>
            </w:r>
          </w:p>
        </w:tc>
      </w:tr>
      <w:tr w14:paraId="2E0DFDAF">
        <w:tblPrEx>
          <w:tblCellMar>
            <w:top w:w="0" w:type="dxa"/>
            <w:left w:w="0" w:type="dxa"/>
            <w:bottom w:w="0" w:type="dxa"/>
            <w:right w:w="0" w:type="dxa"/>
          </w:tblCellMar>
        </w:tblPrEx>
        <w:trPr>
          <w:trHeight w:val="286" w:hRule="atLeast"/>
        </w:trPr>
        <w:tc>
          <w:tcPr>
            <w:tcW w:w="9585" w:type="dxa"/>
            <w:gridSpan w:val="8"/>
            <w:tcBorders>
              <w:top w:val="nil"/>
              <w:left w:val="nil"/>
              <w:bottom w:val="single" w:color="000000" w:sz="4" w:space="0"/>
              <w:right w:val="nil"/>
            </w:tcBorders>
            <w:shd w:val="clear" w:color="auto" w:fill="auto"/>
            <w:tcMar>
              <w:top w:w="15" w:type="dxa"/>
              <w:left w:w="15" w:type="dxa"/>
              <w:right w:w="15" w:type="dxa"/>
            </w:tcMar>
            <w:vAlign w:val="center"/>
          </w:tcPr>
          <w:p w14:paraId="33E42D6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金额单位：万元</w:t>
            </w:r>
          </w:p>
        </w:tc>
      </w:tr>
      <w:tr w14:paraId="25AA47DC">
        <w:tblPrEx>
          <w:tblCellMar>
            <w:top w:w="0" w:type="dxa"/>
            <w:left w:w="0" w:type="dxa"/>
            <w:bottom w:w="0" w:type="dxa"/>
            <w:right w:w="0" w:type="dxa"/>
          </w:tblCellMar>
        </w:tblPrEx>
        <w:trPr>
          <w:trHeight w:val="569" w:hRule="atLeast"/>
        </w:trPr>
        <w:tc>
          <w:tcPr>
            <w:tcW w:w="37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954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部门名称</w:t>
            </w:r>
          </w:p>
        </w:tc>
        <w:tc>
          <w:tcPr>
            <w:tcW w:w="5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C5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遂宁市安居区白马镇人民政府部门</w:t>
            </w:r>
          </w:p>
        </w:tc>
      </w:tr>
      <w:tr w14:paraId="1BD6881B">
        <w:tblPrEx>
          <w:tblCellMar>
            <w:top w:w="0" w:type="dxa"/>
            <w:left w:w="0" w:type="dxa"/>
            <w:bottom w:w="0" w:type="dxa"/>
            <w:right w:w="0" w:type="dxa"/>
          </w:tblCellMar>
        </w:tblPrEx>
        <w:trPr>
          <w:trHeight w:val="398" w:hRule="atLeast"/>
        </w:trPr>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13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年度部门整体支出预算</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05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资金总额</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E5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财政拨款</w:t>
            </w:r>
          </w:p>
        </w:tc>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3AF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r>
      <w:tr w14:paraId="21E77357">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318C3">
            <w:pPr>
              <w:jc w:val="center"/>
              <w:rPr>
                <w:rFonts w:hint="eastAsia" w:ascii="宋体" w:hAnsi="宋体" w:eastAsia="宋体" w:cs="宋体"/>
                <w:i w:val="0"/>
                <w:color w:val="000000"/>
                <w:sz w:val="18"/>
                <w:szCs w:val="18"/>
                <w:u w:val="none"/>
              </w:rPr>
            </w:pP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BFA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1,744.00</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8D2C">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1,744.00</w:t>
            </w:r>
          </w:p>
        </w:tc>
        <w:tc>
          <w:tcPr>
            <w:tcW w:w="3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73FD6">
            <w:pPr>
              <w:jc w:val="right"/>
              <w:rPr>
                <w:rFonts w:hint="eastAsia" w:ascii="宋体" w:hAnsi="宋体" w:eastAsia="宋体" w:cs="宋体"/>
                <w:i w:val="0"/>
                <w:color w:val="000000"/>
                <w:sz w:val="18"/>
                <w:szCs w:val="18"/>
                <w:u w:val="none"/>
              </w:rPr>
            </w:pPr>
          </w:p>
        </w:tc>
      </w:tr>
      <w:tr w14:paraId="3028003F">
        <w:tblPrEx>
          <w:tblCellMar>
            <w:top w:w="0" w:type="dxa"/>
            <w:left w:w="0" w:type="dxa"/>
            <w:bottom w:w="0" w:type="dxa"/>
            <w:right w:w="0" w:type="dxa"/>
          </w:tblCellMar>
        </w:tblPrEx>
        <w:trPr>
          <w:trHeight w:val="1145"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929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年度总体目标</w:t>
            </w:r>
          </w:p>
        </w:tc>
        <w:tc>
          <w:tcPr>
            <w:tcW w:w="8387"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3FA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贯彻执行上级的各项方针政策；依法管理本级财政，执行本级预算；负责本镇民政工作，发展社会福利事业，办理兵役事项，开展社会治安综合管理，调解民事纠纷，维护社会秩序。 </w:t>
            </w:r>
          </w:p>
        </w:tc>
      </w:tr>
      <w:tr w14:paraId="5CAC43AD">
        <w:tblPrEx>
          <w:tblCellMar>
            <w:top w:w="0" w:type="dxa"/>
            <w:left w:w="0" w:type="dxa"/>
            <w:bottom w:w="0" w:type="dxa"/>
            <w:right w:w="0" w:type="dxa"/>
          </w:tblCellMar>
        </w:tblPrEx>
        <w:trPr>
          <w:trHeight w:val="569" w:hRule="atLeast"/>
        </w:trPr>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9D0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年度主要任务</w:t>
            </w: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81D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任务名称</w:t>
            </w:r>
          </w:p>
        </w:tc>
        <w:tc>
          <w:tcPr>
            <w:tcW w:w="5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B82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主要内容</w:t>
            </w:r>
          </w:p>
        </w:tc>
      </w:tr>
      <w:tr w14:paraId="4911BC3F">
        <w:tblPrEx>
          <w:tblCellMar>
            <w:top w:w="0" w:type="dxa"/>
            <w:left w:w="0" w:type="dxa"/>
            <w:bottom w:w="0" w:type="dxa"/>
            <w:right w:w="0" w:type="dxa"/>
          </w:tblCellMar>
        </w:tblPrEx>
        <w:trPr>
          <w:trHeight w:val="186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761E9">
            <w:pPr>
              <w:jc w:val="center"/>
              <w:rPr>
                <w:rFonts w:hint="eastAsia" w:ascii="宋体" w:hAnsi="宋体" w:eastAsia="宋体" w:cs="宋体"/>
                <w:i w:val="0"/>
                <w:color w:val="000000"/>
                <w:sz w:val="18"/>
                <w:szCs w:val="18"/>
                <w:u w:val="none"/>
              </w:rPr>
            </w:pP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F4E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公用支出</w:t>
            </w:r>
          </w:p>
        </w:tc>
        <w:tc>
          <w:tcPr>
            <w:tcW w:w="5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0CC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预算执行，保证全镇在职人员正常办公、生活秩序及退休人员活动经费；保证全镇村（社区）干部及基层组织活动和公共服务运行的工作经费；保证全镇人大代表监察、视察项目；乡镇人大代表项目、关心下一代工作项目、安全生产监管（森林防火）项目、乡镇武装部工作（含征兵工作）项目、乡镇便民服务大厅维护及农村“三资”集体管理项目、镇（街道）统计工作项目、乡镇监察工作项目、乡镇基础设施和场镇街道维护项目、驻村工作队工作经费项目等12个项目的经费支出。</w:t>
            </w:r>
          </w:p>
        </w:tc>
      </w:tr>
      <w:tr w14:paraId="7681C1C0">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9A46F">
            <w:pPr>
              <w:jc w:val="center"/>
              <w:rPr>
                <w:rFonts w:hint="eastAsia" w:ascii="宋体" w:hAnsi="宋体" w:eastAsia="宋体" w:cs="宋体"/>
                <w:i w:val="0"/>
                <w:color w:val="000000"/>
                <w:sz w:val="18"/>
                <w:szCs w:val="18"/>
                <w:u w:val="none"/>
              </w:rPr>
            </w:pP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197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城乡社区环境卫生支出</w:t>
            </w:r>
          </w:p>
        </w:tc>
        <w:tc>
          <w:tcPr>
            <w:tcW w:w="5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5F8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提高我镇城乡环境综合整治</w:t>
            </w:r>
          </w:p>
        </w:tc>
      </w:tr>
      <w:tr w14:paraId="537A063F">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1FCD">
            <w:pPr>
              <w:jc w:val="center"/>
              <w:rPr>
                <w:rFonts w:hint="eastAsia" w:ascii="宋体" w:hAnsi="宋体" w:eastAsia="宋体" w:cs="宋体"/>
                <w:i w:val="0"/>
                <w:color w:val="000000"/>
                <w:sz w:val="18"/>
                <w:szCs w:val="18"/>
                <w:u w:val="none"/>
              </w:rPr>
            </w:pP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5C4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维稳信访支出</w:t>
            </w:r>
          </w:p>
        </w:tc>
        <w:tc>
          <w:tcPr>
            <w:tcW w:w="5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25C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确保全镇维稳信访工作开展</w:t>
            </w:r>
          </w:p>
        </w:tc>
      </w:tr>
      <w:tr w14:paraId="79D93C93">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764B8">
            <w:pPr>
              <w:jc w:val="center"/>
              <w:rPr>
                <w:rFonts w:hint="eastAsia" w:ascii="宋体" w:hAnsi="宋体" w:eastAsia="宋体" w:cs="宋体"/>
                <w:i w:val="0"/>
                <w:color w:val="000000"/>
                <w:sz w:val="18"/>
                <w:szCs w:val="18"/>
                <w:u w:val="none"/>
              </w:rPr>
            </w:pP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82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人员支出</w:t>
            </w:r>
          </w:p>
        </w:tc>
        <w:tc>
          <w:tcPr>
            <w:tcW w:w="5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3E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保障机关人员基本工资、津补贴、奖金</w:t>
            </w:r>
          </w:p>
        </w:tc>
      </w:tr>
      <w:tr w14:paraId="6A3A6D67">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CA44B">
            <w:pPr>
              <w:jc w:val="center"/>
              <w:rPr>
                <w:rFonts w:hint="eastAsia" w:ascii="宋体" w:hAnsi="宋体" w:eastAsia="宋体" w:cs="宋体"/>
                <w:i w:val="0"/>
                <w:color w:val="000000"/>
                <w:sz w:val="18"/>
                <w:szCs w:val="18"/>
                <w:u w:val="none"/>
              </w:rPr>
            </w:pP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20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对村民委员会和党组织支部支出</w:t>
            </w:r>
          </w:p>
        </w:tc>
        <w:tc>
          <w:tcPr>
            <w:tcW w:w="5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EA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保障村组织活动及村级事务正常运行</w:t>
            </w:r>
          </w:p>
        </w:tc>
      </w:tr>
      <w:tr w14:paraId="6E4E36CE">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6FCCC">
            <w:pPr>
              <w:jc w:val="center"/>
              <w:rPr>
                <w:rFonts w:hint="eastAsia" w:ascii="宋体" w:hAnsi="宋体" w:eastAsia="宋体" w:cs="宋体"/>
                <w:i w:val="0"/>
                <w:color w:val="000000"/>
                <w:sz w:val="18"/>
                <w:szCs w:val="18"/>
                <w:u w:val="none"/>
              </w:rPr>
            </w:pP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CD4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一般管理事务支出</w:t>
            </w:r>
          </w:p>
        </w:tc>
        <w:tc>
          <w:tcPr>
            <w:tcW w:w="5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419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政府其他项目正常运行</w:t>
            </w:r>
          </w:p>
        </w:tc>
      </w:tr>
      <w:tr w14:paraId="51937F9F">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63DAC">
            <w:pPr>
              <w:jc w:val="center"/>
              <w:rPr>
                <w:rFonts w:hint="eastAsia" w:ascii="宋体" w:hAnsi="宋体" w:eastAsia="宋体" w:cs="宋体"/>
                <w:i w:val="0"/>
                <w:color w:val="000000"/>
                <w:sz w:val="18"/>
                <w:szCs w:val="18"/>
                <w:u w:val="none"/>
              </w:rPr>
            </w:pPr>
          </w:p>
        </w:tc>
        <w:tc>
          <w:tcPr>
            <w:tcW w:w="25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16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其他人大事务支出</w:t>
            </w:r>
          </w:p>
        </w:tc>
        <w:tc>
          <w:tcPr>
            <w:tcW w:w="58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6B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完成人大工作正常运行，保障民生，存进全乡经济稳步发展</w:t>
            </w:r>
          </w:p>
        </w:tc>
      </w:tr>
      <w:tr w14:paraId="7ADDB6B2">
        <w:tblPrEx>
          <w:tblCellMar>
            <w:top w:w="0" w:type="dxa"/>
            <w:left w:w="0" w:type="dxa"/>
            <w:bottom w:w="0" w:type="dxa"/>
            <w:right w:w="0" w:type="dxa"/>
          </w:tblCellMar>
        </w:tblPrEx>
        <w:trPr>
          <w:trHeight w:val="569" w:hRule="atLeast"/>
        </w:trPr>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6D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年度绩效指标</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C6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DE9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F1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FDC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绩效指标性质</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8CD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绩效指标值</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93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绩效度量单位</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66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r>
      <w:tr w14:paraId="437D7E45">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DA88">
            <w:pPr>
              <w:jc w:val="center"/>
              <w:rPr>
                <w:rFonts w:hint="eastAsia" w:ascii="宋体" w:hAnsi="宋体" w:eastAsia="宋体" w:cs="宋体"/>
                <w:i w:val="0"/>
                <w:color w:val="000000"/>
                <w:sz w:val="18"/>
                <w:szCs w:val="18"/>
                <w:u w:val="none"/>
              </w:rPr>
            </w:pP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654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05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3C6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完成至少一月一次安全卫生巡查</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020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391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7D14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C3E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r>
      <w:tr w14:paraId="0A0ED50A">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3426">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7F764">
            <w:pPr>
              <w:jc w:val="left"/>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BA4F0">
            <w:pPr>
              <w:jc w:val="left"/>
              <w:rPr>
                <w:rFonts w:hint="eastAsia" w:ascii="宋体" w:hAnsi="宋体" w:eastAsia="宋体" w:cs="宋体"/>
                <w:i w:val="0"/>
                <w:color w:val="000000"/>
                <w:sz w:val="18"/>
                <w:szCs w:val="18"/>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C35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项目支出覆盖全镇村（社区）数量</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264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40F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9CA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95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72843B05">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CA61B">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4727B">
            <w:pPr>
              <w:jc w:val="left"/>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4DC5">
            <w:pPr>
              <w:jc w:val="left"/>
              <w:rPr>
                <w:rFonts w:hint="eastAsia" w:ascii="宋体" w:hAnsi="宋体" w:eastAsia="宋体" w:cs="宋体"/>
                <w:i w:val="0"/>
                <w:color w:val="000000"/>
                <w:sz w:val="18"/>
                <w:szCs w:val="18"/>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24A7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在职人数</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683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810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54</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9F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82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7D1F25B6">
        <w:tblPrEx>
          <w:tblCellMar>
            <w:top w:w="0" w:type="dxa"/>
            <w:left w:w="0" w:type="dxa"/>
            <w:bottom w:w="0" w:type="dxa"/>
            <w:right w:w="0" w:type="dxa"/>
          </w:tblCellMar>
        </w:tblPrEx>
        <w:trPr>
          <w:trHeight w:val="86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48A9D">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A7090">
            <w:pPr>
              <w:jc w:val="left"/>
              <w:rPr>
                <w:rFonts w:hint="eastAsia" w:ascii="宋体" w:hAnsi="宋体" w:eastAsia="宋体" w:cs="宋体"/>
                <w:i w:val="0"/>
                <w:color w:val="000000"/>
                <w:sz w:val="18"/>
                <w:szCs w:val="18"/>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031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9DD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通过执行该年度预算保障全镇工作顺利开展率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E08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4A2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B0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039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7A532492">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963A">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8D510">
            <w:pPr>
              <w:jc w:val="left"/>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649E">
            <w:pPr>
              <w:jc w:val="left"/>
              <w:rPr>
                <w:rFonts w:hint="eastAsia" w:ascii="宋体" w:hAnsi="宋体" w:eastAsia="宋体" w:cs="宋体"/>
                <w:i w:val="0"/>
                <w:color w:val="000000"/>
                <w:sz w:val="18"/>
                <w:szCs w:val="18"/>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336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项目绩效完成偏离度</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F69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EFB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3B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9063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2BD56EA4">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18CC6">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C856">
            <w:pPr>
              <w:jc w:val="left"/>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D5F70">
            <w:pPr>
              <w:jc w:val="left"/>
              <w:rPr>
                <w:rFonts w:hint="eastAsia" w:ascii="宋体" w:hAnsi="宋体" w:eastAsia="宋体" w:cs="宋体"/>
                <w:i w:val="0"/>
                <w:color w:val="000000"/>
                <w:sz w:val="18"/>
                <w:szCs w:val="18"/>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A5F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预算编制准确度</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6B1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B8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BFA7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D2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01C63B32">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F2D30">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36BEB">
            <w:pPr>
              <w:jc w:val="left"/>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B804B">
            <w:pPr>
              <w:jc w:val="left"/>
              <w:rPr>
                <w:rFonts w:hint="eastAsia" w:ascii="宋体" w:hAnsi="宋体" w:eastAsia="宋体" w:cs="宋体"/>
                <w:i w:val="0"/>
                <w:color w:val="000000"/>
                <w:sz w:val="18"/>
                <w:szCs w:val="18"/>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9C2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安全卫生巡查覆盖率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07A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5D34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8F8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83A7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r>
      <w:tr w14:paraId="19D2267B">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FC9C">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4F929">
            <w:pPr>
              <w:jc w:val="left"/>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70440">
            <w:pPr>
              <w:jc w:val="left"/>
              <w:rPr>
                <w:rFonts w:hint="eastAsia" w:ascii="宋体" w:hAnsi="宋体" w:eastAsia="宋体" w:cs="宋体"/>
                <w:i w:val="0"/>
                <w:color w:val="000000"/>
                <w:sz w:val="18"/>
                <w:szCs w:val="18"/>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E1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部门预算执行完成程度</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42E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0D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CB34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180F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2BFBCB9B">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2E1E9">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42828">
            <w:pPr>
              <w:jc w:val="left"/>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6BF1C">
            <w:pPr>
              <w:jc w:val="left"/>
              <w:rPr>
                <w:rFonts w:hint="eastAsia" w:ascii="宋体" w:hAnsi="宋体" w:eastAsia="宋体" w:cs="宋体"/>
                <w:i w:val="0"/>
                <w:color w:val="000000"/>
                <w:sz w:val="18"/>
                <w:szCs w:val="18"/>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8B9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固定资产利用率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7D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8144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99E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A90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22DEE5ED">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D417">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6655D">
            <w:pPr>
              <w:jc w:val="left"/>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5E9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572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工作完成及时率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C91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59C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94F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C0C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719C5B9D">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1B2A2">
            <w:pPr>
              <w:jc w:val="center"/>
              <w:rPr>
                <w:rFonts w:hint="eastAsia" w:ascii="宋体" w:hAnsi="宋体" w:eastAsia="宋体" w:cs="宋体"/>
                <w:i w:val="0"/>
                <w:color w:val="000000"/>
                <w:sz w:val="18"/>
                <w:szCs w:val="18"/>
                <w:u w:val="none"/>
              </w:rPr>
            </w:pP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F0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811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2CD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促进当地软环境提升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56DA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0D5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145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6927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5913BE1E">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6F41">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C1D92">
            <w:pPr>
              <w:jc w:val="left"/>
              <w:rPr>
                <w:rFonts w:hint="eastAsia" w:ascii="宋体" w:hAnsi="宋体" w:eastAsia="宋体" w:cs="宋体"/>
                <w:i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ABB5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68B8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提升政府效率营造良好社会环境</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786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0E90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有效提升</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9A5B7">
            <w:pPr>
              <w:jc w:val="left"/>
              <w:rPr>
                <w:rFonts w:hint="eastAsia" w:ascii="宋体" w:hAnsi="宋体" w:eastAsia="宋体" w:cs="宋体"/>
                <w:i w:val="0"/>
                <w:color w:val="000000"/>
                <w:sz w:val="18"/>
                <w:szCs w:val="18"/>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4D4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78D71A91">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F6A2">
            <w:pPr>
              <w:jc w:val="center"/>
              <w:rPr>
                <w:rFonts w:hint="eastAsia" w:ascii="宋体" w:hAnsi="宋体" w:eastAsia="宋体" w:cs="宋体"/>
                <w:i w:val="0"/>
                <w:color w:val="000000"/>
                <w:sz w:val="18"/>
                <w:szCs w:val="18"/>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327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D85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64AA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CD1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6CA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A8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65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r>
      <w:tr w14:paraId="6B9853D8">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EB22B">
            <w:pPr>
              <w:jc w:val="center"/>
              <w:rPr>
                <w:rFonts w:hint="eastAsia" w:ascii="宋体" w:hAnsi="宋体" w:eastAsia="宋体" w:cs="宋体"/>
                <w:i w:val="0"/>
                <w:color w:val="000000"/>
                <w:sz w:val="18"/>
                <w:szCs w:val="18"/>
                <w:u w:val="none"/>
              </w:rPr>
            </w:pP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1ED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E93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A88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安全生产发展监管平均成本计划差异率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31F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083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D92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A5D5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5CE40769">
        <w:tblPrEx>
          <w:tblCellMar>
            <w:top w:w="0" w:type="dxa"/>
            <w:left w:w="0" w:type="dxa"/>
            <w:bottom w:w="0" w:type="dxa"/>
            <w:right w:w="0" w:type="dxa"/>
          </w:tblCellMar>
        </w:tblPrEx>
        <w:trPr>
          <w:trHeight w:val="569"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AE239">
            <w:pPr>
              <w:jc w:val="center"/>
              <w:rPr>
                <w:rFonts w:hint="eastAsia" w:ascii="宋体" w:hAnsi="宋体" w:eastAsia="宋体" w:cs="宋体"/>
                <w:i w:val="0"/>
                <w:color w:val="000000"/>
                <w:sz w:val="18"/>
                <w:szCs w:val="18"/>
                <w:u w:val="none"/>
              </w:rPr>
            </w:pP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ADFD4">
            <w:pPr>
              <w:jc w:val="left"/>
              <w:rPr>
                <w:rFonts w:hint="eastAsia" w:ascii="宋体" w:hAnsi="宋体" w:eastAsia="宋体" w:cs="宋体"/>
                <w:i w:val="0"/>
                <w:color w:val="000000"/>
                <w:sz w:val="18"/>
                <w:szCs w:val="1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1765">
            <w:pPr>
              <w:jc w:val="left"/>
              <w:rPr>
                <w:rFonts w:hint="eastAsia" w:ascii="宋体" w:hAnsi="宋体" w:eastAsia="宋体" w:cs="宋体"/>
                <w:i w:val="0"/>
                <w:color w:val="000000"/>
                <w:sz w:val="18"/>
                <w:szCs w:val="18"/>
                <w:u w:val="none"/>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C6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环境卫生整治支出成本控制率</w:t>
            </w:r>
          </w:p>
        </w:tc>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0556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7FF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16F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2F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bl>
    <w:p w14:paraId="0717432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p>
    <w:p w14:paraId="4BB417A7">
      <w:pPr>
        <w:rPr>
          <w:rFonts w:hint="default"/>
          <w:lang w:val="en-US" w:eastAsia="zh-CN"/>
        </w:rPr>
      </w:pPr>
    </w:p>
    <w:p w14:paraId="58D7BC1E">
      <w:pPr>
        <w:pStyle w:val="14"/>
        <w:rPr>
          <w:rFonts w:hint="default"/>
          <w:lang w:val="en-US" w:eastAsia="zh-CN"/>
        </w:rPr>
      </w:pPr>
    </w:p>
    <w:p w14:paraId="68547B9D">
      <w:pPr>
        <w:rPr>
          <w:rFonts w:hint="default"/>
          <w:lang w:val="en-US" w:eastAsia="zh-CN"/>
        </w:rPr>
      </w:pPr>
    </w:p>
    <w:p w14:paraId="7CEFB65B">
      <w:pPr>
        <w:pStyle w:val="2"/>
        <w:rPr>
          <w:rFonts w:hint="default"/>
          <w:lang w:val="en-US" w:eastAsia="zh-CN"/>
        </w:rPr>
      </w:pPr>
    </w:p>
    <w:p w14:paraId="29B5A846">
      <w:pPr>
        <w:pStyle w:val="3"/>
        <w:rPr>
          <w:rFonts w:hint="default"/>
          <w:lang w:val="en-US" w:eastAsia="zh-CN"/>
        </w:rPr>
      </w:pPr>
    </w:p>
    <w:p w14:paraId="1439D624">
      <w:pPr>
        <w:pStyle w:val="3"/>
        <w:rPr>
          <w:rFonts w:hint="default"/>
          <w:lang w:val="en-US" w:eastAsia="zh-CN"/>
        </w:rPr>
      </w:pPr>
    </w:p>
    <w:p w14:paraId="154AA4FD">
      <w:pPr>
        <w:pStyle w:val="3"/>
        <w:rPr>
          <w:rFonts w:hint="default"/>
          <w:lang w:val="en-US" w:eastAsia="zh-CN"/>
        </w:rPr>
      </w:pPr>
    </w:p>
    <w:p w14:paraId="6DCC3A0F">
      <w:pPr>
        <w:pStyle w:val="3"/>
        <w:rPr>
          <w:rFonts w:hint="default"/>
          <w:lang w:val="en-US" w:eastAsia="zh-CN"/>
        </w:rPr>
      </w:pPr>
    </w:p>
    <w:p w14:paraId="2D42752F">
      <w:pPr>
        <w:pStyle w:val="3"/>
        <w:rPr>
          <w:rFonts w:hint="default"/>
          <w:lang w:val="en-US" w:eastAsia="zh-CN"/>
        </w:rPr>
      </w:pPr>
    </w:p>
    <w:p w14:paraId="3E6FF8C0">
      <w:pPr>
        <w:pStyle w:val="3"/>
        <w:rPr>
          <w:rFonts w:hint="default"/>
          <w:lang w:val="en-US" w:eastAsia="zh-CN"/>
        </w:rPr>
      </w:pPr>
    </w:p>
    <w:p w14:paraId="25A2C322">
      <w:pPr>
        <w:pStyle w:val="14"/>
        <w:rPr>
          <w:rFonts w:hint="default"/>
          <w:lang w:val="en-US" w:eastAsia="zh-CN"/>
        </w:rPr>
      </w:pPr>
    </w:p>
    <w:p w14:paraId="231AA8E9">
      <w:pPr>
        <w:rPr>
          <w:rFonts w:hint="default"/>
          <w:lang w:val="en-US" w:eastAsia="zh-CN"/>
        </w:rPr>
      </w:pPr>
    </w:p>
    <w:p w14:paraId="5FC27CBA">
      <w:pPr>
        <w:pStyle w:val="14"/>
        <w:rPr>
          <w:rFonts w:hint="default"/>
          <w:lang w:val="en-US" w:eastAsia="zh-CN"/>
        </w:rPr>
      </w:pPr>
    </w:p>
    <w:p w14:paraId="053B8C9F">
      <w:pPr>
        <w:rPr>
          <w:rFonts w:hint="default"/>
          <w:lang w:val="en-US" w:eastAsia="zh-CN"/>
        </w:rPr>
      </w:pPr>
    </w:p>
    <w:p w14:paraId="019F7959">
      <w:pPr>
        <w:pStyle w:val="14"/>
        <w:rPr>
          <w:rFonts w:hint="default"/>
          <w:lang w:val="en-US" w:eastAsia="zh-CN"/>
        </w:rPr>
      </w:pPr>
    </w:p>
    <w:p w14:paraId="4ED5DA6F">
      <w:pPr>
        <w:rPr>
          <w:rFonts w:hint="default"/>
          <w:lang w:val="en-US" w:eastAsia="zh-CN"/>
        </w:rPr>
      </w:pPr>
    </w:p>
    <w:p w14:paraId="0B5D0B10">
      <w:pPr>
        <w:pStyle w:val="14"/>
        <w:rPr>
          <w:rFonts w:hint="default"/>
          <w:lang w:val="en-US" w:eastAsia="zh-CN"/>
        </w:rPr>
      </w:pPr>
    </w:p>
    <w:tbl>
      <w:tblPr>
        <w:tblStyle w:val="16"/>
        <w:tblpPr w:leftFromText="180" w:rightFromText="180" w:vertAnchor="text" w:horzAnchor="page" w:tblpX="1893" w:tblpY="63"/>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8"/>
        <w:gridCol w:w="745"/>
        <w:gridCol w:w="846"/>
        <w:gridCol w:w="673"/>
        <w:gridCol w:w="553"/>
        <w:gridCol w:w="791"/>
      </w:tblGrid>
      <w:tr w14:paraId="09D8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4DAB6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C13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E5F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3EF1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51090423T000009272847-严重精神障碍患者投保监护人责任保险</w:t>
            </w:r>
          </w:p>
        </w:tc>
      </w:tr>
      <w:tr w14:paraId="78C9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F03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163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5ACB34F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4A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23A6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1F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0C9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DB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F7E06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35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1B940">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43A9">
            <w:pPr>
              <w:rPr>
                <w:rFonts w:hint="eastAsia" w:ascii="宋体" w:hAnsi="宋体" w:eastAsia="宋体" w:cs="宋体"/>
                <w:i w:val="0"/>
                <w:iCs w:val="0"/>
                <w:color w:val="000000"/>
                <w:sz w:val="18"/>
                <w:szCs w:val="18"/>
                <w:u w:val="none"/>
              </w:rPr>
            </w:pP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7CA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实现对本乡镇严重精神障碍患者信息管理系统登记在册的所有患者，投保覆盖率达到 100%</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54E9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实现对本乡镇严重精神障碍患者信息管理系统登记在册的所有患者，投保覆盖率达到 100%</w:t>
            </w:r>
          </w:p>
        </w:tc>
      </w:tr>
      <w:tr w14:paraId="18E7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AD2F">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F6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B8A4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实现对本乡镇严重精神障碍患者信息管理系统登记在册的所有患者，投保覆盖率达到 100%</w:t>
            </w:r>
          </w:p>
        </w:tc>
      </w:tr>
      <w:tr w14:paraId="0462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85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3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F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95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F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5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0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55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989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8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F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E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8E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A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7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6071">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74429">
            <w:pPr>
              <w:rPr>
                <w:rFonts w:hint="eastAsia" w:ascii="黑体" w:hAnsi="黑体" w:eastAsia="黑体" w:cs="黑体"/>
                <w:i/>
                <w:iCs/>
                <w:color w:val="000000"/>
                <w:sz w:val="18"/>
                <w:szCs w:val="18"/>
                <w:u w:val="none"/>
              </w:rPr>
            </w:pPr>
          </w:p>
        </w:tc>
      </w:tr>
      <w:tr w14:paraId="4690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B03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3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4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D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965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3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E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8CDC">
            <w:pPr>
              <w:rPr>
                <w:rFonts w:hint="eastAsia" w:ascii="黑体" w:hAnsi="黑体" w:eastAsia="黑体" w:cs="黑体"/>
                <w:i/>
                <w:iCs/>
                <w:color w:val="000000"/>
                <w:sz w:val="18"/>
                <w:szCs w:val="18"/>
                <w:u w:val="none"/>
              </w:rPr>
            </w:pPr>
          </w:p>
        </w:tc>
      </w:tr>
      <w:tr w14:paraId="51B3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65A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6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7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3F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5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C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6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212D4">
            <w:pPr>
              <w:rPr>
                <w:rFonts w:hint="eastAsia" w:ascii="黑体" w:hAnsi="黑体" w:eastAsia="黑体" w:cs="黑体"/>
                <w:i/>
                <w:iCs/>
                <w:color w:val="000000"/>
                <w:sz w:val="18"/>
                <w:szCs w:val="18"/>
                <w:u w:val="none"/>
              </w:rPr>
            </w:pPr>
          </w:p>
        </w:tc>
      </w:tr>
      <w:tr w14:paraId="274E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2F10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1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D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5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3A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9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4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E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94C6C">
            <w:pPr>
              <w:rPr>
                <w:rFonts w:hint="eastAsia" w:ascii="黑体" w:hAnsi="黑体" w:eastAsia="黑体" w:cs="黑体"/>
                <w:i/>
                <w:iCs/>
                <w:color w:val="000000"/>
                <w:sz w:val="18"/>
                <w:szCs w:val="18"/>
                <w:u w:val="none"/>
              </w:rPr>
            </w:pPr>
          </w:p>
        </w:tc>
      </w:tr>
      <w:tr w14:paraId="0DE8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5D30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A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09D8">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3C04">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5DEF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26E1">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D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27B2">
            <w:pPr>
              <w:rPr>
                <w:rFonts w:hint="eastAsia" w:ascii="黑体" w:hAnsi="黑体" w:eastAsia="黑体" w:cs="黑体"/>
                <w:i/>
                <w:iCs/>
                <w:color w:val="000000"/>
                <w:sz w:val="18"/>
                <w:szCs w:val="18"/>
                <w:u w:val="none"/>
              </w:rPr>
            </w:pPr>
          </w:p>
        </w:tc>
      </w:tr>
      <w:tr w14:paraId="04F32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F9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D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3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3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2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8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1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D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E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0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7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9B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5EEA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7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B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7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共投入2.4万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3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D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5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2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8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A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C9E">
            <w:pPr>
              <w:jc w:val="center"/>
              <w:rPr>
                <w:rFonts w:hint="eastAsia" w:ascii="宋体" w:hAnsi="宋体" w:eastAsia="宋体" w:cs="宋体"/>
                <w:i w:val="0"/>
                <w:iCs w:val="0"/>
                <w:color w:val="000000"/>
                <w:sz w:val="18"/>
                <w:szCs w:val="18"/>
                <w:u w:val="none"/>
              </w:rPr>
            </w:pPr>
          </w:p>
        </w:tc>
      </w:tr>
      <w:tr w14:paraId="18043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6B4EA">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B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3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理赔效率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F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0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B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D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9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0F64">
            <w:pPr>
              <w:jc w:val="center"/>
              <w:rPr>
                <w:rFonts w:hint="eastAsia" w:ascii="宋体" w:hAnsi="宋体" w:eastAsia="宋体" w:cs="宋体"/>
                <w:i w:val="0"/>
                <w:iCs w:val="0"/>
                <w:color w:val="000000"/>
                <w:sz w:val="18"/>
                <w:szCs w:val="18"/>
                <w:u w:val="none"/>
              </w:rPr>
            </w:pPr>
          </w:p>
        </w:tc>
      </w:tr>
      <w:tr w14:paraId="202F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A439A">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C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8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1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严重精神障碍患者满意度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7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E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D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1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7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952B">
            <w:pPr>
              <w:jc w:val="center"/>
              <w:rPr>
                <w:rFonts w:hint="eastAsia" w:ascii="宋体" w:hAnsi="宋体" w:eastAsia="宋体" w:cs="宋体"/>
                <w:i w:val="0"/>
                <w:iCs w:val="0"/>
                <w:color w:val="000000"/>
                <w:sz w:val="18"/>
                <w:szCs w:val="18"/>
                <w:u w:val="none"/>
              </w:rPr>
            </w:pPr>
          </w:p>
        </w:tc>
      </w:tr>
      <w:tr w14:paraId="3993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FD45">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3A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8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8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保险公司或相关部门在接到患者风险事件报告后，按规定时间（如 2 小时）到达现场并启动处置流程的事件占比</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2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5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6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C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F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281D">
            <w:pPr>
              <w:jc w:val="center"/>
              <w:rPr>
                <w:rFonts w:hint="eastAsia" w:ascii="宋体" w:hAnsi="宋体" w:eastAsia="宋体" w:cs="宋体"/>
                <w:i w:val="0"/>
                <w:iCs w:val="0"/>
                <w:color w:val="000000"/>
                <w:sz w:val="18"/>
                <w:szCs w:val="18"/>
                <w:u w:val="none"/>
              </w:rPr>
            </w:pPr>
          </w:p>
        </w:tc>
      </w:tr>
      <w:tr w14:paraId="03F3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508BC">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89214">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2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截止时间12月31日</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2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A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9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B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F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2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B3F1">
            <w:pPr>
              <w:jc w:val="center"/>
              <w:rPr>
                <w:rFonts w:hint="eastAsia" w:ascii="宋体" w:hAnsi="宋体" w:eastAsia="宋体" w:cs="宋体"/>
                <w:i w:val="0"/>
                <w:iCs w:val="0"/>
                <w:color w:val="000000"/>
                <w:sz w:val="18"/>
                <w:szCs w:val="18"/>
                <w:u w:val="none"/>
              </w:rPr>
            </w:pPr>
          </w:p>
        </w:tc>
      </w:tr>
      <w:tr w14:paraId="40F4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81134">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9263E">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E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6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投保率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F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F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72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F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9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FC26">
            <w:pPr>
              <w:jc w:val="center"/>
              <w:rPr>
                <w:rFonts w:hint="eastAsia" w:ascii="微软雅黑" w:hAnsi="微软雅黑" w:eastAsia="微软雅黑" w:cs="微软雅黑"/>
                <w:i/>
                <w:iCs/>
                <w:color w:val="000000"/>
                <w:sz w:val="16"/>
                <w:szCs w:val="16"/>
                <w:u w:val="none"/>
              </w:rPr>
            </w:pPr>
          </w:p>
        </w:tc>
      </w:tr>
      <w:tr w14:paraId="2EC5B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C6E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4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B7AA">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889F">
            <w:pPr>
              <w:rPr>
                <w:rFonts w:hint="eastAsia" w:ascii="宋体" w:hAnsi="宋体" w:eastAsia="宋体" w:cs="宋体"/>
                <w:i w:val="0"/>
                <w:iCs w:val="0"/>
                <w:color w:val="000000"/>
                <w:sz w:val="18"/>
                <w:szCs w:val="18"/>
                <w:u w:val="none"/>
              </w:rPr>
            </w:pPr>
          </w:p>
        </w:tc>
      </w:tr>
      <w:tr w14:paraId="265C6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D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33A7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监护人责任保险通过明确保险赔付范围与条件，将监护人的部分经济责任风险转移至保险机构，减轻了监护人因患者肇事肇祸需承担的经济赔偿压力。这不仅缓解了监护人的经济负担，还在一定程度上降低了监护人因担心承担高额赔偿而对患者疏于管理的可能性，激励监护人积极履行监护职责，主动配合相关部门做好患者的日常照护、治疗与监管工作 ，促使监护人责任从 “被动履行” 向 “主动落实” 转变。</w:t>
            </w:r>
          </w:p>
        </w:tc>
      </w:tr>
      <w:tr w14:paraId="4D18F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A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889A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实际工作中，多部门协同治理仍存在信息共享不及时、职责划分不明确等问题。例如，卫健部门掌握患者的病情诊疗信息，公安部门了解患者的社会行为动态，但双方信息传递可能存在延迟，影响对患者风险的及时评估与干预。同时，在保险理赔流程中，部门之间的衔接不够顺畅，导致理赔手续繁琐、周期较长，降低了监护人对保险服务的满意度。</w:t>
            </w:r>
          </w:p>
        </w:tc>
      </w:tr>
      <w:tr w14:paraId="6614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9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AA6F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政府可通过财政补贴、引入社会资本等方式，提高保险保额，扩大赔付范围，增强保险的兜底保障能力。同时，组织专业人员对保险条款进行梳理和优化，简化理赔流程，明确赔付标准，减少不合理免责条款，确保监护人在需要时能够顺利获得赔偿。通过社区宣传、入户讲解、案例分析等多种形式，广泛普及保险政策知识，提高监护人对保险重要性和实用性的认识。</w:t>
            </w:r>
          </w:p>
        </w:tc>
      </w:tr>
      <w:tr w14:paraId="6A85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AC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项目负责人：吴强</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95B6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财务负责人：陈元</w:t>
            </w:r>
          </w:p>
        </w:tc>
      </w:tr>
    </w:tbl>
    <w:p w14:paraId="13EBD54D">
      <w:pPr>
        <w:rPr>
          <w:rFonts w:hint="default"/>
          <w:lang w:val="en-US" w:eastAsia="zh-CN"/>
        </w:rPr>
      </w:pPr>
    </w:p>
    <w:p w14:paraId="281C08B8">
      <w:pPr>
        <w:pStyle w:val="14"/>
        <w:rPr>
          <w:rFonts w:hint="default"/>
          <w:lang w:val="en-US" w:eastAsia="zh-CN"/>
        </w:rPr>
      </w:pPr>
    </w:p>
    <w:p w14:paraId="7C285B1F">
      <w:pPr>
        <w:rPr>
          <w:rFonts w:hint="default"/>
          <w:lang w:val="en-US" w:eastAsia="zh-CN"/>
        </w:rPr>
      </w:pPr>
    </w:p>
    <w:p w14:paraId="6D953651">
      <w:pPr>
        <w:pStyle w:val="14"/>
        <w:rPr>
          <w:rFonts w:hint="default"/>
          <w:lang w:val="en-US" w:eastAsia="zh-CN"/>
        </w:rPr>
      </w:pPr>
    </w:p>
    <w:p w14:paraId="4AAF3BC2">
      <w:pPr>
        <w:rPr>
          <w:rFonts w:hint="default"/>
          <w:lang w:val="en-US" w:eastAsia="zh-CN"/>
        </w:rPr>
      </w:pPr>
    </w:p>
    <w:p w14:paraId="19B170A2">
      <w:pPr>
        <w:pStyle w:val="14"/>
        <w:rPr>
          <w:rFonts w:hint="default"/>
          <w:lang w:val="en-US" w:eastAsia="zh-CN"/>
        </w:rPr>
      </w:pPr>
    </w:p>
    <w:p w14:paraId="62B27353">
      <w:pPr>
        <w:rPr>
          <w:rFonts w:hint="default"/>
          <w:lang w:val="en-US" w:eastAsia="zh-CN"/>
        </w:rPr>
      </w:pPr>
    </w:p>
    <w:p w14:paraId="00D96017">
      <w:pPr>
        <w:pStyle w:val="14"/>
        <w:rPr>
          <w:rFonts w:hint="default"/>
          <w:lang w:val="en-US" w:eastAsia="zh-CN"/>
        </w:rPr>
      </w:pPr>
    </w:p>
    <w:p w14:paraId="756BF4E2">
      <w:pPr>
        <w:rPr>
          <w:rFonts w:hint="default"/>
          <w:lang w:val="en-US" w:eastAsia="zh-CN"/>
        </w:rPr>
      </w:pPr>
    </w:p>
    <w:p w14:paraId="3DE94C2B">
      <w:pPr>
        <w:pStyle w:val="14"/>
        <w:rPr>
          <w:rFonts w:hint="default"/>
          <w:lang w:val="en-US" w:eastAsia="zh-CN"/>
        </w:rPr>
      </w:pPr>
    </w:p>
    <w:p w14:paraId="0B85BD9C">
      <w:pPr>
        <w:rPr>
          <w:rFonts w:hint="default"/>
          <w:lang w:val="en-US" w:eastAsia="zh-CN"/>
        </w:rPr>
      </w:pPr>
    </w:p>
    <w:p w14:paraId="4863DECC">
      <w:pPr>
        <w:pStyle w:val="14"/>
        <w:rPr>
          <w:rFonts w:hint="default"/>
          <w:lang w:val="en-US" w:eastAsia="zh-CN"/>
        </w:rPr>
      </w:pPr>
    </w:p>
    <w:p w14:paraId="2E43D079">
      <w:pPr>
        <w:rPr>
          <w:rFonts w:hint="default"/>
          <w:lang w:val="en-US" w:eastAsia="zh-CN"/>
        </w:rPr>
      </w:pPr>
    </w:p>
    <w:p w14:paraId="2673282A">
      <w:pPr>
        <w:pStyle w:val="14"/>
        <w:rPr>
          <w:rFonts w:hint="default"/>
          <w:lang w:val="en-US" w:eastAsia="zh-CN"/>
        </w:rPr>
      </w:pPr>
    </w:p>
    <w:tbl>
      <w:tblPr>
        <w:tblStyle w:val="16"/>
        <w:tblpPr w:leftFromText="180" w:rightFromText="180" w:vertAnchor="text" w:horzAnchor="page" w:tblpX="1893" w:tblpY="201"/>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8"/>
        <w:gridCol w:w="1074"/>
        <w:gridCol w:w="612"/>
        <w:gridCol w:w="658"/>
        <w:gridCol w:w="745"/>
        <w:gridCol w:w="846"/>
        <w:gridCol w:w="672"/>
        <w:gridCol w:w="553"/>
        <w:gridCol w:w="790"/>
      </w:tblGrid>
      <w:tr w14:paraId="03CE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3543F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C5B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960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0A58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51090424T000011119020-安全生产监管（森林防火、食品安全）等经费(长期)</w:t>
            </w:r>
          </w:p>
        </w:tc>
      </w:tr>
      <w:tr w14:paraId="782A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46E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0C2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5A4BB42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AE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0DAD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917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DB1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1CC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BCB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E1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F1DA">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69DA">
            <w:pPr>
              <w:rPr>
                <w:rFonts w:hint="eastAsia" w:ascii="宋体" w:hAnsi="宋体" w:eastAsia="宋体" w:cs="宋体"/>
                <w:i w:val="0"/>
                <w:iCs w:val="0"/>
                <w:color w:val="000000"/>
                <w:sz w:val="18"/>
                <w:szCs w:val="18"/>
                <w:u w:val="none"/>
              </w:rPr>
            </w:pPr>
          </w:p>
        </w:tc>
        <w:tc>
          <w:tcPr>
            <w:tcW w:w="3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E6F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监管是以贯彻执行安全生产法律法规等规范性文件及安全生产责任制，并负责督促检查落实对行政区域内的安全生产工作实施综合监督管理，指导、协调和监督其它部门的安全监管工作，加强经费、人员、设备及其它软件投入，为我镇经济健康良好发展提供保障。</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0588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构建完善的森林防火体系，有效监测火情，及时响应并处置森林火灾，提高乡镇森林防火的整体水平。通过监督商户严格遵循食品安全法规，有效识别和控制食品安全风险，保障了乡镇居民的饮食安全。通过加强安全生产政策法规宣传，强化安全生产培训工作，提高了安全生产管理水平，未发生重大安全事故。</w:t>
            </w:r>
          </w:p>
        </w:tc>
      </w:tr>
      <w:tr w14:paraId="6CBB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EB37">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33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4D97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安全生产工作管理实施，白马镇成立了部门分管领导、相关业务股室负责人及业务人员为成员的工作小组。通过加强火源管控、提高监测预警能力、强化应急处置等措施，有效预防和应对森林火灾。在食品安全监管方面，通过加强法规宣传、严格执法检查、加强风险监测等方式，确保食品生产经营活动的合法性和安全性。</w:t>
            </w:r>
          </w:p>
        </w:tc>
      </w:tr>
      <w:tr w14:paraId="0BF3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77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0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E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0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74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D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5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1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B3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F80C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D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5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4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48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6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3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40C">
            <w:pPr>
              <w:jc w:val="center"/>
              <w:rPr>
                <w:rFonts w:hint="eastAsia" w:ascii="宋体" w:hAnsi="宋体" w:eastAsia="宋体" w:cs="宋体"/>
                <w:i w:val="0"/>
                <w:iCs w:val="0"/>
                <w:color w:val="000000"/>
                <w:sz w:val="18"/>
                <w:szCs w:val="18"/>
                <w:u w:val="none"/>
              </w:rPr>
            </w:pP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BA909">
            <w:pPr>
              <w:rPr>
                <w:rFonts w:hint="eastAsia" w:ascii="黑体" w:hAnsi="黑体" w:eastAsia="黑体" w:cs="黑体"/>
                <w:i/>
                <w:iCs/>
                <w:color w:val="000000"/>
                <w:sz w:val="18"/>
                <w:szCs w:val="18"/>
                <w:u w:val="none"/>
              </w:rPr>
            </w:pPr>
          </w:p>
        </w:tc>
      </w:tr>
      <w:tr w14:paraId="53255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FB94F">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A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2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0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56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6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D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E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0CD84">
            <w:pPr>
              <w:rPr>
                <w:rFonts w:hint="eastAsia" w:ascii="黑体" w:hAnsi="黑体" w:eastAsia="黑体" w:cs="黑体"/>
                <w:i/>
                <w:iCs/>
                <w:color w:val="000000"/>
                <w:sz w:val="18"/>
                <w:szCs w:val="18"/>
                <w:u w:val="none"/>
              </w:rPr>
            </w:pPr>
          </w:p>
        </w:tc>
      </w:tr>
      <w:tr w14:paraId="2094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EB0F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6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5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6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B8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E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6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E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1E98">
            <w:pPr>
              <w:rPr>
                <w:rFonts w:hint="eastAsia" w:ascii="黑体" w:hAnsi="黑体" w:eastAsia="黑体" w:cs="黑体"/>
                <w:i/>
                <w:iCs/>
                <w:color w:val="000000"/>
                <w:sz w:val="18"/>
                <w:szCs w:val="18"/>
                <w:u w:val="none"/>
              </w:rPr>
            </w:pPr>
          </w:p>
        </w:tc>
      </w:tr>
      <w:tr w14:paraId="1909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54D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B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B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5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8A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4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1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0AFD">
            <w:pPr>
              <w:rPr>
                <w:rFonts w:hint="eastAsia" w:ascii="黑体" w:hAnsi="黑体" w:eastAsia="黑体" w:cs="黑体"/>
                <w:i/>
                <w:iCs/>
                <w:color w:val="000000"/>
                <w:sz w:val="18"/>
                <w:szCs w:val="18"/>
                <w:u w:val="none"/>
              </w:rPr>
            </w:pPr>
          </w:p>
        </w:tc>
      </w:tr>
      <w:tr w14:paraId="3AC3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BE573">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7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2046">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0C0F">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59DD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5742">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9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F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A9DD">
            <w:pPr>
              <w:rPr>
                <w:rFonts w:hint="eastAsia" w:ascii="黑体" w:hAnsi="黑体" w:eastAsia="黑体" w:cs="黑体"/>
                <w:i/>
                <w:iCs/>
                <w:color w:val="000000"/>
                <w:sz w:val="18"/>
                <w:szCs w:val="18"/>
                <w:u w:val="none"/>
              </w:rPr>
            </w:pPr>
          </w:p>
        </w:tc>
      </w:tr>
      <w:tr w14:paraId="5E2E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A6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F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EB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0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2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6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4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D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2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0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6F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A35B">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B8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44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7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完成每一月一次巡查</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E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B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5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866E">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D90E">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BB23">
            <w:pPr>
              <w:jc w:val="center"/>
              <w:rPr>
                <w:rFonts w:hint="eastAsia" w:ascii="微软雅黑" w:hAnsi="微软雅黑" w:eastAsia="微软雅黑" w:cs="微软雅黑"/>
                <w:i/>
                <w:iCs/>
                <w:color w:val="000000"/>
                <w:sz w:val="16"/>
                <w:szCs w:val="16"/>
                <w:u w:val="none"/>
              </w:rPr>
            </w:pPr>
          </w:p>
        </w:tc>
      </w:tr>
      <w:tr w14:paraId="6A52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5774">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B80A">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FB97">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D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人员配置30-50人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2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B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1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36C3">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F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9A2D">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428D">
            <w:pPr>
              <w:jc w:val="center"/>
              <w:rPr>
                <w:rFonts w:hint="eastAsia" w:ascii="微软雅黑" w:hAnsi="微软雅黑" w:eastAsia="微软雅黑" w:cs="微软雅黑"/>
                <w:i/>
                <w:iCs/>
                <w:color w:val="000000"/>
                <w:sz w:val="16"/>
                <w:szCs w:val="16"/>
                <w:u w:val="none"/>
              </w:rPr>
            </w:pPr>
          </w:p>
        </w:tc>
      </w:tr>
      <w:tr w14:paraId="5DDA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AB62F">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BE596">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B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C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安全事故处置完成率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E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6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9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3935">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3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6DAA">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7FCD">
            <w:pPr>
              <w:jc w:val="center"/>
              <w:rPr>
                <w:rFonts w:hint="eastAsia" w:ascii="微软雅黑" w:hAnsi="微软雅黑" w:eastAsia="微软雅黑" w:cs="微软雅黑"/>
                <w:i/>
                <w:iCs/>
                <w:color w:val="000000"/>
                <w:sz w:val="16"/>
                <w:szCs w:val="16"/>
                <w:u w:val="none"/>
              </w:rPr>
            </w:pPr>
          </w:p>
        </w:tc>
      </w:tr>
      <w:tr w14:paraId="55FC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6CB0">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30421">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F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E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5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C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4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EF02">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9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93B8">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91F1">
            <w:pPr>
              <w:jc w:val="center"/>
              <w:rPr>
                <w:rFonts w:hint="eastAsia" w:ascii="微软雅黑" w:hAnsi="微软雅黑" w:eastAsia="微软雅黑" w:cs="微软雅黑"/>
                <w:i/>
                <w:iCs/>
                <w:color w:val="000000"/>
                <w:sz w:val="16"/>
                <w:szCs w:val="16"/>
                <w:u w:val="none"/>
              </w:rPr>
            </w:pPr>
          </w:p>
        </w:tc>
      </w:tr>
      <w:tr w14:paraId="4599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B0728">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E9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5E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6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对重大决策部署推动作用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B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C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1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9D13">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9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6186">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F993">
            <w:pPr>
              <w:jc w:val="center"/>
              <w:rPr>
                <w:rFonts w:hint="eastAsia" w:ascii="微软雅黑" w:hAnsi="微软雅黑" w:eastAsia="微软雅黑" w:cs="微软雅黑"/>
                <w:i/>
                <w:iCs/>
                <w:color w:val="000000"/>
                <w:sz w:val="16"/>
                <w:szCs w:val="16"/>
                <w:u w:val="none"/>
              </w:rPr>
            </w:pPr>
          </w:p>
        </w:tc>
      </w:tr>
      <w:tr w14:paraId="1E4A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5920">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EA4D1">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D255">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6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提升场镇人居生态环境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E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3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0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4593">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3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A53F">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4B6">
            <w:pPr>
              <w:jc w:val="center"/>
              <w:rPr>
                <w:rFonts w:hint="eastAsia" w:ascii="微软雅黑" w:hAnsi="微软雅黑" w:eastAsia="微软雅黑" w:cs="微软雅黑"/>
                <w:i/>
                <w:iCs/>
                <w:color w:val="000000"/>
                <w:sz w:val="16"/>
                <w:szCs w:val="16"/>
                <w:u w:val="none"/>
              </w:rPr>
            </w:pPr>
          </w:p>
        </w:tc>
      </w:tr>
      <w:tr w14:paraId="2B5E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28B23">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3B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38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2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0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0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DC98">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4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D934">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8BC1">
            <w:pPr>
              <w:jc w:val="center"/>
              <w:rPr>
                <w:rFonts w:hint="eastAsia" w:ascii="微软雅黑" w:hAnsi="微软雅黑" w:eastAsia="微软雅黑" w:cs="微软雅黑"/>
                <w:i/>
                <w:iCs/>
                <w:color w:val="000000"/>
                <w:sz w:val="16"/>
                <w:szCs w:val="16"/>
                <w:u w:val="none"/>
              </w:rPr>
            </w:pPr>
          </w:p>
        </w:tc>
      </w:tr>
      <w:tr w14:paraId="2C034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ED04">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C0D8">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1CB7">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0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对全镇工作的促进及群众满意度，每月收集一次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8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E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1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2097">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8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E9A1">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0FCA">
            <w:pPr>
              <w:jc w:val="center"/>
              <w:rPr>
                <w:rFonts w:hint="eastAsia" w:ascii="微软雅黑" w:hAnsi="微软雅黑" w:eastAsia="微软雅黑" w:cs="微软雅黑"/>
                <w:i/>
                <w:iCs/>
                <w:color w:val="000000"/>
                <w:sz w:val="16"/>
                <w:szCs w:val="16"/>
                <w:u w:val="none"/>
              </w:rPr>
            </w:pPr>
          </w:p>
        </w:tc>
      </w:tr>
      <w:tr w14:paraId="31CA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6A11">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21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14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A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巡查人员办公经费主要是安全生产标识宣传费用8万元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7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A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B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A891">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7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EEBD">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C7DF">
            <w:pPr>
              <w:jc w:val="center"/>
              <w:rPr>
                <w:rFonts w:hint="eastAsia" w:ascii="微软雅黑" w:hAnsi="微软雅黑" w:eastAsia="微软雅黑" w:cs="微软雅黑"/>
                <w:i/>
                <w:iCs/>
                <w:color w:val="000000"/>
                <w:sz w:val="16"/>
                <w:szCs w:val="16"/>
                <w:u w:val="none"/>
              </w:rPr>
            </w:pPr>
          </w:p>
        </w:tc>
      </w:tr>
      <w:tr w14:paraId="7491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7399F">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A1CB">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C1A9">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1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巡查人员劳务费全年2万元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8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6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0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7273">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6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62F7">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1B21">
            <w:pPr>
              <w:jc w:val="center"/>
              <w:rPr>
                <w:rFonts w:hint="eastAsia" w:ascii="微软雅黑" w:hAnsi="微软雅黑" w:eastAsia="微软雅黑" w:cs="微软雅黑"/>
                <w:i/>
                <w:iCs/>
                <w:color w:val="000000"/>
                <w:sz w:val="16"/>
                <w:szCs w:val="16"/>
                <w:u w:val="none"/>
              </w:rPr>
            </w:pPr>
          </w:p>
        </w:tc>
      </w:tr>
      <w:tr w14:paraId="7336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EA5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0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FF91">
            <w:pP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6862">
            <w:pPr>
              <w:rPr>
                <w:rFonts w:hint="eastAsia" w:ascii="宋体" w:hAnsi="宋体" w:eastAsia="宋体" w:cs="宋体"/>
                <w:i w:val="0"/>
                <w:iCs w:val="0"/>
                <w:color w:val="000000"/>
                <w:sz w:val="18"/>
                <w:szCs w:val="18"/>
                <w:u w:val="none"/>
              </w:rPr>
            </w:pPr>
          </w:p>
        </w:tc>
      </w:tr>
      <w:tr w14:paraId="0FE8B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8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4ADE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安全生产监管项目严格按照预算计划实施，在保障森林资源安全和群众饮食安全方面取得较好成效。通过经费合理使用，完成了森林防火基础设施建设、隐患排查整治、应急演练及食品安全抽检、宣传培训等工作任务，有效降低了森林火灾发生率和食品安全风险隐患，群众安全意识显著提升。经综合评估，项目总体绩效目标基本达成，资金使用合规性、产出指标完成度、社会效益和群众满意度均表现良好，项目实施符合预期，资金使用效率较高。</w:t>
            </w:r>
          </w:p>
        </w:tc>
      </w:tr>
      <w:tr w14:paraId="730E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9599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监管力量与范围不足：基层监管人员数量有限，偏远山区森林巡护频次不足，难以满足森林防火巡护监管需求。</w:t>
            </w:r>
          </w:p>
        </w:tc>
      </w:tr>
      <w:tr w14:paraId="5EDC9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9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882E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通过招募志愿者等方式充实基层监管队伍，同时利用无人机巡护、卫星遥感监测等技术手段，扩大森林防火巡查覆盖范围。</w:t>
            </w:r>
          </w:p>
        </w:tc>
      </w:tr>
      <w:tr w14:paraId="13061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09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项目负责人：陈元</w:t>
            </w:r>
          </w:p>
        </w:tc>
        <w:tc>
          <w:tcPr>
            <w:tcW w:w="42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4897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221ACA65">
      <w:pPr>
        <w:rPr>
          <w:rFonts w:hint="default"/>
          <w:lang w:val="en-US" w:eastAsia="zh-CN"/>
        </w:rPr>
      </w:pPr>
    </w:p>
    <w:p w14:paraId="566AADB3">
      <w:pPr>
        <w:pStyle w:val="14"/>
        <w:rPr>
          <w:rFonts w:hint="default"/>
          <w:lang w:val="en-US" w:eastAsia="zh-CN"/>
        </w:rPr>
      </w:pPr>
    </w:p>
    <w:p w14:paraId="18BC7BF9">
      <w:pPr>
        <w:rPr>
          <w:rFonts w:hint="default"/>
          <w:lang w:val="en-US" w:eastAsia="zh-CN"/>
        </w:rPr>
      </w:pPr>
    </w:p>
    <w:p w14:paraId="6E706EDD">
      <w:pPr>
        <w:pStyle w:val="14"/>
        <w:rPr>
          <w:rFonts w:hint="default"/>
          <w:lang w:val="en-US" w:eastAsia="zh-CN"/>
        </w:rPr>
      </w:pPr>
    </w:p>
    <w:p w14:paraId="6AE2F00D">
      <w:pPr>
        <w:rPr>
          <w:rFonts w:hint="default"/>
          <w:lang w:val="en-US" w:eastAsia="zh-CN"/>
        </w:rPr>
      </w:pPr>
    </w:p>
    <w:p w14:paraId="751D1016">
      <w:pPr>
        <w:pStyle w:val="14"/>
        <w:rPr>
          <w:rFonts w:hint="default"/>
          <w:lang w:val="en-US" w:eastAsia="zh-CN"/>
        </w:rPr>
      </w:pPr>
    </w:p>
    <w:p w14:paraId="3C08F662">
      <w:pPr>
        <w:rPr>
          <w:rFonts w:hint="default"/>
          <w:lang w:val="en-US" w:eastAsia="zh-CN"/>
        </w:rPr>
      </w:pPr>
    </w:p>
    <w:p w14:paraId="33E16B03">
      <w:pPr>
        <w:pStyle w:val="14"/>
        <w:rPr>
          <w:rFonts w:hint="default"/>
          <w:lang w:val="en-US" w:eastAsia="zh-CN"/>
        </w:rPr>
      </w:pPr>
    </w:p>
    <w:tbl>
      <w:tblPr>
        <w:tblStyle w:val="16"/>
        <w:tblpPr w:leftFromText="180" w:rightFromText="180" w:vertAnchor="text" w:horzAnchor="page" w:tblpX="1859" w:tblpY="308"/>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8"/>
        <w:gridCol w:w="1074"/>
        <w:gridCol w:w="612"/>
        <w:gridCol w:w="659"/>
        <w:gridCol w:w="745"/>
        <w:gridCol w:w="846"/>
        <w:gridCol w:w="672"/>
        <w:gridCol w:w="553"/>
        <w:gridCol w:w="789"/>
      </w:tblGrid>
      <w:tr w14:paraId="4789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8F102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44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995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91F4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51090424T000011119029-创新社区管理经费（长期）</w:t>
            </w:r>
          </w:p>
        </w:tc>
      </w:tr>
      <w:tr w14:paraId="7BDA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A9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F07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00ACC12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9D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0971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E00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062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97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EBE1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CF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F98F">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D0928">
            <w:pPr>
              <w:rPr>
                <w:rFonts w:hint="eastAsia" w:ascii="宋体" w:hAnsi="宋体" w:eastAsia="宋体" w:cs="宋体"/>
                <w:i w:val="0"/>
                <w:iCs w:val="0"/>
                <w:color w:val="000000"/>
                <w:sz w:val="18"/>
                <w:szCs w:val="18"/>
                <w:u w:val="none"/>
              </w:rPr>
            </w:pPr>
          </w:p>
        </w:tc>
        <w:tc>
          <w:tcPr>
            <w:tcW w:w="38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1CB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创新社区管理经费主要是保障我镇2024年3个社区日常管理人员、劳保人员、临时环境整治劳务及其它迎检工作开展时的经费保障，为提升经济、文化、人居环境创造良好的社会环境。</w:t>
            </w:r>
          </w:p>
        </w:tc>
        <w:tc>
          <w:tcPr>
            <w:tcW w:w="2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57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项目围绕“提升社区治理效能、增强居民参与感、优化社区服务体验”的核心目标，通过社区自治机制创新、公共服务优化等措施，有效提高社区治理效能，为居民提供了更加便捷、高效的服务。</w:t>
            </w:r>
          </w:p>
        </w:tc>
      </w:tr>
      <w:tr w14:paraId="0AFF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C62E2">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B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CAC7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社区管理工作，白马镇成立了部门分管领导、相关业务股室负责人及业务人员为成员的工作小组。通过不断完善服务体系，组织居民议事会、社区协商会等活动，引导居民参与社区事务决策，努力提升社区服务水平，加强社区工作队伍建设，发挥公共服务的利民惠民作用。</w:t>
            </w:r>
          </w:p>
        </w:tc>
      </w:tr>
      <w:tr w14:paraId="6DA0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ED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2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9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36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E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E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7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607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0594">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B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E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D2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8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4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5548">
            <w:pPr>
              <w:jc w:val="center"/>
              <w:rPr>
                <w:rFonts w:hint="eastAsia" w:ascii="宋体" w:hAnsi="宋体" w:eastAsia="宋体" w:cs="宋体"/>
                <w:i w:val="0"/>
                <w:iCs w:val="0"/>
                <w:color w:val="000000"/>
                <w:sz w:val="18"/>
                <w:szCs w:val="18"/>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A55C6">
            <w:pPr>
              <w:rPr>
                <w:rFonts w:hint="eastAsia" w:ascii="黑体" w:hAnsi="黑体" w:eastAsia="黑体" w:cs="黑体"/>
                <w:i/>
                <w:iCs/>
                <w:color w:val="000000"/>
                <w:sz w:val="18"/>
                <w:szCs w:val="18"/>
                <w:u w:val="none"/>
              </w:rPr>
            </w:pPr>
          </w:p>
        </w:tc>
      </w:tr>
      <w:tr w14:paraId="24910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FD1C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2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F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8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4E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7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6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4284">
            <w:pPr>
              <w:rPr>
                <w:rFonts w:hint="eastAsia" w:ascii="黑体" w:hAnsi="黑体" w:eastAsia="黑体" w:cs="黑体"/>
                <w:i/>
                <w:iCs/>
                <w:color w:val="000000"/>
                <w:sz w:val="18"/>
                <w:szCs w:val="18"/>
                <w:u w:val="none"/>
              </w:rPr>
            </w:pPr>
          </w:p>
        </w:tc>
      </w:tr>
      <w:tr w14:paraId="264A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4DE3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3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D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6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AA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3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A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8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7A01">
            <w:pPr>
              <w:rPr>
                <w:rFonts w:hint="eastAsia" w:ascii="黑体" w:hAnsi="黑体" w:eastAsia="黑体" w:cs="黑体"/>
                <w:i/>
                <w:iCs/>
                <w:color w:val="000000"/>
                <w:sz w:val="18"/>
                <w:szCs w:val="18"/>
                <w:u w:val="none"/>
              </w:rPr>
            </w:pPr>
          </w:p>
        </w:tc>
      </w:tr>
      <w:tr w14:paraId="19C2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AE0C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1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6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E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97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7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B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768FE">
            <w:pPr>
              <w:rPr>
                <w:rFonts w:hint="eastAsia" w:ascii="黑体" w:hAnsi="黑体" w:eastAsia="黑体" w:cs="黑体"/>
                <w:i/>
                <w:iCs/>
                <w:color w:val="000000"/>
                <w:sz w:val="18"/>
                <w:szCs w:val="18"/>
                <w:u w:val="none"/>
              </w:rPr>
            </w:pPr>
          </w:p>
        </w:tc>
      </w:tr>
      <w:tr w14:paraId="4D82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6554">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1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2FDE">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860E">
            <w:pPr>
              <w:jc w:val="center"/>
              <w:rPr>
                <w:rFonts w:hint="eastAsia" w:ascii="微软雅黑" w:hAnsi="微软雅黑" w:eastAsia="微软雅黑" w:cs="微软雅黑"/>
                <w:i/>
                <w:iCs/>
                <w:color w:val="000000"/>
                <w:sz w:val="16"/>
                <w:szCs w:val="16"/>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AB17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C55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A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AE5F">
            <w:pPr>
              <w:rPr>
                <w:rFonts w:hint="eastAsia" w:ascii="黑体" w:hAnsi="黑体" w:eastAsia="黑体" w:cs="黑体"/>
                <w:i/>
                <w:iCs/>
                <w:color w:val="000000"/>
                <w:sz w:val="18"/>
                <w:szCs w:val="18"/>
                <w:u w:val="none"/>
              </w:rPr>
            </w:pPr>
          </w:p>
        </w:tc>
      </w:tr>
      <w:tr w14:paraId="5388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D3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18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A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5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3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A7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F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C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2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3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AE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D89D">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8A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90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B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社区管理人员两人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7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8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7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373A">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E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A9AC">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B5A5">
            <w:pPr>
              <w:jc w:val="center"/>
              <w:rPr>
                <w:rFonts w:hint="eastAsia" w:ascii="微软雅黑" w:hAnsi="微软雅黑" w:eastAsia="微软雅黑" w:cs="微软雅黑"/>
                <w:i/>
                <w:iCs/>
                <w:color w:val="000000"/>
                <w:sz w:val="16"/>
                <w:szCs w:val="16"/>
                <w:u w:val="none"/>
              </w:rPr>
            </w:pPr>
          </w:p>
        </w:tc>
      </w:tr>
      <w:tr w14:paraId="16F4A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A647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C7E79">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01C7">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2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社区管理数量</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C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A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3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6907">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1F8E">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575">
            <w:pPr>
              <w:jc w:val="center"/>
              <w:rPr>
                <w:rFonts w:hint="eastAsia" w:ascii="微软雅黑" w:hAnsi="微软雅黑" w:eastAsia="微软雅黑" w:cs="微软雅黑"/>
                <w:i/>
                <w:iCs/>
                <w:color w:val="000000"/>
                <w:sz w:val="16"/>
                <w:szCs w:val="16"/>
                <w:u w:val="none"/>
              </w:rPr>
            </w:pPr>
          </w:p>
        </w:tc>
      </w:tr>
      <w:tr w14:paraId="66E5D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509F7">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0454">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3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E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群众纠纷调解完成率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F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C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9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B6AB">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6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19D9">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3850">
            <w:pPr>
              <w:jc w:val="center"/>
              <w:rPr>
                <w:rFonts w:hint="eastAsia" w:ascii="微软雅黑" w:hAnsi="微软雅黑" w:eastAsia="微软雅黑" w:cs="微软雅黑"/>
                <w:i/>
                <w:iCs/>
                <w:color w:val="000000"/>
                <w:sz w:val="16"/>
                <w:szCs w:val="16"/>
                <w:u w:val="none"/>
              </w:rPr>
            </w:pPr>
          </w:p>
        </w:tc>
      </w:tr>
      <w:tr w14:paraId="76AB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0101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2653">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BD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0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1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C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8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B924">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A817">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ACF8">
            <w:pPr>
              <w:jc w:val="center"/>
              <w:rPr>
                <w:rFonts w:hint="eastAsia" w:ascii="微软雅黑" w:hAnsi="微软雅黑" w:eastAsia="微软雅黑" w:cs="微软雅黑"/>
                <w:i/>
                <w:iCs/>
                <w:color w:val="000000"/>
                <w:sz w:val="16"/>
                <w:szCs w:val="16"/>
                <w:u w:val="none"/>
              </w:rPr>
            </w:pPr>
          </w:p>
        </w:tc>
      </w:tr>
      <w:tr w14:paraId="0706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0AD8">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3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6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0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对全镇工作促进作用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C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1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B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AB94">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E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24F7">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797">
            <w:pPr>
              <w:jc w:val="center"/>
              <w:rPr>
                <w:rFonts w:hint="eastAsia" w:ascii="微软雅黑" w:hAnsi="微软雅黑" w:eastAsia="微软雅黑" w:cs="微软雅黑"/>
                <w:i/>
                <w:iCs/>
                <w:color w:val="000000"/>
                <w:sz w:val="16"/>
                <w:szCs w:val="16"/>
                <w:u w:val="none"/>
              </w:rPr>
            </w:pPr>
          </w:p>
        </w:tc>
      </w:tr>
      <w:tr w14:paraId="39D00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BBB3">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10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C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D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提升政府办事效率打造阳光政府</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3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F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A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8B77">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06ED">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FC4D">
            <w:pPr>
              <w:jc w:val="center"/>
              <w:rPr>
                <w:rFonts w:hint="eastAsia" w:ascii="微软雅黑" w:hAnsi="微软雅黑" w:eastAsia="微软雅黑" w:cs="微软雅黑"/>
                <w:i/>
                <w:iCs/>
                <w:color w:val="000000"/>
                <w:sz w:val="16"/>
                <w:szCs w:val="16"/>
                <w:u w:val="none"/>
              </w:rPr>
            </w:pPr>
          </w:p>
        </w:tc>
      </w:tr>
      <w:tr w14:paraId="1B0C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72A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4D307">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3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65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0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2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2AC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9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FE1">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ABBD">
            <w:pPr>
              <w:jc w:val="center"/>
              <w:rPr>
                <w:rFonts w:hint="eastAsia" w:ascii="微软雅黑" w:hAnsi="微软雅黑" w:eastAsia="微软雅黑" w:cs="微软雅黑"/>
                <w:i/>
                <w:iCs/>
                <w:color w:val="000000"/>
                <w:sz w:val="16"/>
                <w:szCs w:val="16"/>
                <w:u w:val="none"/>
              </w:rPr>
            </w:pPr>
          </w:p>
        </w:tc>
      </w:tr>
      <w:tr w14:paraId="5103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F591">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B9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68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F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全年预算安排办公经费5.76万元管理2人每年2.88万元/人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7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9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E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AB17">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A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42A3">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397F">
            <w:pPr>
              <w:jc w:val="center"/>
              <w:rPr>
                <w:rFonts w:hint="eastAsia" w:ascii="微软雅黑" w:hAnsi="微软雅黑" w:eastAsia="微软雅黑" w:cs="微软雅黑"/>
                <w:i/>
                <w:iCs/>
                <w:color w:val="000000"/>
                <w:sz w:val="16"/>
                <w:szCs w:val="16"/>
                <w:u w:val="none"/>
              </w:rPr>
            </w:pPr>
          </w:p>
        </w:tc>
      </w:tr>
      <w:tr w14:paraId="26B4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D9F7E">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3ADE">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98ED">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B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全年预算安排办公费4.24万元社区管理及文明标识宣传</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1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5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C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D0D9">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F002">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5FCA">
            <w:pPr>
              <w:jc w:val="center"/>
              <w:rPr>
                <w:rFonts w:hint="eastAsia" w:ascii="微软雅黑" w:hAnsi="微软雅黑" w:eastAsia="微软雅黑" w:cs="微软雅黑"/>
                <w:i/>
                <w:iCs/>
                <w:color w:val="000000"/>
                <w:sz w:val="16"/>
                <w:szCs w:val="16"/>
                <w:u w:val="none"/>
              </w:rPr>
            </w:pPr>
          </w:p>
        </w:tc>
      </w:tr>
      <w:tr w14:paraId="072D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ECE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1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BC80">
            <w:pP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16B9">
            <w:pPr>
              <w:rPr>
                <w:rFonts w:hint="eastAsia" w:ascii="宋体" w:hAnsi="宋体" w:eastAsia="宋体" w:cs="宋体"/>
                <w:i w:val="0"/>
                <w:iCs w:val="0"/>
                <w:color w:val="000000"/>
                <w:sz w:val="18"/>
                <w:szCs w:val="18"/>
                <w:u w:val="none"/>
              </w:rPr>
            </w:pPr>
          </w:p>
        </w:tc>
      </w:tr>
      <w:tr w14:paraId="5F94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8BB2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创新社区管理项目资金使用合规，实施过程规范，有效提升了社区治理效率和居民生活品质，社会效益显著。通过社区自治机制增强了居民归属感，项目整体达成预期目标。但在资源整合效率、长效运营机制及居民参与深度方面仍需改进</w:t>
            </w:r>
          </w:p>
        </w:tc>
      </w:tr>
      <w:tr w14:paraId="5AA3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F4EF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长效运营压力大，项目资金主要依赖财政投入，社区活动持续开展缺乏稳定资金来源，部分居民参与自治活动的积极性难以长期保持。</w:t>
            </w:r>
          </w:p>
        </w:tc>
      </w:tr>
      <w:tr w14:paraId="6786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D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CE80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拓宽资金渠道与运营模式，探索多元化筹资模式，申请社会治理类专项基金，引入市场化运营思维。</w:t>
            </w:r>
          </w:p>
        </w:tc>
      </w:tr>
      <w:tr w14:paraId="461C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7BE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项目负责人：唐启林</w:t>
            </w:r>
          </w:p>
        </w:tc>
        <w:tc>
          <w:tcPr>
            <w:tcW w:w="42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C84A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11F703DA">
      <w:pPr>
        <w:rPr>
          <w:rFonts w:hint="default"/>
          <w:lang w:val="en-US" w:eastAsia="zh-CN"/>
        </w:rPr>
      </w:pPr>
    </w:p>
    <w:p w14:paraId="1B438284">
      <w:pPr>
        <w:pStyle w:val="14"/>
        <w:rPr>
          <w:rFonts w:hint="default"/>
          <w:lang w:val="en-US" w:eastAsia="zh-CN"/>
        </w:rPr>
      </w:pPr>
    </w:p>
    <w:p w14:paraId="35CB5B0A">
      <w:pPr>
        <w:rPr>
          <w:rFonts w:hint="default"/>
          <w:lang w:val="en-US" w:eastAsia="zh-CN"/>
        </w:rPr>
      </w:pPr>
    </w:p>
    <w:p w14:paraId="436112E1">
      <w:pPr>
        <w:pStyle w:val="14"/>
        <w:rPr>
          <w:rFonts w:hint="default"/>
          <w:lang w:val="en-US" w:eastAsia="zh-CN"/>
        </w:rPr>
      </w:pPr>
    </w:p>
    <w:p w14:paraId="3BEB36D7">
      <w:pPr>
        <w:rPr>
          <w:rFonts w:hint="default"/>
          <w:lang w:val="en-US" w:eastAsia="zh-CN"/>
        </w:rPr>
      </w:pPr>
    </w:p>
    <w:p w14:paraId="71A5E318">
      <w:pPr>
        <w:pStyle w:val="14"/>
        <w:rPr>
          <w:rFonts w:hint="default"/>
          <w:lang w:val="en-US" w:eastAsia="zh-CN"/>
        </w:rPr>
      </w:pPr>
    </w:p>
    <w:p w14:paraId="41FD9372">
      <w:pPr>
        <w:rPr>
          <w:rFonts w:hint="default"/>
          <w:lang w:val="en-US" w:eastAsia="zh-CN"/>
        </w:rPr>
      </w:pPr>
    </w:p>
    <w:p w14:paraId="46D2C3E4">
      <w:pPr>
        <w:pStyle w:val="14"/>
        <w:rPr>
          <w:rFonts w:hint="default"/>
          <w:lang w:val="en-US" w:eastAsia="zh-CN"/>
        </w:rPr>
      </w:pPr>
    </w:p>
    <w:p w14:paraId="4A07041C">
      <w:pPr>
        <w:rPr>
          <w:rFonts w:hint="default"/>
          <w:lang w:val="en-US" w:eastAsia="zh-CN"/>
        </w:rPr>
      </w:pPr>
    </w:p>
    <w:p w14:paraId="26357AF6">
      <w:pPr>
        <w:pStyle w:val="14"/>
        <w:rPr>
          <w:rFonts w:hint="default"/>
          <w:lang w:val="en-US" w:eastAsia="zh-CN"/>
        </w:rPr>
      </w:pPr>
    </w:p>
    <w:p w14:paraId="209B22CA">
      <w:pPr>
        <w:rPr>
          <w:rFonts w:hint="default"/>
          <w:lang w:val="en-US" w:eastAsia="zh-CN"/>
        </w:rPr>
      </w:pPr>
    </w:p>
    <w:p w14:paraId="06A56964">
      <w:pPr>
        <w:pStyle w:val="14"/>
        <w:rPr>
          <w:rFonts w:hint="default"/>
          <w:lang w:val="en-US" w:eastAsia="zh-CN"/>
        </w:rPr>
      </w:pPr>
    </w:p>
    <w:p w14:paraId="79108A36">
      <w:pPr>
        <w:rPr>
          <w:rFonts w:hint="default"/>
          <w:lang w:val="en-US" w:eastAsia="zh-CN"/>
        </w:rPr>
      </w:pPr>
    </w:p>
    <w:tbl>
      <w:tblPr>
        <w:tblStyle w:val="16"/>
        <w:tblpPr w:leftFromText="180" w:rightFromText="180" w:vertAnchor="text" w:horzAnchor="page" w:tblpX="1876" w:tblpY="199"/>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9"/>
        <w:gridCol w:w="1073"/>
        <w:gridCol w:w="612"/>
        <w:gridCol w:w="657"/>
        <w:gridCol w:w="745"/>
        <w:gridCol w:w="846"/>
        <w:gridCol w:w="673"/>
        <w:gridCol w:w="553"/>
        <w:gridCol w:w="790"/>
      </w:tblGrid>
      <w:tr w14:paraId="57DE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6FB5E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09D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B4E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91C9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51090424T000011119050-防灾应急救助经费（长期）</w:t>
            </w:r>
          </w:p>
        </w:tc>
      </w:tr>
      <w:tr w14:paraId="2EDB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31C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751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38816F2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37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13109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0FD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183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37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EAF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20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81823">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BB70">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3DB6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救助工作是以科学发展观为指导，切实履行政府应急管理职能，坚持以人为本，预防为主、依法管理、正面引导，紧紧围绕提升社会公众防灾减灾意识这个主题，积极创新宣传手段，拓宽宣传渠道，丰富宣传内容，提高宣传实效，深入宣传各种法律法规知识和普及防灾减灾科普知识，提高公众应急避险和自救互救能力，为进一步促进全镇经济和社会又好又快发展创造良好环境。</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C70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单位于20248、9月完成了项目资金支付</w:t>
            </w:r>
          </w:p>
        </w:tc>
      </w:tr>
      <w:tr w14:paraId="2483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3BA7">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8F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77EF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单位有应急人员65人，应急演练4次，人数到位保障率85%；有利于群众的困难得以解决；确保全年防灾应急救助工作顺利进行，做好防灾应急救助宣传工作，储备相应物资，单位于2024年8、9月完成了项目资金支付。</w:t>
            </w:r>
          </w:p>
        </w:tc>
      </w:tr>
      <w:tr w14:paraId="5BAF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22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9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6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FC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4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D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0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C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80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A32D9">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E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6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D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DA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7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C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1705">
            <w:pPr>
              <w:jc w:val="center"/>
              <w:rPr>
                <w:rFonts w:hint="eastAsia" w:ascii="宋体" w:hAnsi="宋体" w:eastAsia="宋体" w:cs="宋体"/>
                <w:i w:val="0"/>
                <w:iCs w:val="0"/>
                <w:color w:val="000000"/>
                <w:sz w:val="18"/>
                <w:szCs w:val="18"/>
                <w:u w:val="none"/>
              </w:rPr>
            </w:pP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8E45">
            <w:pPr>
              <w:rPr>
                <w:rFonts w:hint="eastAsia" w:ascii="黑体" w:hAnsi="黑体" w:eastAsia="黑体" w:cs="黑体"/>
                <w:i/>
                <w:iCs/>
                <w:color w:val="000000"/>
                <w:sz w:val="18"/>
                <w:szCs w:val="18"/>
                <w:u w:val="none"/>
              </w:rPr>
            </w:pPr>
          </w:p>
        </w:tc>
      </w:tr>
      <w:tr w14:paraId="5D30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8FF1">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6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6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C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4B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2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5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4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2AD02">
            <w:pPr>
              <w:rPr>
                <w:rFonts w:hint="eastAsia" w:ascii="黑体" w:hAnsi="黑体" w:eastAsia="黑体" w:cs="黑体"/>
                <w:i/>
                <w:iCs/>
                <w:color w:val="000000"/>
                <w:sz w:val="18"/>
                <w:szCs w:val="18"/>
                <w:u w:val="none"/>
              </w:rPr>
            </w:pPr>
          </w:p>
        </w:tc>
      </w:tr>
      <w:tr w14:paraId="4662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AFAB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6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8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C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3E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8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6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5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0DD1">
            <w:pPr>
              <w:rPr>
                <w:rFonts w:hint="eastAsia" w:ascii="黑体" w:hAnsi="黑体" w:eastAsia="黑体" w:cs="黑体"/>
                <w:i/>
                <w:iCs/>
                <w:color w:val="000000"/>
                <w:sz w:val="18"/>
                <w:szCs w:val="18"/>
                <w:u w:val="none"/>
              </w:rPr>
            </w:pPr>
          </w:p>
        </w:tc>
      </w:tr>
      <w:tr w14:paraId="49F9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990C9">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1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6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1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A8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4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C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8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81EA">
            <w:pPr>
              <w:rPr>
                <w:rFonts w:hint="eastAsia" w:ascii="黑体" w:hAnsi="黑体" w:eastAsia="黑体" w:cs="黑体"/>
                <w:i/>
                <w:iCs/>
                <w:color w:val="000000"/>
                <w:sz w:val="18"/>
                <w:szCs w:val="18"/>
                <w:u w:val="none"/>
              </w:rPr>
            </w:pPr>
          </w:p>
        </w:tc>
      </w:tr>
      <w:tr w14:paraId="7933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70D2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F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58B4">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B4D7">
            <w:pPr>
              <w:jc w:val="center"/>
              <w:rPr>
                <w:rFonts w:hint="eastAsia" w:ascii="微软雅黑" w:hAnsi="微软雅黑" w:eastAsia="微软雅黑" w:cs="微软雅黑"/>
                <w:i/>
                <w:iCs/>
                <w:color w:val="000000"/>
                <w:sz w:val="16"/>
                <w:szCs w:val="16"/>
                <w:u w:val="none"/>
              </w:rPr>
            </w:pP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3791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DC7B">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3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5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A84EF">
            <w:pPr>
              <w:rPr>
                <w:rFonts w:hint="eastAsia" w:ascii="黑体" w:hAnsi="黑体" w:eastAsia="黑体" w:cs="黑体"/>
                <w:i/>
                <w:iCs/>
                <w:color w:val="000000"/>
                <w:sz w:val="18"/>
                <w:szCs w:val="18"/>
                <w:u w:val="none"/>
              </w:rPr>
            </w:pPr>
          </w:p>
        </w:tc>
      </w:tr>
      <w:tr w14:paraId="29C0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C0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A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F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3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1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6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9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5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4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3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62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358DF">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72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4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4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综治协理5人及临时调动人员每村3-5人共计75人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A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E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9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C614">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3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06D4">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5E7D">
            <w:pPr>
              <w:jc w:val="center"/>
              <w:rPr>
                <w:rFonts w:hint="eastAsia" w:ascii="微软雅黑" w:hAnsi="微软雅黑" w:eastAsia="微软雅黑" w:cs="微软雅黑"/>
                <w:i/>
                <w:iCs/>
                <w:color w:val="000000"/>
                <w:sz w:val="16"/>
                <w:szCs w:val="16"/>
                <w:u w:val="none"/>
              </w:rPr>
            </w:pPr>
          </w:p>
        </w:tc>
      </w:tr>
      <w:tr w14:paraId="14664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F597">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86AE">
            <w:pPr>
              <w:jc w:val="center"/>
              <w:rPr>
                <w:rFonts w:hint="eastAsia" w:ascii="宋体" w:hAnsi="宋体" w:eastAsia="宋体" w:cs="宋体"/>
                <w:i w:val="0"/>
                <w:iCs w:val="0"/>
                <w:color w:val="000000"/>
                <w:sz w:val="18"/>
                <w:szCs w:val="18"/>
                <w:u w:val="none"/>
              </w:rPr>
            </w:pP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8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7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社会对应急事件关注度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3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A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7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429D">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3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3F6B">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D72D">
            <w:pPr>
              <w:jc w:val="center"/>
              <w:rPr>
                <w:rFonts w:hint="eastAsia" w:ascii="微软雅黑" w:hAnsi="微软雅黑" w:eastAsia="微软雅黑" w:cs="微软雅黑"/>
                <w:i/>
                <w:iCs/>
                <w:color w:val="000000"/>
                <w:sz w:val="16"/>
                <w:szCs w:val="16"/>
                <w:u w:val="none"/>
              </w:rPr>
            </w:pPr>
          </w:p>
        </w:tc>
      </w:tr>
      <w:tr w14:paraId="1AC2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63439">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58C77">
            <w:pPr>
              <w:jc w:val="center"/>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E573">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3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防灾应急处置效率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0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0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D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CA27">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7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28D4">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12E7">
            <w:pPr>
              <w:jc w:val="center"/>
              <w:rPr>
                <w:rFonts w:hint="eastAsia" w:ascii="微软雅黑" w:hAnsi="微软雅黑" w:eastAsia="微软雅黑" w:cs="微软雅黑"/>
                <w:i/>
                <w:iCs/>
                <w:color w:val="000000"/>
                <w:sz w:val="16"/>
                <w:szCs w:val="16"/>
                <w:u w:val="none"/>
              </w:rPr>
            </w:pPr>
          </w:p>
        </w:tc>
      </w:tr>
      <w:tr w14:paraId="46C4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1C28">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4A266">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B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1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2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2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8820">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6A30">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290D">
            <w:pPr>
              <w:jc w:val="center"/>
              <w:rPr>
                <w:rFonts w:hint="eastAsia" w:ascii="微软雅黑" w:hAnsi="微软雅黑" w:eastAsia="微软雅黑" w:cs="微软雅黑"/>
                <w:i/>
                <w:iCs/>
                <w:color w:val="000000"/>
                <w:sz w:val="16"/>
                <w:szCs w:val="16"/>
                <w:u w:val="none"/>
              </w:rPr>
            </w:pPr>
          </w:p>
        </w:tc>
      </w:tr>
      <w:tr w14:paraId="5CCF9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AEE33">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3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4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C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对重大决策部署推动作用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D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D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0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0052">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3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6A4D">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B579">
            <w:pPr>
              <w:jc w:val="center"/>
              <w:rPr>
                <w:rFonts w:hint="eastAsia" w:ascii="微软雅黑" w:hAnsi="微软雅黑" w:eastAsia="微软雅黑" w:cs="微软雅黑"/>
                <w:i/>
                <w:iCs/>
                <w:color w:val="000000"/>
                <w:sz w:val="16"/>
                <w:szCs w:val="16"/>
                <w:u w:val="none"/>
              </w:rPr>
            </w:pPr>
          </w:p>
        </w:tc>
      </w:tr>
      <w:tr w14:paraId="3E515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139B">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5B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D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0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提升政府执政能力</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3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9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7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BCC2">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5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5444">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D64">
            <w:pPr>
              <w:jc w:val="center"/>
              <w:rPr>
                <w:rFonts w:hint="eastAsia" w:ascii="微软雅黑" w:hAnsi="微软雅黑" w:eastAsia="微软雅黑" w:cs="微软雅黑"/>
                <w:i/>
                <w:iCs/>
                <w:color w:val="000000"/>
                <w:sz w:val="16"/>
                <w:szCs w:val="16"/>
                <w:u w:val="none"/>
              </w:rPr>
            </w:pPr>
          </w:p>
        </w:tc>
      </w:tr>
      <w:tr w14:paraId="71CA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8CA23">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EF4A">
            <w:pPr>
              <w:jc w:val="center"/>
              <w:rPr>
                <w:rFonts w:hint="eastAsia" w:ascii="宋体" w:hAnsi="宋体" w:eastAsia="宋体" w:cs="宋体"/>
                <w:i w:val="0"/>
                <w:iCs w:val="0"/>
                <w:color w:val="000000"/>
                <w:sz w:val="18"/>
                <w:szCs w:val="18"/>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D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0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1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3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4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40CA">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F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8D59">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C57E">
            <w:pPr>
              <w:jc w:val="center"/>
              <w:rPr>
                <w:rFonts w:hint="eastAsia" w:ascii="微软雅黑" w:hAnsi="微软雅黑" w:eastAsia="微软雅黑" w:cs="微软雅黑"/>
                <w:i/>
                <w:iCs/>
                <w:color w:val="000000"/>
                <w:sz w:val="16"/>
                <w:szCs w:val="16"/>
                <w:u w:val="none"/>
              </w:rPr>
            </w:pPr>
          </w:p>
        </w:tc>
      </w:tr>
      <w:tr w14:paraId="40082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64C45">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6F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D3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2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全年预算安排租车及差旅费、宣传费等支出5万元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5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3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F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81A6">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7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DE40">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BC21">
            <w:pPr>
              <w:jc w:val="center"/>
              <w:rPr>
                <w:rFonts w:hint="eastAsia" w:ascii="微软雅黑" w:hAnsi="微软雅黑" w:eastAsia="微软雅黑" w:cs="微软雅黑"/>
                <w:i/>
                <w:iCs/>
                <w:color w:val="000000"/>
                <w:sz w:val="16"/>
                <w:szCs w:val="16"/>
                <w:u w:val="none"/>
              </w:rPr>
            </w:pPr>
          </w:p>
        </w:tc>
      </w:tr>
      <w:tr w14:paraId="5448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34DC">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E8AF">
            <w:pPr>
              <w:jc w:val="center"/>
              <w:rPr>
                <w:rFonts w:hint="eastAsia" w:ascii="宋体" w:hAnsi="宋体" w:eastAsia="宋体" w:cs="宋体"/>
                <w:i w:val="0"/>
                <w:iCs w:val="0"/>
                <w:color w:val="000000"/>
                <w:sz w:val="18"/>
                <w:szCs w:val="18"/>
                <w:u w:val="none"/>
              </w:rPr>
            </w:pPr>
          </w:p>
        </w:tc>
        <w:tc>
          <w:tcPr>
            <w:tcW w:w="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124B">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5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全年预算安排办公经费5万元警示标语及广告制作经费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B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B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5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505F">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6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9B64">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58C4">
            <w:pPr>
              <w:jc w:val="center"/>
              <w:rPr>
                <w:rFonts w:hint="eastAsia" w:ascii="微软雅黑" w:hAnsi="微软雅黑" w:eastAsia="微软雅黑" w:cs="微软雅黑"/>
                <w:i/>
                <w:iCs/>
                <w:color w:val="000000"/>
                <w:sz w:val="16"/>
                <w:szCs w:val="16"/>
                <w:u w:val="none"/>
              </w:rPr>
            </w:pPr>
          </w:p>
        </w:tc>
      </w:tr>
      <w:tr w14:paraId="61C7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E0B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B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C86C">
            <w:pP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BD0D">
            <w:pPr>
              <w:rPr>
                <w:rFonts w:hint="eastAsia" w:ascii="宋体" w:hAnsi="宋体" w:eastAsia="宋体" w:cs="宋体"/>
                <w:i w:val="0"/>
                <w:iCs w:val="0"/>
                <w:color w:val="000000"/>
                <w:sz w:val="18"/>
                <w:szCs w:val="18"/>
                <w:u w:val="none"/>
              </w:rPr>
            </w:pPr>
          </w:p>
        </w:tc>
      </w:tr>
      <w:tr w14:paraId="0358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2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C343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 年，我乡镇防灾应急救助经费在防灾减灾、应急救援及灾后恢复重建等工作中发挥了重要作用，取得了一定的成效。但也存在一些问题和不足，需要在今后的工作中采取有效措施加以改进。通过本次自评，我们将总结经验教训，不断优化经费使用管理，提升防灾应急救助能力，为保障人民群众生命财产安全和乡镇稳定发展提供坚实保障</w:t>
            </w:r>
          </w:p>
        </w:tc>
      </w:tr>
      <w:tr w14:paraId="5499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E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AC66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1、部分应急物资储备不合理：部分应急物资在实际使用中出现供需不匹配的情况，如某些特殊救援设备储备不足，而部分生活用品储备过多，造成资源浪费。</w:t>
            </w:r>
            <w:r>
              <w:rPr>
                <w:rStyle w:val="35"/>
                <w:rFonts w:eastAsia="微软雅黑"/>
                <w:lang w:val="en-US" w:eastAsia="zh-CN" w:bidi="ar"/>
              </w:rPr>
              <w:t>​</w:t>
            </w:r>
            <w:r>
              <w:rPr>
                <w:rStyle w:val="36"/>
                <w:lang w:val="en-US" w:eastAsia="zh-CN" w:bidi="ar"/>
              </w:rPr>
              <w:br w:type="textWrapping"/>
            </w:r>
            <w:r>
              <w:rPr>
                <w:rStyle w:val="36"/>
                <w:lang w:val="en-US" w:eastAsia="zh-CN" w:bidi="ar"/>
              </w:rPr>
              <w:t>2、应急救援队伍专业能力有待提升：虽然开展了培训演练，但部分应急救援队员在复杂灾害场景下的救援技能和应变能力仍显不足，缺乏专业的技术装备和知识。</w:t>
            </w:r>
            <w:r>
              <w:rPr>
                <w:rStyle w:val="35"/>
                <w:rFonts w:eastAsia="微软雅黑"/>
                <w:lang w:val="en-US" w:eastAsia="zh-CN" w:bidi="ar"/>
              </w:rPr>
              <w:t>​</w:t>
            </w:r>
            <w:r>
              <w:rPr>
                <w:rStyle w:val="36"/>
                <w:lang w:val="en-US" w:eastAsia="zh-CN" w:bidi="ar"/>
              </w:rPr>
              <w:br w:type="textWrapping"/>
            </w:r>
            <w:r>
              <w:rPr>
                <w:rStyle w:val="36"/>
                <w:lang w:val="en-US" w:eastAsia="zh-CN" w:bidi="ar"/>
              </w:rPr>
              <w:t>3、灾后恢复重建资金压力较大：在部分较大规模的灾害后，灾后恢复重建所需资金超出预算，导致一些重建项目进度缓慢，影响受灾地区恢复速度。</w:t>
            </w:r>
          </w:p>
        </w:tc>
      </w:tr>
      <w:tr w14:paraId="321C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9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D19D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1、优化应急物资储备结构：开展全面的灾害风险评估，结合乡镇实际情况，科学制定应急物资储备计划。建立物资动态管理机制，定期对物资储备情况进行评估和调整，确保物资储备合理有效。</w:t>
            </w:r>
            <w:r>
              <w:rPr>
                <w:rStyle w:val="35"/>
                <w:rFonts w:eastAsia="微软雅黑"/>
                <w:lang w:val="en-US" w:eastAsia="zh-CN" w:bidi="ar"/>
              </w:rPr>
              <w:t>​</w:t>
            </w:r>
            <w:r>
              <w:rPr>
                <w:rStyle w:val="36"/>
                <w:lang w:val="en-US" w:eastAsia="zh-CN" w:bidi="ar"/>
              </w:rPr>
              <w:br w:type="textWrapping"/>
            </w:r>
            <w:r>
              <w:rPr>
                <w:rStyle w:val="36"/>
                <w:lang w:val="en-US" w:eastAsia="zh-CN" w:bidi="ar"/>
              </w:rPr>
              <w:t>2、加强应急救援队伍建设：加大培训投入，邀请专业救援机构和专家进行指导，丰富培训内容和方式，增加实战演练和专业技能培训。同时，配备必要的专业救援设备，提升队伍整体救援能力。</w:t>
            </w:r>
            <w:r>
              <w:rPr>
                <w:rStyle w:val="35"/>
                <w:rFonts w:eastAsia="微软雅黑"/>
                <w:lang w:val="en-US" w:eastAsia="zh-CN" w:bidi="ar"/>
              </w:rPr>
              <w:t>​</w:t>
            </w:r>
            <w:r>
              <w:rPr>
                <w:rStyle w:val="36"/>
                <w:lang w:val="en-US" w:eastAsia="zh-CN" w:bidi="ar"/>
              </w:rPr>
              <w:br w:type="textWrapping"/>
            </w:r>
            <w:r>
              <w:rPr>
                <w:rStyle w:val="36"/>
                <w:lang w:val="en-US" w:eastAsia="zh-CN" w:bidi="ar"/>
              </w:rPr>
              <w:t>3、拓宽资金筹集渠道：在合理编制防灾应急救助经费预算的基础上，积极争取上级资金支持，鼓励社会资本参与防灾应急救助工作，探索建立多元化的资金筹集机制，缓解灾后恢复重建资金压力</w:t>
            </w:r>
          </w:p>
        </w:tc>
      </w:tr>
      <w:tr w14:paraId="3F60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D100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项目负责人：唐启林</w:t>
            </w:r>
          </w:p>
        </w:tc>
        <w:tc>
          <w:tcPr>
            <w:tcW w:w="42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50AD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7206ED3C">
      <w:pPr>
        <w:pStyle w:val="14"/>
        <w:rPr>
          <w:rFonts w:hint="default"/>
          <w:lang w:val="en-US" w:eastAsia="zh-CN"/>
        </w:rPr>
      </w:pPr>
    </w:p>
    <w:tbl>
      <w:tblPr>
        <w:tblStyle w:val="16"/>
        <w:tblpPr w:leftFromText="180" w:rightFromText="180" w:vertAnchor="text" w:horzAnchor="page" w:tblpX="1843" w:tblpY="206"/>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8"/>
        <w:gridCol w:w="745"/>
        <w:gridCol w:w="846"/>
        <w:gridCol w:w="673"/>
        <w:gridCol w:w="553"/>
        <w:gridCol w:w="791"/>
      </w:tblGrid>
      <w:tr w14:paraId="46B5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C53A4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48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476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9004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51090424T000011119098-关心下一代工作专项经费（长期）</w:t>
            </w:r>
          </w:p>
        </w:tc>
      </w:tr>
      <w:tr w14:paraId="3225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AD4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3EE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11713DB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E0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1048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3B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B86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001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9654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90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69036">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B535A">
            <w:pPr>
              <w:rPr>
                <w:rFonts w:hint="eastAsia" w:ascii="宋体" w:hAnsi="宋体" w:eastAsia="宋体" w:cs="宋体"/>
                <w:i w:val="0"/>
                <w:iCs w:val="0"/>
                <w:color w:val="000000"/>
                <w:sz w:val="18"/>
                <w:szCs w:val="18"/>
                <w:u w:val="none"/>
              </w:rPr>
            </w:pP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E6E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深入学习贯彻党的十九大精神</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坚持以习近平新时代中国特色社会主义思想为指导</w:t>
            </w:r>
            <w:r>
              <w:rPr>
                <w:rFonts w:ascii="宋体" w:hAnsi="宋体" w:eastAsia="宋体" w:cs="宋体"/>
                <w:i w:val="0"/>
                <w:iCs w:val="0"/>
                <w:color w:val="000000"/>
                <w:kern w:val="0"/>
                <w:sz w:val="18"/>
                <w:szCs w:val="18"/>
                <w:u w:val="none"/>
                <w:lang w:val="en-US" w:eastAsia="zh-CN" w:bidi="ar"/>
              </w:rPr>
              <w:t>和推动关心下一代事业发展。2、教育引导青少年树立和践行社会主义核心价值观，扎实推进青少年思想道德建设。3、坚持以人民为中心，重点突出培养青少年成长成才和关爱弱势群体工作，有效为青少年服务。4、加强组织协调，力争到2025年基层“五好”达标率达到50%以上。</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5B7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2024年度我镇对留守儿童进行关爱保护及对青少年思想道德教育进行了普及。</w:t>
            </w:r>
          </w:p>
        </w:tc>
      </w:tr>
      <w:tr w14:paraId="1753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E261">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A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4B94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通过开展心理健康教育活动，提供心理咨询和心理疏导服务，帮助青少年解决心理问题。</w:t>
            </w:r>
          </w:p>
        </w:tc>
      </w:tr>
      <w:tr w14:paraId="4EB2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CC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9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C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2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0C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8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3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9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76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FEF0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3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D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A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69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9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1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555A">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D0B61">
            <w:pPr>
              <w:rPr>
                <w:rFonts w:hint="eastAsia" w:ascii="黑体" w:hAnsi="黑体" w:eastAsia="黑体" w:cs="黑体"/>
                <w:i/>
                <w:iCs/>
                <w:color w:val="000000"/>
                <w:sz w:val="18"/>
                <w:szCs w:val="18"/>
                <w:u w:val="none"/>
              </w:rPr>
            </w:pPr>
          </w:p>
        </w:tc>
      </w:tr>
      <w:tr w14:paraId="138F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BCD6">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D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3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B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B3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9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7B71F">
            <w:pPr>
              <w:rPr>
                <w:rFonts w:hint="eastAsia" w:ascii="黑体" w:hAnsi="黑体" w:eastAsia="黑体" w:cs="黑体"/>
                <w:i/>
                <w:iCs/>
                <w:color w:val="000000"/>
                <w:sz w:val="18"/>
                <w:szCs w:val="18"/>
                <w:u w:val="none"/>
              </w:rPr>
            </w:pPr>
          </w:p>
        </w:tc>
      </w:tr>
      <w:tr w14:paraId="5428B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10A36">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D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4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6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54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4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3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F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CCFD">
            <w:pPr>
              <w:rPr>
                <w:rFonts w:hint="eastAsia" w:ascii="黑体" w:hAnsi="黑体" w:eastAsia="黑体" w:cs="黑体"/>
                <w:i/>
                <w:iCs/>
                <w:color w:val="000000"/>
                <w:sz w:val="18"/>
                <w:szCs w:val="18"/>
                <w:u w:val="none"/>
              </w:rPr>
            </w:pPr>
          </w:p>
        </w:tc>
      </w:tr>
      <w:tr w14:paraId="57E3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67BE4">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F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A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1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AF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A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5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F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93AB3">
            <w:pPr>
              <w:rPr>
                <w:rFonts w:hint="eastAsia" w:ascii="黑体" w:hAnsi="黑体" w:eastAsia="黑体" w:cs="黑体"/>
                <w:i/>
                <w:iCs/>
                <w:color w:val="000000"/>
                <w:sz w:val="18"/>
                <w:szCs w:val="18"/>
                <w:u w:val="none"/>
              </w:rPr>
            </w:pPr>
          </w:p>
        </w:tc>
      </w:tr>
      <w:tr w14:paraId="4041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678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29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3ADF">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0F2D">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C219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7F39">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8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1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D038">
            <w:pPr>
              <w:rPr>
                <w:rFonts w:hint="eastAsia" w:ascii="黑体" w:hAnsi="黑体" w:eastAsia="黑体" w:cs="黑体"/>
                <w:i/>
                <w:iCs/>
                <w:color w:val="000000"/>
                <w:sz w:val="18"/>
                <w:szCs w:val="18"/>
                <w:u w:val="none"/>
              </w:rPr>
            </w:pPr>
          </w:p>
        </w:tc>
      </w:tr>
      <w:tr w14:paraId="3175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E9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D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4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A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2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4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B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7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8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E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3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486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6AAAD">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1B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2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F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贫困儿童补助在校学生共85人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2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2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5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BE3F">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2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42F3">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8A38">
            <w:pPr>
              <w:jc w:val="center"/>
              <w:rPr>
                <w:rFonts w:hint="eastAsia" w:ascii="微软雅黑" w:hAnsi="微软雅黑" w:eastAsia="微软雅黑" w:cs="微软雅黑"/>
                <w:i/>
                <w:iCs/>
                <w:color w:val="000000"/>
                <w:sz w:val="16"/>
                <w:szCs w:val="16"/>
                <w:u w:val="none"/>
              </w:rPr>
            </w:pPr>
          </w:p>
        </w:tc>
      </w:tr>
      <w:tr w14:paraId="7CE3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25FE">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8B04E">
            <w:pPr>
              <w:jc w:val="center"/>
              <w:rPr>
                <w:rFonts w:hint="eastAsia" w:ascii="宋体" w:hAnsi="宋体" w:eastAsia="宋体" w:cs="宋体"/>
                <w:i w:val="0"/>
                <w:iCs w:val="0"/>
                <w:color w:val="000000"/>
                <w:sz w:val="18"/>
                <w:szCs w:val="18"/>
                <w:u w:val="none"/>
              </w:rPr>
            </w:pP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58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4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社会对下一代的关注度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D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4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F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12A8">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5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7920">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632F">
            <w:pPr>
              <w:jc w:val="center"/>
              <w:rPr>
                <w:rFonts w:hint="eastAsia" w:ascii="微软雅黑" w:hAnsi="微软雅黑" w:eastAsia="微软雅黑" w:cs="微软雅黑"/>
                <w:i/>
                <w:iCs/>
                <w:color w:val="000000"/>
                <w:sz w:val="16"/>
                <w:szCs w:val="16"/>
                <w:u w:val="none"/>
              </w:rPr>
            </w:pPr>
          </w:p>
        </w:tc>
      </w:tr>
      <w:tr w14:paraId="0EAA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107E">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EA2AB">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0511">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B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2024年达标率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8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E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9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1A2B">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82F0">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8BBE">
            <w:pPr>
              <w:jc w:val="center"/>
              <w:rPr>
                <w:rFonts w:hint="eastAsia" w:ascii="微软雅黑" w:hAnsi="微软雅黑" w:eastAsia="微软雅黑" w:cs="微软雅黑"/>
                <w:i/>
                <w:iCs/>
                <w:color w:val="000000"/>
                <w:sz w:val="16"/>
                <w:szCs w:val="16"/>
                <w:u w:val="none"/>
              </w:rPr>
            </w:pPr>
          </w:p>
        </w:tc>
      </w:tr>
      <w:tr w14:paraId="371D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5DDEE">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75C28">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9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B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3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9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F166">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A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9FFD">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CADD">
            <w:pPr>
              <w:jc w:val="center"/>
              <w:rPr>
                <w:rFonts w:hint="eastAsia" w:ascii="微软雅黑" w:hAnsi="微软雅黑" w:eastAsia="微软雅黑" w:cs="微软雅黑"/>
                <w:i/>
                <w:iCs/>
                <w:color w:val="000000"/>
                <w:sz w:val="16"/>
                <w:szCs w:val="16"/>
                <w:u w:val="none"/>
              </w:rPr>
            </w:pPr>
          </w:p>
        </w:tc>
      </w:tr>
      <w:tr w14:paraId="1327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E4AF4">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AC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92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E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提升政府效率营造良好社会环境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E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9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1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593A">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9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4B94">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8870">
            <w:pPr>
              <w:jc w:val="center"/>
              <w:rPr>
                <w:rFonts w:hint="eastAsia" w:ascii="微软雅黑" w:hAnsi="微软雅黑" w:eastAsia="微软雅黑" w:cs="微软雅黑"/>
                <w:i/>
                <w:iCs/>
                <w:color w:val="000000"/>
                <w:sz w:val="16"/>
                <w:szCs w:val="16"/>
                <w:u w:val="none"/>
              </w:rPr>
            </w:pPr>
          </w:p>
        </w:tc>
      </w:tr>
      <w:tr w14:paraId="301F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3050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47F1">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0A781">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对重大决策部署推动作用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B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1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A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C72E">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B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EEAC">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673">
            <w:pPr>
              <w:jc w:val="center"/>
              <w:rPr>
                <w:rFonts w:hint="eastAsia" w:ascii="微软雅黑" w:hAnsi="微软雅黑" w:eastAsia="微软雅黑" w:cs="微软雅黑"/>
                <w:i/>
                <w:iCs/>
                <w:color w:val="000000"/>
                <w:sz w:val="16"/>
                <w:szCs w:val="16"/>
                <w:u w:val="none"/>
              </w:rPr>
            </w:pPr>
          </w:p>
        </w:tc>
      </w:tr>
      <w:tr w14:paraId="6FE8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68D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0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4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B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7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1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9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A00">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5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6DB7">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5436">
            <w:pPr>
              <w:jc w:val="center"/>
              <w:rPr>
                <w:rFonts w:hint="eastAsia" w:ascii="微软雅黑" w:hAnsi="微软雅黑" w:eastAsia="微软雅黑" w:cs="微软雅黑"/>
                <w:i/>
                <w:iCs/>
                <w:color w:val="000000"/>
                <w:sz w:val="16"/>
                <w:szCs w:val="16"/>
                <w:u w:val="none"/>
              </w:rPr>
            </w:pPr>
          </w:p>
        </w:tc>
      </w:tr>
      <w:tr w14:paraId="768B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9467">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16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72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1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青少年健康教育广告制作标识标语</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8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5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9EB4">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2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FDF0">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BA73">
            <w:pPr>
              <w:jc w:val="center"/>
              <w:rPr>
                <w:rFonts w:hint="eastAsia" w:ascii="微软雅黑" w:hAnsi="微软雅黑" w:eastAsia="微软雅黑" w:cs="微软雅黑"/>
                <w:i/>
                <w:iCs/>
                <w:color w:val="000000"/>
                <w:sz w:val="16"/>
                <w:szCs w:val="16"/>
                <w:u w:val="none"/>
              </w:rPr>
            </w:pPr>
          </w:p>
        </w:tc>
      </w:tr>
      <w:tr w14:paraId="65C8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FEBF">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B8FF">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A04A">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5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贫困儿童补助在校学生每人每学期200元，共1.7万元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A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87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A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A02F">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F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A06B">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37C2">
            <w:pPr>
              <w:jc w:val="center"/>
              <w:rPr>
                <w:rFonts w:hint="eastAsia" w:ascii="微软雅黑" w:hAnsi="微软雅黑" w:eastAsia="微软雅黑" w:cs="微软雅黑"/>
                <w:i/>
                <w:iCs/>
                <w:color w:val="000000"/>
                <w:sz w:val="16"/>
                <w:szCs w:val="16"/>
                <w:u w:val="none"/>
              </w:rPr>
            </w:pPr>
          </w:p>
        </w:tc>
      </w:tr>
      <w:tr w14:paraId="61C0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CC1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6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FAC1">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543A">
            <w:pPr>
              <w:rPr>
                <w:rFonts w:hint="eastAsia" w:ascii="宋体" w:hAnsi="宋体" w:eastAsia="宋体" w:cs="宋体"/>
                <w:i w:val="0"/>
                <w:iCs w:val="0"/>
                <w:color w:val="000000"/>
                <w:sz w:val="18"/>
                <w:szCs w:val="18"/>
                <w:u w:val="none"/>
              </w:rPr>
            </w:pPr>
          </w:p>
        </w:tc>
      </w:tr>
      <w:tr w14:paraId="4B28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C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A1C9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关心下一代工作专项经费的年度目标中，资金到位情况是关键指标之一。本年度，专项经费未按照预算计划及时、足额到位，直接影响到各项工作的顺利开展。</w:t>
            </w:r>
          </w:p>
        </w:tc>
      </w:tr>
      <w:tr w14:paraId="0B7A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7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8BA9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关心下一代工作专项经费资金不能及时到位，导致很多工作不能顺利开展。</w:t>
            </w:r>
          </w:p>
        </w:tc>
      </w:tr>
      <w:tr w14:paraId="0DEF0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A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4B45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加强对资金使用的监管和评估，确保资金使用的透明度和有效性。</w:t>
            </w:r>
          </w:p>
        </w:tc>
      </w:tr>
      <w:tr w14:paraId="156D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9CA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项目负责人：唐兴旺</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4E27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070F8A40">
      <w:pPr>
        <w:pStyle w:val="14"/>
        <w:rPr>
          <w:rFonts w:hint="default"/>
          <w:lang w:val="en-US" w:eastAsia="zh-CN"/>
        </w:rPr>
      </w:pPr>
    </w:p>
    <w:p w14:paraId="477105F2">
      <w:pPr>
        <w:rPr>
          <w:rFonts w:hint="default"/>
          <w:lang w:val="en-US" w:eastAsia="zh-CN"/>
        </w:rPr>
      </w:pPr>
    </w:p>
    <w:p w14:paraId="51769F1F">
      <w:pPr>
        <w:pStyle w:val="14"/>
        <w:rPr>
          <w:rFonts w:hint="default"/>
          <w:lang w:val="en-US" w:eastAsia="zh-CN"/>
        </w:rPr>
      </w:pPr>
    </w:p>
    <w:p w14:paraId="288CBA12">
      <w:pPr>
        <w:rPr>
          <w:rFonts w:hint="default"/>
          <w:lang w:val="en-US" w:eastAsia="zh-CN"/>
        </w:rPr>
      </w:pPr>
    </w:p>
    <w:p w14:paraId="53813DB3">
      <w:pPr>
        <w:pStyle w:val="14"/>
        <w:rPr>
          <w:rFonts w:hint="default"/>
          <w:lang w:val="en-US" w:eastAsia="zh-CN"/>
        </w:rPr>
      </w:pPr>
    </w:p>
    <w:p w14:paraId="22051B89">
      <w:pPr>
        <w:rPr>
          <w:rFonts w:hint="default"/>
          <w:lang w:val="en-US" w:eastAsia="zh-CN"/>
        </w:rPr>
      </w:pPr>
    </w:p>
    <w:p w14:paraId="0E3DB76C">
      <w:pPr>
        <w:pStyle w:val="14"/>
        <w:rPr>
          <w:rFonts w:hint="default"/>
          <w:lang w:val="en-US" w:eastAsia="zh-CN"/>
        </w:rPr>
      </w:pPr>
    </w:p>
    <w:p w14:paraId="59C10B23">
      <w:pPr>
        <w:rPr>
          <w:rFonts w:hint="default"/>
          <w:lang w:val="en-US" w:eastAsia="zh-CN"/>
        </w:rPr>
      </w:pPr>
    </w:p>
    <w:p w14:paraId="391EF1AA">
      <w:pPr>
        <w:pStyle w:val="14"/>
        <w:rPr>
          <w:rFonts w:hint="default"/>
          <w:lang w:val="en-US" w:eastAsia="zh-CN"/>
        </w:rPr>
      </w:pPr>
    </w:p>
    <w:p w14:paraId="7B2E713A">
      <w:pPr>
        <w:rPr>
          <w:rFonts w:hint="default"/>
          <w:lang w:val="en-US" w:eastAsia="zh-CN"/>
        </w:rPr>
      </w:pPr>
    </w:p>
    <w:p w14:paraId="4D895994">
      <w:pPr>
        <w:pStyle w:val="14"/>
        <w:rPr>
          <w:rFonts w:hint="default"/>
          <w:lang w:val="en-US" w:eastAsia="zh-CN"/>
        </w:rPr>
      </w:pPr>
    </w:p>
    <w:p w14:paraId="4FCB721E">
      <w:pPr>
        <w:rPr>
          <w:rFonts w:hint="default"/>
          <w:lang w:val="en-US" w:eastAsia="zh-CN"/>
        </w:rPr>
      </w:pPr>
    </w:p>
    <w:tbl>
      <w:tblPr>
        <w:tblStyle w:val="16"/>
        <w:tblpPr w:leftFromText="180" w:rightFromText="180" w:vertAnchor="text" w:horzAnchor="page" w:tblpX="1876" w:tblpY="237"/>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8"/>
        <w:gridCol w:w="1073"/>
        <w:gridCol w:w="612"/>
        <w:gridCol w:w="658"/>
        <w:gridCol w:w="745"/>
        <w:gridCol w:w="846"/>
        <w:gridCol w:w="672"/>
        <w:gridCol w:w="553"/>
        <w:gridCol w:w="791"/>
      </w:tblGrid>
      <w:tr w14:paraId="2749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EC740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39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1C1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EE83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51090424T000011119107-环境卫生整治经费（长期）</w:t>
            </w:r>
          </w:p>
        </w:tc>
      </w:tr>
      <w:tr w14:paraId="1D94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A0E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3E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5943745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C0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23B5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B44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B4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838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B0754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03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A8BC6">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8AB2B">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5CBB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全镇环境卫生进行分类处理、归类、运输、转运等，进一步改善人居环境；我单位对农村生活垃圾回收统一装运处理，22个行政村各负责派遣3-5名保洁人员，3个社区根据辖区范围派遣3-8名保洁人员对所在的行政区域环境综合整治提升村社区人居生态环境及经济水平为乡镇经济发展创造优越条件。</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3C5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项目围绕“改善乡镇人居环境、提升居民生活品质”核心目标。通过垃圾清理、设施建设、长效管理等措施，有效提升了乡镇环境卫生水平。</w:t>
            </w:r>
          </w:p>
        </w:tc>
      </w:tr>
      <w:tr w14:paraId="1890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AB10">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92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5E60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环境卫生整治工作管理，白马镇成立了部门分管领导、相关业务股室负责人及业务人员为成员的工作小组。通过开展“村庄清洁行动”，集中清理河道、道路沿线、房前屋后积存垃圾，切实改善农村人居环境，从根本上解决12个村，1个社区的农村环境卫生脏、乱、差的问题。</w:t>
            </w:r>
          </w:p>
        </w:tc>
      </w:tr>
      <w:tr w14:paraId="568F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3B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F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5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904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D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9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A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67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B927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2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0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1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F0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D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A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7ECD">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A96C">
            <w:pPr>
              <w:rPr>
                <w:rFonts w:hint="eastAsia" w:ascii="黑体" w:hAnsi="黑体" w:eastAsia="黑体" w:cs="黑体"/>
                <w:i/>
                <w:iCs/>
                <w:color w:val="000000"/>
                <w:sz w:val="18"/>
                <w:szCs w:val="18"/>
                <w:u w:val="none"/>
              </w:rPr>
            </w:pPr>
          </w:p>
        </w:tc>
      </w:tr>
      <w:tr w14:paraId="67B0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A4B8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0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1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6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0F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A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9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FEB1">
            <w:pPr>
              <w:rPr>
                <w:rFonts w:hint="eastAsia" w:ascii="黑体" w:hAnsi="黑体" w:eastAsia="黑体" w:cs="黑体"/>
                <w:i/>
                <w:iCs/>
                <w:color w:val="000000"/>
                <w:sz w:val="18"/>
                <w:szCs w:val="18"/>
                <w:u w:val="none"/>
              </w:rPr>
            </w:pPr>
          </w:p>
        </w:tc>
      </w:tr>
      <w:tr w14:paraId="2D98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8149">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7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2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F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69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B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C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1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E4AC">
            <w:pPr>
              <w:rPr>
                <w:rFonts w:hint="eastAsia" w:ascii="黑体" w:hAnsi="黑体" w:eastAsia="黑体" w:cs="黑体"/>
                <w:i/>
                <w:iCs/>
                <w:color w:val="000000"/>
                <w:sz w:val="18"/>
                <w:szCs w:val="18"/>
                <w:u w:val="none"/>
              </w:rPr>
            </w:pPr>
          </w:p>
        </w:tc>
      </w:tr>
      <w:tr w14:paraId="1042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09D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1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E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D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08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5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C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22447">
            <w:pPr>
              <w:rPr>
                <w:rFonts w:hint="eastAsia" w:ascii="黑体" w:hAnsi="黑体" w:eastAsia="黑体" w:cs="黑体"/>
                <w:i/>
                <w:iCs/>
                <w:color w:val="000000"/>
                <w:sz w:val="18"/>
                <w:szCs w:val="18"/>
                <w:u w:val="none"/>
              </w:rPr>
            </w:pPr>
          </w:p>
        </w:tc>
      </w:tr>
      <w:tr w14:paraId="655B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1B3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C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FAB">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2928">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6757C">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04B4">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5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D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F047A">
            <w:pPr>
              <w:rPr>
                <w:rFonts w:hint="eastAsia" w:ascii="黑体" w:hAnsi="黑体" w:eastAsia="黑体" w:cs="黑体"/>
                <w:i/>
                <w:iCs/>
                <w:color w:val="000000"/>
                <w:sz w:val="18"/>
                <w:szCs w:val="18"/>
                <w:u w:val="none"/>
              </w:rPr>
            </w:pPr>
          </w:p>
        </w:tc>
      </w:tr>
      <w:tr w14:paraId="1AED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E3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A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6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7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4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F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4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6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D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9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75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BAA81">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5B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2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社区劳保人员</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2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D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8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BDD6">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4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6F94">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12F8">
            <w:pPr>
              <w:jc w:val="center"/>
              <w:rPr>
                <w:rFonts w:hint="eastAsia" w:ascii="微软雅黑" w:hAnsi="微软雅黑" w:eastAsia="微软雅黑" w:cs="微软雅黑"/>
                <w:i/>
                <w:iCs/>
                <w:color w:val="000000"/>
                <w:sz w:val="16"/>
                <w:szCs w:val="16"/>
                <w:u w:val="none"/>
              </w:rPr>
            </w:pPr>
          </w:p>
        </w:tc>
      </w:tr>
      <w:tr w14:paraId="6748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BB4A3">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7417">
            <w:pPr>
              <w:jc w:val="center"/>
              <w:rPr>
                <w:rFonts w:hint="eastAsia" w:ascii="宋体" w:hAnsi="宋体" w:eastAsia="宋体" w:cs="宋体"/>
                <w:i w:val="0"/>
                <w:iCs w:val="0"/>
                <w:color w:val="000000"/>
                <w:sz w:val="18"/>
                <w:szCs w:val="18"/>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5B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9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年度目标任务完成率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D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B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9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78C">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6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B3F5">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BC48">
            <w:pPr>
              <w:jc w:val="center"/>
              <w:rPr>
                <w:rFonts w:hint="eastAsia" w:ascii="微软雅黑" w:hAnsi="微软雅黑" w:eastAsia="微软雅黑" w:cs="微软雅黑"/>
                <w:i/>
                <w:iCs/>
                <w:color w:val="000000"/>
                <w:sz w:val="16"/>
                <w:szCs w:val="16"/>
                <w:u w:val="none"/>
              </w:rPr>
            </w:pPr>
          </w:p>
        </w:tc>
      </w:tr>
      <w:tr w14:paraId="75E8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BB20">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C6325">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3A339">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6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农村生活垃圾资源化利用率提升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C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4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1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8FB9">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0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7F60">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C95C">
            <w:pPr>
              <w:jc w:val="center"/>
              <w:rPr>
                <w:rFonts w:hint="eastAsia" w:ascii="微软雅黑" w:hAnsi="微软雅黑" w:eastAsia="微软雅黑" w:cs="微软雅黑"/>
                <w:i/>
                <w:iCs/>
                <w:color w:val="000000"/>
                <w:sz w:val="16"/>
                <w:szCs w:val="16"/>
                <w:u w:val="none"/>
              </w:rPr>
            </w:pPr>
          </w:p>
        </w:tc>
      </w:tr>
      <w:tr w14:paraId="0BDE0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DB18">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A495F">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1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E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C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F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1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909B">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D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5533">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652A">
            <w:pPr>
              <w:jc w:val="center"/>
              <w:rPr>
                <w:rFonts w:hint="eastAsia" w:ascii="微软雅黑" w:hAnsi="微软雅黑" w:eastAsia="微软雅黑" w:cs="微软雅黑"/>
                <w:i/>
                <w:iCs/>
                <w:color w:val="000000"/>
                <w:sz w:val="16"/>
                <w:szCs w:val="16"/>
                <w:u w:val="none"/>
              </w:rPr>
            </w:pPr>
          </w:p>
        </w:tc>
      </w:tr>
      <w:tr w14:paraId="4A70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BD1C">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0B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2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0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提升政府效率营造良好社会环境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3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E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6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4D8C">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B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DC35">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8BAB">
            <w:pPr>
              <w:jc w:val="center"/>
              <w:rPr>
                <w:rFonts w:hint="eastAsia" w:ascii="微软雅黑" w:hAnsi="微软雅黑" w:eastAsia="微软雅黑" w:cs="微软雅黑"/>
                <w:i/>
                <w:iCs/>
                <w:color w:val="000000"/>
                <w:sz w:val="16"/>
                <w:szCs w:val="16"/>
                <w:u w:val="none"/>
              </w:rPr>
            </w:pPr>
          </w:p>
        </w:tc>
      </w:tr>
      <w:tr w14:paraId="69FC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0BD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044A8">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F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A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农村生活垃圾资源化利用率提升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D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1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1B79">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5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2B62">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BACE">
            <w:pPr>
              <w:jc w:val="center"/>
              <w:rPr>
                <w:rFonts w:hint="eastAsia" w:ascii="微软雅黑" w:hAnsi="微软雅黑" w:eastAsia="微软雅黑" w:cs="微软雅黑"/>
                <w:i/>
                <w:iCs/>
                <w:color w:val="000000"/>
                <w:sz w:val="16"/>
                <w:szCs w:val="16"/>
                <w:u w:val="none"/>
              </w:rPr>
            </w:pPr>
          </w:p>
        </w:tc>
      </w:tr>
      <w:tr w14:paraId="094A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23E1">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9C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8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2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提升场镇人居生态环境及经济水平</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2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9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B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925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3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DF9B">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6A0C">
            <w:pPr>
              <w:jc w:val="center"/>
              <w:rPr>
                <w:rFonts w:hint="eastAsia" w:ascii="微软雅黑" w:hAnsi="微软雅黑" w:eastAsia="微软雅黑" w:cs="微软雅黑"/>
                <w:i/>
                <w:iCs/>
                <w:color w:val="000000"/>
                <w:sz w:val="16"/>
                <w:szCs w:val="16"/>
                <w:u w:val="none"/>
              </w:rPr>
            </w:pPr>
          </w:p>
        </w:tc>
      </w:tr>
      <w:tr w14:paraId="7DB9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8A7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800E0">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D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8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B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E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379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8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4739">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17E1">
            <w:pPr>
              <w:jc w:val="center"/>
              <w:rPr>
                <w:rFonts w:hint="eastAsia" w:ascii="微软雅黑" w:hAnsi="微软雅黑" w:eastAsia="微软雅黑" w:cs="微软雅黑"/>
                <w:i/>
                <w:iCs/>
                <w:color w:val="000000"/>
                <w:sz w:val="16"/>
                <w:szCs w:val="16"/>
                <w:u w:val="none"/>
              </w:rPr>
            </w:pPr>
          </w:p>
        </w:tc>
      </w:tr>
      <w:tr w14:paraId="26C7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071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B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0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0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2023年预算安排3个社区场镇整治人员务工补助10万元，每月社区发放劳保人员工资8400元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3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9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5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ABF">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2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E71F">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067B">
            <w:pPr>
              <w:jc w:val="center"/>
              <w:rPr>
                <w:rFonts w:hint="eastAsia" w:ascii="微软雅黑" w:hAnsi="微软雅黑" w:eastAsia="微软雅黑" w:cs="微软雅黑"/>
                <w:i/>
                <w:iCs/>
                <w:color w:val="000000"/>
                <w:sz w:val="16"/>
                <w:szCs w:val="16"/>
                <w:u w:val="none"/>
              </w:rPr>
            </w:pPr>
          </w:p>
        </w:tc>
      </w:tr>
      <w:tr w14:paraId="2E5E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DF1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9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64C5">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7722">
            <w:pPr>
              <w:rPr>
                <w:rFonts w:hint="eastAsia" w:ascii="宋体" w:hAnsi="宋体" w:eastAsia="宋体" w:cs="宋体"/>
                <w:i w:val="0"/>
                <w:iCs w:val="0"/>
                <w:color w:val="000000"/>
                <w:sz w:val="18"/>
                <w:szCs w:val="18"/>
                <w:u w:val="none"/>
              </w:rPr>
            </w:pPr>
          </w:p>
        </w:tc>
      </w:tr>
      <w:tr w14:paraId="1FB4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D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0151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环境卫生整治项目资金使用合规，实施过程有序，通过环境卫生专项整治及环保宣传，我镇各村的垃圾清运率和处理得到提升，有效改善了目标区域的环境卫生状况、减少卫生死角和污染源，群众获得感增强。但在设施维护持续性、村民参与度等方面仍存在不足</w:t>
            </w:r>
          </w:p>
        </w:tc>
      </w:tr>
      <w:tr w14:paraId="074C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B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C2F8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村民参与度低，部分群众环保意识淡薄，存在垃圾随意丢弃现象； 资金统筹压力大，项目建设资金需求大，后续运维设施维护资金缺口明显，影响长效管理。</w:t>
            </w:r>
          </w:p>
        </w:tc>
      </w:tr>
      <w:tr w14:paraId="0A7D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B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6D9A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提升群众参与意识，调动村民积极性，开展“环境卫生宣传月”活动，普及环保知识；拓宽资金筹措渠道，争取上级专项资金支持，探索“政府+企业+乡贤”多元筹资模式，鼓励社会力量参与</w:t>
            </w:r>
          </w:p>
        </w:tc>
      </w:tr>
      <w:tr w14:paraId="3476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4F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项目负责人：王茂臣</w:t>
            </w:r>
          </w:p>
        </w:tc>
        <w:tc>
          <w:tcPr>
            <w:tcW w:w="4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FCFA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497E78D2">
      <w:pPr>
        <w:pStyle w:val="14"/>
        <w:rPr>
          <w:rFonts w:hint="default"/>
          <w:lang w:val="en-US" w:eastAsia="zh-CN"/>
        </w:rPr>
      </w:pPr>
    </w:p>
    <w:p w14:paraId="02D10645">
      <w:pPr>
        <w:rPr>
          <w:rFonts w:hint="default"/>
          <w:lang w:val="en-US" w:eastAsia="zh-CN"/>
        </w:rPr>
      </w:pPr>
    </w:p>
    <w:p w14:paraId="2DF9A5CE">
      <w:pPr>
        <w:pStyle w:val="14"/>
        <w:rPr>
          <w:rFonts w:hint="default"/>
          <w:lang w:val="en-US" w:eastAsia="zh-CN"/>
        </w:rPr>
      </w:pPr>
    </w:p>
    <w:p w14:paraId="5C852D5D">
      <w:pPr>
        <w:rPr>
          <w:rFonts w:hint="default"/>
          <w:lang w:val="en-US" w:eastAsia="zh-CN"/>
        </w:rPr>
      </w:pPr>
    </w:p>
    <w:p w14:paraId="3F6F6344">
      <w:pPr>
        <w:pStyle w:val="14"/>
        <w:rPr>
          <w:rFonts w:hint="default"/>
          <w:lang w:val="en-US" w:eastAsia="zh-CN"/>
        </w:rPr>
      </w:pPr>
    </w:p>
    <w:p w14:paraId="41AD8746">
      <w:pPr>
        <w:rPr>
          <w:rFonts w:hint="default"/>
          <w:lang w:val="en-US" w:eastAsia="zh-CN"/>
        </w:rPr>
      </w:pPr>
    </w:p>
    <w:p w14:paraId="74EBF16B">
      <w:pPr>
        <w:pStyle w:val="14"/>
        <w:rPr>
          <w:rFonts w:hint="default"/>
          <w:lang w:val="en-US" w:eastAsia="zh-CN"/>
        </w:rPr>
      </w:pPr>
    </w:p>
    <w:p w14:paraId="66347FC4">
      <w:pPr>
        <w:rPr>
          <w:rFonts w:hint="default"/>
          <w:lang w:val="en-US" w:eastAsia="zh-CN"/>
        </w:rPr>
      </w:pPr>
    </w:p>
    <w:p w14:paraId="5A5AD32A">
      <w:pPr>
        <w:pStyle w:val="14"/>
        <w:rPr>
          <w:rFonts w:hint="default"/>
          <w:lang w:val="en-US" w:eastAsia="zh-CN"/>
        </w:rPr>
      </w:pPr>
    </w:p>
    <w:tbl>
      <w:tblPr>
        <w:tblStyle w:val="16"/>
        <w:tblpPr w:leftFromText="180" w:rightFromText="180" w:vertAnchor="text" w:horzAnchor="page" w:tblpX="1876" w:tblpY="183"/>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8"/>
        <w:gridCol w:w="1073"/>
        <w:gridCol w:w="612"/>
        <w:gridCol w:w="658"/>
        <w:gridCol w:w="745"/>
        <w:gridCol w:w="846"/>
        <w:gridCol w:w="672"/>
        <w:gridCol w:w="553"/>
        <w:gridCol w:w="791"/>
      </w:tblGrid>
      <w:tr w14:paraId="28A8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1FC7E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472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3A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A0C1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51090424T000011119146-维稳信访调解经费（长期）</w:t>
            </w:r>
          </w:p>
        </w:tc>
      </w:tr>
      <w:tr w14:paraId="54D8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2DB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37C4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45D3BD7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04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0424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B58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9F2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F2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8DC9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FB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AEE1">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D650">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C36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1：非正常上访控制在规定指标范围内；目标2：认真做好群众来信、来访、复查复核、督查协调、信访信息系统等信访工作；目标3：完成区委、区政府及上级部门的其他工作。</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088A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2024年，镇开展矛盾纠纷排查调处工作，按时办结上级交办的信访维稳案件，及时化解群体性事件隐患和处理重大疑难信访问题，维护了社会的稳定。</w:t>
            </w:r>
          </w:p>
        </w:tc>
      </w:tr>
      <w:tr w14:paraId="568F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2DE3C">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6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6B67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经费组织调解员进行专业培训，提升调解员的专业素养和调解技能，确保他们能够有效处理各类信访矛盾纠纷。加强调解员队伍建设，为信访调解工作提供有力的人才保障。通过以上内容的实施和过程的推进，维稳信访调解经费项目能够有效提升信访调解工作的效能和质量，为维护社会稳定和谐发挥积极作用。</w:t>
            </w:r>
          </w:p>
        </w:tc>
      </w:tr>
      <w:tr w14:paraId="1E54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88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2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1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8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06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D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8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A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6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2C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F84A4">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9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2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F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5D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C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4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2E73">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50016">
            <w:pPr>
              <w:rPr>
                <w:rFonts w:hint="eastAsia" w:ascii="黑体" w:hAnsi="黑体" w:eastAsia="黑体" w:cs="黑体"/>
                <w:i/>
                <w:iCs/>
                <w:color w:val="000000"/>
                <w:sz w:val="18"/>
                <w:szCs w:val="18"/>
                <w:u w:val="none"/>
              </w:rPr>
            </w:pPr>
          </w:p>
        </w:tc>
      </w:tr>
      <w:tr w14:paraId="5C84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D239A">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B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A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BE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3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C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1C3C9">
            <w:pPr>
              <w:rPr>
                <w:rFonts w:hint="eastAsia" w:ascii="黑体" w:hAnsi="黑体" w:eastAsia="黑体" w:cs="黑体"/>
                <w:i/>
                <w:iCs/>
                <w:color w:val="000000"/>
                <w:sz w:val="18"/>
                <w:szCs w:val="18"/>
                <w:u w:val="none"/>
              </w:rPr>
            </w:pPr>
          </w:p>
        </w:tc>
      </w:tr>
      <w:tr w14:paraId="3C5C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E376">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1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9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6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D8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F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C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E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3F483">
            <w:pPr>
              <w:rPr>
                <w:rFonts w:hint="eastAsia" w:ascii="黑体" w:hAnsi="黑体" w:eastAsia="黑体" w:cs="黑体"/>
                <w:i/>
                <w:iCs/>
                <w:color w:val="000000"/>
                <w:sz w:val="18"/>
                <w:szCs w:val="18"/>
                <w:u w:val="none"/>
              </w:rPr>
            </w:pPr>
          </w:p>
        </w:tc>
      </w:tr>
      <w:tr w14:paraId="0265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D53B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E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9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C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80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A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A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B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378F">
            <w:pPr>
              <w:rPr>
                <w:rFonts w:hint="eastAsia" w:ascii="黑体" w:hAnsi="黑体" w:eastAsia="黑体" w:cs="黑体"/>
                <w:i/>
                <w:iCs/>
                <w:color w:val="000000"/>
                <w:sz w:val="18"/>
                <w:szCs w:val="18"/>
                <w:u w:val="none"/>
              </w:rPr>
            </w:pPr>
          </w:p>
        </w:tc>
      </w:tr>
      <w:tr w14:paraId="6EE5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9BD3">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0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E0F5">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00D8">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CF7D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BACB">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1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0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D26A">
            <w:pPr>
              <w:rPr>
                <w:rFonts w:hint="eastAsia" w:ascii="黑体" w:hAnsi="黑体" w:eastAsia="黑体" w:cs="黑体"/>
                <w:i/>
                <w:iCs/>
                <w:color w:val="000000"/>
                <w:sz w:val="18"/>
                <w:szCs w:val="18"/>
                <w:u w:val="none"/>
              </w:rPr>
            </w:pPr>
          </w:p>
        </w:tc>
      </w:tr>
      <w:tr w14:paraId="2BA3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67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F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F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4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F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3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D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D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C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9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D05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B1799">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87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B7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7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综治协理5人及临时调动人员每村3-5人共计75人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D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A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E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9BB4">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F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D50">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7FE3">
            <w:pPr>
              <w:jc w:val="center"/>
              <w:rPr>
                <w:rFonts w:hint="eastAsia" w:ascii="微软雅黑" w:hAnsi="微软雅黑" w:eastAsia="微软雅黑" w:cs="微软雅黑"/>
                <w:i/>
                <w:iCs/>
                <w:color w:val="000000"/>
                <w:sz w:val="16"/>
                <w:szCs w:val="16"/>
                <w:u w:val="none"/>
              </w:rPr>
            </w:pPr>
          </w:p>
        </w:tc>
      </w:tr>
      <w:tr w14:paraId="66C7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D64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C69A">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DA143">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3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处理区市级上访人次</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5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A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1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F853">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1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6698">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3642">
            <w:pPr>
              <w:jc w:val="center"/>
              <w:rPr>
                <w:rFonts w:hint="eastAsia" w:ascii="微软雅黑" w:hAnsi="微软雅黑" w:eastAsia="微软雅黑" w:cs="微软雅黑"/>
                <w:i/>
                <w:iCs/>
                <w:color w:val="000000"/>
                <w:sz w:val="16"/>
                <w:szCs w:val="16"/>
                <w:u w:val="none"/>
              </w:rPr>
            </w:pPr>
          </w:p>
        </w:tc>
      </w:tr>
      <w:tr w14:paraId="2A7A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88A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386E0">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B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非正常上访登记率下降</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1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E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94AD">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7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8279">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9713">
            <w:pPr>
              <w:jc w:val="center"/>
              <w:rPr>
                <w:rFonts w:hint="eastAsia" w:ascii="微软雅黑" w:hAnsi="微软雅黑" w:eastAsia="微软雅黑" w:cs="微软雅黑"/>
                <w:i/>
                <w:iCs/>
                <w:color w:val="000000"/>
                <w:sz w:val="16"/>
                <w:szCs w:val="16"/>
                <w:u w:val="none"/>
              </w:rPr>
            </w:pPr>
          </w:p>
        </w:tc>
      </w:tr>
      <w:tr w14:paraId="2A0FE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3F9F">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E3F65">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9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6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E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D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C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01E4">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5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D34">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4FF">
            <w:pPr>
              <w:jc w:val="center"/>
              <w:rPr>
                <w:rFonts w:hint="eastAsia" w:ascii="微软雅黑" w:hAnsi="微软雅黑" w:eastAsia="微软雅黑" w:cs="微软雅黑"/>
                <w:i/>
                <w:iCs/>
                <w:color w:val="000000"/>
                <w:sz w:val="16"/>
                <w:szCs w:val="16"/>
                <w:u w:val="none"/>
              </w:rPr>
            </w:pPr>
          </w:p>
        </w:tc>
      </w:tr>
      <w:tr w14:paraId="0CA9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EA7D2">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58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21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年内不因信访问题处理不当引发恶性事件，产生负面舆情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E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D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4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254D">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4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78A3">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8294">
            <w:pPr>
              <w:jc w:val="center"/>
              <w:rPr>
                <w:rFonts w:hint="eastAsia" w:ascii="微软雅黑" w:hAnsi="微软雅黑" w:eastAsia="微软雅黑" w:cs="微软雅黑"/>
                <w:i/>
                <w:iCs/>
                <w:color w:val="000000"/>
                <w:sz w:val="16"/>
                <w:szCs w:val="16"/>
                <w:u w:val="none"/>
              </w:rPr>
            </w:pPr>
          </w:p>
        </w:tc>
      </w:tr>
      <w:tr w14:paraId="4AED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C213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EAB32">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5772">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E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力争被评为信访工作先进单位</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3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6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B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248F">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B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5E3B">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2983">
            <w:pPr>
              <w:jc w:val="center"/>
              <w:rPr>
                <w:rFonts w:hint="eastAsia" w:ascii="微软雅黑" w:hAnsi="微软雅黑" w:eastAsia="微软雅黑" w:cs="微软雅黑"/>
                <w:i/>
                <w:iCs/>
                <w:color w:val="000000"/>
                <w:sz w:val="16"/>
                <w:szCs w:val="16"/>
                <w:u w:val="none"/>
              </w:rPr>
            </w:pPr>
          </w:p>
        </w:tc>
      </w:tr>
      <w:tr w14:paraId="23EB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1C8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D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8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3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9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F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9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BC51">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7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48DC">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EA92">
            <w:pPr>
              <w:jc w:val="center"/>
              <w:rPr>
                <w:rFonts w:hint="eastAsia" w:ascii="微软雅黑" w:hAnsi="微软雅黑" w:eastAsia="微软雅黑" w:cs="微软雅黑"/>
                <w:i/>
                <w:iCs/>
                <w:color w:val="000000"/>
                <w:sz w:val="16"/>
                <w:szCs w:val="16"/>
                <w:u w:val="none"/>
              </w:rPr>
            </w:pPr>
          </w:p>
        </w:tc>
      </w:tr>
      <w:tr w14:paraId="339A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FCDB8">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AF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20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2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全年预算安排劳务费5万元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9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E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1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12B8">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A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6FBA">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6C0B">
            <w:pPr>
              <w:jc w:val="center"/>
              <w:rPr>
                <w:rFonts w:hint="eastAsia" w:ascii="微软雅黑" w:hAnsi="微软雅黑" w:eastAsia="微软雅黑" w:cs="微软雅黑"/>
                <w:i/>
                <w:iCs/>
                <w:color w:val="000000"/>
                <w:sz w:val="16"/>
                <w:szCs w:val="16"/>
                <w:u w:val="none"/>
              </w:rPr>
            </w:pPr>
          </w:p>
        </w:tc>
      </w:tr>
      <w:tr w14:paraId="11FD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4C44C">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4D56">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AB26C">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4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全年预算安排办公经费5万元警示标语及广告制作经费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A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F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E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9D7A">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1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DB44">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120A">
            <w:pPr>
              <w:jc w:val="center"/>
              <w:rPr>
                <w:rFonts w:hint="eastAsia" w:ascii="微软雅黑" w:hAnsi="微软雅黑" w:eastAsia="微软雅黑" w:cs="微软雅黑"/>
                <w:i/>
                <w:iCs/>
                <w:color w:val="000000"/>
                <w:sz w:val="16"/>
                <w:szCs w:val="16"/>
                <w:u w:val="none"/>
              </w:rPr>
            </w:pPr>
          </w:p>
        </w:tc>
      </w:tr>
      <w:tr w14:paraId="2CFA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55E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4E1F">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B482">
            <w:pPr>
              <w:rPr>
                <w:rFonts w:hint="eastAsia" w:ascii="宋体" w:hAnsi="宋体" w:eastAsia="宋体" w:cs="宋体"/>
                <w:i w:val="0"/>
                <w:iCs w:val="0"/>
                <w:color w:val="000000"/>
                <w:sz w:val="18"/>
                <w:szCs w:val="18"/>
                <w:u w:val="none"/>
              </w:rPr>
            </w:pPr>
          </w:p>
        </w:tc>
      </w:tr>
      <w:tr w14:paraId="1D7F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8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4893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宣传与引导活动的开展有效提升了公众对信访调解工作的知晓率和认可度，增强了群众依法维权的意识。但宣传方式和手段仍需进一步创新和完善，以更好地吸引公众的关注和参与。</w:t>
            </w:r>
          </w:p>
        </w:tc>
      </w:tr>
      <w:tr w14:paraId="029E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1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254A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宣传内容单一、形式呆板；宣传渠道有限，难以覆盖所有目标群体；部分群众对信访调解工作的认知仍存在误区。</w:t>
            </w:r>
          </w:p>
        </w:tc>
      </w:tr>
      <w:tr w14:paraId="1CE3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E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402B0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创新宣传方式和手段，采用更加生动、形象、贴近群众的方式开展宣传工作；拓宽宣传渠道，利用新媒体等现代传播手段扩大宣传覆盖面；加强信访调解工作的政策解读和案例分析工作，帮助群众更好地理解信访调解工作的意义和价值。</w:t>
            </w:r>
          </w:p>
        </w:tc>
      </w:tr>
      <w:tr w14:paraId="76F6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381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项目负责人：陈元</w:t>
            </w:r>
          </w:p>
        </w:tc>
        <w:tc>
          <w:tcPr>
            <w:tcW w:w="4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742B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462727BF">
      <w:pPr>
        <w:rPr>
          <w:rFonts w:hint="default"/>
          <w:lang w:val="en-US" w:eastAsia="zh-CN"/>
        </w:rPr>
      </w:pPr>
    </w:p>
    <w:p w14:paraId="1421CE35">
      <w:pPr>
        <w:pStyle w:val="14"/>
        <w:rPr>
          <w:rFonts w:hint="default"/>
          <w:lang w:val="en-US" w:eastAsia="zh-CN"/>
        </w:rPr>
      </w:pPr>
    </w:p>
    <w:p w14:paraId="379626BD">
      <w:pPr>
        <w:rPr>
          <w:rFonts w:hint="default"/>
          <w:lang w:val="en-US" w:eastAsia="zh-CN"/>
        </w:rPr>
      </w:pPr>
    </w:p>
    <w:p w14:paraId="6E6F5AB5">
      <w:pPr>
        <w:pStyle w:val="14"/>
        <w:rPr>
          <w:rFonts w:hint="default"/>
          <w:lang w:val="en-US" w:eastAsia="zh-CN"/>
        </w:rPr>
      </w:pPr>
    </w:p>
    <w:p w14:paraId="7D9A1730">
      <w:pPr>
        <w:rPr>
          <w:rFonts w:hint="default"/>
          <w:lang w:val="en-US" w:eastAsia="zh-CN"/>
        </w:rPr>
      </w:pPr>
    </w:p>
    <w:p w14:paraId="7248B303">
      <w:pPr>
        <w:pStyle w:val="14"/>
        <w:rPr>
          <w:rFonts w:hint="default"/>
          <w:lang w:val="en-US" w:eastAsia="zh-CN"/>
        </w:rPr>
      </w:pPr>
    </w:p>
    <w:p w14:paraId="1FFD8CEB">
      <w:pPr>
        <w:rPr>
          <w:rFonts w:hint="default"/>
          <w:lang w:val="en-US" w:eastAsia="zh-CN"/>
        </w:rPr>
      </w:pPr>
    </w:p>
    <w:p w14:paraId="2A25E876">
      <w:pPr>
        <w:pStyle w:val="14"/>
        <w:rPr>
          <w:rFonts w:hint="default"/>
          <w:lang w:val="en-US" w:eastAsia="zh-CN"/>
        </w:rPr>
      </w:pPr>
    </w:p>
    <w:p w14:paraId="2C8049B7">
      <w:pPr>
        <w:rPr>
          <w:rFonts w:hint="default"/>
          <w:lang w:val="en-US" w:eastAsia="zh-CN"/>
        </w:rPr>
      </w:pPr>
    </w:p>
    <w:p w14:paraId="3C6411EC">
      <w:pPr>
        <w:pStyle w:val="14"/>
        <w:rPr>
          <w:rFonts w:hint="default"/>
          <w:lang w:val="en-US" w:eastAsia="zh-CN"/>
        </w:rPr>
      </w:pPr>
    </w:p>
    <w:p w14:paraId="6BDAC782">
      <w:pPr>
        <w:rPr>
          <w:rFonts w:hint="default"/>
          <w:lang w:val="en-US" w:eastAsia="zh-CN"/>
        </w:rPr>
      </w:pPr>
    </w:p>
    <w:tbl>
      <w:tblPr>
        <w:tblStyle w:val="16"/>
        <w:tblpPr w:leftFromText="180" w:rightFromText="180" w:vertAnchor="text" w:horzAnchor="page" w:tblpX="1909" w:tblpY="301"/>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8"/>
        <w:gridCol w:w="1074"/>
        <w:gridCol w:w="612"/>
        <w:gridCol w:w="659"/>
        <w:gridCol w:w="745"/>
        <w:gridCol w:w="846"/>
        <w:gridCol w:w="672"/>
        <w:gridCol w:w="553"/>
        <w:gridCol w:w="789"/>
      </w:tblGrid>
      <w:tr w14:paraId="18619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0EF966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95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96A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3306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51090424T000011119160-乡风文明建设经费（长期）</w:t>
            </w:r>
          </w:p>
        </w:tc>
      </w:tr>
      <w:tr w14:paraId="51DD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F3C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11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6E22F3E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CF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7ADC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559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490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B7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300D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09D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0981">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39C8">
            <w:pPr>
              <w:rPr>
                <w:rFonts w:hint="eastAsia" w:ascii="宋体" w:hAnsi="宋体" w:eastAsia="宋体" w:cs="宋体"/>
                <w:i w:val="0"/>
                <w:iCs w:val="0"/>
                <w:color w:val="000000"/>
                <w:sz w:val="18"/>
                <w:szCs w:val="18"/>
                <w:u w:val="none"/>
              </w:rPr>
            </w:pPr>
          </w:p>
        </w:tc>
        <w:tc>
          <w:tcPr>
            <w:tcW w:w="38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E62D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目标1：保障乡风文明建设文化管理人员两人经费；目标2：保障文明城市创建工作顺利完成；目标3：保障精神文明宣传标识标语及制作费；目标4：保障文化展览中心日常运行。</w:t>
            </w:r>
          </w:p>
        </w:tc>
        <w:tc>
          <w:tcPr>
            <w:tcW w:w="28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65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单位于2024年6、7月完成单位资金支付</w:t>
            </w:r>
          </w:p>
        </w:tc>
      </w:tr>
      <w:tr w14:paraId="2CE1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449B">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7E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6739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乡风文明建设经费主要用于文化设施建设、文化活动开展、文明风尚培育、环境整治提升等方面；保障文化站日常运转，从而创建文明和谐的社会及良好的精神文明面貌。</w:t>
            </w:r>
          </w:p>
        </w:tc>
      </w:tr>
      <w:tr w14:paraId="7DC5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F3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D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E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A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38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0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E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3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F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CBF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5C85">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2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5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8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12.99</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EB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4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8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30BC">
            <w:pPr>
              <w:jc w:val="center"/>
              <w:rPr>
                <w:rFonts w:hint="eastAsia" w:ascii="宋体" w:hAnsi="宋体" w:eastAsia="宋体" w:cs="宋体"/>
                <w:i w:val="0"/>
                <w:iCs w:val="0"/>
                <w:color w:val="000000"/>
                <w:sz w:val="18"/>
                <w:szCs w:val="18"/>
                <w:u w:val="none"/>
              </w:rPr>
            </w:pPr>
          </w:p>
        </w:tc>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B43EF">
            <w:pPr>
              <w:rPr>
                <w:rFonts w:hint="eastAsia" w:ascii="黑体" w:hAnsi="黑体" w:eastAsia="黑体" w:cs="黑体"/>
                <w:i/>
                <w:iCs/>
                <w:color w:val="000000"/>
                <w:sz w:val="18"/>
                <w:szCs w:val="18"/>
                <w:u w:val="none"/>
              </w:rPr>
            </w:pPr>
          </w:p>
        </w:tc>
      </w:tr>
      <w:tr w14:paraId="2F70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970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8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9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9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12.99</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78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C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1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8210">
            <w:pPr>
              <w:rPr>
                <w:rFonts w:hint="eastAsia" w:ascii="黑体" w:hAnsi="黑体" w:eastAsia="黑体" w:cs="黑体"/>
                <w:i/>
                <w:iCs/>
                <w:color w:val="000000"/>
                <w:sz w:val="18"/>
                <w:szCs w:val="18"/>
                <w:u w:val="none"/>
              </w:rPr>
            </w:pPr>
          </w:p>
        </w:tc>
      </w:tr>
      <w:tr w14:paraId="2D93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ECC7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4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1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4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7D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9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D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2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E724">
            <w:pPr>
              <w:rPr>
                <w:rFonts w:hint="eastAsia" w:ascii="黑体" w:hAnsi="黑体" w:eastAsia="黑体" w:cs="黑体"/>
                <w:i/>
                <w:iCs/>
                <w:color w:val="000000"/>
                <w:sz w:val="18"/>
                <w:szCs w:val="18"/>
                <w:u w:val="none"/>
              </w:rPr>
            </w:pPr>
          </w:p>
        </w:tc>
      </w:tr>
      <w:tr w14:paraId="40178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E801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B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A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E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BA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4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A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D0F5">
            <w:pPr>
              <w:rPr>
                <w:rFonts w:hint="eastAsia" w:ascii="黑体" w:hAnsi="黑体" w:eastAsia="黑体" w:cs="黑体"/>
                <w:i/>
                <w:iCs/>
                <w:color w:val="000000"/>
                <w:sz w:val="18"/>
                <w:szCs w:val="18"/>
                <w:u w:val="none"/>
              </w:rPr>
            </w:pPr>
          </w:p>
        </w:tc>
      </w:tr>
      <w:tr w14:paraId="60A2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A01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1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9B8F">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87CF">
            <w:pPr>
              <w:jc w:val="center"/>
              <w:rPr>
                <w:rFonts w:hint="eastAsia" w:ascii="微软雅黑" w:hAnsi="微软雅黑" w:eastAsia="微软雅黑" w:cs="微软雅黑"/>
                <w:i/>
                <w:iCs/>
                <w:color w:val="000000"/>
                <w:sz w:val="16"/>
                <w:szCs w:val="16"/>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EE631">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0271">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0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F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A6846">
            <w:pPr>
              <w:rPr>
                <w:rFonts w:hint="eastAsia" w:ascii="黑体" w:hAnsi="黑体" w:eastAsia="黑体" w:cs="黑体"/>
                <w:i/>
                <w:iCs/>
                <w:color w:val="000000"/>
                <w:sz w:val="18"/>
                <w:szCs w:val="18"/>
                <w:u w:val="none"/>
              </w:rPr>
            </w:pPr>
          </w:p>
        </w:tc>
      </w:tr>
      <w:tr w14:paraId="7E7D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3A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B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7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5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5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A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4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F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F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9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0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893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E7087">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90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2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F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文化站临时管理人员两人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9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8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E803">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B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B233">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9EC4">
            <w:pPr>
              <w:jc w:val="center"/>
              <w:rPr>
                <w:rFonts w:hint="eastAsia" w:ascii="微软雅黑" w:hAnsi="微软雅黑" w:eastAsia="微软雅黑" w:cs="微软雅黑"/>
                <w:i/>
                <w:iCs/>
                <w:color w:val="000000"/>
                <w:sz w:val="16"/>
                <w:szCs w:val="16"/>
                <w:u w:val="none"/>
              </w:rPr>
            </w:pPr>
          </w:p>
        </w:tc>
      </w:tr>
      <w:tr w14:paraId="594F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E3C0">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60E86">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F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创建文明和谐的社会及良好的精神文明面貌</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A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F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43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8D97">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3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DD19">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53C5">
            <w:pPr>
              <w:jc w:val="center"/>
              <w:rPr>
                <w:rFonts w:hint="eastAsia" w:ascii="微软雅黑" w:hAnsi="微软雅黑" w:eastAsia="微软雅黑" w:cs="微软雅黑"/>
                <w:i/>
                <w:iCs/>
                <w:color w:val="000000"/>
                <w:sz w:val="16"/>
                <w:szCs w:val="16"/>
                <w:u w:val="none"/>
              </w:rPr>
            </w:pPr>
          </w:p>
        </w:tc>
      </w:tr>
      <w:tr w14:paraId="1A98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04902">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F1B0">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2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0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4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0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3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B355">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8615">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8192">
            <w:pPr>
              <w:jc w:val="center"/>
              <w:rPr>
                <w:rFonts w:hint="eastAsia" w:ascii="微软雅黑" w:hAnsi="微软雅黑" w:eastAsia="微软雅黑" w:cs="微软雅黑"/>
                <w:i/>
                <w:iCs/>
                <w:color w:val="000000"/>
                <w:sz w:val="16"/>
                <w:szCs w:val="16"/>
                <w:u w:val="none"/>
              </w:rPr>
            </w:pPr>
          </w:p>
        </w:tc>
      </w:tr>
      <w:tr w14:paraId="3DF9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C5DF">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41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F67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C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对全镇工作促进作用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8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A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提升经济软环境</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55F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BE58">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FC23">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2097">
            <w:pPr>
              <w:jc w:val="center"/>
              <w:rPr>
                <w:rFonts w:hint="eastAsia" w:ascii="微软雅黑" w:hAnsi="微软雅黑" w:eastAsia="微软雅黑" w:cs="微软雅黑"/>
                <w:i/>
                <w:iCs/>
                <w:color w:val="000000"/>
                <w:sz w:val="16"/>
                <w:szCs w:val="16"/>
                <w:u w:val="none"/>
              </w:rPr>
            </w:pPr>
          </w:p>
        </w:tc>
      </w:tr>
      <w:tr w14:paraId="1D15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9F0CF">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AF293">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F759">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1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对重大决策部署推动作用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6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B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提供决策依据</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B48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10F4">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2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0E54">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9C5C">
            <w:pPr>
              <w:jc w:val="center"/>
              <w:rPr>
                <w:rFonts w:hint="eastAsia" w:ascii="微软雅黑" w:hAnsi="微软雅黑" w:eastAsia="微软雅黑" w:cs="微软雅黑"/>
                <w:i/>
                <w:iCs/>
                <w:color w:val="000000"/>
                <w:sz w:val="16"/>
                <w:szCs w:val="16"/>
                <w:u w:val="none"/>
              </w:rPr>
            </w:pPr>
          </w:p>
        </w:tc>
      </w:tr>
      <w:tr w14:paraId="1ECD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E93CC">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E6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B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提升政府办事效率打造阳光政府</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7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B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提升政府办事效率</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CB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6DD4">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2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A294">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7D9B">
            <w:pPr>
              <w:jc w:val="center"/>
              <w:rPr>
                <w:rFonts w:hint="eastAsia" w:ascii="微软雅黑" w:hAnsi="微软雅黑" w:eastAsia="微软雅黑" w:cs="微软雅黑"/>
                <w:i/>
                <w:iCs/>
                <w:color w:val="000000"/>
                <w:sz w:val="16"/>
                <w:szCs w:val="16"/>
                <w:u w:val="none"/>
              </w:rPr>
            </w:pPr>
          </w:p>
        </w:tc>
      </w:tr>
      <w:tr w14:paraId="328D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1B7A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3960">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A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E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1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C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745E">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7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C8AE">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E7DD">
            <w:pPr>
              <w:jc w:val="center"/>
              <w:rPr>
                <w:rFonts w:hint="eastAsia" w:ascii="微软雅黑" w:hAnsi="微软雅黑" w:eastAsia="微软雅黑" w:cs="微软雅黑"/>
                <w:i/>
                <w:iCs/>
                <w:color w:val="000000"/>
                <w:sz w:val="16"/>
                <w:szCs w:val="16"/>
                <w:u w:val="none"/>
              </w:rPr>
            </w:pPr>
          </w:p>
        </w:tc>
      </w:tr>
      <w:tr w14:paraId="585C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F499F">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7D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F7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D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全年预算安排办公经费2.4万元主要是管理人员每月2000元办公用品、水电费、印刷费等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0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C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5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93AD">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4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35B4">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0F16">
            <w:pPr>
              <w:jc w:val="center"/>
              <w:rPr>
                <w:rFonts w:hint="eastAsia" w:ascii="微软雅黑" w:hAnsi="微软雅黑" w:eastAsia="微软雅黑" w:cs="微软雅黑"/>
                <w:i/>
                <w:iCs/>
                <w:color w:val="000000"/>
                <w:sz w:val="16"/>
                <w:szCs w:val="16"/>
                <w:u w:val="none"/>
              </w:rPr>
            </w:pPr>
          </w:p>
        </w:tc>
      </w:tr>
      <w:tr w14:paraId="2B0E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401D3">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1361">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A7DA9">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A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全年预算安排办差旅费0.6万元主要是管理人员每月500元的差旅费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D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7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9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84F5">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9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7893">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6C4C">
            <w:pPr>
              <w:jc w:val="center"/>
              <w:rPr>
                <w:rFonts w:hint="eastAsia" w:ascii="微软雅黑" w:hAnsi="微软雅黑" w:eastAsia="微软雅黑" w:cs="微软雅黑"/>
                <w:i/>
                <w:iCs/>
                <w:color w:val="000000"/>
                <w:sz w:val="16"/>
                <w:szCs w:val="16"/>
                <w:u w:val="none"/>
              </w:rPr>
            </w:pPr>
          </w:p>
        </w:tc>
      </w:tr>
      <w:tr w14:paraId="239D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510A">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D95AC">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0073A">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1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全年预算安排办公经费5.76万元管理2人每年2.88万元/人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B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9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6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3D95">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7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5358">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6DD5">
            <w:pPr>
              <w:jc w:val="center"/>
              <w:rPr>
                <w:rFonts w:hint="eastAsia" w:ascii="微软雅黑" w:hAnsi="微软雅黑" w:eastAsia="微软雅黑" w:cs="微软雅黑"/>
                <w:i/>
                <w:iCs/>
                <w:color w:val="000000"/>
                <w:sz w:val="16"/>
                <w:szCs w:val="16"/>
                <w:u w:val="none"/>
              </w:rPr>
            </w:pPr>
          </w:p>
        </w:tc>
      </w:tr>
      <w:tr w14:paraId="6DAA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F97D">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E7F1">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83E7">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5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全年预算安排办公费4.24万元主要用于创建文明城市的标识标识及广告制作费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4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9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9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F323">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A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FCAE">
            <w:pPr>
              <w:jc w:val="cente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B67C">
            <w:pPr>
              <w:jc w:val="center"/>
              <w:rPr>
                <w:rFonts w:hint="eastAsia" w:ascii="微软雅黑" w:hAnsi="微软雅黑" w:eastAsia="微软雅黑" w:cs="微软雅黑"/>
                <w:i/>
                <w:iCs/>
                <w:color w:val="000000"/>
                <w:sz w:val="16"/>
                <w:szCs w:val="16"/>
                <w:u w:val="none"/>
              </w:rPr>
            </w:pPr>
          </w:p>
        </w:tc>
      </w:tr>
      <w:tr w14:paraId="38F1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3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268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7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2BE3">
            <w:pPr>
              <w:rPr>
                <w:rFonts w:hint="eastAsia" w:ascii="宋体" w:hAnsi="宋体" w:eastAsia="宋体" w:cs="宋体"/>
                <w:i w:val="0"/>
                <w:iCs w:val="0"/>
                <w:color w:val="000000"/>
                <w:sz w:val="18"/>
                <w:szCs w:val="18"/>
                <w:u w:val="none"/>
              </w:rPr>
            </w:pP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ABF1">
            <w:pPr>
              <w:rPr>
                <w:rFonts w:hint="eastAsia" w:ascii="宋体" w:hAnsi="宋体" w:eastAsia="宋体" w:cs="宋体"/>
                <w:i w:val="0"/>
                <w:iCs w:val="0"/>
                <w:color w:val="000000"/>
                <w:sz w:val="18"/>
                <w:szCs w:val="18"/>
                <w:u w:val="none"/>
              </w:rPr>
            </w:pPr>
          </w:p>
        </w:tc>
      </w:tr>
      <w:tr w14:paraId="53F3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4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784C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决策方面，项目立项符合乡村振兴战略要求，紧密结合乡镇实际需求，绩效目标明确且具有可操作性，资金投入合理。在过程方面，资金管理制度健全，使用规范，项目组织实施有序，各项工作按计划推进。在产出方面，文化设施建设、文化活动开展、先进典型评选、环境整治等工作均达到或超过预期目标，产出数量、质量、时效和成本控制良好。在效益方面，乡村文化氛围日益浓厚，群众文化生活更加丰富，文明风尚逐步形成，乡村环境显著改善，取得了良好的社会效益和生态效益；通过建立长效机制，保障了乡风文明建设工作的可持续开展；总体而言，我镇乡风文明建设经费项目实施效果良好，资金使用规范，实现了预期绩效目标，对提升乡镇乡风文明水平发挥了重要作用。但项目实施过程中仍存在一些问题，需进一步改进和完善。</w:t>
            </w:r>
          </w:p>
        </w:tc>
      </w:tr>
      <w:tr w14:paraId="022C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6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798E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思想认识不够深入。个别农村基层干部对乡风文明建设重视不够，认为只要经济发展上去，乡风自然就会文明；有的认为乡风文明建设是“软指标”，工作没有深入去抓，流于形式，因而效果不明显。二是文化阵地有待完善。大多数行政村没有集体经济收入来源，农村文化阵地建设仍然存在较大的困难和问题。有的设施没有发挥出应有的作用，成为闲置的资源。</w:t>
            </w:r>
          </w:p>
        </w:tc>
      </w:tr>
      <w:tr w14:paraId="25E9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E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CD14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1.深入开展农村风尚教育，引领、推动乡风文明建设。2.农村精神文明建设项目化，形成乡风文明建设长效机制。</w:t>
            </w:r>
          </w:p>
        </w:tc>
      </w:tr>
      <w:tr w14:paraId="354F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2F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项目负责人：唐兴旺</w:t>
            </w:r>
          </w:p>
        </w:tc>
        <w:tc>
          <w:tcPr>
            <w:tcW w:w="42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B292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66B559D3">
      <w:pPr>
        <w:pStyle w:val="14"/>
        <w:rPr>
          <w:rFonts w:hint="default"/>
          <w:lang w:val="en-US" w:eastAsia="zh-CN"/>
        </w:rPr>
      </w:pPr>
    </w:p>
    <w:p w14:paraId="028712EF">
      <w:pPr>
        <w:rPr>
          <w:rFonts w:hint="default"/>
          <w:lang w:val="en-US" w:eastAsia="zh-CN"/>
        </w:rPr>
      </w:pPr>
    </w:p>
    <w:p w14:paraId="04B62F8E">
      <w:pPr>
        <w:pStyle w:val="14"/>
        <w:rPr>
          <w:rFonts w:hint="default"/>
          <w:lang w:val="en-US" w:eastAsia="zh-CN"/>
        </w:rPr>
      </w:pPr>
    </w:p>
    <w:p w14:paraId="2280A5AD">
      <w:pPr>
        <w:rPr>
          <w:rFonts w:hint="default"/>
          <w:lang w:val="en-US" w:eastAsia="zh-CN"/>
        </w:rPr>
      </w:pPr>
    </w:p>
    <w:p w14:paraId="0FC22C54">
      <w:pPr>
        <w:pStyle w:val="14"/>
        <w:rPr>
          <w:rFonts w:hint="default"/>
          <w:lang w:val="en-US" w:eastAsia="zh-CN"/>
        </w:rPr>
      </w:pPr>
    </w:p>
    <w:p w14:paraId="2D69CBB4">
      <w:pPr>
        <w:rPr>
          <w:rFonts w:hint="default"/>
          <w:lang w:val="en-US" w:eastAsia="zh-CN"/>
        </w:rPr>
      </w:pPr>
    </w:p>
    <w:p w14:paraId="6D32DFA6">
      <w:pPr>
        <w:pStyle w:val="14"/>
        <w:rPr>
          <w:rFonts w:hint="default"/>
          <w:lang w:val="en-US" w:eastAsia="zh-CN"/>
        </w:rPr>
      </w:pPr>
    </w:p>
    <w:p w14:paraId="682D9A0D">
      <w:pPr>
        <w:rPr>
          <w:rFonts w:hint="default"/>
          <w:lang w:val="en-US" w:eastAsia="zh-CN"/>
        </w:rPr>
      </w:pPr>
    </w:p>
    <w:p w14:paraId="37DED797">
      <w:pPr>
        <w:pStyle w:val="14"/>
        <w:rPr>
          <w:rFonts w:hint="default"/>
          <w:lang w:val="en-US" w:eastAsia="zh-CN"/>
        </w:rPr>
      </w:pPr>
    </w:p>
    <w:p w14:paraId="59F18AF7">
      <w:pPr>
        <w:rPr>
          <w:rFonts w:hint="default"/>
          <w:lang w:val="en-US" w:eastAsia="zh-CN"/>
        </w:rPr>
      </w:pPr>
    </w:p>
    <w:p w14:paraId="62E8CC66">
      <w:pPr>
        <w:pStyle w:val="14"/>
        <w:rPr>
          <w:rFonts w:hint="default"/>
          <w:lang w:val="en-US" w:eastAsia="zh-CN"/>
        </w:rPr>
      </w:pPr>
    </w:p>
    <w:p w14:paraId="6ED7FF36">
      <w:pPr>
        <w:rPr>
          <w:rFonts w:hint="default"/>
          <w:lang w:val="en-US" w:eastAsia="zh-CN"/>
        </w:rPr>
      </w:pPr>
    </w:p>
    <w:p w14:paraId="1555D86D">
      <w:pPr>
        <w:pStyle w:val="14"/>
        <w:rPr>
          <w:rFonts w:hint="default"/>
          <w:lang w:val="en-US" w:eastAsia="zh-CN"/>
        </w:rPr>
      </w:pPr>
    </w:p>
    <w:p w14:paraId="1ADBAC93">
      <w:pPr>
        <w:rPr>
          <w:rFonts w:hint="default"/>
          <w:lang w:val="en-US" w:eastAsia="zh-CN"/>
        </w:rPr>
      </w:pPr>
    </w:p>
    <w:p w14:paraId="12A4357E">
      <w:pPr>
        <w:pStyle w:val="14"/>
        <w:rPr>
          <w:rFonts w:hint="default"/>
          <w:lang w:val="en-US" w:eastAsia="zh-CN"/>
        </w:rPr>
      </w:pPr>
    </w:p>
    <w:p w14:paraId="79542988">
      <w:pPr>
        <w:rPr>
          <w:rFonts w:hint="default"/>
          <w:lang w:val="en-US" w:eastAsia="zh-CN"/>
        </w:rPr>
      </w:pPr>
    </w:p>
    <w:p w14:paraId="41215F6F">
      <w:pPr>
        <w:pStyle w:val="14"/>
        <w:rPr>
          <w:rFonts w:hint="default"/>
          <w:lang w:val="en-US" w:eastAsia="zh-CN"/>
        </w:rPr>
      </w:pPr>
    </w:p>
    <w:p w14:paraId="183ADE26">
      <w:pPr>
        <w:rPr>
          <w:rFonts w:hint="default"/>
          <w:lang w:val="en-US" w:eastAsia="zh-CN"/>
        </w:rPr>
      </w:pPr>
    </w:p>
    <w:p w14:paraId="713E39B9">
      <w:pPr>
        <w:pStyle w:val="14"/>
        <w:rPr>
          <w:rFonts w:hint="default"/>
          <w:lang w:val="en-US" w:eastAsia="zh-CN"/>
        </w:rPr>
      </w:pPr>
    </w:p>
    <w:p w14:paraId="68A3D5A4">
      <w:pPr>
        <w:rPr>
          <w:rFonts w:hint="default"/>
          <w:lang w:val="en-US" w:eastAsia="zh-CN"/>
        </w:rPr>
      </w:pPr>
    </w:p>
    <w:p w14:paraId="5D3410B1">
      <w:pPr>
        <w:pStyle w:val="14"/>
        <w:rPr>
          <w:rFonts w:hint="default"/>
          <w:lang w:val="en-US" w:eastAsia="zh-CN"/>
        </w:rPr>
      </w:pPr>
    </w:p>
    <w:p w14:paraId="7DDDE5E6">
      <w:pPr>
        <w:rPr>
          <w:rFonts w:hint="default"/>
          <w:lang w:val="en-US" w:eastAsia="zh-CN"/>
        </w:rPr>
      </w:pPr>
    </w:p>
    <w:p w14:paraId="41C66FBF">
      <w:pPr>
        <w:pStyle w:val="14"/>
        <w:rPr>
          <w:rFonts w:hint="default"/>
          <w:lang w:val="en-US" w:eastAsia="zh-CN"/>
        </w:rPr>
      </w:pPr>
    </w:p>
    <w:p w14:paraId="3C94DC08">
      <w:pPr>
        <w:rPr>
          <w:rFonts w:hint="default"/>
          <w:lang w:val="en-US" w:eastAsia="zh-CN"/>
        </w:rPr>
      </w:pPr>
    </w:p>
    <w:p w14:paraId="6316C71C">
      <w:pPr>
        <w:pStyle w:val="14"/>
        <w:rPr>
          <w:rFonts w:hint="default"/>
          <w:lang w:val="en-US" w:eastAsia="zh-CN"/>
        </w:rPr>
      </w:pPr>
    </w:p>
    <w:p w14:paraId="640D0815">
      <w:pPr>
        <w:rPr>
          <w:rFonts w:hint="default"/>
          <w:lang w:val="en-US" w:eastAsia="zh-CN"/>
        </w:rPr>
      </w:pPr>
    </w:p>
    <w:p w14:paraId="36B04CAA">
      <w:pPr>
        <w:pStyle w:val="14"/>
        <w:rPr>
          <w:rFonts w:hint="default"/>
          <w:lang w:val="en-US" w:eastAsia="zh-CN"/>
        </w:rPr>
      </w:pPr>
    </w:p>
    <w:p w14:paraId="49249ACB">
      <w:pPr>
        <w:rPr>
          <w:rFonts w:hint="default"/>
          <w:lang w:val="en-US" w:eastAsia="zh-CN"/>
        </w:rPr>
      </w:pPr>
    </w:p>
    <w:tbl>
      <w:tblPr>
        <w:tblStyle w:val="16"/>
        <w:tblpPr w:leftFromText="180" w:rightFromText="180" w:vertAnchor="text" w:horzAnchor="page" w:tblpX="1878" w:tblpY="160"/>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8"/>
        <w:gridCol w:w="745"/>
        <w:gridCol w:w="846"/>
        <w:gridCol w:w="673"/>
        <w:gridCol w:w="553"/>
        <w:gridCol w:w="791"/>
      </w:tblGrid>
      <w:tr w14:paraId="349E0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A4C4C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87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59F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639E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51090424T000011119189-乡镇便民服务大厅维护及农村“三资”集体管理经费（长期）</w:t>
            </w:r>
          </w:p>
        </w:tc>
      </w:tr>
      <w:tr w14:paraId="391B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213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A30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7DA4791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84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788F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0A5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74C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7A1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E7A7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2B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AE0C9">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A58E">
            <w:pPr>
              <w:rPr>
                <w:rFonts w:hint="eastAsia" w:ascii="宋体" w:hAnsi="宋体" w:eastAsia="宋体" w:cs="宋体"/>
                <w:i w:val="0"/>
                <w:iCs w:val="0"/>
                <w:color w:val="000000"/>
                <w:sz w:val="18"/>
                <w:szCs w:val="18"/>
                <w:u w:val="none"/>
              </w:rPr>
            </w:pP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9EAB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目标1：保障乡镇便民服务大厅日常运行；目标2：保障服务大厅人员的设备需求；目标3：打造阳光快速的办事通道；目标4：完成政府交办的其它事项。</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27A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完成白马镇便民服务大厅2024年各项工作及2024年“三资”管理相关业务。便民服务大厅环境有所改善，为民办事效率有所提高。各村做到账目了然</w:t>
            </w:r>
          </w:p>
        </w:tc>
      </w:tr>
      <w:tr w14:paraId="376B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952FE">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21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BD3F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完成白马镇便民服务大厅2024年各项工作及2024年“三资”管理相关业务。便民服务大厅环境有所改善，为民办事效率有所提高</w:t>
            </w:r>
          </w:p>
        </w:tc>
      </w:tr>
      <w:tr w14:paraId="161D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EE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1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6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3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7C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8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2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F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BBC6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6E83">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8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4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F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4F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D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7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2193">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2A9BC">
            <w:pPr>
              <w:rPr>
                <w:rFonts w:hint="eastAsia" w:ascii="黑体" w:hAnsi="黑体" w:eastAsia="黑体" w:cs="黑体"/>
                <w:i/>
                <w:iCs/>
                <w:color w:val="000000"/>
                <w:sz w:val="18"/>
                <w:szCs w:val="18"/>
                <w:u w:val="none"/>
              </w:rPr>
            </w:pPr>
          </w:p>
        </w:tc>
      </w:tr>
      <w:tr w14:paraId="3C3A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B98A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B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3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E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60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5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3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3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C6105">
            <w:pPr>
              <w:rPr>
                <w:rFonts w:hint="eastAsia" w:ascii="黑体" w:hAnsi="黑体" w:eastAsia="黑体" w:cs="黑体"/>
                <w:i/>
                <w:iCs/>
                <w:color w:val="000000"/>
                <w:sz w:val="18"/>
                <w:szCs w:val="18"/>
                <w:u w:val="none"/>
              </w:rPr>
            </w:pPr>
          </w:p>
        </w:tc>
      </w:tr>
      <w:tr w14:paraId="4DEE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71F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B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3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10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8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7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3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B8CE">
            <w:pPr>
              <w:rPr>
                <w:rFonts w:hint="eastAsia" w:ascii="黑体" w:hAnsi="黑体" w:eastAsia="黑体" w:cs="黑体"/>
                <w:i/>
                <w:iCs/>
                <w:color w:val="000000"/>
                <w:sz w:val="18"/>
                <w:szCs w:val="18"/>
                <w:u w:val="none"/>
              </w:rPr>
            </w:pPr>
          </w:p>
        </w:tc>
      </w:tr>
      <w:tr w14:paraId="0FD0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F263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D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D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98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FA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6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7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9520F">
            <w:pPr>
              <w:rPr>
                <w:rFonts w:hint="eastAsia" w:ascii="黑体" w:hAnsi="黑体" w:eastAsia="黑体" w:cs="黑体"/>
                <w:i/>
                <w:iCs/>
                <w:color w:val="000000"/>
                <w:sz w:val="18"/>
                <w:szCs w:val="18"/>
                <w:u w:val="none"/>
              </w:rPr>
            </w:pPr>
          </w:p>
        </w:tc>
      </w:tr>
      <w:tr w14:paraId="66F0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68D1">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E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50F3">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5D30">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63B2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8C02">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B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C2E06">
            <w:pPr>
              <w:rPr>
                <w:rFonts w:hint="eastAsia" w:ascii="黑体" w:hAnsi="黑体" w:eastAsia="黑体" w:cs="黑体"/>
                <w:i/>
                <w:iCs/>
                <w:color w:val="000000"/>
                <w:sz w:val="18"/>
                <w:szCs w:val="18"/>
                <w:u w:val="none"/>
              </w:rPr>
            </w:pPr>
          </w:p>
        </w:tc>
      </w:tr>
      <w:tr w14:paraId="1554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44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8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D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9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0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D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E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2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C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C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3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2F9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F26C">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72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32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50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服务大厅数量</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E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E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6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7621">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1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D82D">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62A6">
            <w:pPr>
              <w:jc w:val="center"/>
              <w:rPr>
                <w:rFonts w:hint="eastAsia" w:ascii="微软雅黑" w:hAnsi="微软雅黑" w:eastAsia="微软雅黑" w:cs="微软雅黑"/>
                <w:i/>
                <w:iCs/>
                <w:color w:val="000000"/>
                <w:sz w:val="16"/>
                <w:szCs w:val="16"/>
                <w:u w:val="none"/>
              </w:rPr>
            </w:pPr>
          </w:p>
        </w:tc>
      </w:tr>
      <w:tr w14:paraId="4DAC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D251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5986">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A4BD">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F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人员配置</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B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1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C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C82">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0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DFAE">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024C">
            <w:pPr>
              <w:jc w:val="center"/>
              <w:rPr>
                <w:rFonts w:hint="eastAsia" w:ascii="微软雅黑" w:hAnsi="微软雅黑" w:eastAsia="微软雅黑" w:cs="微软雅黑"/>
                <w:i/>
                <w:iCs/>
                <w:color w:val="000000"/>
                <w:sz w:val="16"/>
                <w:szCs w:val="16"/>
                <w:u w:val="none"/>
              </w:rPr>
            </w:pPr>
          </w:p>
        </w:tc>
      </w:tr>
      <w:tr w14:paraId="79A1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03C9A">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A0A3">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C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4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群众对窗口服务满意完结率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B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6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4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2F1C">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3C58">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040A">
            <w:pPr>
              <w:jc w:val="center"/>
              <w:rPr>
                <w:rFonts w:hint="eastAsia" w:ascii="微软雅黑" w:hAnsi="微软雅黑" w:eastAsia="微软雅黑" w:cs="微软雅黑"/>
                <w:i/>
                <w:iCs/>
                <w:color w:val="000000"/>
                <w:sz w:val="16"/>
                <w:szCs w:val="16"/>
                <w:u w:val="none"/>
              </w:rPr>
            </w:pPr>
          </w:p>
        </w:tc>
      </w:tr>
      <w:tr w14:paraId="4165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1278D">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F218B">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1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7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0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3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5992">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4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E600">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60EB">
            <w:pPr>
              <w:jc w:val="center"/>
              <w:rPr>
                <w:rFonts w:hint="eastAsia" w:ascii="微软雅黑" w:hAnsi="微软雅黑" w:eastAsia="微软雅黑" w:cs="微软雅黑"/>
                <w:i/>
                <w:iCs/>
                <w:color w:val="000000"/>
                <w:sz w:val="16"/>
                <w:szCs w:val="16"/>
                <w:u w:val="none"/>
              </w:rPr>
            </w:pPr>
          </w:p>
        </w:tc>
      </w:tr>
      <w:tr w14:paraId="0B6E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6C88">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9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C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1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提升办事效率提升政府公信力</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9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B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E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20BE">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0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7776">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6F65">
            <w:pPr>
              <w:jc w:val="center"/>
              <w:rPr>
                <w:rFonts w:hint="eastAsia" w:ascii="微软雅黑" w:hAnsi="微软雅黑" w:eastAsia="微软雅黑" w:cs="微软雅黑"/>
                <w:i/>
                <w:iCs/>
                <w:color w:val="000000"/>
                <w:sz w:val="16"/>
                <w:szCs w:val="16"/>
                <w:u w:val="none"/>
              </w:rPr>
            </w:pPr>
          </w:p>
        </w:tc>
      </w:tr>
      <w:tr w14:paraId="4BFB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8C70">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7F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3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6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提升政府办事效率打造阳光政府</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E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9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3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3A97">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9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338A">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EB77">
            <w:pPr>
              <w:jc w:val="center"/>
              <w:rPr>
                <w:rFonts w:hint="eastAsia" w:ascii="微软雅黑" w:hAnsi="微软雅黑" w:eastAsia="微软雅黑" w:cs="微软雅黑"/>
                <w:i/>
                <w:iCs/>
                <w:color w:val="000000"/>
                <w:sz w:val="16"/>
                <w:szCs w:val="16"/>
                <w:u w:val="none"/>
              </w:rPr>
            </w:pPr>
          </w:p>
        </w:tc>
      </w:tr>
      <w:tr w14:paraId="0488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42E9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E899B">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B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5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1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0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4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403">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B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BB3">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9557">
            <w:pPr>
              <w:jc w:val="center"/>
              <w:rPr>
                <w:rFonts w:hint="eastAsia" w:ascii="微软雅黑" w:hAnsi="微软雅黑" w:eastAsia="微软雅黑" w:cs="微软雅黑"/>
                <w:i/>
                <w:iCs/>
                <w:color w:val="000000"/>
                <w:sz w:val="16"/>
                <w:szCs w:val="16"/>
                <w:u w:val="none"/>
              </w:rPr>
            </w:pPr>
          </w:p>
        </w:tc>
      </w:tr>
      <w:tr w14:paraId="31CD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2BA7">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65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39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9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全年预算安排办公费0.5万元主要用于服务大厅的卓椅及水费支出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C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2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C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D47C">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1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EF5F">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C530">
            <w:pPr>
              <w:jc w:val="center"/>
              <w:rPr>
                <w:rFonts w:hint="eastAsia" w:ascii="微软雅黑" w:hAnsi="微软雅黑" w:eastAsia="微软雅黑" w:cs="微软雅黑"/>
                <w:i/>
                <w:iCs/>
                <w:color w:val="000000"/>
                <w:sz w:val="16"/>
                <w:szCs w:val="16"/>
                <w:u w:val="none"/>
              </w:rPr>
            </w:pPr>
          </w:p>
        </w:tc>
      </w:tr>
      <w:tr w14:paraId="71F3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10343">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3AAA2">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5C841">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5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全年预算安排办公费0.5万元主要用于服务大厅购买办公用品</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7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B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6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D13A">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D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3A4C">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4020">
            <w:pPr>
              <w:jc w:val="center"/>
              <w:rPr>
                <w:rFonts w:hint="eastAsia" w:ascii="微软雅黑" w:hAnsi="微软雅黑" w:eastAsia="微软雅黑" w:cs="微软雅黑"/>
                <w:i/>
                <w:iCs/>
                <w:color w:val="000000"/>
                <w:sz w:val="16"/>
                <w:szCs w:val="16"/>
                <w:u w:val="none"/>
              </w:rPr>
            </w:pPr>
          </w:p>
        </w:tc>
      </w:tr>
      <w:tr w14:paraId="3B73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8C1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B6E4">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A52B">
            <w:pPr>
              <w:rPr>
                <w:rFonts w:hint="eastAsia" w:ascii="宋体" w:hAnsi="宋体" w:eastAsia="宋体" w:cs="宋体"/>
                <w:i w:val="0"/>
                <w:iCs w:val="0"/>
                <w:color w:val="000000"/>
                <w:sz w:val="18"/>
                <w:szCs w:val="18"/>
                <w:u w:val="none"/>
              </w:rPr>
            </w:pPr>
          </w:p>
        </w:tc>
      </w:tr>
      <w:tr w14:paraId="7836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1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DE9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镇便民服务大厅维护经费投入，保障了大厅基础环境与服务设施的正常运转。资金用于大厅的日常修缮、设备更新，如更换老化的电脑、打印机，升级网络系统，优化群众办事体验。同时，经费支持开展窗口人员培训，提升服务能力与服务态度，推动政务服务事项 “一站式” 办结，减少群众办事跑腿次数，切实增强了群众的满意度与获得感。</w:t>
            </w:r>
          </w:p>
        </w:tc>
      </w:tr>
      <w:tr w14:paraId="6BEF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2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D0BDB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随着乡镇政务服务事项不断增加、农村集体经济发展壮大，乡镇便民服务大厅维护及农村 “三资” 管理工作面临更高要求，但财政投入有限。便民服务大厅存在设备老化、功能分区不完善等问题；农村 “三资” 管理在信息化系统升级资金缺口大，制约工作高质量开展。在经费分配上，存在平均用力现象。资金未优先保障智能化设备采购；农村 “三资” 管理经费对历史遗留问题处理、风险防控体系建设投入不足，导致部分工作浮于表面。</w:t>
            </w:r>
          </w:p>
        </w:tc>
      </w:tr>
      <w:tr w14:paraId="7EBA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F7AF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应提高对乡镇便民服务与农村 “三资” 管理工作的重视，加大财政资金投入，建立稳定的经费增长机制。同时，鼓励社会资本参与，如通过政府购买服务方式引入企业参与便民服务大厅智能化建设，引导金融机构支持农村集体经济发展项目，拓宽资金来源。建立健全经费预算管理制度，细化预算项目与资金使用标准。加强资金使用全过程监督，引入第三方审计机构对经费使用情况进行核查。</w:t>
            </w:r>
          </w:p>
        </w:tc>
      </w:tr>
      <w:tr w14:paraId="28E4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65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项目负责人：蒋茂艳</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23CD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636DDF9D">
      <w:pPr>
        <w:pStyle w:val="14"/>
        <w:rPr>
          <w:rFonts w:hint="default"/>
          <w:lang w:val="en-US" w:eastAsia="zh-CN"/>
        </w:rPr>
      </w:pPr>
    </w:p>
    <w:p w14:paraId="73CF3A66">
      <w:pPr>
        <w:rPr>
          <w:rFonts w:hint="default"/>
          <w:lang w:val="en-US" w:eastAsia="zh-CN"/>
        </w:rPr>
      </w:pPr>
    </w:p>
    <w:p w14:paraId="443206E1">
      <w:pPr>
        <w:pStyle w:val="14"/>
        <w:rPr>
          <w:rFonts w:hint="default"/>
          <w:lang w:val="en-US" w:eastAsia="zh-CN"/>
        </w:rPr>
      </w:pPr>
    </w:p>
    <w:p w14:paraId="30170E17">
      <w:pPr>
        <w:rPr>
          <w:rFonts w:hint="default"/>
          <w:lang w:val="en-US" w:eastAsia="zh-CN"/>
        </w:rPr>
      </w:pPr>
    </w:p>
    <w:p w14:paraId="0B3C51BE">
      <w:pPr>
        <w:pStyle w:val="14"/>
        <w:rPr>
          <w:rFonts w:hint="default"/>
          <w:lang w:val="en-US" w:eastAsia="zh-CN"/>
        </w:rPr>
      </w:pPr>
    </w:p>
    <w:p w14:paraId="1987BEB3">
      <w:pPr>
        <w:rPr>
          <w:rFonts w:hint="default"/>
          <w:lang w:val="en-US" w:eastAsia="zh-CN"/>
        </w:rPr>
      </w:pPr>
    </w:p>
    <w:p w14:paraId="482EB6AF">
      <w:pPr>
        <w:pStyle w:val="14"/>
        <w:rPr>
          <w:rFonts w:hint="default"/>
          <w:lang w:val="en-US" w:eastAsia="zh-CN"/>
        </w:rPr>
      </w:pPr>
    </w:p>
    <w:tbl>
      <w:tblPr>
        <w:tblStyle w:val="16"/>
        <w:tblpPr w:leftFromText="180" w:rightFromText="180" w:vertAnchor="text" w:horzAnchor="page" w:tblpX="1878" w:tblpY="260"/>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8"/>
        <w:gridCol w:w="745"/>
        <w:gridCol w:w="846"/>
        <w:gridCol w:w="673"/>
        <w:gridCol w:w="553"/>
        <w:gridCol w:w="791"/>
      </w:tblGrid>
      <w:tr w14:paraId="034D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C4F32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286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CD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AA29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51090424T000011119195-乡镇基础设施和场镇街道维护经费（长期）</w:t>
            </w:r>
          </w:p>
        </w:tc>
      </w:tr>
      <w:tr w14:paraId="40597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A65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107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7FBFB68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F4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19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52D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173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E5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2AACF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F2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1D883">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9A40">
            <w:pPr>
              <w:rPr>
                <w:rFonts w:hint="eastAsia" w:ascii="宋体" w:hAnsi="宋体" w:eastAsia="宋体" w:cs="宋体"/>
                <w:i w:val="0"/>
                <w:iCs w:val="0"/>
                <w:color w:val="000000"/>
                <w:sz w:val="18"/>
                <w:szCs w:val="18"/>
                <w:u w:val="none"/>
              </w:rPr>
            </w:pP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470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确保场镇道路、水利等基础设施进一步完善，场镇环境和公共服务进一步改善提升；目标2：以城镇化、基础设施现代化为抓手，以乡村振兴为契机，加快场镇基础设施建设，努力提升群众幸福感和满意度；目标3：围绕基础设施建设、发展社会经济、改善生态环境三方面目标，坚持科学规划、合理布局、适度发展的原则，完善乡镇基础配套设施， 保证了城镇建设有规可循，目标4：加大经费预算投入保障劳保人员及社区管理人员日常运行，提升场垃圾处理能力，改善居民生活环境。</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521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本项目以提升乡镇基础设施服务水平、改善场镇街道环境为核心。通过道路修缮、管网改造、绿化亮化等工程实施，有效改善了乡镇人居环境和居民生活质量。</w:t>
            </w:r>
          </w:p>
        </w:tc>
      </w:tr>
      <w:tr w14:paraId="27FE7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159AD">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09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3921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乡镇基础设施和场镇街道维护工作管理，白马镇成立了部门分管领导、相关业务股室负责人及业务人员为成员的工作小组。通过定期巡查、排查，对损坏基础设施进行维护整治，不断完善农村基础设施建设和服务能力，整体提升群众的人居环境和生产环境。</w:t>
            </w:r>
          </w:p>
        </w:tc>
      </w:tr>
      <w:tr w14:paraId="7779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00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2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4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0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4E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6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2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4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F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46A9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DF79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9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7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E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65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7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C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F81E">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53549">
            <w:pPr>
              <w:rPr>
                <w:rFonts w:hint="eastAsia" w:ascii="黑体" w:hAnsi="黑体" w:eastAsia="黑体" w:cs="黑体"/>
                <w:i/>
                <w:iCs/>
                <w:color w:val="000000"/>
                <w:sz w:val="18"/>
                <w:szCs w:val="18"/>
                <w:u w:val="none"/>
              </w:rPr>
            </w:pPr>
          </w:p>
        </w:tc>
      </w:tr>
      <w:tr w14:paraId="38A2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FEB1">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D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B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9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06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F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0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E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357A4">
            <w:pPr>
              <w:rPr>
                <w:rFonts w:hint="eastAsia" w:ascii="黑体" w:hAnsi="黑体" w:eastAsia="黑体" w:cs="黑体"/>
                <w:i/>
                <w:iCs/>
                <w:color w:val="000000"/>
                <w:sz w:val="18"/>
                <w:szCs w:val="18"/>
                <w:u w:val="none"/>
              </w:rPr>
            </w:pPr>
          </w:p>
        </w:tc>
      </w:tr>
      <w:tr w14:paraId="7D20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57E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6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8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3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87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1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5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2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6CFD4">
            <w:pPr>
              <w:rPr>
                <w:rFonts w:hint="eastAsia" w:ascii="黑体" w:hAnsi="黑体" w:eastAsia="黑体" w:cs="黑体"/>
                <w:i/>
                <w:iCs/>
                <w:color w:val="000000"/>
                <w:sz w:val="18"/>
                <w:szCs w:val="18"/>
                <w:u w:val="none"/>
              </w:rPr>
            </w:pPr>
          </w:p>
        </w:tc>
      </w:tr>
      <w:tr w14:paraId="5EE0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8B9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6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1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1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8C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A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0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F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3E7F3">
            <w:pPr>
              <w:rPr>
                <w:rFonts w:hint="eastAsia" w:ascii="黑体" w:hAnsi="黑体" w:eastAsia="黑体" w:cs="黑体"/>
                <w:i/>
                <w:iCs/>
                <w:color w:val="000000"/>
                <w:sz w:val="18"/>
                <w:szCs w:val="18"/>
                <w:u w:val="none"/>
              </w:rPr>
            </w:pPr>
          </w:p>
        </w:tc>
      </w:tr>
      <w:tr w14:paraId="195B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42A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2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B8FE">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A306">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6C07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61B8">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1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A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F9EA8">
            <w:pPr>
              <w:rPr>
                <w:rFonts w:hint="eastAsia" w:ascii="黑体" w:hAnsi="黑体" w:eastAsia="黑体" w:cs="黑体"/>
                <w:i/>
                <w:iCs/>
                <w:color w:val="000000"/>
                <w:sz w:val="18"/>
                <w:szCs w:val="18"/>
                <w:u w:val="none"/>
              </w:rPr>
            </w:pPr>
          </w:p>
        </w:tc>
      </w:tr>
      <w:tr w14:paraId="3478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D9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6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C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6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8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8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F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2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5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F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42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9E36">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EC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0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2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全镇22个村及3个社区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B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0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4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F592">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E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07D8">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DD57">
            <w:pPr>
              <w:jc w:val="center"/>
              <w:rPr>
                <w:rFonts w:hint="eastAsia" w:ascii="微软雅黑" w:hAnsi="微软雅黑" w:eastAsia="微软雅黑" w:cs="微软雅黑"/>
                <w:i/>
                <w:iCs/>
                <w:color w:val="000000"/>
                <w:sz w:val="16"/>
                <w:szCs w:val="16"/>
                <w:u w:val="none"/>
              </w:rPr>
            </w:pPr>
          </w:p>
        </w:tc>
      </w:tr>
      <w:tr w14:paraId="27CE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F05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443F">
            <w:pPr>
              <w:jc w:val="center"/>
              <w:rPr>
                <w:rFonts w:hint="eastAsia" w:ascii="宋体" w:hAnsi="宋体" w:eastAsia="宋体" w:cs="宋体"/>
                <w:i w:val="0"/>
                <w:iCs w:val="0"/>
                <w:color w:val="000000"/>
                <w:sz w:val="18"/>
                <w:szCs w:val="18"/>
                <w:u w:val="none"/>
              </w:rPr>
            </w:pP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E4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E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年度目标任务完成率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9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C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C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CB13">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8ADA">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5D01">
            <w:pPr>
              <w:jc w:val="center"/>
              <w:rPr>
                <w:rFonts w:hint="eastAsia" w:ascii="微软雅黑" w:hAnsi="微软雅黑" w:eastAsia="微软雅黑" w:cs="微软雅黑"/>
                <w:i/>
                <w:iCs/>
                <w:color w:val="000000"/>
                <w:sz w:val="16"/>
                <w:szCs w:val="16"/>
                <w:u w:val="none"/>
              </w:rPr>
            </w:pPr>
          </w:p>
        </w:tc>
      </w:tr>
      <w:tr w14:paraId="549AB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0BA9">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E587">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67AFD">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E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新增污染物处理能力提升率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A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B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2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BF8E">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5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D7F9">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C1BB">
            <w:pPr>
              <w:jc w:val="center"/>
              <w:rPr>
                <w:rFonts w:hint="eastAsia" w:ascii="微软雅黑" w:hAnsi="微软雅黑" w:eastAsia="微软雅黑" w:cs="微软雅黑"/>
                <w:i/>
                <w:iCs/>
                <w:color w:val="000000"/>
                <w:sz w:val="16"/>
                <w:szCs w:val="16"/>
                <w:u w:val="none"/>
              </w:rPr>
            </w:pPr>
          </w:p>
        </w:tc>
      </w:tr>
      <w:tr w14:paraId="362B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4153">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A8B6">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8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C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D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5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7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23A7">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9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A356">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C83E">
            <w:pPr>
              <w:jc w:val="center"/>
              <w:rPr>
                <w:rFonts w:hint="eastAsia" w:ascii="微软雅黑" w:hAnsi="微软雅黑" w:eastAsia="微软雅黑" w:cs="微软雅黑"/>
                <w:i/>
                <w:iCs/>
                <w:color w:val="000000"/>
                <w:sz w:val="16"/>
                <w:szCs w:val="16"/>
                <w:u w:val="none"/>
              </w:rPr>
            </w:pPr>
          </w:p>
        </w:tc>
      </w:tr>
      <w:tr w14:paraId="707F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5A90">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8F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7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7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对全镇工作促进作用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E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B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4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DA9C">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7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EC17">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B215">
            <w:pPr>
              <w:jc w:val="center"/>
              <w:rPr>
                <w:rFonts w:hint="eastAsia" w:ascii="微软雅黑" w:hAnsi="微软雅黑" w:eastAsia="微软雅黑" w:cs="微软雅黑"/>
                <w:i/>
                <w:iCs/>
                <w:color w:val="000000"/>
                <w:sz w:val="16"/>
                <w:szCs w:val="16"/>
                <w:u w:val="none"/>
              </w:rPr>
            </w:pPr>
          </w:p>
        </w:tc>
      </w:tr>
      <w:tr w14:paraId="6EF2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D3EF">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B0C4">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7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E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对重大决策部署推动作用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3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A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8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4C9B">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2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4041">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B2E9">
            <w:pPr>
              <w:jc w:val="center"/>
              <w:rPr>
                <w:rFonts w:hint="eastAsia" w:ascii="微软雅黑" w:hAnsi="微软雅黑" w:eastAsia="微软雅黑" w:cs="微软雅黑"/>
                <w:i/>
                <w:iCs/>
                <w:color w:val="000000"/>
                <w:sz w:val="16"/>
                <w:szCs w:val="16"/>
                <w:u w:val="none"/>
              </w:rPr>
            </w:pPr>
          </w:p>
        </w:tc>
      </w:tr>
      <w:tr w14:paraId="39CA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4BD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5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6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8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7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5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FF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2F27">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5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36C4">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4F1A">
            <w:pPr>
              <w:jc w:val="center"/>
              <w:rPr>
                <w:rFonts w:hint="eastAsia" w:ascii="微软雅黑" w:hAnsi="微软雅黑" w:eastAsia="微软雅黑" w:cs="微软雅黑"/>
                <w:i/>
                <w:iCs/>
                <w:color w:val="000000"/>
                <w:sz w:val="16"/>
                <w:szCs w:val="16"/>
                <w:u w:val="none"/>
              </w:rPr>
            </w:pPr>
          </w:p>
        </w:tc>
      </w:tr>
      <w:tr w14:paraId="028B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AC57">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23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DD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2023年预算安排社区场镇管理经费3万元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3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5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D6AE">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1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C3F">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6BAA">
            <w:pPr>
              <w:jc w:val="center"/>
              <w:rPr>
                <w:rFonts w:hint="eastAsia" w:ascii="微软雅黑" w:hAnsi="微软雅黑" w:eastAsia="微软雅黑" w:cs="微软雅黑"/>
                <w:i/>
                <w:iCs/>
                <w:color w:val="000000"/>
                <w:sz w:val="16"/>
                <w:szCs w:val="16"/>
                <w:u w:val="none"/>
              </w:rPr>
            </w:pPr>
          </w:p>
        </w:tc>
      </w:tr>
      <w:tr w14:paraId="12CF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47A5A">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E4178">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7557E">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6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2023年预算安排3个社区场镇整治人员务工补助5.8万元，每月社区发放劳保人员工资5000元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6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5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7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7A87">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B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8804">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B563">
            <w:pPr>
              <w:jc w:val="center"/>
              <w:rPr>
                <w:rFonts w:hint="eastAsia" w:ascii="微软雅黑" w:hAnsi="微软雅黑" w:eastAsia="微软雅黑" w:cs="微软雅黑"/>
                <w:i/>
                <w:iCs/>
                <w:color w:val="000000"/>
                <w:sz w:val="16"/>
                <w:szCs w:val="16"/>
                <w:u w:val="none"/>
              </w:rPr>
            </w:pPr>
          </w:p>
        </w:tc>
      </w:tr>
      <w:tr w14:paraId="6255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175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1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FF9B">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EC17">
            <w:pPr>
              <w:rPr>
                <w:rFonts w:hint="eastAsia" w:ascii="宋体" w:hAnsi="宋体" w:eastAsia="宋体" w:cs="宋体"/>
                <w:i w:val="0"/>
                <w:iCs w:val="0"/>
                <w:color w:val="000000"/>
                <w:sz w:val="18"/>
                <w:szCs w:val="18"/>
                <w:u w:val="none"/>
              </w:rPr>
            </w:pPr>
          </w:p>
        </w:tc>
      </w:tr>
      <w:tr w14:paraId="7C93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B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537B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通过道路修缮和管网改造解决了群众出行难、排水不畅等问题，污水管网改造减少了水体污染，促进可持续发展。乡镇的公共服务设施得到了进一步完善，为居民提供了更加便捷、高效的服务，增强了居民幸福感和归属感</w:t>
            </w:r>
          </w:p>
        </w:tc>
      </w:tr>
      <w:tr w14:paraId="1371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B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F027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维护资金短缺，基础设施日常维护费用不足，部分路段出现二次破损，路灯、管网维修不及时。</w:t>
            </w:r>
          </w:p>
        </w:tc>
      </w:tr>
      <w:tr w14:paraId="7C76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E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246B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拓宽资金渠道，积极争取上级专项补贴，提升管理水平，为乡镇的可持续发展注入新的动力。</w:t>
            </w:r>
          </w:p>
        </w:tc>
      </w:tr>
      <w:tr w14:paraId="2C1E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3F5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项目负责人：袁郑福</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89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5921BF29">
      <w:pPr>
        <w:rPr>
          <w:rFonts w:hint="default"/>
          <w:lang w:val="en-US" w:eastAsia="zh-CN"/>
        </w:rPr>
      </w:pPr>
    </w:p>
    <w:p w14:paraId="24F5428B">
      <w:pPr>
        <w:pStyle w:val="14"/>
        <w:rPr>
          <w:rFonts w:hint="default"/>
          <w:lang w:val="en-US" w:eastAsia="zh-CN"/>
        </w:rPr>
      </w:pPr>
    </w:p>
    <w:p w14:paraId="45F91450">
      <w:pPr>
        <w:rPr>
          <w:rFonts w:hint="default"/>
          <w:lang w:val="en-US" w:eastAsia="zh-CN"/>
        </w:rPr>
      </w:pPr>
    </w:p>
    <w:p w14:paraId="4992C3E8">
      <w:pPr>
        <w:pStyle w:val="14"/>
        <w:rPr>
          <w:rFonts w:hint="default"/>
          <w:lang w:val="en-US" w:eastAsia="zh-CN"/>
        </w:rPr>
      </w:pPr>
    </w:p>
    <w:p w14:paraId="5DA2E335">
      <w:pPr>
        <w:rPr>
          <w:rFonts w:hint="default"/>
          <w:lang w:val="en-US" w:eastAsia="zh-CN"/>
        </w:rPr>
      </w:pPr>
    </w:p>
    <w:p w14:paraId="1D7943D3">
      <w:pPr>
        <w:pStyle w:val="14"/>
        <w:rPr>
          <w:rFonts w:hint="default"/>
          <w:lang w:val="en-US" w:eastAsia="zh-CN"/>
        </w:rPr>
      </w:pPr>
    </w:p>
    <w:tbl>
      <w:tblPr>
        <w:tblStyle w:val="16"/>
        <w:tblpPr w:leftFromText="180" w:rightFromText="180" w:vertAnchor="text" w:horzAnchor="page" w:tblpX="1859" w:tblpY="27"/>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4"/>
        <w:gridCol w:w="612"/>
        <w:gridCol w:w="659"/>
        <w:gridCol w:w="745"/>
        <w:gridCol w:w="846"/>
        <w:gridCol w:w="672"/>
        <w:gridCol w:w="553"/>
        <w:gridCol w:w="790"/>
      </w:tblGrid>
      <w:tr w14:paraId="4B81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1C788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90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7EC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252D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51090424T000011119210-乡镇监察工作经费（长期）</w:t>
            </w:r>
          </w:p>
        </w:tc>
      </w:tr>
      <w:tr w14:paraId="78E9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683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0FB7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564904E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0A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11458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680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1A4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E7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EC78A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79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9A4B8">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C541F">
            <w:pPr>
              <w:rPr>
                <w:rFonts w:hint="eastAsia" w:ascii="宋体" w:hAnsi="宋体" w:eastAsia="宋体" w:cs="宋体"/>
                <w:i w:val="0"/>
                <w:iCs w:val="0"/>
                <w:color w:val="000000"/>
                <w:sz w:val="18"/>
                <w:szCs w:val="18"/>
                <w:u w:val="none"/>
              </w:rPr>
            </w:pPr>
          </w:p>
        </w:tc>
        <w:tc>
          <w:tcPr>
            <w:tcW w:w="3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BB87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目标1：信访案件回访办结率90%；目标2：保障监察日常工作运行经费；目标3：争创区级先进集体单位；目标4：办案监察人员业务培训及廉洁教育宣传活动开展。 </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62E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r>
              <w:rPr>
                <w:rStyle w:val="37"/>
                <w:lang w:val="en-US" w:eastAsia="zh-CN" w:bidi="ar"/>
              </w:rPr>
              <w:t>22</w:t>
            </w:r>
            <w:r>
              <w:rPr>
                <w:rStyle w:val="38"/>
                <w:lang w:val="en-US" w:eastAsia="zh-CN" w:bidi="ar"/>
              </w:rPr>
              <w:t>个村</w:t>
            </w:r>
            <w:r>
              <w:rPr>
                <w:rStyle w:val="37"/>
                <w:lang w:val="en-US" w:eastAsia="zh-CN" w:bidi="ar"/>
              </w:rPr>
              <w:t>3</w:t>
            </w:r>
            <w:r>
              <w:rPr>
                <w:rStyle w:val="38"/>
                <w:lang w:val="en-US" w:eastAsia="zh-CN" w:bidi="ar"/>
              </w:rPr>
              <w:t>个社区纪检监察相关工作，制作防贪污、受贿、渎职等宣传手册。</w:t>
            </w:r>
          </w:p>
        </w:tc>
      </w:tr>
      <w:tr w14:paraId="4BAC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092A">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89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16BD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完成22个村3个社区纪检监察相关工作，制作防贪污、受贿、渎职等宣传手册。</w:t>
            </w:r>
          </w:p>
        </w:tc>
      </w:tr>
      <w:tr w14:paraId="437D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70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9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2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D4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4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3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2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D23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BF5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8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1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E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45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0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B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7386">
            <w:pPr>
              <w:jc w:val="center"/>
              <w:rPr>
                <w:rFonts w:hint="eastAsia" w:ascii="宋体" w:hAnsi="宋体" w:eastAsia="宋体" w:cs="宋体"/>
                <w:i w:val="0"/>
                <w:iCs w:val="0"/>
                <w:color w:val="000000"/>
                <w:sz w:val="18"/>
                <w:szCs w:val="18"/>
                <w:u w:val="none"/>
              </w:rPr>
            </w:pP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C6EFB">
            <w:pPr>
              <w:rPr>
                <w:rFonts w:hint="eastAsia" w:ascii="黑体" w:hAnsi="黑体" w:eastAsia="黑体" w:cs="黑体"/>
                <w:i/>
                <w:iCs/>
                <w:color w:val="000000"/>
                <w:sz w:val="18"/>
                <w:szCs w:val="18"/>
                <w:u w:val="none"/>
              </w:rPr>
            </w:pPr>
          </w:p>
        </w:tc>
      </w:tr>
      <w:tr w14:paraId="5AF2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A4A4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4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7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8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78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8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E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7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D16CC">
            <w:pPr>
              <w:rPr>
                <w:rFonts w:hint="eastAsia" w:ascii="黑体" w:hAnsi="黑体" w:eastAsia="黑体" w:cs="黑体"/>
                <w:i/>
                <w:iCs/>
                <w:color w:val="000000"/>
                <w:sz w:val="18"/>
                <w:szCs w:val="18"/>
                <w:u w:val="none"/>
              </w:rPr>
            </w:pPr>
          </w:p>
        </w:tc>
      </w:tr>
      <w:tr w14:paraId="26AF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AFE35">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E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D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B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B5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3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8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B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0BDB8">
            <w:pPr>
              <w:rPr>
                <w:rFonts w:hint="eastAsia" w:ascii="黑体" w:hAnsi="黑体" w:eastAsia="黑体" w:cs="黑体"/>
                <w:i/>
                <w:iCs/>
                <w:color w:val="000000"/>
                <w:sz w:val="18"/>
                <w:szCs w:val="18"/>
                <w:u w:val="none"/>
              </w:rPr>
            </w:pPr>
          </w:p>
        </w:tc>
      </w:tr>
      <w:tr w14:paraId="738E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018B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1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3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F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C9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B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9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65F45">
            <w:pPr>
              <w:rPr>
                <w:rFonts w:hint="eastAsia" w:ascii="黑体" w:hAnsi="黑体" w:eastAsia="黑体" w:cs="黑体"/>
                <w:i/>
                <w:iCs/>
                <w:color w:val="000000"/>
                <w:sz w:val="18"/>
                <w:szCs w:val="18"/>
                <w:u w:val="none"/>
              </w:rPr>
            </w:pPr>
          </w:p>
        </w:tc>
      </w:tr>
      <w:tr w14:paraId="2D0F1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41298">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9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01E6">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B475">
            <w:pPr>
              <w:jc w:val="center"/>
              <w:rPr>
                <w:rFonts w:hint="eastAsia" w:ascii="微软雅黑" w:hAnsi="微软雅黑" w:eastAsia="微软雅黑" w:cs="微软雅黑"/>
                <w:i/>
                <w:iCs/>
                <w:color w:val="000000"/>
                <w:sz w:val="16"/>
                <w:szCs w:val="16"/>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023B1">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CB88">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8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5053">
            <w:pPr>
              <w:rPr>
                <w:rFonts w:hint="eastAsia" w:ascii="黑体" w:hAnsi="黑体" w:eastAsia="黑体" w:cs="黑体"/>
                <w:i/>
                <w:iCs/>
                <w:color w:val="000000"/>
                <w:sz w:val="18"/>
                <w:szCs w:val="18"/>
                <w:u w:val="none"/>
              </w:rPr>
            </w:pPr>
          </w:p>
        </w:tc>
      </w:tr>
      <w:tr w14:paraId="639C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F7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6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6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4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5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2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4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9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6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A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5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26F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38F6">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B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C1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7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移送案件线索和事项数量</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8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D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0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0A31">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8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0E83">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443B">
            <w:pPr>
              <w:jc w:val="center"/>
              <w:rPr>
                <w:rFonts w:hint="eastAsia" w:ascii="微软雅黑" w:hAnsi="微软雅黑" w:eastAsia="微软雅黑" w:cs="微软雅黑"/>
                <w:i/>
                <w:iCs/>
                <w:color w:val="000000"/>
                <w:sz w:val="16"/>
                <w:szCs w:val="16"/>
                <w:u w:val="none"/>
              </w:rPr>
            </w:pPr>
          </w:p>
        </w:tc>
      </w:tr>
      <w:tr w14:paraId="729F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BB0D">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745D">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00710">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B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完成集中受理数量</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0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D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A939">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5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D790">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FEDD">
            <w:pPr>
              <w:jc w:val="center"/>
              <w:rPr>
                <w:rFonts w:hint="eastAsia" w:ascii="微软雅黑" w:hAnsi="微软雅黑" w:eastAsia="微软雅黑" w:cs="微软雅黑"/>
                <w:i/>
                <w:iCs/>
                <w:color w:val="000000"/>
                <w:sz w:val="16"/>
                <w:szCs w:val="16"/>
                <w:u w:val="none"/>
              </w:rPr>
            </w:pPr>
          </w:p>
        </w:tc>
      </w:tr>
      <w:tr w14:paraId="3C7FE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AD78">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035F">
            <w:pPr>
              <w:jc w:val="center"/>
              <w:rPr>
                <w:rFonts w:hint="eastAsia" w:ascii="宋体" w:hAnsi="宋体" w:eastAsia="宋体" w:cs="宋体"/>
                <w:i w:val="0"/>
                <w:iCs w:val="0"/>
                <w:color w:val="000000"/>
                <w:sz w:val="18"/>
                <w:szCs w:val="18"/>
                <w:u w:val="none"/>
              </w:rPr>
            </w:pP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B6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7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领导对审理工作的满意率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E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7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7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02E5">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2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BD43">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ABC">
            <w:pPr>
              <w:jc w:val="center"/>
              <w:rPr>
                <w:rFonts w:hint="eastAsia" w:ascii="微软雅黑" w:hAnsi="微软雅黑" w:eastAsia="微软雅黑" w:cs="微软雅黑"/>
                <w:i/>
                <w:iCs/>
                <w:color w:val="000000"/>
                <w:sz w:val="16"/>
                <w:szCs w:val="16"/>
                <w:u w:val="none"/>
              </w:rPr>
            </w:pPr>
          </w:p>
        </w:tc>
      </w:tr>
      <w:tr w14:paraId="7FD2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3780">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1E1F0">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7EF8C">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2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12345回访办结率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D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6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0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9AF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0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59EF">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2C87">
            <w:pPr>
              <w:jc w:val="center"/>
              <w:rPr>
                <w:rFonts w:hint="eastAsia" w:ascii="微软雅黑" w:hAnsi="微软雅黑" w:eastAsia="微软雅黑" w:cs="微软雅黑"/>
                <w:i/>
                <w:iCs/>
                <w:color w:val="000000"/>
                <w:sz w:val="16"/>
                <w:szCs w:val="16"/>
                <w:u w:val="none"/>
              </w:rPr>
            </w:pPr>
          </w:p>
        </w:tc>
      </w:tr>
      <w:tr w14:paraId="1A8A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3C6B6">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755B0">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2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2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工作完成时间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5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3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1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781F">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0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9064">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38FE">
            <w:pPr>
              <w:jc w:val="center"/>
              <w:rPr>
                <w:rFonts w:hint="eastAsia" w:ascii="微软雅黑" w:hAnsi="微软雅黑" w:eastAsia="微软雅黑" w:cs="微软雅黑"/>
                <w:i/>
                <w:iCs/>
                <w:color w:val="000000"/>
                <w:sz w:val="16"/>
                <w:szCs w:val="16"/>
                <w:u w:val="none"/>
              </w:rPr>
            </w:pPr>
          </w:p>
        </w:tc>
      </w:tr>
      <w:tr w14:paraId="4E6C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FBCB">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A7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0F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A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对全镇工作促进作用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0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D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0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2D7A">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384C">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1CBC">
            <w:pPr>
              <w:jc w:val="center"/>
              <w:rPr>
                <w:rFonts w:hint="eastAsia" w:ascii="微软雅黑" w:hAnsi="微软雅黑" w:eastAsia="微软雅黑" w:cs="微软雅黑"/>
                <w:i/>
                <w:iCs/>
                <w:color w:val="000000"/>
                <w:sz w:val="16"/>
                <w:szCs w:val="16"/>
                <w:u w:val="none"/>
              </w:rPr>
            </w:pPr>
          </w:p>
        </w:tc>
      </w:tr>
      <w:tr w14:paraId="20CA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18D3">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BAB46">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C7491">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8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对重大决策部署推动作用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1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E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632B">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E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5BC3">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2B46">
            <w:pPr>
              <w:jc w:val="center"/>
              <w:rPr>
                <w:rFonts w:hint="eastAsia" w:ascii="微软雅黑" w:hAnsi="微软雅黑" w:eastAsia="微软雅黑" w:cs="微软雅黑"/>
                <w:i/>
                <w:iCs/>
                <w:color w:val="000000"/>
                <w:sz w:val="16"/>
                <w:szCs w:val="16"/>
                <w:u w:val="none"/>
              </w:rPr>
            </w:pPr>
          </w:p>
        </w:tc>
      </w:tr>
      <w:tr w14:paraId="36F9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F09A">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D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3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F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F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4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BA9D">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B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2D9A">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6F00">
            <w:pPr>
              <w:jc w:val="center"/>
              <w:rPr>
                <w:rFonts w:hint="eastAsia" w:ascii="微软雅黑" w:hAnsi="微软雅黑" w:eastAsia="微软雅黑" w:cs="微软雅黑"/>
                <w:i/>
                <w:iCs/>
                <w:color w:val="000000"/>
                <w:sz w:val="16"/>
                <w:szCs w:val="16"/>
                <w:u w:val="none"/>
              </w:rPr>
            </w:pPr>
          </w:p>
        </w:tc>
      </w:tr>
      <w:tr w14:paraId="4865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BA9B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9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3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B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全年预算安排办办案人员差旅费1万元、办公经费2万元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7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3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1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488E">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4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37F8">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8F37">
            <w:pPr>
              <w:jc w:val="center"/>
              <w:rPr>
                <w:rFonts w:hint="eastAsia" w:ascii="微软雅黑" w:hAnsi="微软雅黑" w:eastAsia="微软雅黑" w:cs="微软雅黑"/>
                <w:i/>
                <w:iCs/>
                <w:color w:val="000000"/>
                <w:sz w:val="16"/>
                <w:szCs w:val="16"/>
                <w:u w:val="none"/>
              </w:rPr>
            </w:pPr>
          </w:p>
        </w:tc>
      </w:tr>
      <w:tr w14:paraId="422E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30F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7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E817">
            <w:pP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4EF7">
            <w:pPr>
              <w:rPr>
                <w:rFonts w:hint="eastAsia" w:ascii="宋体" w:hAnsi="宋体" w:eastAsia="宋体" w:cs="宋体"/>
                <w:i w:val="0"/>
                <w:iCs w:val="0"/>
                <w:color w:val="000000"/>
                <w:sz w:val="18"/>
                <w:szCs w:val="18"/>
                <w:u w:val="none"/>
              </w:rPr>
            </w:pPr>
          </w:p>
        </w:tc>
      </w:tr>
      <w:tr w14:paraId="7DC6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C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9B3D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乡镇监察工作经费为日常监督检查、专项巡察提供了有力支撑。资金用于开展村级财务审计、惠民政策落实情况核查等工作，及时发现并纠正基层干部在资金使用、项目审批等环节的违规行为。通过经费支持组建专项督查组，对乡村振兴项目、扶贫资金发放等重点领域进行全程监督，确保政策落实到位，维护群众切身利益。经费投入用于组织乡镇监察干部参加业务培训、廉政教育、法律知识讲座等活动，提升其政治素养和专业水平。</w:t>
            </w:r>
          </w:p>
        </w:tc>
      </w:tr>
      <w:tr w14:paraId="5E1F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8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583C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随着基层监察工作范围不断扩大，对资金的需求日益增加，但财政对乡镇监察工作经费投入有限。在面对复杂的案件调查、专业的审计鉴定时，因资金短缺导致无法聘请专业人员或购买技术支持，影响案件查办效率和质量，制约监察工作深入开展。经费在使用过程中存在分配不均衡的问题，乡镇将大量资金用于日常办公开支，而在廉政教育创新、信息化监察平台建设等重点工作上投入较少。</w:t>
            </w:r>
          </w:p>
        </w:tc>
      </w:tr>
      <w:tr w14:paraId="1857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9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8830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应提高对乡镇监察工作的重视程度，加大财政资金投入力度，建立稳定的经费增长机制。同时，探索多元化资金来源，鼓励社会力量通过合法合规方式支持廉政文化建设项目，如企业赞助廉政宣传活动、社会组织捐赠监察设备等，充实监察工作经费。结合乡镇监察工作实际需求，科学制定经费分配方案。优先保障案件查办、信息化平台建设、专业人才培养等重点领域资金需求。</w:t>
            </w:r>
          </w:p>
        </w:tc>
      </w:tr>
      <w:tr w14:paraId="6EEB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9E9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项目负责人：王茂臣</w:t>
            </w:r>
          </w:p>
        </w:tc>
        <w:tc>
          <w:tcPr>
            <w:tcW w:w="4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FEA4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3B020087">
      <w:pPr>
        <w:rPr>
          <w:rFonts w:hint="default"/>
          <w:lang w:val="en-US" w:eastAsia="zh-CN"/>
        </w:rPr>
      </w:pPr>
    </w:p>
    <w:p w14:paraId="00CD7A89">
      <w:pPr>
        <w:pStyle w:val="14"/>
        <w:rPr>
          <w:rFonts w:hint="default"/>
          <w:lang w:val="en-US" w:eastAsia="zh-CN"/>
        </w:rPr>
      </w:pPr>
    </w:p>
    <w:p w14:paraId="27E87A55">
      <w:pPr>
        <w:rPr>
          <w:rFonts w:hint="default"/>
          <w:lang w:val="en-US" w:eastAsia="zh-CN"/>
        </w:rPr>
      </w:pPr>
    </w:p>
    <w:p w14:paraId="2627C4BB">
      <w:pPr>
        <w:pStyle w:val="14"/>
        <w:rPr>
          <w:rFonts w:hint="default"/>
          <w:lang w:val="en-US" w:eastAsia="zh-CN"/>
        </w:rPr>
      </w:pPr>
    </w:p>
    <w:p w14:paraId="572E8CFE">
      <w:pPr>
        <w:rPr>
          <w:rFonts w:hint="default"/>
          <w:lang w:val="en-US" w:eastAsia="zh-CN"/>
        </w:rPr>
      </w:pPr>
    </w:p>
    <w:p w14:paraId="2B0F2CF9">
      <w:pPr>
        <w:pStyle w:val="14"/>
        <w:rPr>
          <w:rFonts w:hint="default"/>
          <w:lang w:val="en-US" w:eastAsia="zh-CN"/>
        </w:rPr>
      </w:pPr>
    </w:p>
    <w:p w14:paraId="4907D05A">
      <w:pPr>
        <w:rPr>
          <w:rFonts w:hint="default"/>
          <w:lang w:val="en-US" w:eastAsia="zh-CN"/>
        </w:rPr>
      </w:pPr>
    </w:p>
    <w:p w14:paraId="335DEE59">
      <w:pPr>
        <w:pStyle w:val="14"/>
        <w:rPr>
          <w:rFonts w:hint="default"/>
          <w:lang w:val="en-US" w:eastAsia="zh-CN"/>
        </w:rPr>
      </w:pPr>
    </w:p>
    <w:p w14:paraId="7AAE5655">
      <w:pPr>
        <w:rPr>
          <w:rFonts w:hint="default"/>
          <w:lang w:val="en-US" w:eastAsia="zh-CN"/>
        </w:rPr>
      </w:pPr>
    </w:p>
    <w:p w14:paraId="56E27C8C">
      <w:pPr>
        <w:pStyle w:val="14"/>
        <w:rPr>
          <w:rFonts w:hint="default"/>
          <w:lang w:val="en-US" w:eastAsia="zh-CN"/>
        </w:rPr>
      </w:pPr>
    </w:p>
    <w:p w14:paraId="7B5BA83D">
      <w:pPr>
        <w:rPr>
          <w:rFonts w:hint="default"/>
          <w:lang w:val="en-US" w:eastAsia="zh-CN"/>
        </w:rPr>
      </w:pPr>
    </w:p>
    <w:p w14:paraId="62601D10">
      <w:pPr>
        <w:pStyle w:val="14"/>
        <w:rPr>
          <w:rFonts w:hint="default"/>
          <w:lang w:val="en-US" w:eastAsia="zh-CN"/>
        </w:rPr>
      </w:pPr>
    </w:p>
    <w:p w14:paraId="18679F6D">
      <w:pPr>
        <w:rPr>
          <w:rFonts w:hint="default"/>
          <w:lang w:val="en-US" w:eastAsia="zh-CN"/>
        </w:rPr>
      </w:pPr>
    </w:p>
    <w:p w14:paraId="2E8C0AD6">
      <w:pPr>
        <w:pStyle w:val="14"/>
        <w:rPr>
          <w:rFonts w:hint="default"/>
          <w:lang w:val="en-US" w:eastAsia="zh-CN"/>
        </w:rPr>
      </w:pPr>
    </w:p>
    <w:p w14:paraId="4AD513B6">
      <w:pPr>
        <w:rPr>
          <w:rFonts w:hint="default"/>
          <w:lang w:val="en-US" w:eastAsia="zh-CN"/>
        </w:rPr>
      </w:pPr>
    </w:p>
    <w:tbl>
      <w:tblPr>
        <w:tblStyle w:val="16"/>
        <w:tblpPr w:leftFromText="180" w:rightFromText="180" w:vertAnchor="text" w:horzAnchor="page" w:tblpX="1897" w:tblpY="226"/>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8"/>
        <w:gridCol w:w="745"/>
        <w:gridCol w:w="846"/>
        <w:gridCol w:w="673"/>
        <w:gridCol w:w="553"/>
        <w:gridCol w:w="791"/>
      </w:tblGrid>
      <w:tr w14:paraId="6080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C2CF9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9C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AF1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1407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51090424T000011119221-乡镇人大代表监督、视察等经费（长期）</w:t>
            </w:r>
          </w:p>
        </w:tc>
      </w:tr>
      <w:tr w14:paraId="1733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10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778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622C742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BE5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5BDE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AC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354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9F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EE6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4A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DFCD">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5DDE">
            <w:pPr>
              <w:rPr>
                <w:rFonts w:hint="eastAsia" w:ascii="宋体" w:hAnsi="宋体" w:eastAsia="宋体" w:cs="宋体"/>
                <w:i w:val="0"/>
                <w:iCs w:val="0"/>
                <w:color w:val="000000"/>
                <w:sz w:val="18"/>
                <w:szCs w:val="18"/>
                <w:u w:val="none"/>
              </w:rPr>
            </w:pP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E44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主动对政府决策、政务服务、政策落实、民生保障、社会发展等工作开展形式多样、内容丰富、特色鲜明的视察监督活动，充分发挥了乡镇人大的监督职能，有力地支持和促进了政府工作的决策科学化、服务优质化、政策透明化、保障法制化和发展均衡化；目标2：保障人大代表日常经费。</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269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单位于2024年</w:t>
            </w:r>
            <w:r>
              <w:rPr>
                <w:rFonts w:hint="eastAsia" w:ascii="黑体" w:hAnsi="黑体" w:eastAsia="黑体" w:cs="黑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、11月完成资金支付</w:t>
            </w:r>
          </w:p>
        </w:tc>
      </w:tr>
      <w:tr w14:paraId="3030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7503">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46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93E2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人大代表监督、视察等经费主要用于代表培训、视察调研、执法检查、专题询问、联系群众等工作。在 2024年我单位，组织人大代视察2 次，培训代表 65人次，内容涵盖法律法规、监督业务等；开展视察调研活动3次，涉及乡村振兴、民生工程、生态环境等 ；本项目预算资金为 2 万元，实际到位资金2 万元，资金到位率 100%。截至2024年，已使用资金 2万元，资金使用率 100%。其中，代表培训、视察经费使用 1 万元其他商品及服务支付1 万元。</w:t>
            </w:r>
          </w:p>
        </w:tc>
      </w:tr>
      <w:tr w14:paraId="2273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CC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C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D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9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95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6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5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0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E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06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FBB29">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1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E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B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4C9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8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001F">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5284E">
            <w:pPr>
              <w:rPr>
                <w:rFonts w:hint="eastAsia" w:ascii="黑体" w:hAnsi="黑体" w:eastAsia="黑体" w:cs="黑体"/>
                <w:i/>
                <w:iCs/>
                <w:color w:val="000000"/>
                <w:sz w:val="18"/>
                <w:szCs w:val="18"/>
                <w:u w:val="none"/>
              </w:rPr>
            </w:pPr>
          </w:p>
        </w:tc>
      </w:tr>
      <w:tr w14:paraId="507A7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C88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2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1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6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7C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4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B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6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7226C">
            <w:pPr>
              <w:rPr>
                <w:rFonts w:hint="eastAsia" w:ascii="黑体" w:hAnsi="黑体" w:eastAsia="黑体" w:cs="黑体"/>
                <w:i/>
                <w:iCs/>
                <w:color w:val="000000"/>
                <w:sz w:val="18"/>
                <w:szCs w:val="18"/>
                <w:u w:val="none"/>
              </w:rPr>
            </w:pPr>
          </w:p>
        </w:tc>
      </w:tr>
      <w:tr w14:paraId="7940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031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B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F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E9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5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C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8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23FA5">
            <w:pPr>
              <w:rPr>
                <w:rFonts w:hint="eastAsia" w:ascii="黑体" w:hAnsi="黑体" w:eastAsia="黑体" w:cs="黑体"/>
                <w:i/>
                <w:iCs/>
                <w:color w:val="000000"/>
                <w:sz w:val="18"/>
                <w:szCs w:val="18"/>
                <w:u w:val="none"/>
              </w:rPr>
            </w:pPr>
          </w:p>
        </w:tc>
      </w:tr>
      <w:tr w14:paraId="5DAC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6EC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3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C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A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FC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B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E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1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1C3B">
            <w:pPr>
              <w:rPr>
                <w:rFonts w:hint="eastAsia" w:ascii="黑体" w:hAnsi="黑体" w:eastAsia="黑体" w:cs="黑体"/>
                <w:i/>
                <w:iCs/>
                <w:color w:val="000000"/>
                <w:sz w:val="18"/>
                <w:szCs w:val="18"/>
                <w:u w:val="none"/>
              </w:rPr>
            </w:pPr>
          </w:p>
        </w:tc>
      </w:tr>
      <w:tr w14:paraId="02493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E6C1">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6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932">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B7DE">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0DB6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3DB2">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8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5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D3F2">
            <w:pPr>
              <w:rPr>
                <w:rFonts w:hint="eastAsia" w:ascii="黑体" w:hAnsi="黑体" w:eastAsia="黑体" w:cs="黑体"/>
                <w:i/>
                <w:iCs/>
                <w:color w:val="000000"/>
                <w:sz w:val="18"/>
                <w:szCs w:val="18"/>
                <w:u w:val="none"/>
              </w:rPr>
            </w:pPr>
          </w:p>
        </w:tc>
      </w:tr>
      <w:tr w14:paraId="2713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AC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2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0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4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1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C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E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6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B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D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ED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E74A">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8B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8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4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全镇人大代表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A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8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00CF">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1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4999">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5675">
            <w:pPr>
              <w:jc w:val="center"/>
              <w:rPr>
                <w:rFonts w:hint="eastAsia" w:ascii="微软雅黑" w:hAnsi="微软雅黑" w:eastAsia="微软雅黑" w:cs="微软雅黑"/>
                <w:i/>
                <w:iCs/>
                <w:color w:val="000000"/>
                <w:sz w:val="16"/>
                <w:szCs w:val="16"/>
                <w:u w:val="none"/>
              </w:rPr>
            </w:pPr>
          </w:p>
        </w:tc>
      </w:tr>
      <w:tr w14:paraId="67DA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C5E4">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9CE0">
            <w:pPr>
              <w:jc w:val="center"/>
              <w:rPr>
                <w:rFonts w:hint="eastAsia" w:ascii="宋体" w:hAnsi="宋体" w:eastAsia="宋体" w:cs="宋体"/>
                <w:i w:val="0"/>
                <w:iCs w:val="0"/>
                <w:color w:val="000000"/>
                <w:sz w:val="18"/>
                <w:szCs w:val="18"/>
                <w:u w:val="none"/>
              </w:rPr>
            </w:pP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8D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5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参与政治、经济、文化等多领域的参政议政献计献策</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4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2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4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D448">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4E36">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E7E3">
            <w:pPr>
              <w:jc w:val="center"/>
              <w:rPr>
                <w:rFonts w:hint="eastAsia" w:ascii="微软雅黑" w:hAnsi="微软雅黑" w:eastAsia="微软雅黑" w:cs="微软雅黑"/>
                <w:i/>
                <w:iCs/>
                <w:color w:val="000000"/>
                <w:sz w:val="16"/>
                <w:szCs w:val="16"/>
                <w:u w:val="none"/>
              </w:rPr>
            </w:pPr>
          </w:p>
        </w:tc>
      </w:tr>
      <w:tr w14:paraId="0BAA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7098">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E0A2">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3C7E">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促进了政府工作的决策科学化、服务优质化、政策透明化、保障法制化和发展均衡化。</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B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F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CC8F">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1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58D2">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399A">
            <w:pPr>
              <w:jc w:val="center"/>
              <w:rPr>
                <w:rFonts w:hint="eastAsia" w:ascii="微软雅黑" w:hAnsi="微软雅黑" w:eastAsia="微软雅黑" w:cs="微软雅黑"/>
                <w:i/>
                <w:iCs/>
                <w:color w:val="000000"/>
                <w:sz w:val="16"/>
                <w:szCs w:val="16"/>
                <w:u w:val="none"/>
              </w:rPr>
            </w:pPr>
          </w:p>
        </w:tc>
      </w:tr>
      <w:tr w14:paraId="444A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92178">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F071">
            <w:pPr>
              <w:jc w:val="center"/>
              <w:rPr>
                <w:rFonts w:hint="eastAsia" w:ascii="宋体" w:hAnsi="宋体" w:eastAsia="宋体" w:cs="宋体"/>
                <w:i w:val="0"/>
                <w:iCs w:val="0"/>
                <w:color w:val="000000"/>
                <w:sz w:val="18"/>
                <w:szCs w:val="18"/>
                <w:u w:val="none"/>
              </w:rPr>
            </w:pP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E8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E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2024年3月、10月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A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2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0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8EA4">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F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829E">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67AD">
            <w:pPr>
              <w:jc w:val="center"/>
              <w:rPr>
                <w:rFonts w:hint="eastAsia" w:ascii="微软雅黑" w:hAnsi="微软雅黑" w:eastAsia="微软雅黑" w:cs="微软雅黑"/>
                <w:i/>
                <w:iCs/>
                <w:color w:val="000000"/>
                <w:sz w:val="16"/>
                <w:szCs w:val="16"/>
                <w:u w:val="none"/>
              </w:rPr>
            </w:pPr>
          </w:p>
        </w:tc>
      </w:tr>
      <w:tr w14:paraId="0D94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1B60D">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4D5EC">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AB77">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F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2024年区人大对乡镇视察</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E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3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4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8BAF">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6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D6CF">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92A8">
            <w:pPr>
              <w:jc w:val="center"/>
              <w:rPr>
                <w:rFonts w:hint="eastAsia" w:ascii="微软雅黑" w:hAnsi="微软雅黑" w:eastAsia="微软雅黑" w:cs="微软雅黑"/>
                <w:i/>
                <w:iCs/>
                <w:color w:val="000000"/>
                <w:sz w:val="16"/>
                <w:szCs w:val="16"/>
                <w:u w:val="none"/>
              </w:rPr>
            </w:pPr>
          </w:p>
        </w:tc>
      </w:tr>
      <w:tr w14:paraId="71B1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490F3">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A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D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A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助推精致小镇建设与农村山清水秀</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1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C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1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AEC6">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D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F883">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07B9">
            <w:pPr>
              <w:jc w:val="center"/>
              <w:rPr>
                <w:rFonts w:hint="eastAsia" w:ascii="微软雅黑" w:hAnsi="微软雅黑" w:eastAsia="微软雅黑" w:cs="微软雅黑"/>
                <w:i/>
                <w:iCs/>
                <w:color w:val="000000"/>
                <w:sz w:val="16"/>
                <w:szCs w:val="16"/>
                <w:u w:val="none"/>
              </w:rPr>
            </w:pPr>
          </w:p>
        </w:tc>
      </w:tr>
      <w:tr w14:paraId="31A9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3C609">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D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D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4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F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F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1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BA9A">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4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93EE">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D875">
            <w:pPr>
              <w:jc w:val="center"/>
              <w:rPr>
                <w:rFonts w:hint="eastAsia" w:ascii="微软雅黑" w:hAnsi="微软雅黑" w:eastAsia="微软雅黑" w:cs="微软雅黑"/>
                <w:i/>
                <w:iCs/>
                <w:color w:val="000000"/>
                <w:sz w:val="16"/>
                <w:szCs w:val="16"/>
                <w:u w:val="none"/>
              </w:rPr>
            </w:pPr>
          </w:p>
        </w:tc>
      </w:tr>
      <w:tr w14:paraId="4C4C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0D39A">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71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2E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F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全年预算安排办公经费1万元用于办公用品采购及其它支出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1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4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2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57B1">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9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2F7B">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E00">
            <w:pPr>
              <w:jc w:val="center"/>
              <w:rPr>
                <w:rFonts w:hint="eastAsia" w:ascii="微软雅黑" w:hAnsi="微软雅黑" w:eastAsia="微软雅黑" w:cs="微软雅黑"/>
                <w:i/>
                <w:iCs/>
                <w:color w:val="000000"/>
                <w:sz w:val="16"/>
                <w:szCs w:val="16"/>
                <w:u w:val="none"/>
              </w:rPr>
            </w:pPr>
          </w:p>
        </w:tc>
      </w:tr>
      <w:tr w14:paraId="66C6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3B2F3">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49D1">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507F">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9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全年预算安排差旅费1万元用于人员出差用费报销</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A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A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4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2355">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B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432A">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A1D2">
            <w:pPr>
              <w:jc w:val="center"/>
              <w:rPr>
                <w:rFonts w:hint="eastAsia" w:ascii="微软雅黑" w:hAnsi="微软雅黑" w:eastAsia="微软雅黑" w:cs="微软雅黑"/>
                <w:i/>
                <w:iCs/>
                <w:color w:val="000000"/>
                <w:sz w:val="16"/>
                <w:szCs w:val="16"/>
                <w:u w:val="none"/>
              </w:rPr>
            </w:pPr>
          </w:p>
        </w:tc>
      </w:tr>
      <w:tr w14:paraId="1CFE0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BB8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B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559">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C2E1">
            <w:pPr>
              <w:rPr>
                <w:rFonts w:hint="eastAsia" w:ascii="宋体" w:hAnsi="宋体" w:eastAsia="宋体" w:cs="宋体"/>
                <w:i w:val="0"/>
                <w:iCs w:val="0"/>
                <w:color w:val="000000"/>
                <w:sz w:val="18"/>
                <w:szCs w:val="18"/>
                <w:u w:val="none"/>
              </w:rPr>
            </w:pPr>
          </w:p>
        </w:tc>
      </w:tr>
      <w:tr w14:paraId="1582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E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073FF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镇人大代表监督、视察等经费项目实施效果良好，资金使用规范，实现了预期绩效目标，对提升人大代表履职水平、推动乡镇民主法治建设发挥了重要作用。但项目实施过程中仍存在一些问题，需进一步改进和完善</w:t>
            </w:r>
          </w:p>
        </w:tc>
      </w:tr>
      <w:tr w14:paraId="19C3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4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F1F29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1、代表履职能力参差不齐：部分代表缺乏专业知识和履职经验，在监督、视察过程中发现问题、分析问题和解决问题的能力不足，影响工作质量和效果。</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2、经费使用效率有待提高：在经费使用过程中，存在部分资源浪费现象，如调研行程安排不合理、培训内容与实际需求结合不紧密等，影响经费使用效率。</w:t>
            </w:r>
            <w:r>
              <w:rPr>
                <w:rFonts w:hint="default" w:ascii="Times New Roman" w:hAnsi="Times New Roman" w:eastAsia="微软雅黑" w:cs="Times New Roman"/>
                <w:i/>
                <w:iCs/>
                <w:color w:val="000000"/>
                <w:kern w:val="0"/>
                <w:sz w:val="16"/>
                <w:szCs w:val="16"/>
                <w:u w:val="none"/>
                <w:lang w:val="en-US" w:eastAsia="zh-CN" w:bidi="ar"/>
              </w:rPr>
              <w:t>​</w:t>
            </w:r>
          </w:p>
        </w:tc>
      </w:tr>
      <w:tr w14:paraId="286A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A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98FD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（一）加强代表培训工作</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制定个性化培训方案，根据代表履职需求和专业背景，分层次、分类别开展培训；丰富培训内容，增加法律法规解读、监督实务操作、案例分析等课程；创新培训方式，采用现场教学、交流研讨等形式，提高培训的针对性和实效性。</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（二）提高经费使用效率</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科学编制预算，加强对工作需求的调研和分析，合理确定经费支出标准和范围；加强经费使用管理，优化资源配置，严格控制不必要的开支；建立经费使用绩效评价机制，对经费使用效果进行考核，提高经费使用效率。</w:t>
            </w:r>
          </w:p>
        </w:tc>
      </w:tr>
      <w:tr w14:paraId="140D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52D4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项目负责人：吴强</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F9C0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0EE37568">
      <w:pPr>
        <w:pStyle w:val="14"/>
        <w:rPr>
          <w:rFonts w:hint="default"/>
          <w:lang w:val="en-US" w:eastAsia="zh-CN"/>
        </w:rPr>
      </w:pPr>
    </w:p>
    <w:p w14:paraId="0DD2C209">
      <w:pPr>
        <w:rPr>
          <w:rFonts w:hint="default"/>
          <w:lang w:val="en-US" w:eastAsia="zh-CN"/>
        </w:rPr>
      </w:pPr>
    </w:p>
    <w:p w14:paraId="1119D265">
      <w:pPr>
        <w:pStyle w:val="14"/>
        <w:rPr>
          <w:rFonts w:hint="default"/>
          <w:lang w:val="en-US" w:eastAsia="zh-CN"/>
        </w:rPr>
      </w:pPr>
    </w:p>
    <w:p w14:paraId="4B1F9540">
      <w:pPr>
        <w:rPr>
          <w:rFonts w:hint="default"/>
          <w:lang w:val="en-US" w:eastAsia="zh-CN"/>
        </w:rPr>
      </w:pPr>
    </w:p>
    <w:p w14:paraId="135156E4">
      <w:pPr>
        <w:pStyle w:val="14"/>
        <w:rPr>
          <w:rFonts w:hint="default"/>
          <w:lang w:val="en-US" w:eastAsia="zh-CN"/>
        </w:rPr>
      </w:pPr>
    </w:p>
    <w:p w14:paraId="221F4E48">
      <w:pPr>
        <w:rPr>
          <w:rFonts w:hint="default"/>
          <w:lang w:val="en-US" w:eastAsia="zh-CN"/>
        </w:rPr>
      </w:pPr>
    </w:p>
    <w:p w14:paraId="36D7DC6F">
      <w:pPr>
        <w:pStyle w:val="14"/>
        <w:rPr>
          <w:rFonts w:hint="default"/>
          <w:lang w:val="en-US" w:eastAsia="zh-CN"/>
        </w:rPr>
      </w:pPr>
    </w:p>
    <w:p w14:paraId="373EDB32">
      <w:pPr>
        <w:rPr>
          <w:rFonts w:hint="default"/>
          <w:lang w:val="en-US" w:eastAsia="zh-CN"/>
        </w:rPr>
      </w:pPr>
    </w:p>
    <w:p w14:paraId="39D279A8">
      <w:pPr>
        <w:pStyle w:val="14"/>
        <w:rPr>
          <w:rFonts w:hint="default"/>
          <w:lang w:val="en-US" w:eastAsia="zh-CN"/>
        </w:rPr>
      </w:pPr>
    </w:p>
    <w:p w14:paraId="583F6B13">
      <w:pPr>
        <w:rPr>
          <w:rFonts w:hint="default"/>
          <w:lang w:val="en-US" w:eastAsia="zh-CN"/>
        </w:rPr>
      </w:pPr>
    </w:p>
    <w:p w14:paraId="3CCCA04C">
      <w:pPr>
        <w:pStyle w:val="14"/>
        <w:rPr>
          <w:rFonts w:hint="default"/>
          <w:lang w:val="en-US" w:eastAsia="zh-CN"/>
        </w:rPr>
      </w:pPr>
    </w:p>
    <w:p w14:paraId="4657E9BE">
      <w:pPr>
        <w:rPr>
          <w:rFonts w:hint="default"/>
          <w:lang w:val="en-US" w:eastAsia="zh-CN"/>
        </w:rPr>
      </w:pPr>
    </w:p>
    <w:p w14:paraId="31DB7C01">
      <w:pPr>
        <w:pStyle w:val="14"/>
        <w:rPr>
          <w:rFonts w:hint="default"/>
          <w:lang w:val="en-US" w:eastAsia="zh-CN"/>
        </w:rPr>
      </w:pPr>
    </w:p>
    <w:p w14:paraId="36F30E3A">
      <w:pPr>
        <w:rPr>
          <w:rFonts w:hint="default"/>
          <w:lang w:val="en-US" w:eastAsia="zh-CN"/>
        </w:rPr>
      </w:pPr>
    </w:p>
    <w:p w14:paraId="552F4B31">
      <w:pPr>
        <w:pStyle w:val="14"/>
        <w:rPr>
          <w:rFonts w:hint="default"/>
          <w:lang w:val="en-US" w:eastAsia="zh-CN"/>
        </w:rPr>
      </w:pPr>
    </w:p>
    <w:p w14:paraId="64B3C333">
      <w:pPr>
        <w:rPr>
          <w:rFonts w:hint="default"/>
          <w:lang w:val="en-US" w:eastAsia="zh-CN"/>
        </w:rPr>
      </w:pPr>
    </w:p>
    <w:p w14:paraId="16B0679A">
      <w:pPr>
        <w:pStyle w:val="14"/>
        <w:rPr>
          <w:rFonts w:hint="default"/>
          <w:lang w:val="en-US" w:eastAsia="zh-CN"/>
        </w:rPr>
      </w:pPr>
    </w:p>
    <w:p w14:paraId="0126FF43">
      <w:pPr>
        <w:rPr>
          <w:rFonts w:hint="default"/>
          <w:lang w:val="en-US" w:eastAsia="zh-CN"/>
        </w:rPr>
      </w:pPr>
    </w:p>
    <w:p w14:paraId="2774073E">
      <w:pPr>
        <w:pStyle w:val="14"/>
        <w:rPr>
          <w:rFonts w:hint="default"/>
          <w:lang w:val="en-US" w:eastAsia="zh-CN"/>
        </w:rPr>
      </w:pPr>
    </w:p>
    <w:p w14:paraId="38009AB9">
      <w:pPr>
        <w:rPr>
          <w:rFonts w:hint="default"/>
          <w:lang w:val="en-US" w:eastAsia="zh-CN"/>
        </w:rPr>
      </w:pPr>
    </w:p>
    <w:p w14:paraId="256B6FEC">
      <w:pPr>
        <w:pStyle w:val="14"/>
        <w:rPr>
          <w:rFonts w:hint="default"/>
          <w:lang w:val="en-US" w:eastAsia="zh-CN"/>
        </w:rPr>
      </w:pPr>
    </w:p>
    <w:p w14:paraId="491AAC60">
      <w:pPr>
        <w:rPr>
          <w:rFonts w:hint="default"/>
          <w:lang w:val="en-US" w:eastAsia="zh-CN"/>
        </w:rPr>
      </w:pPr>
    </w:p>
    <w:p w14:paraId="02ED9DAE">
      <w:pPr>
        <w:pStyle w:val="14"/>
        <w:rPr>
          <w:rFonts w:hint="default"/>
          <w:lang w:val="en-US" w:eastAsia="zh-CN"/>
        </w:rPr>
      </w:pPr>
    </w:p>
    <w:p w14:paraId="43755B9F">
      <w:pPr>
        <w:rPr>
          <w:rFonts w:hint="default"/>
          <w:lang w:val="en-US" w:eastAsia="zh-CN"/>
        </w:rPr>
      </w:pPr>
    </w:p>
    <w:p w14:paraId="09C14B87">
      <w:pPr>
        <w:pStyle w:val="14"/>
        <w:rPr>
          <w:rFonts w:hint="default"/>
          <w:lang w:val="en-US" w:eastAsia="zh-CN"/>
        </w:rPr>
      </w:pPr>
    </w:p>
    <w:p w14:paraId="1A8A4D52">
      <w:pPr>
        <w:rPr>
          <w:rFonts w:hint="default"/>
          <w:lang w:val="en-US" w:eastAsia="zh-CN"/>
        </w:rPr>
      </w:pPr>
    </w:p>
    <w:p w14:paraId="08620199">
      <w:pPr>
        <w:pStyle w:val="14"/>
        <w:rPr>
          <w:rFonts w:hint="default"/>
          <w:lang w:val="en-US" w:eastAsia="zh-CN"/>
        </w:rPr>
      </w:pPr>
    </w:p>
    <w:p w14:paraId="7B58E317">
      <w:pPr>
        <w:rPr>
          <w:rFonts w:hint="default"/>
          <w:lang w:val="en-US" w:eastAsia="zh-CN"/>
        </w:rPr>
      </w:pPr>
    </w:p>
    <w:p w14:paraId="7C82F05C">
      <w:pPr>
        <w:pStyle w:val="14"/>
        <w:rPr>
          <w:rFonts w:hint="default"/>
          <w:lang w:val="en-US" w:eastAsia="zh-CN"/>
        </w:rPr>
      </w:pPr>
    </w:p>
    <w:p w14:paraId="618D5609">
      <w:pPr>
        <w:rPr>
          <w:rFonts w:hint="default"/>
          <w:lang w:val="en-US" w:eastAsia="zh-CN"/>
        </w:rPr>
      </w:pPr>
    </w:p>
    <w:p w14:paraId="6F074538">
      <w:pPr>
        <w:pStyle w:val="14"/>
        <w:rPr>
          <w:rFonts w:hint="default"/>
          <w:lang w:val="en-US" w:eastAsia="zh-CN"/>
        </w:rPr>
      </w:pPr>
    </w:p>
    <w:p w14:paraId="63E95B27">
      <w:pPr>
        <w:rPr>
          <w:rFonts w:hint="default"/>
          <w:lang w:val="en-US" w:eastAsia="zh-CN"/>
        </w:rPr>
      </w:pPr>
    </w:p>
    <w:p w14:paraId="4116C425">
      <w:pPr>
        <w:pStyle w:val="14"/>
        <w:rPr>
          <w:rFonts w:hint="default"/>
          <w:lang w:val="en-US" w:eastAsia="zh-CN"/>
        </w:rPr>
      </w:pPr>
    </w:p>
    <w:p w14:paraId="5A10D465">
      <w:pPr>
        <w:rPr>
          <w:rFonts w:hint="default"/>
          <w:lang w:val="en-US" w:eastAsia="zh-CN"/>
        </w:rPr>
      </w:pPr>
    </w:p>
    <w:p w14:paraId="0E783434">
      <w:pPr>
        <w:pStyle w:val="14"/>
        <w:rPr>
          <w:rFonts w:hint="default"/>
          <w:lang w:val="en-US" w:eastAsia="zh-CN"/>
        </w:rPr>
      </w:pPr>
    </w:p>
    <w:tbl>
      <w:tblPr>
        <w:tblStyle w:val="16"/>
        <w:tblpPr w:leftFromText="180" w:rightFromText="180" w:vertAnchor="text" w:horzAnchor="page" w:tblpX="1915" w:tblpY="173"/>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8"/>
        <w:gridCol w:w="745"/>
        <w:gridCol w:w="846"/>
        <w:gridCol w:w="673"/>
        <w:gridCol w:w="553"/>
        <w:gridCol w:w="791"/>
      </w:tblGrid>
      <w:tr w14:paraId="1980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BD8CF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532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13B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B05B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51090424T000011119232-乡镇人大代表经费（长期）</w:t>
            </w:r>
          </w:p>
        </w:tc>
      </w:tr>
      <w:tr w14:paraId="24F3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5DA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9E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7B1C6F6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98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17B4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DBC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9C3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8D1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9E9B8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7A4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A3873">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26EB">
            <w:pPr>
              <w:rPr>
                <w:rFonts w:hint="eastAsia" w:ascii="宋体" w:hAnsi="宋体" w:eastAsia="宋体" w:cs="宋体"/>
                <w:i w:val="0"/>
                <w:iCs w:val="0"/>
                <w:color w:val="000000"/>
                <w:sz w:val="18"/>
                <w:szCs w:val="18"/>
                <w:u w:val="none"/>
              </w:rPr>
            </w:pP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8F6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目标1：依法履行代表职责，积极履行代表义务，充分发挥代表作用；目标2：促进基层民主政治建设的规范化、制度化、法制化，加强乡镇党委、政府和广大民众的沟通与交流；目标3：保障人大代表经费运行</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0C0C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2024年度我镇人大代表认真履行职责，及时反应了群众意见和诉求。</w:t>
            </w:r>
          </w:p>
        </w:tc>
      </w:tr>
      <w:tr w14:paraId="6854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3B945">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B2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A9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在年初或项目开始前，根据人大代表履职活动的实际需要和财政部门的预算安排，编制详细的经费预算。预算需明确经费的使用方向、金额和具体用途，并经过人大机构和相关部门的审批后生效。</w:t>
            </w:r>
          </w:p>
        </w:tc>
      </w:tr>
      <w:tr w14:paraId="4261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4E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B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3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E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23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C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1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6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0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23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08915">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3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3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A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58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4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0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5C83">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F5DF2">
            <w:pPr>
              <w:rPr>
                <w:rFonts w:hint="eastAsia" w:ascii="黑体" w:hAnsi="黑体" w:eastAsia="黑体" w:cs="黑体"/>
                <w:i/>
                <w:iCs/>
                <w:color w:val="000000"/>
                <w:sz w:val="18"/>
                <w:szCs w:val="18"/>
                <w:u w:val="none"/>
              </w:rPr>
            </w:pPr>
          </w:p>
        </w:tc>
      </w:tr>
      <w:tr w14:paraId="6BAF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E1E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F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C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7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7F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1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8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C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6956">
            <w:pPr>
              <w:rPr>
                <w:rFonts w:hint="eastAsia" w:ascii="黑体" w:hAnsi="黑体" w:eastAsia="黑体" w:cs="黑体"/>
                <w:i/>
                <w:iCs/>
                <w:color w:val="000000"/>
                <w:sz w:val="18"/>
                <w:szCs w:val="18"/>
                <w:u w:val="none"/>
              </w:rPr>
            </w:pPr>
          </w:p>
        </w:tc>
      </w:tr>
      <w:tr w14:paraId="12D1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66B2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F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0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A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F7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6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D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A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C4FA">
            <w:pPr>
              <w:rPr>
                <w:rFonts w:hint="eastAsia" w:ascii="黑体" w:hAnsi="黑体" w:eastAsia="黑体" w:cs="黑体"/>
                <w:i/>
                <w:iCs/>
                <w:color w:val="000000"/>
                <w:sz w:val="18"/>
                <w:szCs w:val="18"/>
                <w:u w:val="none"/>
              </w:rPr>
            </w:pPr>
          </w:p>
        </w:tc>
      </w:tr>
      <w:tr w14:paraId="4567F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5B8A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9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A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0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3D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3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A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0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48F24">
            <w:pPr>
              <w:rPr>
                <w:rFonts w:hint="eastAsia" w:ascii="黑体" w:hAnsi="黑体" w:eastAsia="黑体" w:cs="黑体"/>
                <w:i/>
                <w:iCs/>
                <w:color w:val="000000"/>
                <w:sz w:val="18"/>
                <w:szCs w:val="18"/>
                <w:u w:val="none"/>
              </w:rPr>
            </w:pPr>
          </w:p>
        </w:tc>
      </w:tr>
      <w:tr w14:paraId="7A69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98C5">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A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0B08">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D45">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E25B8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C4D4">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FCB3">
            <w:pPr>
              <w:rPr>
                <w:rFonts w:hint="eastAsia" w:ascii="黑体" w:hAnsi="黑体" w:eastAsia="黑体" w:cs="黑体"/>
                <w:i/>
                <w:iCs/>
                <w:color w:val="000000"/>
                <w:sz w:val="18"/>
                <w:szCs w:val="18"/>
                <w:u w:val="none"/>
              </w:rPr>
            </w:pPr>
          </w:p>
        </w:tc>
      </w:tr>
      <w:tr w14:paraId="0FC4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71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F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9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D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0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7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D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D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0E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0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A3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BC80B">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49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8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全镇人大代表共84人日常工作经费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8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A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E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62F7">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0DA3">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310D">
            <w:pPr>
              <w:jc w:val="center"/>
              <w:rPr>
                <w:rFonts w:hint="eastAsia" w:ascii="微软雅黑" w:hAnsi="微软雅黑" w:eastAsia="微软雅黑" w:cs="微软雅黑"/>
                <w:i/>
                <w:iCs/>
                <w:color w:val="000000"/>
                <w:sz w:val="16"/>
                <w:szCs w:val="16"/>
                <w:u w:val="none"/>
              </w:rPr>
            </w:pPr>
          </w:p>
        </w:tc>
      </w:tr>
      <w:tr w14:paraId="3A65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4B60">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C463">
            <w:pPr>
              <w:jc w:val="center"/>
              <w:rPr>
                <w:rFonts w:hint="eastAsia" w:ascii="宋体" w:hAnsi="宋体" w:eastAsia="宋体" w:cs="宋体"/>
                <w:i w:val="0"/>
                <w:iCs w:val="0"/>
                <w:color w:val="000000"/>
                <w:sz w:val="18"/>
                <w:szCs w:val="18"/>
                <w:u w:val="none"/>
              </w:rPr>
            </w:pP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D7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4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维护社会稳定，推动当地经济发展</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8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7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7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EF16">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F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5B3A">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A5B9">
            <w:pPr>
              <w:jc w:val="center"/>
              <w:rPr>
                <w:rFonts w:hint="eastAsia" w:ascii="微软雅黑" w:hAnsi="微软雅黑" w:eastAsia="微软雅黑" w:cs="微软雅黑"/>
                <w:i/>
                <w:iCs/>
                <w:color w:val="000000"/>
                <w:sz w:val="16"/>
                <w:szCs w:val="16"/>
                <w:u w:val="none"/>
              </w:rPr>
            </w:pPr>
          </w:p>
        </w:tc>
      </w:tr>
      <w:tr w14:paraId="6F40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53B6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562F">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2F08">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4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人大代表提案督办通过率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3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7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4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8A85">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F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A134">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A54E">
            <w:pPr>
              <w:jc w:val="center"/>
              <w:rPr>
                <w:rFonts w:hint="eastAsia" w:ascii="微软雅黑" w:hAnsi="微软雅黑" w:eastAsia="微软雅黑" w:cs="微软雅黑"/>
                <w:i/>
                <w:iCs/>
                <w:color w:val="000000"/>
                <w:sz w:val="16"/>
                <w:szCs w:val="16"/>
                <w:u w:val="none"/>
              </w:rPr>
            </w:pPr>
          </w:p>
        </w:tc>
      </w:tr>
      <w:tr w14:paraId="70DD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F6473">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6836">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A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9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B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2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F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0C8F">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B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5F70">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CA6E">
            <w:pPr>
              <w:jc w:val="center"/>
              <w:rPr>
                <w:rFonts w:hint="eastAsia" w:ascii="微软雅黑" w:hAnsi="微软雅黑" w:eastAsia="微软雅黑" w:cs="微软雅黑"/>
                <w:i/>
                <w:iCs/>
                <w:color w:val="000000"/>
                <w:sz w:val="16"/>
                <w:szCs w:val="16"/>
                <w:u w:val="none"/>
              </w:rPr>
            </w:pPr>
          </w:p>
        </w:tc>
      </w:tr>
      <w:tr w14:paraId="326F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BD64">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80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27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对重大决策部署推动作用</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D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B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40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355B">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2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5F47">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0FC3">
            <w:pPr>
              <w:jc w:val="center"/>
              <w:rPr>
                <w:rFonts w:hint="eastAsia" w:ascii="微软雅黑" w:hAnsi="微软雅黑" w:eastAsia="微软雅黑" w:cs="微软雅黑"/>
                <w:i/>
                <w:iCs/>
                <w:color w:val="000000"/>
                <w:sz w:val="16"/>
                <w:szCs w:val="16"/>
                <w:u w:val="none"/>
              </w:rPr>
            </w:pPr>
          </w:p>
        </w:tc>
      </w:tr>
      <w:tr w14:paraId="7411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9C4C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23C33">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B210">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D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促进基层民主政治建设的规范化、制度化、法制化，加强乡镇党委、政府和广大民众的沟通与交流</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9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1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B3D5">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2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388">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676E">
            <w:pPr>
              <w:jc w:val="center"/>
              <w:rPr>
                <w:rFonts w:hint="eastAsia" w:ascii="微软雅黑" w:hAnsi="微软雅黑" w:eastAsia="微软雅黑" w:cs="微软雅黑"/>
                <w:i/>
                <w:iCs/>
                <w:color w:val="000000"/>
                <w:sz w:val="16"/>
                <w:szCs w:val="16"/>
                <w:u w:val="none"/>
              </w:rPr>
            </w:pPr>
          </w:p>
        </w:tc>
      </w:tr>
      <w:tr w14:paraId="4E80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F63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8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D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C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7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A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3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DBE7">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2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9D12">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7FE2">
            <w:pPr>
              <w:jc w:val="center"/>
              <w:rPr>
                <w:rFonts w:hint="eastAsia" w:ascii="微软雅黑" w:hAnsi="微软雅黑" w:eastAsia="微软雅黑" w:cs="微软雅黑"/>
                <w:i/>
                <w:iCs/>
                <w:color w:val="000000"/>
                <w:sz w:val="16"/>
                <w:szCs w:val="16"/>
                <w:u w:val="none"/>
              </w:rPr>
            </w:pPr>
          </w:p>
        </w:tc>
      </w:tr>
      <w:tr w14:paraId="65BC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19D9E">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1D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7C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8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全年预算安排劳务费2万元用于年初人大及年终人大选举人员补助</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6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0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9315">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4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F921">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EB96">
            <w:pPr>
              <w:jc w:val="center"/>
              <w:rPr>
                <w:rFonts w:hint="eastAsia" w:ascii="微软雅黑" w:hAnsi="微软雅黑" w:eastAsia="微软雅黑" w:cs="微软雅黑"/>
                <w:i/>
                <w:iCs/>
                <w:color w:val="000000"/>
                <w:sz w:val="16"/>
                <w:szCs w:val="16"/>
                <w:u w:val="none"/>
              </w:rPr>
            </w:pPr>
          </w:p>
        </w:tc>
      </w:tr>
      <w:tr w14:paraId="254D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3AC6">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2EAF">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6917F">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C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全年预算安排办公经费2.2万元用于办公用品采购及其它支出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2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D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5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0FDD">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2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8B4E">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8DF3">
            <w:pPr>
              <w:jc w:val="center"/>
              <w:rPr>
                <w:rFonts w:hint="eastAsia" w:ascii="微软雅黑" w:hAnsi="微软雅黑" w:eastAsia="微软雅黑" w:cs="微软雅黑"/>
                <w:i/>
                <w:iCs/>
                <w:color w:val="000000"/>
                <w:sz w:val="16"/>
                <w:szCs w:val="16"/>
                <w:u w:val="none"/>
              </w:rPr>
            </w:pPr>
          </w:p>
        </w:tc>
      </w:tr>
      <w:tr w14:paraId="54A1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C4A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6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5D87">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2760">
            <w:pPr>
              <w:rPr>
                <w:rFonts w:hint="eastAsia" w:ascii="宋体" w:hAnsi="宋体" w:eastAsia="宋体" w:cs="宋体"/>
                <w:i w:val="0"/>
                <w:iCs w:val="0"/>
                <w:color w:val="000000"/>
                <w:sz w:val="18"/>
                <w:szCs w:val="18"/>
                <w:u w:val="none"/>
              </w:rPr>
            </w:pPr>
          </w:p>
        </w:tc>
      </w:tr>
      <w:tr w14:paraId="4BD8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DF0F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项目目标明确、组织监管体系完善。我镇人大代表经费项目资金较好地实现了绩效目标。</w:t>
            </w:r>
          </w:p>
        </w:tc>
      </w:tr>
      <w:tr w14:paraId="314D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0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04E0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项目资金缺乏，不能满足人大代表经费工作需要。</w:t>
            </w:r>
          </w:p>
        </w:tc>
      </w:tr>
      <w:tr w14:paraId="0C6A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9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99F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争取节约工作经费，全面开展好工作，不断提高工作科学化、规范化、法治化水平。</w:t>
            </w:r>
          </w:p>
        </w:tc>
      </w:tr>
      <w:tr w14:paraId="054C3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AA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项目负责人：吴强</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5802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1094E8D6">
      <w:pPr>
        <w:rPr>
          <w:rFonts w:hint="default"/>
          <w:lang w:val="en-US" w:eastAsia="zh-CN"/>
        </w:rPr>
      </w:pPr>
    </w:p>
    <w:p w14:paraId="2BEA35A5">
      <w:pPr>
        <w:pStyle w:val="14"/>
        <w:rPr>
          <w:rFonts w:hint="default"/>
          <w:lang w:val="en-US" w:eastAsia="zh-CN"/>
        </w:rPr>
      </w:pPr>
    </w:p>
    <w:p w14:paraId="298F4E4F">
      <w:pPr>
        <w:rPr>
          <w:rFonts w:hint="default"/>
          <w:lang w:val="en-US" w:eastAsia="zh-CN"/>
        </w:rPr>
      </w:pPr>
    </w:p>
    <w:p w14:paraId="3BEF6EEC">
      <w:pPr>
        <w:pStyle w:val="14"/>
        <w:rPr>
          <w:rFonts w:hint="default"/>
          <w:lang w:val="en-US" w:eastAsia="zh-CN"/>
        </w:rPr>
      </w:pPr>
    </w:p>
    <w:tbl>
      <w:tblPr>
        <w:tblStyle w:val="16"/>
        <w:tblpPr w:leftFromText="180" w:rightFromText="180" w:vertAnchor="text" w:horzAnchor="page" w:tblpX="1915" w:tblpY="167"/>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8"/>
        <w:gridCol w:w="745"/>
        <w:gridCol w:w="846"/>
        <w:gridCol w:w="673"/>
        <w:gridCol w:w="553"/>
        <w:gridCol w:w="791"/>
      </w:tblGrid>
      <w:tr w14:paraId="58FB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E6D32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C9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3A3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2EA8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51090424T000011119249-乡镇武装部工作经费（含征兵工作经费）（长期）</w:t>
            </w:r>
          </w:p>
        </w:tc>
      </w:tr>
      <w:tr w14:paraId="40E2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2DC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F03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5DC4A50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D8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50A1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FCA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629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75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49FB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84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F3E12">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4B61">
            <w:pPr>
              <w:rPr>
                <w:rFonts w:hint="eastAsia" w:ascii="宋体" w:hAnsi="宋体" w:eastAsia="宋体" w:cs="宋体"/>
                <w:i w:val="0"/>
                <w:iCs w:val="0"/>
                <w:color w:val="000000"/>
                <w:sz w:val="18"/>
                <w:szCs w:val="18"/>
                <w:u w:val="none"/>
              </w:rPr>
            </w:pPr>
          </w:p>
        </w:tc>
        <w:tc>
          <w:tcPr>
            <w:tcW w:w="3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717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目标1：完成上级赋予的任务，巩固民兵组织，提高民兵军政素质，维护社会治安；目标2：分别完成民兵应急排训练20天，其余基干民兵训练5天；目标3：征兵及武装民兵经费保障。</w:t>
            </w:r>
          </w:p>
        </w:tc>
        <w:tc>
          <w:tcPr>
            <w:tcW w:w="28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C85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单位于2024年</w:t>
            </w:r>
            <w:r>
              <w:rPr>
                <w:rFonts w:hint="eastAsia" w:ascii="黑体" w:hAnsi="黑体" w:eastAsia="黑体" w:cs="黑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w:t>
            </w:r>
            <w:r>
              <w:rPr>
                <w:rFonts w:hint="eastAsia" w:ascii="黑体" w:hAnsi="黑体" w:eastAsia="黑体" w:cs="黑体"/>
                <w:i w:val="0"/>
                <w:iCs w:val="0"/>
                <w:color w:val="000000"/>
                <w:kern w:val="0"/>
                <w:sz w:val="18"/>
                <w:szCs w:val="18"/>
                <w:u w:val="none"/>
                <w:lang w:val="en-US" w:eastAsia="zh-CN" w:bidi="ar"/>
              </w:rPr>
              <w:t>10</w:t>
            </w:r>
            <w:r>
              <w:rPr>
                <w:rFonts w:hint="eastAsia" w:ascii="宋体" w:hAnsi="宋体" w:eastAsia="宋体" w:cs="宋体"/>
                <w:i w:val="0"/>
                <w:iCs w:val="0"/>
                <w:color w:val="000000"/>
                <w:kern w:val="0"/>
                <w:sz w:val="18"/>
                <w:szCs w:val="18"/>
                <w:u w:val="none"/>
                <w:lang w:val="en-US" w:eastAsia="zh-CN" w:bidi="ar"/>
              </w:rPr>
              <w:t>月完成资金支付。</w:t>
            </w:r>
          </w:p>
        </w:tc>
      </w:tr>
      <w:tr w14:paraId="1337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ED53">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13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57D0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保障2024年春、秋两季征兵工作</w:t>
            </w:r>
            <w:r>
              <w:rPr>
                <w:rFonts w:hint="eastAsia" w:ascii="宋体" w:hAnsi="宋体" w:cs="宋体"/>
                <w:i w:val="0"/>
                <w:iCs w:val="0"/>
                <w:color w:val="000000"/>
                <w:kern w:val="0"/>
                <w:sz w:val="18"/>
                <w:szCs w:val="18"/>
                <w:u w:val="none"/>
                <w:lang w:val="en-US" w:eastAsia="zh-CN" w:bidi="ar"/>
              </w:rPr>
              <w:t>的圆满完成</w:t>
            </w:r>
            <w:r>
              <w:rPr>
                <w:rFonts w:ascii="宋体" w:hAnsi="宋体" w:eastAsia="宋体" w:cs="宋体"/>
                <w:i w:val="0"/>
                <w:iCs w:val="0"/>
                <w:color w:val="000000"/>
                <w:kern w:val="0"/>
                <w:sz w:val="18"/>
                <w:szCs w:val="18"/>
                <w:u w:val="none"/>
                <w:lang w:val="en-US" w:eastAsia="zh-CN" w:bidi="ar"/>
              </w:rPr>
              <w:t>，提高适龄青年参与度，从而提升国防实力，提升国防稳定国家安全；单位于2024年9、10月完成资金支付。</w:t>
            </w:r>
          </w:p>
        </w:tc>
      </w:tr>
      <w:tr w14:paraId="1DA9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37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0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37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0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BC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A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9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7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1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74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6C1DA">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1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C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D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D0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7E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0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0BF6">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58ADB">
            <w:pPr>
              <w:rPr>
                <w:rFonts w:hint="eastAsia" w:ascii="黑体" w:hAnsi="黑体" w:eastAsia="黑体" w:cs="黑体"/>
                <w:i/>
                <w:iCs/>
                <w:color w:val="000000"/>
                <w:sz w:val="18"/>
                <w:szCs w:val="18"/>
                <w:u w:val="none"/>
              </w:rPr>
            </w:pPr>
          </w:p>
        </w:tc>
      </w:tr>
      <w:tr w14:paraId="1315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5A25F">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0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E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D5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5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1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ADDE">
            <w:pPr>
              <w:rPr>
                <w:rFonts w:hint="eastAsia" w:ascii="黑体" w:hAnsi="黑体" w:eastAsia="黑体" w:cs="黑体"/>
                <w:i/>
                <w:iCs/>
                <w:color w:val="000000"/>
                <w:sz w:val="18"/>
                <w:szCs w:val="18"/>
                <w:u w:val="none"/>
              </w:rPr>
            </w:pPr>
          </w:p>
        </w:tc>
      </w:tr>
      <w:tr w14:paraId="71DB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87B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0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3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2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F3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A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2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C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445A4">
            <w:pPr>
              <w:rPr>
                <w:rFonts w:hint="eastAsia" w:ascii="黑体" w:hAnsi="黑体" w:eastAsia="黑体" w:cs="黑体"/>
                <w:i/>
                <w:iCs/>
                <w:color w:val="000000"/>
                <w:sz w:val="18"/>
                <w:szCs w:val="18"/>
                <w:u w:val="none"/>
              </w:rPr>
            </w:pPr>
          </w:p>
        </w:tc>
      </w:tr>
      <w:tr w14:paraId="70277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984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B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7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2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C7F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4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6A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8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2980">
            <w:pPr>
              <w:rPr>
                <w:rFonts w:hint="eastAsia" w:ascii="黑体" w:hAnsi="黑体" w:eastAsia="黑体" w:cs="黑体"/>
                <w:i/>
                <w:iCs/>
                <w:color w:val="000000"/>
                <w:sz w:val="18"/>
                <w:szCs w:val="18"/>
                <w:u w:val="none"/>
              </w:rPr>
            </w:pPr>
          </w:p>
        </w:tc>
      </w:tr>
      <w:tr w14:paraId="2563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5292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2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21C2">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8D7F">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91B7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BA9E">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2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0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C4109">
            <w:pPr>
              <w:rPr>
                <w:rFonts w:hint="eastAsia" w:ascii="黑体" w:hAnsi="黑体" w:eastAsia="黑体" w:cs="黑体"/>
                <w:i/>
                <w:iCs/>
                <w:color w:val="000000"/>
                <w:sz w:val="18"/>
                <w:szCs w:val="18"/>
                <w:u w:val="none"/>
              </w:rPr>
            </w:pPr>
          </w:p>
        </w:tc>
      </w:tr>
      <w:tr w14:paraId="4CCC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C1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5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9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B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8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4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6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C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3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4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C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04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AA4A">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55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A3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调查人数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E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D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4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0ACC">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5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5C16">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CC39">
            <w:pPr>
              <w:jc w:val="center"/>
              <w:rPr>
                <w:rFonts w:hint="eastAsia" w:ascii="微软雅黑" w:hAnsi="微软雅黑" w:eastAsia="微软雅黑" w:cs="微软雅黑"/>
                <w:i/>
                <w:iCs/>
                <w:color w:val="000000"/>
                <w:sz w:val="16"/>
                <w:szCs w:val="16"/>
                <w:u w:val="none"/>
              </w:rPr>
            </w:pPr>
          </w:p>
        </w:tc>
      </w:tr>
      <w:tr w14:paraId="3F52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6A406">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09E6">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1109A">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7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民兵应急排训练天数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6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A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5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C848">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D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822">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884D">
            <w:pPr>
              <w:jc w:val="center"/>
              <w:rPr>
                <w:rFonts w:hint="eastAsia" w:ascii="微软雅黑" w:hAnsi="微软雅黑" w:eastAsia="微软雅黑" w:cs="微软雅黑"/>
                <w:i/>
                <w:iCs/>
                <w:color w:val="000000"/>
                <w:sz w:val="16"/>
                <w:szCs w:val="16"/>
                <w:u w:val="none"/>
              </w:rPr>
            </w:pPr>
          </w:p>
        </w:tc>
      </w:tr>
      <w:tr w14:paraId="19FB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F27F">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8DCAD">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B9F5A">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9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征兵人数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4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6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46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26CC">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7F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21F4">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36B">
            <w:pPr>
              <w:jc w:val="center"/>
              <w:rPr>
                <w:rFonts w:hint="eastAsia" w:ascii="微软雅黑" w:hAnsi="微软雅黑" w:eastAsia="微软雅黑" w:cs="微软雅黑"/>
                <w:i/>
                <w:iCs/>
                <w:color w:val="000000"/>
                <w:sz w:val="16"/>
                <w:szCs w:val="16"/>
                <w:u w:val="none"/>
              </w:rPr>
            </w:pPr>
          </w:p>
        </w:tc>
      </w:tr>
      <w:tr w14:paraId="51BA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9F6E">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0E9FA">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E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D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任务达标率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F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E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AEB8">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6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0F16">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9014">
            <w:pPr>
              <w:jc w:val="center"/>
              <w:rPr>
                <w:rFonts w:hint="eastAsia" w:ascii="微软雅黑" w:hAnsi="微软雅黑" w:eastAsia="微软雅黑" w:cs="微软雅黑"/>
                <w:i/>
                <w:iCs/>
                <w:color w:val="000000"/>
                <w:sz w:val="16"/>
                <w:szCs w:val="16"/>
                <w:u w:val="none"/>
              </w:rPr>
            </w:pPr>
          </w:p>
        </w:tc>
      </w:tr>
      <w:tr w14:paraId="5AA0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5B9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D21C">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2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2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任务完成时间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6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2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2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AC2A">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9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9428">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77FB">
            <w:pPr>
              <w:jc w:val="center"/>
              <w:rPr>
                <w:rFonts w:hint="eastAsia" w:ascii="微软雅黑" w:hAnsi="微软雅黑" w:eastAsia="微软雅黑" w:cs="微软雅黑"/>
                <w:i/>
                <w:iCs/>
                <w:color w:val="000000"/>
                <w:sz w:val="16"/>
                <w:szCs w:val="16"/>
                <w:u w:val="none"/>
              </w:rPr>
            </w:pPr>
          </w:p>
        </w:tc>
      </w:tr>
      <w:tr w14:paraId="3D65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82D3">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6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5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F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维护社会治安</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3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D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B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8730">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7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985F">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0026">
            <w:pPr>
              <w:jc w:val="center"/>
              <w:rPr>
                <w:rFonts w:hint="eastAsia" w:ascii="微软雅黑" w:hAnsi="微软雅黑" w:eastAsia="微软雅黑" w:cs="微软雅黑"/>
                <w:i/>
                <w:iCs/>
                <w:color w:val="000000"/>
                <w:sz w:val="16"/>
                <w:szCs w:val="16"/>
                <w:u w:val="none"/>
              </w:rPr>
            </w:pPr>
          </w:p>
        </w:tc>
      </w:tr>
      <w:tr w14:paraId="72D7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60EF">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B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2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4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F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9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5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9641">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3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865E">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3E38">
            <w:pPr>
              <w:jc w:val="center"/>
              <w:rPr>
                <w:rFonts w:hint="eastAsia" w:ascii="微软雅黑" w:hAnsi="微软雅黑" w:eastAsia="微软雅黑" w:cs="微软雅黑"/>
                <w:i/>
                <w:iCs/>
                <w:color w:val="000000"/>
                <w:sz w:val="16"/>
                <w:szCs w:val="16"/>
                <w:u w:val="none"/>
              </w:rPr>
            </w:pPr>
          </w:p>
        </w:tc>
      </w:tr>
      <w:tr w14:paraId="7C80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D70E7">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EC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ED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D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全年预算安排办公费1万元主要用于征兵春、秋两季的广告制作宣传费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A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B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4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6605">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3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E48F">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A4F5">
            <w:pPr>
              <w:jc w:val="center"/>
              <w:rPr>
                <w:rFonts w:hint="eastAsia" w:ascii="微软雅黑" w:hAnsi="微软雅黑" w:eastAsia="微软雅黑" w:cs="微软雅黑"/>
                <w:i/>
                <w:iCs/>
                <w:color w:val="000000"/>
                <w:sz w:val="16"/>
                <w:szCs w:val="16"/>
                <w:u w:val="none"/>
              </w:rPr>
            </w:pPr>
          </w:p>
        </w:tc>
      </w:tr>
      <w:tr w14:paraId="284A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7A426">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7D137">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C36C">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0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全年预算安排办差旅费1万元主要是征兵中人员每月的租车及差旅费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C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E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5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8156">
            <w:pPr>
              <w:jc w:val="center"/>
              <w:rPr>
                <w:rFonts w:hint="eastAsia" w:ascii="微软雅黑" w:hAnsi="微软雅黑" w:eastAsia="微软雅黑" w:cs="微软雅黑"/>
                <w:i/>
                <w:iCs/>
                <w:color w:val="000000"/>
                <w:sz w:val="16"/>
                <w:szCs w:val="16"/>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D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5F87">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4365">
            <w:pPr>
              <w:jc w:val="center"/>
              <w:rPr>
                <w:rFonts w:hint="eastAsia" w:ascii="微软雅黑" w:hAnsi="微软雅黑" w:eastAsia="微软雅黑" w:cs="微软雅黑"/>
                <w:i/>
                <w:iCs/>
                <w:color w:val="000000"/>
                <w:sz w:val="16"/>
                <w:szCs w:val="16"/>
                <w:u w:val="none"/>
              </w:rPr>
            </w:pPr>
          </w:p>
        </w:tc>
      </w:tr>
      <w:tr w14:paraId="0594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7F4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E03D">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293C">
            <w:pPr>
              <w:rPr>
                <w:rFonts w:hint="eastAsia" w:ascii="宋体" w:hAnsi="宋体" w:eastAsia="宋体" w:cs="宋体"/>
                <w:i w:val="0"/>
                <w:iCs w:val="0"/>
                <w:color w:val="000000"/>
                <w:sz w:val="18"/>
                <w:szCs w:val="18"/>
                <w:u w:val="none"/>
              </w:rPr>
            </w:pPr>
          </w:p>
        </w:tc>
      </w:tr>
      <w:tr w14:paraId="1F6E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542F2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镇武装部工作经费项目实施效果良好，资金使用规范，实现了预期绩效目标，对提升乡镇武装部工作水平、推动国防建设和地方稳定发展发挥了重要作用。但项目实施过程中仍存在一些问题，需进一步改进和完善</w:t>
            </w:r>
          </w:p>
        </w:tc>
      </w:tr>
      <w:tr w14:paraId="7E43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F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CD1A3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1、民兵训练专业化水平有待提高：部分民兵训练内容和方式较为传统，缺乏与现代军事需求和地方应急实际相结合的专业训练，影响民兵队伍战斗力提升。</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2、国防教育覆盖面不够广：国防教育活动主要集中在学校和社区，对企业、农村等领域的覆盖不足，部分群众国防意识仍然淡薄。</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3、应急物资储备更新不及时：随着应急需求的变化，部分应急物资出现老化、损耗现象，但由于经费限制，更新补充不及时，影响应急处突能力。</w:t>
            </w:r>
            <w:r>
              <w:rPr>
                <w:rFonts w:hint="default" w:ascii="Times New Roman" w:hAnsi="Times New Roman" w:eastAsia="微软雅黑" w:cs="Times New Roman"/>
                <w:i/>
                <w:iCs/>
                <w:color w:val="000000"/>
                <w:kern w:val="0"/>
                <w:sz w:val="16"/>
                <w:szCs w:val="16"/>
                <w:u w:val="none"/>
                <w:lang w:val="en-US" w:eastAsia="zh-CN" w:bidi="ar"/>
              </w:rPr>
              <w:t>​</w:t>
            </w:r>
          </w:p>
        </w:tc>
      </w:tr>
      <w:tr w14:paraId="756E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4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2B79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（一）提升民兵训练专业化水平</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积极争取上级支持，邀请专业军事教官进行指导，引入先进的训练理念和方法；结合地方实际，增加应急救援、维稳等专业训练内容；加大训练设备投入，改善训练条件，提高民兵训练质量。</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（二）扩大国防教育覆盖面</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创新国防教育宣传方式，利用新媒体平台开展线上宣传；加强与企业、农村等单位的合作，开展针对性的国防教育活动；丰富教育内容和形式，通过举办国防知识竞赛、军事体验活动等，提高群众参与度和积极性。</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（三）保障应急物资储备更新</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合理调整经费预算，加大对应急物资储备更新的资金投入；建立应急物资动态管理机制，定期对物资进行检查和评估，及时补充和更新老化、损耗物资；探索多元化物资储备模式，鼓励社会力量参与应急物资储备，提高应急保障能力。</w:t>
            </w:r>
          </w:p>
        </w:tc>
      </w:tr>
      <w:tr w14:paraId="63F13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BE4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项目负责人：唐启林</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AEC22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76823737">
      <w:pPr>
        <w:rPr>
          <w:rFonts w:hint="default"/>
          <w:lang w:val="en-US" w:eastAsia="zh-CN"/>
        </w:rPr>
      </w:pPr>
    </w:p>
    <w:p w14:paraId="5ACA3AE1">
      <w:pPr>
        <w:pStyle w:val="14"/>
        <w:rPr>
          <w:rFonts w:hint="default"/>
          <w:lang w:val="en-US" w:eastAsia="zh-CN"/>
        </w:rPr>
      </w:pPr>
    </w:p>
    <w:p w14:paraId="274F3379">
      <w:pPr>
        <w:rPr>
          <w:rFonts w:hint="default"/>
          <w:lang w:val="en-US" w:eastAsia="zh-CN"/>
        </w:rPr>
      </w:pPr>
    </w:p>
    <w:p w14:paraId="235E644E">
      <w:pPr>
        <w:pStyle w:val="14"/>
        <w:rPr>
          <w:rFonts w:hint="default"/>
          <w:lang w:val="en-US" w:eastAsia="zh-CN"/>
        </w:rPr>
      </w:pPr>
    </w:p>
    <w:tbl>
      <w:tblPr>
        <w:tblStyle w:val="16"/>
        <w:tblpPr w:leftFromText="180" w:rightFromText="180" w:vertAnchor="text" w:horzAnchor="page" w:tblpX="1878" w:tblpY="234"/>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9"/>
        <w:gridCol w:w="745"/>
        <w:gridCol w:w="846"/>
        <w:gridCol w:w="672"/>
        <w:gridCol w:w="553"/>
        <w:gridCol w:w="791"/>
      </w:tblGrid>
      <w:tr w14:paraId="2919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24448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F2C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83B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2E8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51090424T000011119257-政协委员视察经费（长期）</w:t>
            </w:r>
          </w:p>
        </w:tc>
      </w:tr>
      <w:tr w14:paraId="4C40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DB3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B5A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5A1A629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98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7AE6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E83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23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95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7C0B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43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296AF">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87C8">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2B7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1.思想政治建设工作；2.助推乡村振兴；3.组织协商议政；4.推进提案办理；5.改进政协工作。 </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03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完成2024年政协委员视察工作，政协委员参政议政权力得到保障，提出有效建议得到采纳。</w:t>
            </w:r>
          </w:p>
        </w:tc>
      </w:tr>
      <w:tr w14:paraId="5245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17B9">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C1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2B75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完成2024年政协委员视察工作，政协委员参政议政权力得到保障，提出有效建议得到采纳。</w:t>
            </w:r>
          </w:p>
        </w:tc>
      </w:tr>
      <w:tr w14:paraId="183F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81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E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9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A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47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8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E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D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8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31D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D2E2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6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0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3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AE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9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E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E022">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14128">
            <w:pPr>
              <w:rPr>
                <w:rFonts w:hint="eastAsia" w:ascii="黑体" w:hAnsi="黑体" w:eastAsia="黑体" w:cs="黑体"/>
                <w:i/>
                <w:iCs/>
                <w:color w:val="000000"/>
                <w:sz w:val="18"/>
                <w:szCs w:val="18"/>
                <w:u w:val="none"/>
              </w:rPr>
            </w:pPr>
          </w:p>
        </w:tc>
      </w:tr>
      <w:tr w14:paraId="3810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984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D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0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8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C74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2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2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7CAFE">
            <w:pPr>
              <w:rPr>
                <w:rFonts w:hint="eastAsia" w:ascii="黑体" w:hAnsi="黑体" w:eastAsia="黑体" w:cs="黑体"/>
                <w:i/>
                <w:iCs/>
                <w:color w:val="000000"/>
                <w:sz w:val="18"/>
                <w:szCs w:val="18"/>
                <w:u w:val="none"/>
              </w:rPr>
            </w:pPr>
          </w:p>
        </w:tc>
      </w:tr>
      <w:tr w14:paraId="7346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971CA">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A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4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4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37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0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5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D2CF">
            <w:pPr>
              <w:rPr>
                <w:rFonts w:hint="eastAsia" w:ascii="黑体" w:hAnsi="黑体" w:eastAsia="黑体" w:cs="黑体"/>
                <w:i/>
                <w:iCs/>
                <w:color w:val="000000"/>
                <w:sz w:val="18"/>
                <w:szCs w:val="18"/>
                <w:u w:val="none"/>
              </w:rPr>
            </w:pPr>
          </w:p>
        </w:tc>
      </w:tr>
      <w:tr w14:paraId="1DE1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66E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F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C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5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ED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3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D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19152">
            <w:pPr>
              <w:rPr>
                <w:rFonts w:hint="eastAsia" w:ascii="黑体" w:hAnsi="黑体" w:eastAsia="黑体" w:cs="黑体"/>
                <w:i/>
                <w:iCs/>
                <w:color w:val="000000"/>
                <w:sz w:val="18"/>
                <w:szCs w:val="18"/>
                <w:u w:val="none"/>
              </w:rPr>
            </w:pPr>
          </w:p>
        </w:tc>
      </w:tr>
      <w:tr w14:paraId="03A2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707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B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FA92">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1DE2">
            <w:pPr>
              <w:jc w:val="center"/>
              <w:rPr>
                <w:rFonts w:hint="eastAsia" w:ascii="微软雅黑" w:hAnsi="微软雅黑" w:eastAsia="微软雅黑" w:cs="微软雅黑"/>
                <w:i/>
                <w:iCs/>
                <w:color w:val="000000"/>
                <w:sz w:val="16"/>
                <w:szCs w:val="16"/>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0988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6AE6">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B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5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938E3">
            <w:pPr>
              <w:rPr>
                <w:rFonts w:hint="eastAsia" w:ascii="黑体" w:hAnsi="黑体" w:eastAsia="黑体" w:cs="黑体"/>
                <w:i/>
                <w:iCs/>
                <w:color w:val="000000"/>
                <w:sz w:val="18"/>
                <w:szCs w:val="18"/>
                <w:u w:val="none"/>
              </w:rPr>
            </w:pPr>
          </w:p>
        </w:tc>
      </w:tr>
      <w:tr w14:paraId="2986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52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D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8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8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8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2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5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2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4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7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2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57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323BC">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36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E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6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全镇政协委员共5人日常工作经费</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A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3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7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5075">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1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AFE1">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5E46">
            <w:pPr>
              <w:jc w:val="center"/>
              <w:rPr>
                <w:rFonts w:hint="eastAsia" w:ascii="微软雅黑" w:hAnsi="微软雅黑" w:eastAsia="微软雅黑" w:cs="微软雅黑"/>
                <w:i/>
                <w:iCs/>
                <w:color w:val="000000"/>
                <w:sz w:val="16"/>
                <w:szCs w:val="16"/>
                <w:u w:val="none"/>
              </w:rPr>
            </w:pPr>
          </w:p>
        </w:tc>
      </w:tr>
      <w:tr w14:paraId="3CE3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0E09C">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D543">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1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8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完成重点提案通过率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0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3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8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9AA7">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1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819A">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E4EB">
            <w:pPr>
              <w:jc w:val="center"/>
              <w:rPr>
                <w:rFonts w:hint="eastAsia" w:ascii="微软雅黑" w:hAnsi="微软雅黑" w:eastAsia="微软雅黑" w:cs="微软雅黑"/>
                <w:i/>
                <w:iCs/>
                <w:color w:val="000000"/>
                <w:sz w:val="16"/>
                <w:szCs w:val="16"/>
                <w:u w:val="none"/>
              </w:rPr>
            </w:pPr>
          </w:p>
        </w:tc>
      </w:tr>
      <w:tr w14:paraId="3A1B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E6EC">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5889">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2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4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2024年1-12月</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6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A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F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07A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0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D5FC">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0BCA">
            <w:pPr>
              <w:jc w:val="center"/>
              <w:rPr>
                <w:rFonts w:hint="eastAsia" w:ascii="微软雅黑" w:hAnsi="微软雅黑" w:eastAsia="微软雅黑" w:cs="微软雅黑"/>
                <w:i/>
                <w:iCs/>
                <w:color w:val="000000"/>
                <w:sz w:val="16"/>
                <w:szCs w:val="16"/>
                <w:u w:val="none"/>
              </w:rPr>
            </w:pPr>
          </w:p>
        </w:tc>
      </w:tr>
      <w:tr w14:paraId="5D4D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5BA0">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E5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5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B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障基层政协良好的履职环境，促进当地经济发展</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F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9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3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5308">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9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74E8">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5B30">
            <w:pPr>
              <w:jc w:val="center"/>
              <w:rPr>
                <w:rFonts w:hint="eastAsia" w:ascii="微软雅黑" w:hAnsi="微软雅黑" w:eastAsia="微软雅黑" w:cs="微软雅黑"/>
                <w:i/>
                <w:iCs/>
                <w:color w:val="000000"/>
                <w:sz w:val="16"/>
                <w:szCs w:val="16"/>
                <w:u w:val="none"/>
              </w:rPr>
            </w:pPr>
          </w:p>
        </w:tc>
      </w:tr>
      <w:tr w14:paraId="1EF7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747C0">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76D6">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D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3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不断优化基层政协履职环境</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1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1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0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2AA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1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D6BA">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9CF0">
            <w:pPr>
              <w:jc w:val="center"/>
              <w:rPr>
                <w:rFonts w:hint="eastAsia" w:ascii="微软雅黑" w:hAnsi="微软雅黑" w:eastAsia="微软雅黑" w:cs="微软雅黑"/>
                <w:i/>
                <w:iCs/>
                <w:color w:val="000000"/>
                <w:sz w:val="16"/>
                <w:szCs w:val="16"/>
                <w:u w:val="none"/>
              </w:rPr>
            </w:pPr>
          </w:p>
        </w:tc>
      </w:tr>
      <w:tr w14:paraId="0977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2F0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E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4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2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D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D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104C">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6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E2D">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7B34">
            <w:pPr>
              <w:jc w:val="center"/>
              <w:rPr>
                <w:rFonts w:hint="eastAsia" w:ascii="微软雅黑" w:hAnsi="微软雅黑" w:eastAsia="微软雅黑" w:cs="微软雅黑"/>
                <w:i/>
                <w:iCs/>
                <w:color w:val="000000"/>
                <w:sz w:val="16"/>
                <w:szCs w:val="16"/>
                <w:u w:val="none"/>
              </w:rPr>
            </w:pPr>
          </w:p>
        </w:tc>
      </w:tr>
      <w:tr w14:paraId="26709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59EA7">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F3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A5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B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全年预算安排办公经费0.5万元用于办公用品采购及其它支出</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3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C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F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E081">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8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68AD">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508B">
            <w:pPr>
              <w:jc w:val="center"/>
              <w:rPr>
                <w:rFonts w:hint="eastAsia" w:ascii="微软雅黑" w:hAnsi="微软雅黑" w:eastAsia="微软雅黑" w:cs="微软雅黑"/>
                <w:i/>
                <w:iCs/>
                <w:color w:val="000000"/>
                <w:sz w:val="16"/>
                <w:szCs w:val="16"/>
                <w:u w:val="none"/>
              </w:rPr>
            </w:pPr>
          </w:p>
        </w:tc>
      </w:tr>
      <w:tr w14:paraId="31E3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80F8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8659">
            <w:pPr>
              <w:jc w:val="center"/>
              <w:rPr>
                <w:rFonts w:hint="eastAsia" w:ascii="宋体" w:hAnsi="宋体" w:eastAsia="宋体" w:cs="宋体"/>
                <w:i w:val="0"/>
                <w:iCs w:val="0"/>
                <w:color w:val="000000"/>
                <w:sz w:val="18"/>
                <w:szCs w:val="18"/>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14E9">
            <w:pPr>
              <w:jc w:val="center"/>
              <w:rPr>
                <w:rFonts w:hint="eastAsia" w:ascii="宋体" w:hAnsi="宋体" w:eastAsia="宋体" w:cs="宋体"/>
                <w:i w:val="0"/>
                <w:iCs w:val="0"/>
                <w:color w:val="000000"/>
                <w:sz w:val="18"/>
                <w:szCs w:val="18"/>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A0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全年预算安排差旅费0.5万元用于人员出差用费报销</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5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C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B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0CC5">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9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06E3">
            <w:pPr>
              <w:jc w:val="cente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72DB">
            <w:pPr>
              <w:jc w:val="center"/>
              <w:rPr>
                <w:rFonts w:hint="eastAsia" w:ascii="微软雅黑" w:hAnsi="微软雅黑" w:eastAsia="微软雅黑" w:cs="微软雅黑"/>
                <w:i/>
                <w:iCs/>
                <w:color w:val="000000"/>
                <w:sz w:val="16"/>
                <w:szCs w:val="16"/>
                <w:u w:val="none"/>
              </w:rPr>
            </w:pPr>
          </w:p>
        </w:tc>
      </w:tr>
      <w:tr w14:paraId="0BFF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910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4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3ABC">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F83F">
            <w:pPr>
              <w:rPr>
                <w:rFonts w:hint="eastAsia" w:ascii="宋体" w:hAnsi="宋体" w:eastAsia="宋体" w:cs="宋体"/>
                <w:i w:val="0"/>
                <w:iCs w:val="0"/>
                <w:color w:val="000000"/>
                <w:sz w:val="18"/>
                <w:szCs w:val="18"/>
                <w:u w:val="none"/>
              </w:rPr>
            </w:pPr>
          </w:p>
        </w:tc>
      </w:tr>
      <w:tr w14:paraId="7046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B968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政协委员视察经费为各类专项视察、专题调研提供了坚实的资金保障。资金用于支持委员深入基层、企业、项目一线，针对经济发展、民生改善、政策落实等重点领域开展实地考察。通过经费保障交通、资料收集、专家咨询等工作，委员们得以全面、深入了解实际情况，及时发现问题并提出有针对性的意见和建议，有效推动相关部门改进工作，增强了民主监督的实效性。</w:t>
            </w:r>
          </w:p>
        </w:tc>
      </w:tr>
      <w:tr w14:paraId="4CDD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7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DF05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随着经济社会发展和政协工作任务的拓展，对视察经费的需求不断增加，但财政对政协委员视察经费投入有限。在开展大型专题调研、跨区域联合视察、引入专业评估等工作时，因资金短缺导致调研范围受限、深度不足，影响了委员履职的全面性和深入性，制约了政协工作高质量发展。在经费使用过程中，存在资金分配不均衡的问题。大量经费用于日常办公和一般性视察活动，而对战略性课题研究、民生热点难点问题专项调研等重点工作支持不足。</w:t>
            </w:r>
          </w:p>
        </w:tc>
      </w:tr>
      <w:tr w14:paraId="4918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5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3FB8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应充分认识政协工作的重要性，加大对政协委员视察经费的财政支持力度，建立稳定的经费增长机制。同时，积极探索多元化筹资方式，鼓励企业、社会组织通过赞助、合作等方式支持政协重点调研课题，设立政协工作专项基金，拓宽资金来源，满足日益增长的履职需求。科学制定经费分配方案。优先保障战略性课题研究、民生热点问题调研、重点领域监督等重点工作的资金需求，合理安排日常办公和一般性视察活动经费。</w:t>
            </w:r>
          </w:p>
        </w:tc>
      </w:tr>
      <w:tr w14:paraId="4B09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6B2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项目负责人：袁郑福</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F99E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1AFB3527">
      <w:pPr>
        <w:rPr>
          <w:rFonts w:hint="default"/>
          <w:lang w:val="en-US" w:eastAsia="zh-CN"/>
        </w:rPr>
      </w:pPr>
    </w:p>
    <w:p w14:paraId="193FDE80">
      <w:pPr>
        <w:pStyle w:val="14"/>
        <w:rPr>
          <w:rFonts w:hint="default"/>
          <w:lang w:val="en-US" w:eastAsia="zh-CN"/>
        </w:rPr>
      </w:pPr>
    </w:p>
    <w:p w14:paraId="0BEAEE9B">
      <w:pPr>
        <w:rPr>
          <w:rFonts w:hint="default"/>
          <w:lang w:val="en-US" w:eastAsia="zh-CN"/>
        </w:rPr>
      </w:pPr>
    </w:p>
    <w:p w14:paraId="19157A05">
      <w:pPr>
        <w:pStyle w:val="14"/>
        <w:rPr>
          <w:rFonts w:hint="default"/>
          <w:lang w:val="en-US" w:eastAsia="zh-CN"/>
        </w:rPr>
      </w:pPr>
    </w:p>
    <w:p w14:paraId="3D8CE8F1">
      <w:pPr>
        <w:rPr>
          <w:rFonts w:hint="default"/>
          <w:lang w:val="en-US" w:eastAsia="zh-CN"/>
        </w:rPr>
      </w:pPr>
    </w:p>
    <w:p w14:paraId="2C3C538D">
      <w:pPr>
        <w:pStyle w:val="14"/>
        <w:rPr>
          <w:rFonts w:hint="default"/>
          <w:lang w:val="en-US" w:eastAsia="zh-CN"/>
        </w:rPr>
      </w:pPr>
    </w:p>
    <w:tbl>
      <w:tblPr>
        <w:tblStyle w:val="16"/>
        <w:tblpPr w:leftFromText="180" w:rightFromText="180" w:vertAnchor="text" w:horzAnchor="page" w:tblpX="1915" w:tblpY="222"/>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8"/>
        <w:gridCol w:w="1074"/>
        <w:gridCol w:w="612"/>
        <w:gridCol w:w="658"/>
        <w:gridCol w:w="745"/>
        <w:gridCol w:w="846"/>
        <w:gridCol w:w="672"/>
        <w:gridCol w:w="553"/>
        <w:gridCol w:w="790"/>
      </w:tblGrid>
      <w:tr w14:paraId="2C5F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ED318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184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0D0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13EA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51090424T000011119281-驻村工作队工作经费（长期）</w:t>
            </w:r>
          </w:p>
        </w:tc>
      </w:tr>
      <w:tr w14:paraId="3BFE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4D8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CF3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4BE310F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E8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6ECB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FB4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CF0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225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74C19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06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17E1">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F063B">
            <w:pPr>
              <w:rPr>
                <w:rFonts w:hint="eastAsia" w:ascii="宋体" w:hAnsi="宋体" w:eastAsia="宋体" w:cs="宋体"/>
                <w:i w:val="0"/>
                <w:iCs w:val="0"/>
                <w:color w:val="000000"/>
                <w:sz w:val="18"/>
                <w:szCs w:val="18"/>
                <w:u w:val="none"/>
              </w:rPr>
            </w:pPr>
          </w:p>
        </w:tc>
        <w:tc>
          <w:tcPr>
            <w:tcW w:w="38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DD6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目标1：加强村干部队伍建设，提高基层党组织服务群众能力，加快乡村振兴；                                                           目标2：村干部队伍建设不断增强，服务群众能力不断提升；                                                                                              目标3：财政预算经费保障驻村工作顺利开展。　</w:t>
            </w:r>
          </w:p>
        </w:tc>
        <w:tc>
          <w:tcPr>
            <w:tcW w:w="28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A13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r>
              <w:rPr>
                <w:rFonts w:hint="eastAsia" w:ascii="黑体" w:hAnsi="黑体" w:eastAsia="黑体" w:cs="黑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个驻村工作队所驻村工作经费，共计</w:t>
            </w:r>
            <w:r>
              <w:rPr>
                <w:rFonts w:hint="eastAsia" w:ascii="黑体" w:hAnsi="黑体" w:eastAsia="黑体" w:cs="黑体"/>
                <w:i w:val="0"/>
                <w:iCs w:val="0"/>
                <w:color w:val="000000"/>
                <w:kern w:val="0"/>
                <w:sz w:val="18"/>
                <w:szCs w:val="18"/>
                <w:u w:val="none"/>
                <w:lang w:val="en-US" w:eastAsia="zh-CN" w:bidi="ar"/>
              </w:rPr>
              <w:t>14.5</w:t>
            </w:r>
            <w:r>
              <w:rPr>
                <w:rFonts w:hint="eastAsia" w:ascii="宋体" w:hAnsi="宋体" w:eastAsia="宋体" w:cs="宋体"/>
                <w:i w:val="0"/>
                <w:iCs w:val="0"/>
                <w:color w:val="000000"/>
                <w:kern w:val="0"/>
                <w:sz w:val="18"/>
                <w:szCs w:val="18"/>
                <w:u w:val="none"/>
                <w:lang w:val="en-US" w:eastAsia="zh-CN" w:bidi="ar"/>
              </w:rPr>
              <w:t>万元</w:t>
            </w:r>
          </w:p>
        </w:tc>
      </w:tr>
      <w:tr w14:paraId="076D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1037">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CE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E06C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完成9个驻村工作队所驻村工作经费，共计14.5万元</w:t>
            </w:r>
          </w:p>
        </w:tc>
      </w:tr>
      <w:tr w14:paraId="23AF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60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4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9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2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B1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7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2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3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0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86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298D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A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4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9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92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B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C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F68A">
            <w:pPr>
              <w:jc w:val="center"/>
              <w:rPr>
                <w:rFonts w:hint="eastAsia" w:ascii="宋体" w:hAnsi="宋体" w:eastAsia="宋体" w:cs="宋体"/>
                <w:i w:val="0"/>
                <w:iCs w:val="0"/>
                <w:color w:val="000000"/>
                <w:sz w:val="18"/>
                <w:szCs w:val="18"/>
                <w:u w:val="none"/>
              </w:rPr>
            </w:pP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AC120">
            <w:pPr>
              <w:rPr>
                <w:rFonts w:hint="eastAsia" w:ascii="黑体" w:hAnsi="黑体" w:eastAsia="黑体" w:cs="黑体"/>
                <w:i/>
                <w:iCs/>
                <w:color w:val="000000"/>
                <w:sz w:val="18"/>
                <w:szCs w:val="18"/>
                <w:u w:val="none"/>
              </w:rPr>
            </w:pPr>
          </w:p>
        </w:tc>
      </w:tr>
      <w:tr w14:paraId="67FC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FD0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8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C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13.50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2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F2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2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6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5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1C54">
            <w:pPr>
              <w:rPr>
                <w:rFonts w:hint="eastAsia" w:ascii="黑体" w:hAnsi="黑体" w:eastAsia="黑体" w:cs="黑体"/>
                <w:i/>
                <w:iCs/>
                <w:color w:val="000000"/>
                <w:sz w:val="18"/>
                <w:szCs w:val="18"/>
                <w:u w:val="none"/>
              </w:rPr>
            </w:pPr>
          </w:p>
        </w:tc>
      </w:tr>
      <w:tr w14:paraId="74CC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16FA">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4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4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A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35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0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5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B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8ECE8">
            <w:pPr>
              <w:rPr>
                <w:rFonts w:hint="eastAsia" w:ascii="黑体" w:hAnsi="黑体" w:eastAsia="黑体" w:cs="黑体"/>
                <w:i/>
                <w:iCs/>
                <w:color w:val="000000"/>
                <w:sz w:val="18"/>
                <w:szCs w:val="18"/>
                <w:u w:val="none"/>
              </w:rPr>
            </w:pPr>
          </w:p>
        </w:tc>
      </w:tr>
      <w:tr w14:paraId="4C11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A685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5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1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DF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B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8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1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E483">
            <w:pPr>
              <w:rPr>
                <w:rFonts w:hint="eastAsia" w:ascii="黑体" w:hAnsi="黑体" w:eastAsia="黑体" w:cs="黑体"/>
                <w:i/>
                <w:iCs/>
                <w:color w:val="000000"/>
                <w:sz w:val="18"/>
                <w:szCs w:val="18"/>
                <w:u w:val="none"/>
              </w:rPr>
            </w:pPr>
          </w:p>
        </w:tc>
      </w:tr>
      <w:tr w14:paraId="0002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97691">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C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EC1F">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AFDA">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C2C1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ADA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B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A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DB221">
            <w:pPr>
              <w:rPr>
                <w:rFonts w:hint="eastAsia" w:ascii="黑体" w:hAnsi="黑体" w:eastAsia="黑体" w:cs="黑体"/>
                <w:i/>
                <w:iCs/>
                <w:color w:val="000000"/>
                <w:sz w:val="18"/>
                <w:szCs w:val="18"/>
                <w:u w:val="none"/>
              </w:rPr>
            </w:pPr>
          </w:p>
        </w:tc>
      </w:tr>
      <w:tr w14:paraId="4985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BB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A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7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A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0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5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4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D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D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7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4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F2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08E02">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E8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AB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1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区派驻村工作队人数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1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B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D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089F">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C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96DD">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FD94">
            <w:pPr>
              <w:jc w:val="center"/>
              <w:rPr>
                <w:rFonts w:hint="eastAsia" w:ascii="微软雅黑" w:hAnsi="微软雅黑" w:eastAsia="微软雅黑" w:cs="微软雅黑"/>
                <w:i/>
                <w:iCs/>
                <w:color w:val="000000"/>
                <w:sz w:val="16"/>
                <w:szCs w:val="16"/>
                <w:u w:val="none"/>
              </w:rPr>
            </w:pPr>
          </w:p>
        </w:tc>
      </w:tr>
      <w:tr w14:paraId="6EF3E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5299">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7F2FE">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86038">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6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贫困村数量</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6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1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E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826D">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B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18E2">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AE9A">
            <w:pPr>
              <w:jc w:val="center"/>
              <w:rPr>
                <w:rFonts w:hint="eastAsia" w:ascii="微软雅黑" w:hAnsi="微软雅黑" w:eastAsia="微软雅黑" w:cs="微软雅黑"/>
                <w:i/>
                <w:iCs/>
                <w:color w:val="000000"/>
                <w:sz w:val="16"/>
                <w:szCs w:val="16"/>
                <w:u w:val="none"/>
              </w:rPr>
            </w:pPr>
          </w:p>
        </w:tc>
      </w:tr>
      <w:tr w14:paraId="6575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63D0">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8902B">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D0F6">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3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驻村工作队数量</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0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4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6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EB3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C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EE0">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AA85">
            <w:pPr>
              <w:jc w:val="center"/>
              <w:rPr>
                <w:rFonts w:hint="eastAsia" w:ascii="微软雅黑" w:hAnsi="微软雅黑" w:eastAsia="微软雅黑" w:cs="微软雅黑"/>
                <w:i/>
                <w:iCs/>
                <w:color w:val="000000"/>
                <w:sz w:val="16"/>
                <w:szCs w:val="16"/>
                <w:u w:val="none"/>
              </w:rPr>
            </w:pPr>
          </w:p>
        </w:tc>
      </w:tr>
      <w:tr w14:paraId="7B4E7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83D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6520">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A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C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驻村生活补助发放率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C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E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9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9B70">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A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F1B2">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3258">
            <w:pPr>
              <w:jc w:val="center"/>
              <w:rPr>
                <w:rFonts w:hint="eastAsia" w:ascii="微软雅黑" w:hAnsi="微软雅黑" w:eastAsia="微软雅黑" w:cs="微软雅黑"/>
                <w:i/>
                <w:iCs/>
                <w:color w:val="000000"/>
                <w:sz w:val="16"/>
                <w:szCs w:val="16"/>
                <w:u w:val="none"/>
              </w:rPr>
            </w:pPr>
          </w:p>
        </w:tc>
      </w:tr>
      <w:tr w14:paraId="5ED7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0A721">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4BD3">
            <w:pPr>
              <w:jc w:val="center"/>
              <w:rPr>
                <w:rFonts w:hint="eastAsia" w:ascii="宋体" w:hAnsi="宋体" w:eastAsia="宋体" w:cs="宋体"/>
                <w:i w:val="0"/>
                <w:iCs w:val="0"/>
                <w:color w:val="000000"/>
                <w:sz w:val="18"/>
                <w:szCs w:val="18"/>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07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0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生活补助发放时间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3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D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E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ED2B">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C2ED">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A803">
            <w:pPr>
              <w:jc w:val="center"/>
              <w:rPr>
                <w:rFonts w:hint="eastAsia" w:ascii="微软雅黑" w:hAnsi="微软雅黑" w:eastAsia="微软雅黑" w:cs="微软雅黑"/>
                <w:i/>
                <w:iCs/>
                <w:color w:val="000000"/>
                <w:sz w:val="16"/>
                <w:szCs w:val="16"/>
                <w:u w:val="none"/>
              </w:rPr>
            </w:pPr>
          </w:p>
        </w:tc>
      </w:tr>
      <w:tr w14:paraId="566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6568">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EB1DD">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A337">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6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驻村工作队每月驻村时间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C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C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638D">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0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94BD">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6AB5">
            <w:pPr>
              <w:jc w:val="center"/>
              <w:rPr>
                <w:rFonts w:hint="eastAsia" w:ascii="微软雅黑" w:hAnsi="微软雅黑" w:eastAsia="微软雅黑" w:cs="微软雅黑"/>
                <w:i/>
                <w:iCs/>
                <w:color w:val="000000"/>
                <w:sz w:val="16"/>
                <w:szCs w:val="16"/>
                <w:u w:val="none"/>
              </w:rPr>
            </w:pPr>
          </w:p>
        </w:tc>
      </w:tr>
      <w:tr w14:paraId="63DE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4207">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53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A8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6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激发驻村工作队工作激情</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E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F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D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240C">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2F07">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FF00">
            <w:pPr>
              <w:jc w:val="center"/>
              <w:rPr>
                <w:rFonts w:hint="eastAsia" w:ascii="微软雅黑" w:hAnsi="微软雅黑" w:eastAsia="微软雅黑" w:cs="微软雅黑"/>
                <w:i/>
                <w:iCs/>
                <w:color w:val="000000"/>
                <w:sz w:val="16"/>
                <w:szCs w:val="16"/>
                <w:u w:val="none"/>
              </w:rPr>
            </w:pPr>
          </w:p>
        </w:tc>
      </w:tr>
      <w:tr w14:paraId="6FFF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8CAAC">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DC36">
            <w:pPr>
              <w:jc w:val="center"/>
              <w:rPr>
                <w:rFonts w:hint="eastAsia" w:ascii="宋体" w:hAnsi="宋体" w:eastAsia="宋体" w:cs="宋体"/>
                <w:i w:val="0"/>
                <w:iCs w:val="0"/>
                <w:color w:val="000000"/>
                <w:sz w:val="18"/>
                <w:szCs w:val="18"/>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0021E">
            <w:pPr>
              <w:jc w:val="center"/>
              <w:rPr>
                <w:rFonts w:hint="eastAsia" w:ascii="宋体" w:hAnsi="宋体" w:eastAsia="宋体" w:cs="宋体"/>
                <w:i w:val="0"/>
                <w:iCs w:val="0"/>
                <w:color w:val="000000"/>
                <w:sz w:val="18"/>
                <w:szCs w:val="18"/>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F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为当地困难群众办实事办好事完成率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A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2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C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2346">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B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5EF9">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515A">
            <w:pPr>
              <w:jc w:val="center"/>
              <w:rPr>
                <w:rFonts w:hint="eastAsia" w:ascii="微软雅黑" w:hAnsi="微软雅黑" w:eastAsia="微软雅黑" w:cs="微软雅黑"/>
                <w:i/>
                <w:iCs/>
                <w:color w:val="000000"/>
                <w:sz w:val="16"/>
                <w:szCs w:val="16"/>
                <w:u w:val="none"/>
              </w:rPr>
            </w:pPr>
          </w:p>
        </w:tc>
      </w:tr>
      <w:tr w14:paraId="2DA9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E634">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C0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D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F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A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9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C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796D">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D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6163">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B28D">
            <w:pPr>
              <w:jc w:val="center"/>
              <w:rPr>
                <w:rFonts w:hint="eastAsia" w:ascii="微软雅黑" w:hAnsi="微软雅黑" w:eastAsia="微软雅黑" w:cs="微软雅黑"/>
                <w:i/>
                <w:iCs/>
                <w:color w:val="000000"/>
                <w:sz w:val="16"/>
                <w:szCs w:val="16"/>
                <w:u w:val="none"/>
              </w:rPr>
            </w:pPr>
          </w:p>
        </w:tc>
      </w:tr>
      <w:tr w14:paraId="470A5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5A54E">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B04F8">
            <w:pPr>
              <w:jc w:val="center"/>
              <w:rPr>
                <w:rFonts w:hint="eastAsia" w:ascii="宋体" w:hAnsi="宋体" w:eastAsia="宋体" w:cs="宋体"/>
                <w:i w:val="0"/>
                <w:iCs w:val="0"/>
                <w:color w:val="000000"/>
                <w:sz w:val="18"/>
                <w:szCs w:val="18"/>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7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7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C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F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808C">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3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C242">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3A1">
            <w:pPr>
              <w:jc w:val="center"/>
              <w:rPr>
                <w:rFonts w:hint="eastAsia" w:ascii="微软雅黑" w:hAnsi="微软雅黑" w:eastAsia="微软雅黑" w:cs="微软雅黑"/>
                <w:i/>
                <w:iCs/>
                <w:color w:val="000000"/>
                <w:sz w:val="16"/>
                <w:szCs w:val="16"/>
                <w:u w:val="none"/>
              </w:rPr>
            </w:pPr>
          </w:p>
        </w:tc>
      </w:tr>
      <w:tr w14:paraId="34BC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D2F1">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6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8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D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贫困村工作队年补助标准</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B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5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A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0875">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B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AA5C">
            <w:pPr>
              <w:jc w:val="cente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55D2">
            <w:pPr>
              <w:jc w:val="center"/>
              <w:rPr>
                <w:rFonts w:hint="eastAsia" w:ascii="微软雅黑" w:hAnsi="微软雅黑" w:eastAsia="微软雅黑" w:cs="微软雅黑"/>
                <w:i/>
                <w:iCs/>
                <w:color w:val="000000"/>
                <w:sz w:val="16"/>
                <w:szCs w:val="16"/>
                <w:u w:val="none"/>
              </w:rPr>
            </w:pPr>
          </w:p>
        </w:tc>
      </w:tr>
      <w:tr w14:paraId="5905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9BE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6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E558">
            <w:pPr>
              <w:rPr>
                <w:rFonts w:hint="eastAsia" w:ascii="宋体" w:hAnsi="宋体" w:eastAsia="宋体" w:cs="宋体"/>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2890">
            <w:pPr>
              <w:rPr>
                <w:rFonts w:hint="eastAsia" w:ascii="宋体" w:hAnsi="宋体" w:eastAsia="宋体" w:cs="宋体"/>
                <w:i w:val="0"/>
                <w:iCs w:val="0"/>
                <w:color w:val="000000"/>
                <w:sz w:val="18"/>
                <w:szCs w:val="18"/>
                <w:u w:val="none"/>
              </w:rPr>
            </w:pPr>
          </w:p>
        </w:tc>
      </w:tr>
      <w:tr w14:paraId="6E9E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A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9C27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经对驻村工作队工作经费支持项目的全面评估，项目整体达成预期目标，在乡村振兴工作中发挥了积极作用，但仍存在可优化空间。</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在资金使用与项目管理方面，各项目严格遵循财务管理制度，经费预算编制科学合理，紧密围绕乡村发展需求分配资金。执行过程中，资金审批流程规范，专款专用，票据合规率达 100%，未出现挪用、超支等违规现象。同时，建立了较为完善的项目管理机制，明确各方职责，保障了项目顺利推进。</w:t>
            </w:r>
          </w:p>
        </w:tc>
      </w:tr>
      <w:tr w14:paraId="786E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6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864B0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到位时间存在差异，驻村工作队与乡镇政府、农业农村局、财政局等相关部门之间沟通协调不畅，在项目规划、资金拨付、技术指导等方面缺乏有效配合。部分项目在决策和实施过程中，未充分征求村民意见，村民参与项目规划、监督的渠道不畅通。村民对项目的认同感和积极性不高，甚至出现抵触情绪，影响项目的顺利推进和实施效果。</w:t>
            </w:r>
          </w:p>
        </w:tc>
      </w:tr>
      <w:tr w14:paraId="3BCA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9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F054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建立与财政、乡镇等部门的协同工作机制，简化资金拨付流程，明确各环节办理时限。对已审批通过的项目，实行 “限时拨付”，确保资金及时到位，保障项目顺利推进。通过村民代表大会、村务公开栏、线上平台等多种渠道，广泛征求村民对项目的意见和建议。设立项目监督小组，吸纳村民代表参与项目规划、建设和监督全过程，保障村民的知情权、参与权和监督权。</w:t>
            </w:r>
          </w:p>
        </w:tc>
      </w:tr>
      <w:tr w14:paraId="6254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91B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项目负责人：唐兴旺</w:t>
            </w:r>
          </w:p>
        </w:tc>
        <w:tc>
          <w:tcPr>
            <w:tcW w:w="42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3CEEE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191AD33A">
      <w:pPr>
        <w:rPr>
          <w:rFonts w:hint="default"/>
          <w:lang w:val="en-US" w:eastAsia="zh-CN"/>
        </w:rPr>
      </w:pPr>
    </w:p>
    <w:p w14:paraId="4C29F274">
      <w:pPr>
        <w:pStyle w:val="14"/>
        <w:rPr>
          <w:rFonts w:hint="default"/>
          <w:lang w:val="en-US" w:eastAsia="zh-CN"/>
        </w:rPr>
      </w:pPr>
    </w:p>
    <w:p w14:paraId="3BF78727">
      <w:pPr>
        <w:rPr>
          <w:rFonts w:hint="default"/>
          <w:lang w:val="en-US" w:eastAsia="zh-CN"/>
        </w:rPr>
      </w:pPr>
    </w:p>
    <w:p w14:paraId="3A154D9D">
      <w:pPr>
        <w:pStyle w:val="14"/>
        <w:rPr>
          <w:rFonts w:hint="default"/>
          <w:lang w:val="en-US" w:eastAsia="zh-CN"/>
        </w:rPr>
      </w:pPr>
    </w:p>
    <w:p w14:paraId="45A23B43">
      <w:pPr>
        <w:rPr>
          <w:rFonts w:hint="default"/>
          <w:lang w:val="en-US" w:eastAsia="zh-CN"/>
        </w:rPr>
      </w:pPr>
    </w:p>
    <w:p w14:paraId="500E4B48">
      <w:pPr>
        <w:pStyle w:val="14"/>
        <w:rPr>
          <w:rFonts w:hint="default"/>
          <w:lang w:val="en-US" w:eastAsia="zh-CN"/>
        </w:rPr>
      </w:pPr>
    </w:p>
    <w:p w14:paraId="3FC2B707">
      <w:pPr>
        <w:rPr>
          <w:rFonts w:hint="default"/>
          <w:lang w:val="en-US" w:eastAsia="zh-CN"/>
        </w:rPr>
      </w:pPr>
    </w:p>
    <w:p w14:paraId="1D3B42D8">
      <w:pPr>
        <w:pStyle w:val="14"/>
        <w:rPr>
          <w:rFonts w:hint="default"/>
          <w:lang w:val="en-US" w:eastAsia="zh-CN"/>
        </w:rPr>
      </w:pPr>
    </w:p>
    <w:p w14:paraId="42177EFF">
      <w:pPr>
        <w:rPr>
          <w:rFonts w:hint="default"/>
          <w:lang w:val="en-US" w:eastAsia="zh-CN"/>
        </w:rPr>
      </w:pPr>
    </w:p>
    <w:tbl>
      <w:tblPr>
        <w:tblStyle w:val="16"/>
        <w:tblpPr w:leftFromText="180" w:rightFromText="180" w:vertAnchor="text" w:horzAnchor="page" w:tblpX="1822" w:tblpY="291"/>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849"/>
        <w:gridCol w:w="776"/>
        <w:gridCol w:w="1069"/>
        <w:gridCol w:w="610"/>
        <w:gridCol w:w="666"/>
        <w:gridCol w:w="756"/>
        <w:gridCol w:w="846"/>
        <w:gridCol w:w="671"/>
        <w:gridCol w:w="552"/>
        <w:gridCol w:w="786"/>
      </w:tblGrid>
      <w:tr w14:paraId="23FDD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1E586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0E18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2C1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9777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51090424T000011119302-统计工作经费（长期）</w:t>
            </w:r>
          </w:p>
        </w:tc>
      </w:tr>
      <w:tr w14:paraId="0336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F0C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905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3C36422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9B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1F12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4A9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54B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59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ECBDF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F7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EEBD2">
            <w:pPr>
              <w:rPr>
                <w:rFonts w:hint="eastAsia" w:ascii="宋体" w:hAnsi="宋体" w:eastAsia="宋体" w:cs="宋体"/>
                <w:i w:val="0"/>
                <w:iCs w:val="0"/>
                <w:color w:val="000000"/>
                <w:sz w:val="18"/>
                <w:szCs w:val="18"/>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2583">
            <w:pPr>
              <w:rPr>
                <w:rFonts w:hint="eastAsia" w:ascii="宋体" w:hAnsi="宋体" w:eastAsia="宋体" w:cs="宋体"/>
                <w:i w:val="0"/>
                <w:iCs w:val="0"/>
                <w:color w:val="000000"/>
                <w:sz w:val="18"/>
                <w:szCs w:val="18"/>
                <w:u w:val="none"/>
              </w:rPr>
            </w:pPr>
          </w:p>
        </w:tc>
        <w:tc>
          <w:tcPr>
            <w:tcW w:w="3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B7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1：组织领导和协调全镇统计工作，确保统计数据真实、准确、及时；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2：根据有关部门下发的重大国情国力普查计划、方案，拟订本镇的实施方案，会同有关部门组织实施人口、经济、农业等重大国情国力调查，汇总、整理和提供有关国情国力方面的统计资料；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3：组织实施全镇国民经济核算制度和投入产出调查，核算全镇生产总值，汇编提供国民经济核算资料；</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4：对国民经济、社会发展、科技进步和资源环境等情况进行统计分析、统计预测和统计监督，向区有关部门提供统计信息和咨询建议；</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5：加强统计基础工作和基层统计基础建设。</w:t>
            </w:r>
          </w:p>
        </w:tc>
        <w:tc>
          <w:tcPr>
            <w:tcW w:w="28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EC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单位于2024年8、9月完成资金支付</w:t>
            </w:r>
          </w:p>
        </w:tc>
      </w:tr>
      <w:tr w14:paraId="1F28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D69B">
            <w:pPr>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44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F878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根据统计工作的实际需求，合理编制经费预算，包括人员经费、设备购置与维护费、数据采集与处理费、培训费、会议费、差旅费等各项支出。</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预算需经过财务部门审核，并报上级部门审批，确保经费使用的合理性和科学性。成立项目实施小组，明确各成员职责和任务分工。召开项目启动会议，明确项目目标、实施计划和经费预算等内容</w:t>
            </w:r>
          </w:p>
        </w:tc>
      </w:tr>
      <w:tr w14:paraId="14F1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FA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F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4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7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7A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1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9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1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7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880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88BC">
            <w:pPr>
              <w:jc w:val="center"/>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2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0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C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7B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E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F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B0BD">
            <w:pPr>
              <w:jc w:val="center"/>
              <w:rPr>
                <w:rFonts w:hint="eastAsia" w:ascii="宋体" w:hAnsi="宋体" w:eastAsia="宋体" w:cs="宋体"/>
                <w:i w:val="0"/>
                <w:iCs w:val="0"/>
                <w:color w:val="000000"/>
                <w:sz w:val="18"/>
                <w:szCs w:val="18"/>
                <w:u w:val="none"/>
              </w:rPr>
            </w:pP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44D09">
            <w:pPr>
              <w:rPr>
                <w:rFonts w:hint="eastAsia" w:ascii="黑体" w:hAnsi="黑体" w:eastAsia="黑体" w:cs="黑体"/>
                <w:i/>
                <w:iCs/>
                <w:color w:val="000000"/>
                <w:sz w:val="18"/>
                <w:szCs w:val="18"/>
                <w:u w:val="none"/>
              </w:rPr>
            </w:pPr>
          </w:p>
        </w:tc>
      </w:tr>
      <w:tr w14:paraId="1161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C90FA">
            <w:pPr>
              <w:jc w:val="center"/>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B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9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F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15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B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D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E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5A9E6">
            <w:pPr>
              <w:rPr>
                <w:rFonts w:hint="eastAsia" w:ascii="黑体" w:hAnsi="黑体" w:eastAsia="黑体" w:cs="黑体"/>
                <w:i/>
                <w:iCs/>
                <w:color w:val="000000"/>
                <w:sz w:val="18"/>
                <w:szCs w:val="18"/>
                <w:u w:val="none"/>
              </w:rPr>
            </w:pPr>
          </w:p>
        </w:tc>
      </w:tr>
      <w:tr w14:paraId="1756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D718">
            <w:pPr>
              <w:jc w:val="center"/>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1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D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7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D1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9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1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F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A64A1">
            <w:pPr>
              <w:rPr>
                <w:rFonts w:hint="eastAsia" w:ascii="黑体" w:hAnsi="黑体" w:eastAsia="黑体" w:cs="黑体"/>
                <w:i/>
                <w:iCs/>
                <w:color w:val="000000"/>
                <w:sz w:val="18"/>
                <w:szCs w:val="18"/>
                <w:u w:val="none"/>
              </w:rPr>
            </w:pPr>
          </w:p>
        </w:tc>
      </w:tr>
      <w:tr w14:paraId="4E53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1375">
            <w:pPr>
              <w:jc w:val="center"/>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5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0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4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34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C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B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4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819C">
            <w:pPr>
              <w:rPr>
                <w:rFonts w:hint="eastAsia" w:ascii="黑体" w:hAnsi="黑体" w:eastAsia="黑体" w:cs="黑体"/>
                <w:i/>
                <w:iCs/>
                <w:color w:val="000000"/>
                <w:sz w:val="18"/>
                <w:szCs w:val="18"/>
                <w:u w:val="none"/>
              </w:rPr>
            </w:pPr>
          </w:p>
        </w:tc>
      </w:tr>
      <w:tr w14:paraId="2B055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F253F">
            <w:pPr>
              <w:jc w:val="center"/>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4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B33A">
            <w:pPr>
              <w:jc w:val="center"/>
              <w:rPr>
                <w:rFonts w:hint="eastAsia" w:ascii="微软雅黑" w:hAnsi="微软雅黑" w:eastAsia="微软雅黑" w:cs="微软雅黑"/>
                <w:i/>
                <w:iCs/>
                <w:color w:val="000000"/>
                <w:sz w:val="16"/>
                <w:szCs w:val="16"/>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2801">
            <w:pPr>
              <w:jc w:val="center"/>
              <w:rPr>
                <w:rFonts w:hint="eastAsia" w:ascii="微软雅黑" w:hAnsi="微软雅黑" w:eastAsia="微软雅黑" w:cs="微软雅黑"/>
                <w:i/>
                <w:iCs/>
                <w:color w:val="000000"/>
                <w:sz w:val="16"/>
                <w:szCs w:val="16"/>
                <w:u w:val="none"/>
              </w:rPr>
            </w:pP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EFEC0">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B5B8">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9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85026">
            <w:pPr>
              <w:rPr>
                <w:rFonts w:hint="eastAsia" w:ascii="黑体" w:hAnsi="黑体" w:eastAsia="黑体" w:cs="黑体"/>
                <w:i/>
                <w:iCs/>
                <w:color w:val="000000"/>
                <w:sz w:val="18"/>
                <w:szCs w:val="18"/>
                <w:u w:val="none"/>
              </w:rPr>
            </w:pPr>
          </w:p>
        </w:tc>
      </w:tr>
      <w:tr w14:paraId="73F8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2A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E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3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6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7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4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6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3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3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8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E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627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B9DB5">
            <w:pPr>
              <w:jc w:val="center"/>
              <w:rPr>
                <w:rFonts w:hint="eastAsia" w:ascii="宋体" w:hAnsi="宋体" w:eastAsia="宋体" w:cs="宋体"/>
                <w:i w:val="0"/>
                <w:iCs w:val="0"/>
                <w:color w:val="000000"/>
                <w:sz w:val="18"/>
                <w:szCs w:val="18"/>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76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0D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E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普查人员</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F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6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9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D42">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5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39BE">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3D93">
            <w:pPr>
              <w:jc w:val="center"/>
              <w:rPr>
                <w:rFonts w:hint="eastAsia" w:ascii="微软雅黑" w:hAnsi="微软雅黑" w:eastAsia="微软雅黑" w:cs="微软雅黑"/>
                <w:i/>
                <w:iCs/>
                <w:color w:val="000000"/>
                <w:sz w:val="16"/>
                <w:szCs w:val="16"/>
                <w:u w:val="none"/>
              </w:rPr>
            </w:pPr>
          </w:p>
        </w:tc>
      </w:tr>
      <w:tr w14:paraId="32E1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3118C">
            <w:pPr>
              <w:jc w:val="center"/>
              <w:rPr>
                <w:rFonts w:hint="eastAsia" w:ascii="宋体" w:hAnsi="宋体" w:eastAsia="宋体" w:cs="宋体"/>
                <w:i w:val="0"/>
                <w:iCs w:val="0"/>
                <w:color w:val="000000"/>
                <w:sz w:val="18"/>
                <w:szCs w:val="18"/>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47FF">
            <w:pPr>
              <w:jc w:val="center"/>
              <w:rPr>
                <w:rFonts w:hint="eastAsia" w:ascii="宋体" w:hAnsi="宋体" w:eastAsia="宋体" w:cs="宋体"/>
                <w:i w:val="0"/>
                <w:iCs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5F016">
            <w:pPr>
              <w:jc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9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统计专项事务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B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E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8D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C1C">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9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DC07">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D943">
            <w:pPr>
              <w:jc w:val="center"/>
              <w:rPr>
                <w:rFonts w:hint="eastAsia" w:ascii="微软雅黑" w:hAnsi="微软雅黑" w:eastAsia="微软雅黑" w:cs="微软雅黑"/>
                <w:i/>
                <w:iCs/>
                <w:color w:val="000000"/>
                <w:sz w:val="16"/>
                <w:szCs w:val="16"/>
                <w:u w:val="none"/>
              </w:rPr>
            </w:pPr>
          </w:p>
        </w:tc>
      </w:tr>
      <w:tr w14:paraId="501A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9D2EC">
            <w:pPr>
              <w:jc w:val="center"/>
              <w:rPr>
                <w:rFonts w:hint="eastAsia" w:ascii="宋体" w:hAnsi="宋体" w:eastAsia="宋体" w:cs="宋体"/>
                <w:i w:val="0"/>
                <w:iCs w:val="0"/>
                <w:color w:val="000000"/>
                <w:sz w:val="18"/>
                <w:szCs w:val="18"/>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9BE0">
            <w:pPr>
              <w:jc w:val="center"/>
              <w:rPr>
                <w:rFonts w:hint="eastAsia" w:ascii="宋体" w:hAnsi="宋体" w:eastAsia="宋体" w:cs="宋体"/>
                <w:i w:val="0"/>
                <w:iCs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E899">
            <w:pPr>
              <w:jc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A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住户调查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5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5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19540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2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F94F">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3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BF07">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3D2C">
            <w:pPr>
              <w:jc w:val="center"/>
              <w:rPr>
                <w:rFonts w:hint="eastAsia" w:ascii="微软雅黑" w:hAnsi="微软雅黑" w:eastAsia="微软雅黑" w:cs="微软雅黑"/>
                <w:i/>
                <w:iCs/>
                <w:color w:val="000000"/>
                <w:sz w:val="16"/>
                <w:szCs w:val="16"/>
                <w:u w:val="none"/>
              </w:rPr>
            </w:pPr>
          </w:p>
        </w:tc>
      </w:tr>
      <w:tr w14:paraId="1BFD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6BBB">
            <w:pPr>
              <w:jc w:val="center"/>
              <w:rPr>
                <w:rFonts w:hint="eastAsia" w:ascii="宋体" w:hAnsi="宋体" w:eastAsia="宋体" w:cs="宋体"/>
                <w:i w:val="0"/>
                <w:iCs w:val="0"/>
                <w:color w:val="000000"/>
                <w:sz w:val="18"/>
                <w:szCs w:val="18"/>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EB4D">
            <w:pPr>
              <w:jc w:val="center"/>
              <w:rPr>
                <w:rFonts w:hint="eastAsia" w:ascii="宋体" w:hAnsi="宋体" w:eastAsia="宋体" w:cs="宋体"/>
                <w:i w:val="0"/>
                <w:iCs w:val="0"/>
                <w:color w:val="000000"/>
                <w:sz w:val="18"/>
                <w:szCs w:val="18"/>
                <w:u w:val="none"/>
              </w:rPr>
            </w:pPr>
          </w:p>
        </w:tc>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46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C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完成年初制定的工作计划</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1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1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3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DA2D">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5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16E3">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486">
            <w:pPr>
              <w:jc w:val="center"/>
              <w:rPr>
                <w:rFonts w:hint="eastAsia" w:ascii="微软雅黑" w:hAnsi="微软雅黑" w:eastAsia="微软雅黑" w:cs="微软雅黑"/>
                <w:i/>
                <w:iCs/>
                <w:color w:val="000000"/>
                <w:sz w:val="16"/>
                <w:szCs w:val="16"/>
                <w:u w:val="none"/>
              </w:rPr>
            </w:pPr>
          </w:p>
        </w:tc>
      </w:tr>
      <w:tr w14:paraId="05AB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3185">
            <w:pPr>
              <w:jc w:val="center"/>
              <w:rPr>
                <w:rFonts w:hint="eastAsia" w:ascii="宋体" w:hAnsi="宋体" w:eastAsia="宋体" w:cs="宋体"/>
                <w:i w:val="0"/>
                <w:iCs w:val="0"/>
                <w:color w:val="000000"/>
                <w:sz w:val="18"/>
                <w:szCs w:val="18"/>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A194">
            <w:pPr>
              <w:jc w:val="center"/>
              <w:rPr>
                <w:rFonts w:hint="eastAsia" w:ascii="宋体" w:hAnsi="宋体" w:eastAsia="宋体" w:cs="宋体"/>
                <w:i w:val="0"/>
                <w:iCs w:val="0"/>
                <w:color w:val="000000"/>
                <w:sz w:val="18"/>
                <w:szCs w:val="18"/>
                <w:u w:val="none"/>
              </w:rPr>
            </w:pPr>
          </w:p>
        </w:tc>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12402">
            <w:pPr>
              <w:jc w:val="center"/>
              <w:rPr>
                <w:rFonts w:hint="eastAsia" w:ascii="宋体" w:hAnsi="宋体" w:eastAsia="宋体" w:cs="宋体"/>
                <w:i w:val="0"/>
                <w:iCs w:val="0"/>
                <w:color w:val="000000"/>
                <w:sz w:val="18"/>
                <w:szCs w:val="18"/>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D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高质量完成全面普查</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3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F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FE6F">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4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1A0">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231F">
            <w:pPr>
              <w:jc w:val="center"/>
              <w:rPr>
                <w:rFonts w:hint="eastAsia" w:ascii="微软雅黑" w:hAnsi="微软雅黑" w:eastAsia="微软雅黑" w:cs="微软雅黑"/>
                <w:i/>
                <w:iCs/>
                <w:color w:val="000000"/>
                <w:sz w:val="16"/>
                <w:szCs w:val="16"/>
                <w:u w:val="none"/>
              </w:rPr>
            </w:pPr>
          </w:p>
        </w:tc>
      </w:tr>
      <w:tr w14:paraId="1562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8625">
            <w:pPr>
              <w:jc w:val="center"/>
              <w:rPr>
                <w:rFonts w:hint="eastAsia" w:ascii="宋体" w:hAnsi="宋体" w:eastAsia="宋体" w:cs="宋体"/>
                <w:i w:val="0"/>
                <w:iCs w:val="0"/>
                <w:color w:val="000000"/>
                <w:sz w:val="18"/>
                <w:szCs w:val="18"/>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F9032">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D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8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项目进度计划完成率</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F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4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9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1D58">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4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0CB4">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CD4D">
            <w:pPr>
              <w:jc w:val="center"/>
              <w:rPr>
                <w:rFonts w:hint="eastAsia" w:ascii="微软雅黑" w:hAnsi="微软雅黑" w:eastAsia="微软雅黑" w:cs="微软雅黑"/>
                <w:i/>
                <w:iCs/>
                <w:color w:val="000000"/>
                <w:sz w:val="16"/>
                <w:szCs w:val="16"/>
                <w:u w:val="none"/>
              </w:rPr>
            </w:pPr>
          </w:p>
        </w:tc>
      </w:tr>
      <w:tr w14:paraId="4243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AD5A2">
            <w:pPr>
              <w:jc w:val="center"/>
              <w:rPr>
                <w:rFonts w:hint="eastAsia" w:ascii="宋体" w:hAnsi="宋体" w:eastAsia="宋体" w:cs="宋体"/>
                <w:i w:val="0"/>
                <w:iCs w:val="0"/>
                <w:color w:val="000000"/>
                <w:sz w:val="18"/>
                <w:szCs w:val="18"/>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D1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D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6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为国民经济和社会发展规划提供数据</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8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F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C244">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A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CC3F">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C58F">
            <w:pPr>
              <w:jc w:val="center"/>
              <w:rPr>
                <w:rFonts w:hint="eastAsia" w:ascii="微软雅黑" w:hAnsi="微软雅黑" w:eastAsia="微软雅黑" w:cs="微软雅黑"/>
                <w:i/>
                <w:iCs/>
                <w:color w:val="000000"/>
                <w:sz w:val="16"/>
                <w:szCs w:val="16"/>
                <w:u w:val="none"/>
              </w:rPr>
            </w:pPr>
          </w:p>
        </w:tc>
      </w:tr>
      <w:tr w14:paraId="2340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BDC4D">
            <w:pPr>
              <w:jc w:val="center"/>
              <w:rPr>
                <w:rFonts w:hint="eastAsia" w:ascii="宋体" w:hAnsi="宋体" w:eastAsia="宋体" w:cs="宋体"/>
                <w:i w:val="0"/>
                <w:iCs w:val="0"/>
                <w:color w:val="000000"/>
                <w:sz w:val="18"/>
                <w:szCs w:val="18"/>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C0C2">
            <w:pPr>
              <w:jc w:val="center"/>
              <w:rPr>
                <w:rFonts w:hint="eastAsia" w:ascii="宋体" w:hAnsi="宋体" w:eastAsia="宋体" w:cs="宋体"/>
                <w:i w:val="0"/>
                <w:iCs w:val="0"/>
                <w:color w:val="000000"/>
                <w:sz w:val="18"/>
                <w:szCs w:val="18"/>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3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2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主要普查数据得到社会认可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0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A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DEE8">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2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C3C1">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968F">
            <w:pPr>
              <w:jc w:val="center"/>
              <w:rPr>
                <w:rFonts w:hint="eastAsia" w:ascii="微软雅黑" w:hAnsi="微软雅黑" w:eastAsia="微软雅黑" w:cs="微软雅黑"/>
                <w:i/>
                <w:iCs/>
                <w:color w:val="000000"/>
                <w:sz w:val="16"/>
                <w:szCs w:val="16"/>
                <w:u w:val="none"/>
              </w:rPr>
            </w:pPr>
          </w:p>
        </w:tc>
      </w:tr>
      <w:tr w14:paraId="42E2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A52E">
            <w:pPr>
              <w:jc w:val="center"/>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0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7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6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8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D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E8E4">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6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7832">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B126">
            <w:pPr>
              <w:jc w:val="center"/>
              <w:rPr>
                <w:rFonts w:hint="eastAsia" w:ascii="微软雅黑" w:hAnsi="微软雅黑" w:eastAsia="微软雅黑" w:cs="微软雅黑"/>
                <w:i/>
                <w:iCs/>
                <w:color w:val="000000"/>
                <w:sz w:val="16"/>
                <w:szCs w:val="16"/>
                <w:u w:val="none"/>
              </w:rPr>
            </w:pPr>
          </w:p>
        </w:tc>
      </w:tr>
      <w:tr w14:paraId="5968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769D">
            <w:pPr>
              <w:jc w:val="center"/>
              <w:rPr>
                <w:rFonts w:hint="eastAsia" w:ascii="宋体" w:hAnsi="宋体" w:eastAsia="宋体" w:cs="宋体"/>
                <w:i w:val="0"/>
                <w:iCs w:val="0"/>
                <w:color w:val="000000"/>
                <w:sz w:val="18"/>
                <w:szCs w:val="18"/>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7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C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3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25人统计劳务费</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6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3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2539">
            <w:pPr>
              <w:jc w:val="center"/>
              <w:rPr>
                <w:rFonts w:hint="eastAsia" w:ascii="微软雅黑" w:hAnsi="微软雅黑" w:eastAsia="微软雅黑" w:cs="微软雅黑"/>
                <w:i/>
                <w:iCs/>
                <w:color w:val="000000"/>
                <w:sz w:val="16"/>
                <w:szCs w:val="16"/>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E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529B">
            <w:pPr>
              <w:jc w:val="cente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BD41">
            <w:pPr>
              <w:jc w:val="center"/>
              <w:rPr>
                <w:rFonts w:hint="eastAsia" w:ascii="微软雅黑" w:hAnsi="微软雅黑" w:eastAsia="微软雅黑" w:cs="微软雅黑"/>
                <w:i/>
                <w:iCs/>
                <w:color w:val="000000"/>
                <w:sz w:val="16"/>
                <w:szCs w:val="16"/>
                <w:u w:val="none"/>
              </w:rPr>
            </w:pPr>
          </w:p>
        </w:tc>
      </w:tr>
      <w:tr w14:paraId="47FA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955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0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BAC5">
            <w:pPr>
              <w:rPr>
                <w:rFonts w:hint="eastAsia" w:ascii="宋体" w:hAnsi="宋体" w:eastAsia="宋体" w:cs="宋体"/>
                <w:i w:val="0"/>
                <w:iCs w:val="0"/>
                <w:color w:val="000000"/>
                <w:sz w:val="18"/>
                <w:szCs w:val="18"/>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0585">
            <w:pPr>
              <w:rPr>
                <w:rFonts w:hint="eastAsia" w:ascii="宋体" w:hAnsi="宋体" w:eastAsia="宋体" w:cs="宋体"/>
                <w:i w:val="0"/>
                <w:iCs w:val="0"/>
                <w:color w:val="000000"/>
                <w:sz w:val="18"/>
                <w:szCs w:val="18"/>
                <w:u w:val="none"/>
              </w:rPr>
            </w:pPr>
          </w:p>
        </w:tc>
      </w:tr>
      <w:tr w14:paraId="6EFC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A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55B78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总体上看，项目目标明确、资金到位率高、组织监管体系完善。我镇（街道）统计工作经费项目资金较好地实现了绩效目标</w:t>
            </w:r>
          </w:p>
        </w:tc>
      </w:tr>
      <w:tr w14:paraId="3C19F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8D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A5AD1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部分统计人员专业素质不高，对统计制度和方法理解不透彻，加上工作量大、时间紧迫等因素，导致数据质量难以保证。</w:t>
            </w:r>
          </w:p>
        </w:tc>
      </w:tr>
      <w:tr w14:paraId="1496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D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3D4B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加强统计人员的培训和管理，提高其专业素质和业务能力</w:t>
            </w:r>
          </w:p>
        </w:tc>
      </w:tr>
      <w:tr w14:paraId="16E6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1A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项目负责人：罗冬梅</w:t>
            </w:r>
          </w:p>
        </w:tc>
        <w:tc>
          <w:tcPr>
            <w:tcW w:w="427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025F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096F9E2E">
      <w:pPr>
        <w:pStyle w:val="14"/>
        <w:rPr>
          <w:rFonts w:hint="default"/>
          <w:lang w:val="en-US" w:eastAsia="zh-CN"/>
        </w:rPr>
      </w:pPr>
    </w:p>
    <w:p w14:paraId="36B69541">
      <w:pPr>
        <w:rPr>
          <w:rFonts w:hint="default"/>
          <w:lang w:val="en-US" w:eastAsia="zh-CN"/>
        </w:rPr>
      </w:pPr>
    </w:p>
    <w:p w14:paraId="3A381A82">
      <w:pPr>
        <w:pStyle w:val="14"/>
        <w:rPr>
          <w:rFonts w:hint="default"/>
          <w:lang w:val="en-US" w:eastAsia="zh-CN"/>
        </w:rPr>
      </w:pPr>
    </w:p>
    <w:p w14:paraId="0D236775">
      <w:pPr>
        <w:rPr>
          <w:rFonts w:hint="default"/>
          <w:lang w:val="en-US" w:eastAsia="zh-CN"/>
        </w:rPr>
      </w:pPr>
    </w:p>
    <w:p w14:paraId="2E14D068">
      <w:pPr>
        <w:pStyle w:val="14"/>
        <w:rPr>
          <w:rFonts w:hint="default"/>
          <w:lang w:val="en-US" w:eastAsia="zh-CN"/>
        </w:rPr>
      </w:pPr>
    </w:p>
    <w:p w14:paraId="2139C416">
      <w:pPr>
        <w:rPr>
          <w:rFonts w:hint="default"/>
          <w:lang w:val="en-US" w:eastAsia="zh-CN"/>
        </w:rPr>
      </w:pPr>
    </w:p>
    <w:p w14:paraId="193F877F">
      <w:pPr>
        <w:pStyle w:val="14"/>
        <w:rPr>
          <w:rFonts w:hint="default"/>
          <w:lang w:val="en-US" w:eastAsia="zh-CN"/>
        </w:rPr>
      </w:pPr>
    </w:p>
    <w:p w14:paraId="7CB8B51A">
      <w:pPr>
        <w:rPr>
          <w:rFonts w:hint="default"/>
          <w:lang w:val="en-US" w:eastAsia="zh-CN"/>
        </w:rPr>
      </w:pPr>
    </w:p>
    <w:p w14:paraId="3D08CCE0">
      <w:pPr>
        <w:pStyle w:val="14"/>
        <w:rPr>
          <w:rFonts w:hint="default"/>
          <w:lang w:val="en-US" w:eastAsia="zh-CN"/>
        </w:rPr>
      </w:pPr>
    </w:p>
    <w:p w14:paraId="76E73D87">
      <w:pPr>
        <w:rPr>
          <w:rFonts w:hint="default"/>
          <w:lang w:val="en-US" w:eastAsia="zh-CN"/>
        </w:rPr>
      </w:pPr>
    </w:p>
    <w:p w14:paraId="0D121E19">
      <w:pPr>
        <w:pStyle w:val="14"/>
        <w:rPr>
          <w:rFonts w:hint="default"/>
          <w:lang w:val="en-US" w:eastAsia="zh-CN"/>
        </w:rPr>
      </w:pPr>
    </w:p>
    <w:p w14:paraId="5C05B95F">
      <w:pPr>
        <w:rPr>
          <w:rFonts w:hint="default"/>
          <w:lang w:val="en-US" w:eastAsia="zh-CN"/>
        </w:rPr>
      </w:pPr>
    </w:p>
    <w:p w14:paraId="775CB5D5">
      <w:pPr>
        <w:pStyle w:val="14"/>
        <w:rPr>
          <w:rFonts w:hint="default"/>
          <w:lang w:val="en-US" w:eastAsia="zh-CN"/>
        </w:rPr>
      </w:pPr>
    </w:p>
    <w:tbl>
      <w:tblPr>
        <w:tblStyle w:val="16"/>
        <w:tblpPr w:leftFromText="180" w:rightFromText="180" w:vertAnchor="text" w:horzAnchor="page" w:tblpX="1803" w:tblpY="228"/>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9"/>
        <w:gridCol w:w="745"/>
        <w:gridCol w:w="846"/>
        <w:gridCol w:w="672"/>
        <w:gridCol w:w="553"/>
        <w:gridCol w:w="791"/>
      </w:tblGrid>
      <w:tr w14:paraId="5938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C9BA5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9D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495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225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51090424T000011156508-2024年网格人员保险费用</w:t>
            </w:r>
          </w:p>
        </w:tc>
      </w:tr>
      <w:tr w14:paraId="24F3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25F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0E2B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68F05FE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DC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4A54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DB5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B79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C02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52B6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3F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7537">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488E3">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D226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格人员作为基层社会治理的重要力量，承担着信息采集、矛盾调解、安全巡查等多项工作。为保障网格人员的人身财产安全，增强网格人员的工作安全感和积极性，更好的促进基层社会治理工作的顺利开展提供保障购买保险。</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0A0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单位于2024年10月完成项目资金支付</w:t>
            </w:r>
          </w:p>
        </w:tc>
      </w:tr>
      <w:tr w14:paraId="503F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4F213">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CB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78D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由业务部门核实投保人数；对接保险公司等事宜，最后由财政部门支付保险费用</w:t>
            </w:r>
          </w:p>
        </w:tc>
      </w:tr>
      <w:tr w14:paraId="509C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80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5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5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A2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5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9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3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E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37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9665">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2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6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E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1A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7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4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F76D">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21E56">
            <w:pPr>
              <w:rPr>
                <w:rFonts w:hint="eastAsia" w:ascii="黑体" w:hAnsi="黑体" w:eastAsia="黑体" w:cs="黑体"/>
                <w:i/>
                <w:iCs/>
                <w:color w:val="000000"/>
                <w:sz w:val="18"/>
                <w:szCs w:val="18"/>
                <w:u w:val="none"/>
              </w:rPr>
            </w:pPr>
          </w:p>
        </w:tc>
      </w:tr>
      <w:tr w14:paraId="432C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4BCD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A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6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E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09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4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E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3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C9B70">
            <w:pPr>
              <w:rPr>
                <w:rFonts w:hint="eastAsia" w:ascii="黑体" w:hAnsi="黑体" w:eastAsia="黑体" w:cs="黑体"/>
                <w:i/>
                <w:iCs/>
                <w:color w:val="000000"/>
                <w:sz w:val="18"/>
                <w:szCs w:val="18"/>
                <w:u w:val="none"/>
              </w:rPr>
            </w:pPr>
          </w:p>
        </w:tc>
      </w:tr>
      <w:tr w14:paraId="61CD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86AF3">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D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1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1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C9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6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E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B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5001">
            <w:pPr>
              <w:rPr>
                <w:rFonts w:hint="eastAsia" w:ascii="黑体" w:hAnsi="黑体" w:eastAsia="黑体" w:cs="黑体"/>
                <w:i/>
                <w:iCs/>
                <w:color w:val="000000"/>
                <w:sz w:val="18"/>
                <w:szCs w:val="18"/>
                <w:u w:val="none"/>
              </w:rPr>
            </w:pPr>
          </w:p>
        </w:tc>
      </w:tr>
      <w:tr w14:paraId="2F53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38B2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6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A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7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51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3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2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C6A3D">
            <w:pPr>
              <w:rPr>
                <w:rFonts w:hint="eastAsia" w:ascii="黑体" w:hAnsi="黑体" w:eastAsia="黑体" w:cs="黑体"/>
                <w:i/>
                <w:iCs/>
                <w:color w:val="000000"/>
                <w:sz w:val="18"/>
                <w:szCs w:val="18"/>
                <w:u w:val="none"/>
              </w:rPr>
            </w:pPr>
          </w:p>
        </w:tc>
      </w:tr>
      <w:tr w14:paraId="0B65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B3C4">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5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4AC2">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185C">
            <w:pPr>
              <w:jc w:val="center"/>
              <w:rPr>
                <w:rFonts w:hint="eastAsia" w:ascii="微软雅黑" w:hAnsi="微软雅黑" w:eastAsia="微软雅黑" w:cs="微软雅黑"/>
                <w:i/>
                <w:iCs/>
                <w:color w:val="000000"/>
                <w:sz w:val="16"/>
                <w:szCs w:val="16"/>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89FCC">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2941">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5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9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EDA7">
            <w:pPr>
              <w:rPr>
                <w:rFonts w:hint="eastAsia" w:ascii="黑体" w:hAnsi="黑体" w:eastAsia="黑体" w:cs="黑体"/>
                <w:i/>
                <w:iCs/>
                <w:color w:val="000000"/>
                <w:sz w:val="18"/>
                <w:szCs w:val="18"/>
                <w:u w:val="none"/>
              </w:rPr>
            </w:pPr>
          </w:p>
        </w:tc>
      </w:tr>
      <w:tr w14:paraId="3DB5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BC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F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7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54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A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D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4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2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0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0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F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9113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3285F">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2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7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9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购买金额</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8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4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4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A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A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C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1A06">
            <w:pPr>
              <w:jc w:val="center"/>
              <w:rPr>
                <w:rFonts w:hint="eastAsia" w:ascii="宋体" w:hAnsi="宋体" w:eastAsia="宋体" w:cs="宋体"/>
                <w:i w:val="0"/>
                <w:iCs w:val="0"/>
                <w:color w:val="000000"/>
                <w:sz w:val="18"/>
                <w:szCs w:val="18"/>
                <w:u w:val="none"/>
              </w:rPr>
            </w:pPr>
          </w:p>
        </w:tc>
      </w:tr>
      <w:tr w14:paraId="6EE9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A57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0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8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3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A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7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3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8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6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F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E313">
            <w:pPr>
              <w:jc w:val="center"/>
              <w:rPr>
                <w:rFonts w:hint="eastAsia" w:ascii="宋体" w:hAnsi="宋体" w:eastAsia="宋体" w:cs="宋体"/>
                <w:i w:val="0"/>
                <w:iCs w:val="0"/>
                <w:color w:val="000000"/>
                <w:sz w:val="18"/>
                <w:szCs w:val="18"/>
                <w:u w:val="none"/>
              </w:rPr>
            </w:pPr>
          </w:p>
        </w:tc>
      </w:tr>
      <w:tr w14:paraId="69EF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4BB1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B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D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8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D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E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D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6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A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A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50F3">
            <w:pPr>
              <w:jc w:val="center"/>
              <w:rPr>
                <w:rFonts w:hint="eastAsia" w:ascii="宋体" w:hAnsi="宋体" w:eastAsia="宋体" w:cs="宋体"/>
                <w:i w:val="0"/>
                <w:iCs w:val="0"/>
                <w:color w:val="000000"/>
                <w:sz w:val="18"/>
                <w:szCs w:val="18"/>
                <w:u w:val="none"/>
              </w:rPr>
            </w:pPr>
          </w:p>
        </w:tc>
      </w:tr>
      <w:tr w14:paraId="5BEF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9DD0">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D9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E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购买时间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A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F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2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C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3218">
            <w:pPr>
              <w:jc w:val="center"/>
              <w:rPr>
                <w:rFonts w:hint="eastAsia" w:ascii="宋体" w:hAnsi="宋体" w:eastAsia="宋体" w:cs="宋体"/>
                <w:i w:val="0"/>
                <w:iCs w:val="0"/>
                <w:color w:val="000000"/>
                <w:sz w:val="18"/>
                <w:szCs w:val="18"/>
                <w:u w:val="none"/>
              </w:rPr>
            </w:pPr>
          </w:p>
        </w:tc>
      </w:tr>
      <w:tr w14:paraId="62E2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2FAEE">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1B98C">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7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8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按期购买率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9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7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3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A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C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5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2FBE">
            <w:pPr>
              <w:jc w:val="center"/>
              <w:rPr>
                <w:rFonts w:hint="eastAsia" w:ascii="宋体" w:hAnsi="宋体" w:eastAsia="宋体" w:cs="宋体"/>
                <w:i w:val="0"/>
                <w:iCs w:val="0"/>
                <w:color w:val="000000"/>
                <w:sz w:val="18"/>
                <w:szCs w:val="18"/>
                <w:u w:val="none"/>
              </w:rPr>
            </w:pPr>
          </w:p>
        </w:tc>
      </w:tr>
      <w:tr w14:paraId="48C2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EBEB">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D311">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9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E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购买人数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0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0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6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A0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1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4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CE06">
            <w:pPr>
              <w:jc w:val="center"/>
              <w:rPr>
                <w:rFonts w:hint="eastAsia" w:ascii="微软雅黑" w:hAnsi="微软雅黑" w:eastAsia="微软雅黑" w:cs="微软雅黑"/>
                <w:i/>
                <w:iCs/>
                <w:color w:val="000000"/>
                <w:sz w:val="16"/>
                <w:szCs w:val="16"/>
                <w:u w:val="none"/>
              </w:rPr>
            </w:pPr>
          </w:p>
        </w:tc>
      </w:tr>
      <w:tr w14:paraId="7FDB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843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8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8E07">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9272">
            <w:pPr>
              <w:rPr>
                <w:rFonts w:hint="eastAsia" w:ascii="宋体" w:hAnsi="宋体" w:eastAsia="宋体" w:cs="宋体"/>
                <w:i w:val="0"/>
                <w:iCs w:val="0"/>
                <w:color w:val="000000"/>
                <w:sz w:val="18"/>
                <w:szCs w:val="18"/>
                <w:u w:val="none"/>
              </w:rPr>
            </w:pPr>
          </w:p>
        </w:tc>
      </w:tr>
      <w:tr w14:paraId="5502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1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E61E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我镇深入了解了网格人员保险费用使用情况，发现了存在的问题并制定了改进措施。未来将持续加强保险费用管理，不断优化保险方案和服务，切实提高保险费用使用绩效，为网格人员提供更坚实的保障。</w:t>
            </w:r>
          </w:p>
        </w:tc>
      </w:tr>
      <w:tr w14:paraId="52A9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61A4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1、保险覆盖不均衡；2、保险费用管理存在漏洞。</w:t>
            </w:r>
          </w:p>
        </w:tc>
      </w:tr>
      <w:tr w14:paraId="7552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A19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1、优化保险方案；2、提升保险服务质量；3、加强保险宣传与推广</w:t>
            </w:r>
          </w:p>
        </w:tc>
      </w:tr>
      <w:tr w14:paraId="1A35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B482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项目负责人：蒋茂艳</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FE18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28B8E2F9">
      <w:pPr>
        <w:rPr>
          <w:rFonts w:hint="default"/>
          <w:lang w:val="en-US" w:eastAsia="zh-CN"/>
        </w:rPr>
      </w:pPr>
    </w:p>
    <w:p w14:paraId="47B7C1E2">
      <w:pPr>
        <w:pStyle w:val="14"/>
        <w:rPr>
          <w:rFonts w:hint="default"/>
          <w:lang w:val="en-US" w:eastAsia="zh-CN"/>
        </w:rPr>
      </w:pPr>
    </w:p>
    <w:p w14:paraId="48A0B86F">
      <w:pPr>
        <w:rPr>
          <w:rFonts w:hint="default"/>
          <w:lang w:val="en-US" w:eastAsia="zh-CN"/>
        </w:rPr>
      </w:pPr>
    </w:p>
    <w:p w14:paraId="22CFC43A">
      <w:pPr>
        <w:rPr>
          <w:rFonts w:hint="default"/>
          <w:lang w:val="en-US" w:eastAsia="zh-CN"/>
        </w:rPr>
      </w:pPr>
    </w:p>
    <w:p w14:paraId="2FC0455B">
      <w:pPr>
        <w:pStyle w:val="14"/>
        <w:rPr>
          <w:rFonts w:hint="default"/>
          <w:lang w:val="en-US" w:eastAsia="zh-CN"/>
        </w:rPr>
      </w:pPr>
    </w:p>
    <w:p w14:paraId="70F73411">
      <w:pPr>
        <w:rPr>
          <w:rFonts w:hint="default"/>
          <w:lang w:val="en-US" w:eastAsia="zh-CN"/>
        </w:rPr>
      </w:pPr>
    </w:p>
    <w:p w14:paraId="1BCD2704">
      <w:pPr>
        <w:pStyle w:val="14"/>
        <w:rPr>
          <w:rFonts w:hint="default"/>
          <w:lang w:val="en-US" w:eastAsia="zh-CN"/>
        </w:rPr>
      </w:pPr>
    </w:p>
    <w:p w14:paraId="725D2E12">
      <w:pPr>
        <w:rPr>
          <w:rFonts w:hint="default"/>
          <w:lang w:val="en-US" w:eastAsia="zh-CN"/>
        </w:rPr>
      </w:pPr>
    </w:p>
    <w:p w14:paraId="7F4DDCEE">
      <w:pPr>
        <w:pStyle w:val="14"/>
        <w:rPr>
          <w:rFonts w:hint="default"/>
          <w:lang w:val="en-US" w:eastAsia="zh-CN"/>
        </w:rPr>
      </w:pPr>
    </w:p>
    <w:p w14:paraId="67D8AF94">
      <w:pPr>
        <w:rPr>
          <w:rFonts w:hint="default"/>
          <w:lang w:val="en-US" w:eastAsia="zh-CN"/>
        </w:rPr>
      </w:pPr>
    </w:p>
    <w:p w14:paraId="30EE311E">
      <w:pPr>
        <w:pStyle w:val="14"/>
        <w:rPr>
          <w:rFonts w:hint="default"/>
          <w:lang w:val="en-US" w:eastAsia="zh-CN"/>
        </w:rPr>
      </w:pPr>
    </w:p>
    <w:p w14:paraId="27AC061B">
      <w:pPr>
        <w:rPr>
          <w:rFonts w:hint="default"/>
          <w:lang w:val="en-US" w:eastAsia="zh-CN"/>
        </w:rPr>
      </w:pPr>
    </w:p>
    <w:p w14:paraId="57EE38A4">
      <w:pPr>
        <w:pStyle w:val="14"/>
        <w:rPr>
          <w:rFonts w:hint="default"/>
          <w:lang w:val="en-US" w:eastAsia="zh-CN"/>
        </w:rPr>
      </w:pPr>
    </w:p>
    <w:p w14:paraId="4AD5BA9B">
      <w:pPr>
        <w:rPr>
          <w:rFonts w:hint="default"/>
          <w:lang w:val="en-US" w:eastAsia="zh-CN"/>
        </w:rPr>
      </w:pPr>
    </w:p>
    <w:p w14:paraId="632541E5">
      <w:pPr>
        <w:pStyle w:val="14"/>
        <w:rPr>
          <w:rFonts w:hint="default"/>
          <w:lang w:val="en-US" w:eastAsia="zh-CN"/>
        </w:rPr>
      </w:pPr>
    </w:p>
    <w:p w14:paraId="3127455C">
      <w:pPr>
        <w:rPr>
          <w:rFonts w:hint="default"/>
          <w:lang w:val="en-US" w:eastAsia="zh-CN"/>
        </w:rPr>
      </w:pPr>
    </w:p>
    <w:p w14:paraId="797FC288">
      <w:pPr>
        <w:pStyle w:val="14"/>
        <w:rPr>
          <w:rFonts w:hint="default"/>
          <w:lang w:val="en-US" w:eastAsia="zh-CN"/>
        </w:rPr>
      </w:pPr>
    </w:p>
    <w:p w14:paraId="3C86249B">
      <w:pPr>
        <w:rPr>
          <w:rFonts w:hint="default"/>
          <w:lang w:val="en-US" w:eastAsia="zh-CN"/>
        </w:rPr>
      </w:pPr>
    </w:p>
    <w:p w14:paraId="60F5D666">
      <w:pPr>
        <w:pStyle w:val="14"/>
        <w:rPr>
          <w:rFonts w:hint="default"/>
          <w:lang w:val="en-US" w:eastAsia="zh-CN"/>
        </w:rPr>
      </w:pPr>
    </w:p>
    <w:p w14:paraId="7D9B7DF8">
      <w:pPr>
        <w:rPr>
          <w:rFonts w:hint="default"/>
          <w:lang w:val="en-US" w:eastAsia="zh-CN"/>
        </w:rPr>
      </w:pPr>
    </w:p>
    <w:p w14:paraId="3B95B2E3">
      <w:pPr>
        <w:pStyle w:val="14"/>
        <w:rPr>
          <w:rFonts w:hint="default"/>
          <w:lang w:val="en-US" w:eastAsia="zh-CN"/>
        </w:rPr>
      </w:pPr>
    </w:p>
    <w:p w14:paraId="09F325AA">
      <w:pPr>
        <w:rPr>
          <w:rFonts w:hint="default"/>
          <w:lang w:val="en-US" w:eastAsia="zh-CN"/>
        </w:rPr>
      </w:pPr>
    </w:p>
    <w:p w14:paraId="2F007EC0">
      <w:pPr>
        <w:pStyle w:val="14"/>
        <w:rPr>
          <w:rFonts w:hint="default"/>
          <w:lang w:val="en-US" w:eastAsia="zh-CN"/>
        </w:rPr>
      </w:pPr>
    </w:p>
    <w:p w14:paraId="09803EDA">
      <w:pPr>
        <w:rPr>
          <w:rFonts w:hint="default"/>
          <w:lang w:val="en-US" w:eastAsia="zh-CN"/>
        </w:rPr>
      </w:pPr>
    </w:p>
    <w:p w14:paraId="7F7C18DB">
      <w:pPr>
        <w:rPr>
          <w:rFonts w:hint="default"/>
          <w:lang w:val="en-US" w:eastAsia="zh-CN"/>
        </w:rPr>
      </w:pPr>
    </w:p>
    <w:p w14:paraId="325BE498">
      <w:pPr>
        <w:pStyle w:val="14"/>
        <w:rPr>
          <w:rFonts w:hint="default"/>
          <w:lang w:val="en-US" w:eastAsia="zh-CN"/>
        </w:rPr>
      </w:pPr>
    </w:p>
    <w:p w14:paraId="5F640DB7">
      <w:pPr>
        <w:rPr>
          <w:rFonts w:hint="default"/>
          <w:lang w:val="en-US" w:eastAsia="zh-CN"/>
        </w:rPr>
      </w:pPr>
    </w:p>
    <w:p w14:paraId="598F04C6">
      <w:pPr>
        <w:pStyle w:val="14"/>
        <w:rPr>
          <w:rFonts w:hint="default"/>
          <w:lang w:val="en-US" w:eastAsia="zh-CN"/>
        </w:rPr>
      </w:pPr>
    </w:p>
    <w:p w14:paraId="60A250B9">
      <w:pPr>
        <w:rPr>
          <w:rFonts w:hint="default"/>
          <w:lang w:val="en-US" w:eastAsia="zh-CN"/>
        </w:rPr>
      </w:pPr>
    </w:p>
    <w:p w14:paraId="54EA39C4">
      <w:pPr>
        <w:pStyle w:val="14"/>
        <w:rPr>
          <w:rFonts w:hint="default"/>
          <w:lang w:val="en-US" w:eastAsia="zh-CN"/>
        </w:rPr>
      </w:pPr>
    </w:p>
    <w:p w14:paraId="4922EFCD">
      <w:pPr>
        <w:rPr>
          <w:rFonts w:hint="default"/>
          <w:lang w:val="en-US" w:eastAsia="zh-CN"/>
        </w:rPr>
      </w:pPr>
    </w:p>
    <w:p w14:paraId="4D435CE7">
      <w:pPr>
        <w:pStyle w:val="14"/>
        <w:rPr>
          <w:rFonts w:hint="default"/>
          <w:lang w:val="en-US" w:eastAsia="zh-CN"/>
        </w:rPr>
      </w:pPr>
    </w:p>
    <w:p w14:paraId="7138C3E2">
      <w:pPr>
        <w:rPr>
          <w:rFonts w:hint="default"/>
          <w:lang w:val="en-US" w:eastAsia="zh-CN"/>
        </w:rPr>
      </w:pPr>
    </w:p>
    <w:p w14:paraId="3B3DC115">
      <w:pPr>
        <w:pStyle w:val="14"/>
        <w:rPr>
          <w:rFonts w:hint="default"/>
          <w:lang w:val="en-US" w:eastAsia="zh-CN"/>
        </w:rPr>
      </w:pPr>
    </w:p>
    <w:tbl>
      <w:tblPr>
        <w:tblStyle w:val="16"/>
        <w:tblpPr w:leftFromText="180" w:rightFromText="180" w:vertAnchor="text" w:horzAnchor="page" w:tblpX="1840" w:tblpY="178"/>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4"/>
        <w:gridCol w:w="612"/>
        <w:gridCol w:w="658"/>
        <w:gridCol w:w="745"/>
        <w:gridCol w:w="846"/>
        <w:gridCol w:w="672"/>
        <w:gridCol w:w="553"/>
        <w:gridCol w:w="791"/>
      </w:tblGrid>
      <w:tr w14:paraId="740B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69EB1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B2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92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5209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51090424T000011812494-2024年信创替代专项资金</w:t>
            </w:r>
          </w:p>
        </w:tc>
      </w:tr>
      <w:tr w14:paraId="116D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6A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18D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3BFFE8C6">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95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3315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15C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3C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BDF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F093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20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8777D">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6D216">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383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5.4万元用于信创产品的采购与部署，包括信创计算机终端、服务器、办公外接设备等的购置确保项目顺利推进。</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240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于2024年购买信创电脑</w:t>
            </w:r>
            <w:r>
              <w:rPr>
                <w:rFonts w:hint="eastAsia" w:ascii="黑体" w:hAnsi="黑体" w:eastAsia="黑体" w:cs="黑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台</w:t>
            </w:r>
          </w:p>
        </w:tc>
      </w:tr>
      <w:tr w14:paraId="2007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45158">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EC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6A9C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于2024年购买信创电脑9台</w:t>
            </w:r>
          </w:p>
        </w:tc>
      </w:tr>
      <w:tr w14:paraId="1BE7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20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C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5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A9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C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7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1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F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3442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739F">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6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7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DB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4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2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28B9">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C2CCD">
            <w:pPr>
              <w:rPr>
                <w:rFonts w:hint="eastAsia" w:ascii="黑体" w:hAnsi="黑体" w:eastAsia="黑体" w:cs="黑体"/>
                <w:i/>
                <w:iCs/>
                <w:color w:val="000000"/>
                <w:sz w:val="18"/>
                <w:szCs w:val="18"/>
                <w:u w:val="none"/>
              </w:rPr>
            </w:pPr>
          </w:p>
        </w:tc>
      </w:tr>
      <w:tr w14:paraId="52AB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E819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5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0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6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4F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5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8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7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D44C">
            <w:pPr>
              <w:rPr>
                <w:rFonts w:hint="eastAsia" w:ascii="黑体" w:hAnsi="黑体" w:eastAsia="黑体" w:cs="黑体"/>
                <w:i/>
                <w:iCs/>
                <w:color w:val="000000"/>
                <w:sz w:val="18"/>
                <w:szCs w:val="18"/>
                <w:u w:val="none"/>
              </w:rPr>
            </w:pPr>
          </w:p>
        </w:tc>
      </w:tr>
      <w:tr w14:paraId="221E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31D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B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E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5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BD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6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E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7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E011">
            <w:pPr>
              <w:rPr>
                <w:rFonts w:hint="eastAsia" w:ascii="黑体" w:hAnsi="黑体" w:eastAsia="黑体" w:cs="黑体"/>
                <w:i/>
                <w:iCs/>
                <w:color w:val="000000"/>
                <w:sz w:val="18"/>
                <w:szCs w:val="18"/>
                <w:u w:val="none"/>
              </w:rPr>
            </w:pPr>
          </w:p>
        </w:tc>
      </w:tr>
      <w:tr w14:paraId="7F30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1BE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9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1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B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3D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8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8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A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B2B7B">
            <w:pPr>
              <w:rPr>
                <w:rFonts w:hint="eastAsia" w:ascii="黑体" w:hAnsi="黑体" w:eastAsia="黑体" w:cs="黑体"/>
                <w:i/>
                <w:iCs/>
                <w:color w:val="000000"/>
                <w:sz w:val="18"/>
                <w:szCs w:val="18"/>
                <w:u w:val="none"/>
              </w:rPr>
            </w:pPr>
          </w:p>
        </w:tc>
      </w:tr>
      <w:tr w14:paraId="49D7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D24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E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9FF4">
            <w:pPr>
              <w:jc w:val="center"/>
              <w:rPr>
                <w:rFonts w:hint="eastAsia" w:ascii="微软雅黑" w:hAnsi="微软雅黑" w:eastAsia="微软雅黑" w:cs="微软雅黑"/>
                <w:i/>
                <w:iCs/>
                <w:color w:val="000000"/>
                <w:sz w:val="16"/>
                <w:szCs w:val="16"/>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A6F0">
            <w:pPr>
              <w:jc w:val="center"/>
              <w:rPr>
                <w:rFonts w:hint="eastAsia" w:ascii="微软雅黑" w:hAnsi="微软雅黑" w:eastAsia="微软雅黑" w:cs="微软雅黑"/>
                <w:i/>
                <w:iCs/>
                <w:color w:val="000000"/>
                <w:sz w:val="16"/>
                <w:szCs w:val="16"/>
                <w:u w:val="none"/>
              </w:rPr>
            </w:pPr>
          </w:p>
        </w:tc>
        <w:tc>
          <w:tcPr>
            <w:tcW w:w="20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7E44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221C">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A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9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EB7B">
            <w:pPr>
              <w:rPr>
                <w:rFonts w:hint="eastAsia" w:ascii="黑体" w:hAnsi="黑体" w:eastAsia="黑体" w:cs="黑体"/>
                <w:i/>
                <w:iCs/>
                <w:color w:val="000000"/>
                <w:sz w:val="18"/>
                <w:szCs w:val="18"/>
                <w:u w:val="none"/>
              </w:rPr>
            </w:pPr>
          </w:p>
        </w:tc>
      </w:tr>
      <w:tr w14:paraId="5078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7E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D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2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A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D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D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D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8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F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4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514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F846">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9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3F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4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工作效率提高</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1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D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A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7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3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F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992F">
            <w:pPr>
              <w:jc w:val="center"/>
              <w:rPr>
                <w:rFonts w:hint="eastAsia" w:ascii="宋体" w:hAnsi="宋体" w:eastAsia="宋体" w:cs="宋体"/>
                <w:i w:val="0"/>
                <w:iCs w:val="0"/>
                <w:color w:val="000000"/>
                <w:sz w:val="18"/>
                <w:szCs w:val="18"/>
                <w:u w:val="none"/>
              </w:rPr>
            </w:pPr>
          </w:p>
        </w:tc>
      </w:tr>
      <w:tr w14:paraId="74BF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91E73">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F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7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F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信创项目使用单位对产品性能、技术服务满意度≥85%</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D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5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6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6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9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6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074D">
            <w:pPr>
              <w:jc w:val="center"/>
              <w:rPr>
                <w:rFonts w:hint="eastAsia" w:ascii="宋体" w:hAnsi="宋体" w:eastAsia="宋体" w:cs="宋体"/>
                <w:i w:val="0"/>
                <w:iCs w:val="0"/>
                <w:color w:val="000000"/>
                <w:sz w:val="18"/>
                <w:szCs w:val="18"/>
                <w:u w:val="none"/>
              </w:rPr>
            </w:pPr>
          </w:p>
        </w:tc>
      </w:tr>
      <w:tr w14:paraId="6CBB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4B1A">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B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7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6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0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1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A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4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8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933C">
            <w:pPr>
              <w:jc w:val="center"/>
              <w:rPr>
                <w:rFonts w:hint="eastAsia" w:ascii="宋体" w:hAnsi="宋体" w:eastAsia="宋体" w:cs="宋体"/>
                <w:i w:val="0"/>
                <w:iCs w:val="0"/>
                <w:color w:val="000000"/>
                <w:sz w:val="18"/>
                <w:szCs w:val="18"/>
                <w:u w:val="none"/>
              </w:rPr>
            </w:pPr>
          </w:p>
        </w:tc>
      </w:tr>
      <w:tr w14:paraId="1A0C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5A583">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A8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F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3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10台电脑</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3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4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E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0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1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0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4233">
            <w:pPr>
              <w:jc w:val="center"/>
              <w:rPr>
                <w:rFonts w:hint="eastAsia" w:ascii="宋体" w:hAnsi="宋体" w:eastAsia="宋体" w:cs="宋体"/>
                <w:i w:val="0"/>
                <w:iCs w:val="0"/>
                <w:color w:val="000000"/>
                <w:sz w:val="18"/>
                <w:szCs w:val="18"/>
                <w:u w:val="none"/>
              </w:rPr>
            </w:pPr>
          </w:p>
        </w:tc>
      </w:tr>
      <w:tr w14:paraId="0C45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BFBCE">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9FD5">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6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3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电脑使用率达到98%</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0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7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A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3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5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1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10EF">
            <w:pPr>
              <w:jc w:val="center"/>
              <w:rPr>
                <w:rFonts w:hint="eastAsia" w:ascii="宋体" w:hAnsi="宋体" w:eastAsia="宋体" w:cs="宋体"/>
                <w:i w:val="0"/>
                <w:iCs w:val="0"/>
                <w:color w:val="000000"/>
                <w:sz w:val="18"/>
                <w:szCs w:val="18"/>
                <w:u w:val="none"/>
              </w:rPr>
            </w:pPr>
          </w:p>
        </w:tc>
      </w:tr>
      <w:tr w14:paraId="49CE1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B3800">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CE53">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0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1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1月31日-12月31日</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E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6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B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F7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2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5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6E7D">
            <w:pPr>
              <w:jc w:val="center"/>
              <w:rPr>
                <w:rFonts w:hint="eastAsia" w:ascii="微软雅黑" w:hAnsi="微软雅黑" w:eastAsia="微软雅黑" w:cs="微软雅黑"/>
                <w:i/>
                <w:iCs/>
                <w:color w:val="000000"/>
                <w:sz w:val="16"/>
                <w:szCs w:val="16"/>
                <w:u w:val="none"/>
              </w:rPr>
            </w:pPr>
          </w:p>
        </w:tc>
      </w:tr>
      <w:tr w14:paraId="3E5C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913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8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B659">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CD3D">
            <w:pPr>
              <w:rPr>
                <w:rFonts w:hint="eastAsia" w:ascii="宋体" w:hAnsi="宋体" w:eastAsia="宋体" w:cs="宋体"/>
                <w:i w:val="0"/>
                <w:iCs w:val="0"/>
                <w:color w:val="000000"/>
                <w:sz w:val="18"/>
                <w:szCs w:val="18"/>
                <w:u w:val="none"/>
              </w:rPr>
            </w:pPr>
          </w:p>
        </w:tc>
      </w:tr>
      <w:tr w14:paraId="4064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E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C357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专项资金对信创基础软硬件产品采购的支持，提升了国产芯片、操作系统、数据库等产品的市场应用比例，带动了信创产业链上下游企业协同发展。同时，产学研合作项目的开展促进了创新型信创技术的试点应用，推动了信创技术成果转化，增强了信创产业的核心竞争力，助力实现技术自主可控目标。</w:t>
            </w:r>
          </w:p>
        </w:tc>
      </w:tr>
      <w:tr w14:paraId="2D2A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3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2CA8B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专项资金对信创基础软硬件产品采购的支持，提升了国产芯片、操作系统、数据库等产品的市场应用比例，带动了信创产业链上下游企业协同发展。同时，产学研合作项目的开展促进了创新型信创技术的试点应用，推动了信创技术成果转化，增强了信创产业的核心竞争力，助力实现技术自主可控目标。</w:t>
            </w:r>
          </w:p>
        </w:tc>
      </w:tr>
      <w:tr w14:paraId="7F9D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8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5EFC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探索多元化资金筹集方式，加大财政支持力度，制定优惠政策吸引社会资本参与信创项目。优化资金分配方案，根据项目实际需求动态调整资金配比，合理增加项目管理与应急备用资金比例，保障项目顺利实施。</w:t>
            </w:r>
          </w:p>
        </w:tc>
      </w:tr>
      <w:tr w14:paraId="572C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1DA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项目负责人：王茂臣</w:t>
            </w:r>
          </w:p>
        </w:tc>
        <w:tc>
          <w:tcPr>
            <w:tcW w:w="4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1942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2282E357">
      <w:pPr>
        <w:rPr>
          <w:rFonts w:hint="default"/>
          <w:lang w:val="en-US" w:eastAsia="zh-CN"/>
        </w:rPr>
      </w:pPr>
    </w:p>
    <w:p w14:paraId="58C91BB5">
      <w:pPr>
        <w:pStyle w:val="14"/>
        <w:rPr>
          <w:rFonts w:hint="default"/>
          <w:lang w:val="en-US" w:eastAsia="zh-CN"/>
        </w:rPr>
      </w:pPr>
    </w:p>
    <w:p w14:paraId="042B3D13">
      <w:pPr>
        <w:rPr>
          <w:rFonts w:hint="default"/>
          <w:lang w:val="en-US" w:eastAsia="zh-CN"/>
        </w:rPr>
      </w:pPr>
    </w:p>
    <w:p w14:paraId="72D5D0B3">
      <w:pPr>
        <w:pStyle w:val="14"/>
        <w:rPr>
          <w:rFonts w:hint="default"/>
          <w:lang w:val="en-US" w:eastAsia="zh-CN"/>
        </w:rPr>
      </w:pPr>
    </w:p>
    <w:p w14:paraId="0411A5DC">
      <w:pPr>
        <w:rPr>
          <w:rFonts w:hint="default"/>
          <w:lang w:val="en-US" w:eastAsia="zh-CN"/>
        </w:rPr>
      </w:pPr>
    </w:p>
    <w:p w14:paraId="07209009">
      <w:pPr>
        <w:pStyle w:val="14"/>
        <w:rPr>
          <w:rFonts w:hint="default"/>
          <w:lang w:val="en-US" w:eastAsia="zh-CN"/>
        </w:rPr>
      </w:pPr>
    </w:p>
    <w:p w14:paraId="736F59BD">
      <w:pPr>
        <w:rPr>
          <w:rFonts w:hint="default"/>
          <w:lang w:val="en-US" w:eastAsia="zh-CN"/>
        </w:rPr>
      </w:pPr>
    </w:p>
    <w:p w14:paraId="09C2DA7D">
      <w:pPr>
        <w:pStyle w:val="14"/>
        <w:rPr>
          <w:rFonts w:hint="default"/>
          <w:lang w:val="en-US" w:eastAsia="zh-CN"/>
        </w:rPr>
      </w:pPr>
    </w:p>
    <w:p w14:paraId="02769646">
      <w:pPr>
        <w:rPr>
          <w:rFonts w:hint="default"/>
          <w:lang w:val="en-US" w:eastAsia="zh-CN"/>
        </w:rPr>
      </w:pPr>
    </w:p>
    <w:p w14:paraId="4CA46226">
      <w:pPr>
        <w:pStyle w:val="14"/>
        <w:rPr>
          <w:rFonts w:hint="default"/>
          <w:lang w:val="en-US" w:eastAsia="zh-CN"/>
        </w:rPr>
      </w:pPr>
    </w:p>
    <w:p w14:paraId="067927A9">
      <w:pPr>
        <w:rPr>
          <w:rFonts w:hint="default"/>
          <w:lang w:val="en-US" w:eastAsia="zh-CN"/>
        </w:rPr>
      </w:pPr>
    </w:p>
    <w:p w14:paraId="7B9A6040">
      <w:pPr>
        <w:pStyle w:val="14"/>
        <w:rPr>
          <w:rFonts w:hint="default"/>
          <w:lang w:val="en-US" w:eastAsia="zh-CN"/>
        </w:rPr>
      </w:pPr>
    </w:p>
    <w:p w14:paraId="2FF9C983">
      <w:pPr>
        <w:rPr>
          <w:rFonts w:hint="default"/>
          <w:lang w:val="en-US" w:eastAsia="zh-CN"/>
        </w:rPr>
      </w:pPr>
    </w:p>
    <w:p w14:paraId="54810AA4">
      <w:pPr>
        <w:pStyle w:val="14"/>
        <w:rPr>
          <w:rFonts w:hint="default"/>
          <w:lang w:val="en-US" w:eastAsia="zh-CN"/>
        </w:rPr>
      </w:pPr>
    </w:p>
    <w:p w14:paraId="7870C26A">
      <w:pPr>
        <w:rPr>
          <w:rFonts w:hint="default"/>
          <w:lang w:val="en-US" w:eastAsia="zh-CN"/>
        </w:rPr>
      </w:pPr>
    </w:p>
    <w:p w14:paraId="74130289">
      <w:pPr>
        <w:pStyle w:val="14"/>
        <w:rPr>
          <w:rFonts w:hint="default"/>
          <w:lang w:val="en-US" w:eastAsia="zh-CN"/>
        </w:rPr>
      </w:pPr>
    </w:p>
    <w:p w14:paraId="49626353">
      <w:pPr>
        <w:rPr>
          <w:rFonts w:hint="default"/>
          <w:lang w:val="en-US" w:eastAsia="zh-CN"/>
        </w:rPr>
      </w:pPr>
    </w:p>
    <w:p w14:paraId="3A6CAC3D">
      <w:pPr>
        <w:pStyle w:val="14"/>
        <w:rPr>
          <w:rFonts w:hint="default"/>
          <w:lang w:val="en-US" w:eastAsia="zh-CN"/>
        </w:rPr>
      </w:pPr>
    </w:p>
    <w:p w14:paraId="58AE5CFD">
      <w:pPr>
        <w:rPr>
          <w:rFonts w:hint="default"/>
          <w:lang w:val="en-US" w:eastAsia="zh-CN"/>
        </w:rPr>
      </w:pPr>
    </w:p>
    <w:p w14:paraId="1EFA56F0">
      <w:pPr>
        <w:pStyle w:val="14"/>
        <w:rPr>
          <w:rFonts w:hint="default"/>
          <w:lang w:val="en-US" w:eastAsia="zh-CN"/>
        </w:rPr>
      </w:pPr>
    </w:p>
    <w:p w14:paraId="41ED5F94">
      <w:pPr>
        <w:rPr>
          <w:rFonts w:hint="default"/>
          <w:lang w:val="en-US" w:eastAsia="zh-CN"/>
        </w:rPr>
      </w:pPr>
    </w:p>
    <w:p w14:paraId="05D2D91F">
      <w:pPr>
        <w:pStyle w:val="14"/>
        <w:rPr>
          <w:rFonts w:hint="default"/>
          <w:lang w:val="en-US" w:eastAsia="zh-CN"/>
        </w:rPr>
      </w:pPr>
    </w:p>
    <w:p w14:paraId="5397C371">
      <w:pPr>
        <w:rPr>
          <w:rFonts w:hint="default"/>
          <w:lang w:val="en-US" w:eastAsia="zh-CN"/>
        </w:rPr>
      </w:pPr>
    </w:p>
    <w:p w14:paraId="257E0B25">
      <w:pPr>
        <w:pStyle w:val="14"/>
        <w:rPr>
          <w:rFonts w:hint="default"/>
          <w:lang w:val="en-US" w:eastAsia="zh-CN"/>
        </w:rPr>
      </w:pPr>
    </w:p>
    <w:p w14:paraId="3D0211A3">
      <w:pPr>
        <w:rPr>
          <w:rFonts w:hint="default"/>
          <w:lang w:val="en-US" w:eastAsia="zh-CN"/>
        </w:rPr>
      </w:pPr>
    </w:p>
    <w:p w14:paraId="6DF635CD">
      <w:pPr>
        <w:pStyle w:val="3"/>
        <w:ind w:left="0" w:leftChars="0" w:firstLine="0" w:firstLineChars="0"/>
        <w:rPr>
          <w:rFonts w:hint="default"/>
          <w:lang w:val="en-US" w:eastAsia="zh-CN"/>
        </w:rPr>
      </w:pPr>
    </w:p>
    <w:p w14:paraId="5EDB7B15">
      <w:pPr>
        <w:pStyle w:val="14"/>
        <w:rPr>
          <w:rFonts w:hint="default"/>
          <w:lang w:val="en-US" w:eastAsia="zh-CN"/>
        </w:rPr>
      </w:pPr>
    </w:p>
    <w:p w14:paraId="7E511E2D">
      <w:pPr>
        <w:rPr>
          <w:rFonts w:hint="default"/>
          <w:lang w:val="en-US" w:eastAsia="zh-CN"/>
        </w:rPr>
      </w:pPr>
    </w:p>
    <w:tbl>
      <w:tblPr>
        <w:tblStyle w:val="16"/>
        <w:tblpPr w:leftFromText="180" w:rightFromText="180" w:vertAnchor="text" w:horzAnchor="page" w:tblpX="1803" w:tblpY="203"/>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9"/>
        <w:gridCol w:w="745"/>
        <w:gridCol w:w="846"/>
        <w:gridCol w:w="672"/>
        <w:gridCol w:w="553"/>
        <w:gridCol w:w="791"/>
      </w:tblGrid>
      <w:tr w14:paraId="2DB1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E5FC3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49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240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C6E6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51090424T000011883084-计划生育后遗症资金</w:t>
            </w:r>
          </w:p>
        </w:tc>
      </w:tr>
      <w:tr w14:paraId="69BE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2F8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8CD3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2240657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C0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4680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B7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C40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17E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7866A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AF3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FA5E9">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FCF67">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204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在本年度内，确保计划生育手术并发症患者的门诊及住院治疗医药费补差资金及时足额到位。</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0A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计划生育手术并发症患者的门诊及住院治疗医药费补差资金及时足额到位。</w:t>
            </w:r>
          </w:p>
        </w:tc>
      </w:tr>
      <w:tr w14:paraId="5C3B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A6E8">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A1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15A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计划生育手术并发症患者的门诊及住院治疗医药费补差资金及时足额到位。</w:t>
            </w:r>
          </w:p>
        </w:tc>
      </w:tr>
      <w:tr w14:paraId="1009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29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0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4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4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E2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2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D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A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D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76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FF60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B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6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0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1D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4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7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744E">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7500C">
            <w:pPr>
              <w:rPr>
                <w:rFonts w:hint="eastAsia" w:ascii="黑体" w:hAnsi="黑体" w:eastAsia="黑体" w:cs="黑体"/>
                <w:i/>
                <w:iCs/>
                <w:color w:val="000000"/>
                <w:sz w:val="18"/>
                <w:szCs w:val="18"/>
                <w:u w:val="none"/>
              </w:rPr>
            </w:pPr>
          </w:p>
        </w:tc>
      </w:tr>
      <w:tr w14:paraId="778B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D8E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1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0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6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D4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7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1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72E8">
            <w:pPr>
              <w:rPr>
                <w:rFonts w:hint="eastAsia" w:ascii="黑体" w:hAnsi="黑体" w:eastAsia="黑体" w:cs="黑体"/>
                <w:i/>
                <w:iCs/>
                <w:color w:val="000000"/>
                <w:sz w:val="18"/>
                <w:szCs w:val="18"/>
                <w:u w:val="none"/>
              </w:rPr>
            </w:pPr>
          </w:p>
        </w:tc>
      </w:tr>
      <w:tr w14:paraId="13BA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B92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7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9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E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95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1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C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7E24">
            <w:pPr>
              <w:rPr>
                <w:rFonts w:hint="eastAsia" w:ascii="黑体" w:hAnsi="黑体" w:eastAsia="黑体" w:cs="黑体"/>
                <w:i/>
                <w:iCs/>
                <w:color w:val="000000"/>
                <w:sz w:val="18"/>
                <w:szCs w:val="18"/>
                <w:u w:val="none"/>
              </w:rPr>
            </w:pPr>
          </w:p>
        </w:tc>
      </w:tr>
      <w:tr w14:paraId="2455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7D4C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A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A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A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59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9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0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F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365A">
            <w:pPr>
              <w:rPr>
                <w:rFonts w:hint="eastAsia" w:ascii="黑体" w:hAnsi="黑体" w:eastAsia="黑体" w:cs="黑体"/>
                <w:i/>
                <w:iCs/>
                <w:color w:val="000000"/>
                <w:sz w:val="18"/>
                <w:szCs w:val="18"/>
                <w:u w:val="none"/>
              </w:rPr>
            </w:pPr>
          </w:p>
        </w:tc>
      </w:tr>
      <w:tr w14:paraId="7D41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C91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66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E50F">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F4A0">
            <w:pPr>
              <w:jc w:val="center"/>
              <w:rPr>
                <w:rFonts w:hint="eastAsia" w:ascii="微软雅黑" w:hAnsi="微软雅黑" w:eastAsia="微软雅黑" w:cs="微软雅黑"/>
                <w:i/>
                <w:iCs/>
                <w:color w:val="000000"/>
                <w:sz w:val="16"/>
                <w:szCs w:val="16"/>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66F24">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EC7">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E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6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929C">
            <w:pPr>
              <w:rPr>
                <w:rFonts w:hint="eastAsia" w:ascii="黑体" w:hAnsi="黑体" w:eastAsia="黑体" w:cs="黑体"/>
                <w:i/>
                <w:iCs/>
                <w:color w:val="000000"/>
                <w:sz w:val="18"/>
                <w:szCs w:val="18"/>
                <w:u w:val="none"/>
              </w:rPr>
            </w:pPr>
          </w:p>
        </w:tc>
      </w:tr>
      <w:tr w14:paraId="6B49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56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A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9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D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F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2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E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9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9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F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B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3B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C47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5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3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5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通过综合评估困难家庭在收入、心理健康、子女教育等多方面的改善情况</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C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5B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1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5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1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A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66B3">
            <w:pPr>
              <w:jc w:val="center"/>
              <w:rPr>
                <w:rFonts w:hint="eastAsia" w:ascii="宋体" w:hAnsi="宋体" w:eastAsia="宋体" w:cs="宋体"/>
                <w:i w:val="0"/>
                <w:iCs w:val="0"/>
                <w:color w:val="000000"/>
                <w:sz w:val="18"/>
                <w:szCs w:val="18"/>
                <w:u w:val="none"/>
              </w:rPr>
            </w:pPr>
          </w:p>
        </w:tc>
      </w:tr>
      <w:tr w14:paraId="1F81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4ED4">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7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F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9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6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5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1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6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2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9CE7">
            <w:pPr>
              <w:jc w:val="center"/>
              <w:rPr>
                <w:rFonts w:hint="eastAsia" w:ascii="宋体" w:hAnsi="宋体" w:eastAsia="宋体" w:cs="宋体"/>
                <w:i w:val="0"/>
                <w:iCs w:val="0"/>
                <w:color w:val="000000"/>
                <w:sz w:val="18"/>
                <w:szCs w:val="18"/>
                <w:u w:val="none"/>
              </w:rPr>
            </w:pPr>
          </w:p>
        </w:tc>
      </w:tr>
      <w:tr w14:paraId="2464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FBDF">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C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1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7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7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B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B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5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2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A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438B">
            <w:pPr>
              <w:jc w:val="center"/>
              <w:rPr>
                <w:rFonts w:hint="eastAsia" w:ascii="宋体" w:hAnsi="宋体" w:eastAsia="宋体" w:cs="宋体"/>
                <w:i w:val="0"/>
                <w:iCs w:val="0"/>
                <w:color w:val="000000"/>
                <w:sz w:val="18"/>
                <w:szCs w:val="18"/>
                <w:u w:val="none"/>
              </w:rPr>
            </w:pPr>
          </w:p>
        </w:tc>
      </w:tr>
      <w:tr w14:paraId="7DDD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0126D">
            <w:pPr>
              <w:jc w:val="center"/>
              <w:rPr>
                <w:rFonts w:hint="eastAsia" w:ascii="宋体" w:hAnsi="宋体" w:eastAsia="宋体" w:cs="宋体"/>
                <w:i w:val="0"/>
                <w:iCs w:val="0"/>
                <w:color w:val="000000"/>
                <w:sz w:val="18"/>
                <w:szCs w:val="18"/>
                <w:u w:val="none"/>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DE6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7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4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完成40个村（社区）计划生育后遗症资金发放</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7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D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2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8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7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3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ACE0">
            <w:pPr>
              <w:jc w:val="center"/>
              <w:rPr>
                <w:rFonts w:hint="eastAsia" w:ascii="宋体" w:hAnsi="宋体" w:eastAsia="宋体" w:cs="宋体"/>
                <w:i w:val="0"/>
                <w:iCs w:val="0"/>
                <w:color w:val="000000"/>
                <w:sz w:val="18"/>
                <w:szCs w:val="18"/>
                <w:u w:val="none"/>
              </w:rPr>
            </w:pPr>
          </w:p>
        </w:tc>
      </w:tr>
      <w:tr w14:paraId="4FB3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FBAF">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5B55">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0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D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实际执行与方案匹配的人数占总救助人数的比例，目标值达到 95% 以上</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1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8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A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7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1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4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05F3">
            <w:pPr>
              <w:jc w:val="center"/>
              <w:rPr>
                <w:rFonts w:hint="eastAsia" w:ascii="宋体" w:hAnsi="宋体" w:eastAsia="宋体" w:cs="宋体"/>
                <w:i w:val="0"/>
                <w:iCs w:val="0"/>
                <w:color w:val="000000"/>
                <w:sz w:val="18"/>
                <w:szCs w:val="18"/>
                <w:u w:val="none"/>
              </w:rPr>
            </w:pPr>
          </w:p>
        </w:tc>
      </w:tr>
      <w:tr w14:paraId="2539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AEF4D">
            <w:pPr>
              <w:jc w:val="cente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3F57E">
            <w:pPr>
              <w:jc w:val="center"/>
              <w:rPr>
                <w:rFonts w:hint="eastAsia" w:ascii="宋体" w:hAnsi="宋体" w:eastAsia="宋体" w:cs="宋体"/>
                <w:i w:val="0"/>
                <w:iCs w:val="0"/>
                <w:color w:val="000000"/>
                <w:sz w:val="18"/>
                <w:szCs w:val="18"/>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B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9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1月31日-12月31日</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4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C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A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84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0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5F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78B0">
            <w:pPr>
              <w:jc w:val="center"/>
              <w:rPr>
                <w:rFonts w:hint="eastAsia" w:ascii="微软雅黑" w:hAnsi="微软雅黑" w:eastAsia="微软雅黑" w:cs="微软雅黑"/>
                <w:i/>
                <w:iCs/>
                <w:color w:val="000000"/>
                <w:sz w:val="16"/>
                <w:szCs w:val="16"/>
                <w:u w:val="none"/>
              </w:rPr>
            </w:pPr>
          </w:p>
        </w:tc>
      </w:tr>
      <w:tr w14:paraId="058CB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B69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B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C809">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5330">
            <w:pPr>
              <w:rPr>
                <w:rFonts w:hint="eastAsia" w:ascii="宋体" w:hAnsi="宋体" w:eastAsia="宋体" w:cs="宋体"/>
                <w:i w:val="0"/>
                <w:iCs w:val="0"/>
                <w:color w:val="000000"/>
                <w:sz w:val="18"/>
                <w:szCs w:val="18"/>
                <w:u w:val="none"/>
              </w:rPr>
            </w:pPr>
          </w:p>
        </w:tc>
      </w:tr>
      <w:tr w14:paraId="26BD4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C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48B3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计划生育后遗症资金的及时投入，切实保障了计划生育手术并发症患者等群体的基本权益。通过为并发症患者提供免费住院治疗及生活补助，解决了他们因手术后遗症面临的医疗负担和生活困难问题。</w:t>
            </w:r>
          </w:p>
        </w:tc>
      </w:tr>
      <w:tr w14:paraId="0D27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7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3F35B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计划生育后遗症资金筹集难题，财政预算拨款延迟，社会资本参与度低，导致资金总量不足。这限制了对更多计划生育后遗症患者的救助，以及对相关项目的支持力度，无法充分满足日益增长的需求。在项目实施过程中，存在档案归档不及时、绩效目标与年度任务数不对应、项目经费预算与实际支出资金量不匹配等问题。</w:t>
            </w:r>
          </w:p>
        </w:tc>
      </w:tr>
      <w:tr w14:paraId="14EC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D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1EB27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大财政支持力度，优化财政预算安排，确保资金按时足额到位。同时，出台相关政策，鼓励企业、社会组织等社会资本参与到计划生育后遗症帮扶项目中来，如设立专项公益基金等，缓解资金筹集压力。根据不同实际情况以及受助群体需求，制定科学合理的资金分配方案。在保障基本医疗救助资金的基础上，适当增加康复护理、心理疏导等方面的资金投入，实现对受助者的全面关怀。</w:t>
            </w:r>
          </w:p>
        </w:tc>
      </w:tr>
      <w:tr w14:paraId="3E49A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B2E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项目负责人：徐鹏程</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73F62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53B615E8">
      <w:pPr>
        <w:pStyle w:val="14"/>
        <w:rPr>
          <w:rFonts w:hint="default"/>
          <w:lang w:val="en-US" w:eastAsia="zh-CN"/>
        </w:rPr>
      </w:pPr>
    </w:p>
    <w:p w14:paraId="7736566F">
      <w:pPr>
        <w:rPr>
          <w:rFonts w:hint="default"/>
          <w:lang w:val="en-US" w:eastAsia="zh-CN"/>
        </w:rPr>
      </w:pPr>
    </w:p>
    <w:p w14:paraId="5272C1FD">
      <w:pPr>
        <w:pStyle w:val="14"/>
        <w:rPr>
          <w:rFonts w:hint="default"/>
          <w:lang w:val="en-US" w:eastAsia="zh-CN"/>
        </w:rPr>
      </w:pPr>
    </w:p>
    <w:p w14:paraId="0B234641">
      <w:pPr>
        <w:rPr>
          <w:rFonts w:hint="default"/>
          <w:lang w:val="en-US" w:eastAsia="zh-CN"/>
        </w:rPr>
      </w:pPr>
    </w:p>
    <w:p w14:paraId="237010A0">
      <w:pPr>
        <w:pStyle w:val="14"/>
        <w:rPr>
          <w:rFonts w:hint="default"/>
          <w:lang w:val="en-US" w:eastAsia="zh-CN"/>
        </w:rPr>
      </w:pPr>
    </w:p>
    <w:p w14:paraId="0EC87AD6">
      <w:pPr>
        <w:rPr>
          <w:rFonts w:hint="default"/>
          <w:lang w:val="en-US" w:eastAsia="zh-CN"/>
        </w:rPr>
      </w:pPr>
    </w:p>
    <w:p w14:paraId="51078ECB">
      <w:pPr>
        <w:pStyle w:val="14"/>
        <w:rPr>
          <w:rFonts w:hint="default"/>
          <w:lang w:val="en-US" w:eastAsia="zh-CN"/>
        </w:rPr>
      </w:pPr>
    </w:p>
    <w:p w14:paraId="2F84F0F7">
      <w:pPr>
        <w:rPr>
          <w:rFonts w:hint="default"/>
          <w:lang w:val="en-US" w:eastAsia="zh-CN"/>
        </w:rPr>
      </w:pPr>
    </w:p>
    <w:p w14:paraId="6613F841">
      <w:pPr>
        <w:pStyle w:val="14"/>
        <w:rPr>
          <w:rFonts w:hint="default"/>
          <w:lang w:val="en-US" w:eastAsia="zh-CN"/>
        </w:rPr>
      </w:pPr>
    </w:p>
    <w:p w14:paraId="234C4789">
      <w:pPr>
        <w:rPr>
          <w:rFonts w:hint="default"/>
          <w:lang w:val="en-US" w:eastAsia="zh-CN"/>
        </w:rPr>
      </w:pPr>
    </w:p>
    <w:p w14:paraId="1398E930">
      <w:pPr>
        <w:pStyle w:val="14"/>
        <w:rPr>
          <w:rFonts w:hint="default"/>
          <w:lang w:val="en-US" w:eastAsia="zh-CN"/>
        </w:rPr>
      </w:pPr>
    </w:p>
    <w:p w14:paraId="0D74F889">
      <w:pPr>
        <w:rPr>
          <w:rFonts w:hint="default"/>
          <w:lang w:val="en-US" w:eastAsia="zh-CN"/>
        </w:rPr>
      </w:pPr>
    </w:p>
    <w:p w14:paraId="16FEF838">
      <w:pPr>
        <w:pStyle w:val="14"/>
        <w:rPr>
          <w:rFonts w:hint="default"/>
          <w:lang w:val="en-US" w:eastAsia="zh-CN"/>
        </w:rPr>
      </w:pPr>
    </w:p>
    <w:p w14:paraId="72F2472D">
      <w:pPr>
        <w:rPr>
          <w:rFonts w:hint="default"/>
          <w:lang w:val="en-US" w:eastAsia="zh-CN"/>
        </w:rPr>
      </w:pPr>
    </w:p>
    <w:p w14:paraId="7CBDAC74">
      <w:pPr>
        <w:pStyle w:val="14"/>
        <w:rPr>
          <w:rFonts w:hint="default"/>
          <w:lang w:val="en-US" w:eastAsia="zh-CN"/>
        </w:rPr>
      </w:pPr>
    </w:p>
    <w:p w14:paraId="4CA3A50F">
      <w:pPr>
        <w:rPr>
          <w:rFonts w:hint="default"/>
          <w:lang w:val="en-US" w:eastAsia="zh-CN"/>
        </w:rPr>
      </w:pPr>
    </w:p>
    <w:tbl>
      <w:tblPr>
        <w:tblStyle w:val="16"/>
        <w:tblpPr w:leftFromText="180" w:rightFromText="180" w:vertAnchor="text" w:horzAnchor="page" w:tblpX="1784" w:tblpY="221"/>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9"/>
        <w:gridCol w:w="745"/>
        <w:gridCol w:w="846"/>
        <w:gridCol w:w="672"/>
        <w:gridCol w:w="553"/>
        <w:gridCol w:w="791"/>
      </w:tblGrid>
      <w:tr w14:paraId="5429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9A859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A825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6E5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3DB2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51090424T000011917500-综合文化站（中心）免费开放资金</w:t>
            </w:r>
          </w:p>
        </w:tc>
      </w:tr>
      <w:tr w14:paraId="1114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7F9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103C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3B73D57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AD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4628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7ED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562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CA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3D88B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60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EA3D0">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CC83E">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C35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本项目旨在通过免费开放乡镇综合文化站，丰富乡镇居民的精神文化生活，提升文化素养，提升乡镇文化服务水平，促进基层文化繁荣发展。</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2EA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目以保障基层群众基本文化权益为核心，通过实施乡镇文化站免费开放，推动公共文化服务均等化，实现文化设施全开放、文化活动全覆盖、文化服务全提升。截至年末，项目总体目标完成较好，在丰富群众文化生活、提升文化服务效能方面取得阶段性成果。</w:t>
            </w:r>
          </w:p>
        </w:tc>
      </w:tr>
      <w:tr w14:paraId="4AA9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EA3DF">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70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9D60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文化站免费开放管理，白马镇成立了部门分管领导、相关业务股室负责人及业务人员为成员的工作小组，明确文化站开放时间、服务内容及安全管理规范，完成设施检修与设备更新。结合传统节日、农闲时段策划特色文化活动，联合社会组织等多元主体参与，丰富群众文化生活。</w:t>
            </w:r>
          </w:p>
        </w:tc>
      </w:tr>
      <w:tr w14:paraId="0A53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B6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0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4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7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E8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E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B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E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5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0AF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7945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E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5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D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1A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5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6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B39">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02F45">
            <w:pPr>
              <w:rPr>
                <w:rFonts w:hint="eastAsia" w:ascii="黑体" w:hAnsi="黑体" w:eastAsia="黑体" w:cs="黑体"/>
                <w:i/>
                <w:iCs/>
                <w:color w:val="000000"/>
                <w:sz w:val="18"/>
                <w:szCs w:val="18"/>
                <w:u w:val="none"/>
              </w:rPr>
            </w:pPr>
          </w:p>
        </w:tc>
      </w:tr>
      <w:tr w14:paraId="0907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54A29">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C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5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33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1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F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2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EFC0">
            <w:pPr>
              <w:rPr>
                <w:rFonts w:hint="eastAsia" w:ascii="黑体" w:hAnsi="黑体" w:eastAsia="黑体" w:cs="黑体"/>
                <w:i/>
                <w:iCs/>
                <w:color w:val="000000"/>
                <w:sz w:val="18"/>
                <w:szCs w:val="18"/>
                <w:u w:val="none"/>
              </w:rPr>
            </w:pPr>
          </w:p>
        </w:tc>
      </w:tr>
      <w:tr w14:paraId="176F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4088">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8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8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B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89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7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8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9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B1DD2">
            <w:pPr>
              <w:rPr>
                <w:rFonts w:hint="eastAsia" w:ascii="黑体" w:hAnsi="黑体" w:eastAsia="黑体" w:cs="黑体"/>
                <w:i/>
                <w:iCs/>
                <w:color w:val="000000"/>
                <w:sz w:val="18"/>
                <w:szCs w:val="18"/>
                <w:u w:val="none"/>
              </w:rPr>
            </w:pPr>
          </w:p>
        </w:tc>
      </w:tr>
      <w:tr w14:paraId="64F58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2F105">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9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5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D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D3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F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A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9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B338A">
            <w:pPr>
              <w:rPr>
                <w:rFonts w:hint="eastAsia" w:ascii="黑体" w:hAnsi="黑体" w:eastAsia="黑体" w:cs="黑体"/>
                <w:i/>
                <w:iCs/>
                <w:color w:val="000000"/>
                <w:sz w:val="18"/>
                <w:szCs w:val="18"/>
                <w:u w:val="none"/>
              </w:rPr>
            </w:pPr>
          </w:p>
        </w:tc>
      </w:tr>
      <w:tr w14:paraId="6FB2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5211">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9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5012">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ACDD">
            <w:pPr>
              <w:jc w:val="center"/>
              <w:rPr>
                <w:rFonts w:hint="eastAsia" w:ascii="微软雅黑" w:hAnsi="微软雅黑" w:eastAsia="微软雅黑" w:cs="微软雅黑"/>
                <w:i/>
                <w:iCs/>
                <w:color w:val="000000"/>
                <w:sz w:val="16"/>
                <w:szCs w:val="16"/>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9BC08">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F872">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1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5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34CE">
            <w:pPr>
              <w:rPr>
                <w:rFonts w:hint="eastAsia" w:ascii="黑体" w:hAnsi="黑体" w:eastAsia="黑体" w:cs="黑体"/>
                <w:i/>
                <w:iCs/>
                <w:color w:val="000000"/>
                <w:sz w:val="18"/>
                <w:szCs w:val="18"/>
                <w:u w:val="none"/>
              </w:rPr>
            </w:pPr>
          </w:p>
        </w:tc>
      </w:tr>
      <w:tr w14:paraId="12AF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3D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F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1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8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C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7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2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D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C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C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A21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D38D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1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4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6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文化中心聘请人数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5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4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F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2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1A4D">
            <w:pPr>
              <w:jc w:val="center"/>
              <w:rPr>
                <w:rFonts w:hint="eastAsia" w:ascii="宋体" w:hAnsi="宋体" w:eastAsia="宋体" w:cs="宋体"/>
                <w:i w:val="0"/>
                <w:iCs w:val="0"/>
                <w:color w:val="000000"/>
                <w:sz w:val="18"/>
                <w:szCs w:val="18"/>
                <w:u w:val="none"/>
              </w:rPr>
            </w:pPr>
          </w:p>
        </w:tc>
      </w:tr>
      <w:tr w14:paraId="1355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278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7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2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0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开放时间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5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4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3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8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91B1">
            <w:pPr>
              <w:jc w:val="center"/>
              <w:rPr>
                <w:rFonts w:hint="eastAsia" w:ascii="宋体" w:hAnsi="宋体" w:eastAsia="宋体" w:cs="宋体"/>
                <w:i w:val="0"/>
                <w:iCs w:val="0"/>
                <w:color w:val="000000"/>
                <w:sz w:val="18"/>
                <w:szCs w:val="18"/>
                <w:u w:val="none"/>
              </w:rPr>
            </w:pPr>
          </w:p>
        </w:tc>
      </w:tr>
      <w:tr w14:paraId="217C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20E8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F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B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0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文化站服务水平</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8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2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C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E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A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E0D1">
            <w:pPr>
              <w:jc w:val="center"/>
              <w:rPr>
                <w:rFonts w:hint="eastAsia" w:ascii="宋体" w:hAnsi="宋体" w:eastAsia="宋体" w:cs="宋体"/>
                <w:i w:val="0"/>
                <w:iCs w:val="0"/>
                <w:color w:val="000000"/>
                <w:sz w:val="18"/>
                <w:szCs w:val="18"/>
                <w:u w:val="none"/>
              </w:rPr>
            </w:pPr>
          </w:p>
        </w:tc>
      </w:tr>
      <w:tr w14:paraId="6161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CB5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9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8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1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乡镇文化氛围提升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A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B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D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AD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3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5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0E76">
            <w:pPr>
              <w:jc w:val="center"/>
              <w:rPr>
                <w:rFonts w:hint="eastAsia" w:ascii="宋体" w:hAnsi="宋体" w:eastAsia="宋体" w:cs="宋体"/>
                <w:i w:val="0"/>
                <w:iCs w:val="0"/>
                <w:color w:val="000000"/>
                <w:sz w:val="18"/>
                <w:szCs w:val="18"/>
                <w:u w:val="none"/>
              </w:rPr>
            </w:pPr>
          </w:p>
        </w:tc>
      </w:tr>
      <w:tr w14:paraId="5049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6CF8">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D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1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3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4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6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8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B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44FB">
            <w:pPr>
              <w:jc w:val="center"/>
              <w:rPr>
                <w:rFonts w:hint="eastAsia" w:ascii="宋体" w:hAnsi="宋体" w:eastAsia="宋体" w:cs="宋体"/>
                <w:i w:val="0"/>
                <w:iCs w:val="0"/>
                <w:color w:val="000000"/>
                <w:sz w:val="18"/>
                <w:szCs w:val="18"/>
                <w:u w:val="none"/>
              </w:rPr>
            </w:pPr>
          </w:p>
        </w:tc>
      </w:tr>
      <w:tr w14:paraId="0646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8A814">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7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5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文化推广务工成本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C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6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4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F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A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6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78A">
            <w:pPr>
              <w:jc w:val="center"/>
              <w:rPr>
                <w:rFonts w:hint="eastAsia" w:ascii="宋体" w:hAnsi="宋体" w:eastAsia="宋体" w:cs="宋体"/>
                <w:i w:val="0"/>
                <w:iCs w:val="0"/>
                <w:color w:val="000000"/>
                <w:sz w:val="18"/>
                <w:szCs w:val="18"/>
                <w:u w:val="none"/>
              </w:rPr>
            </w:pPr>
          </w:p>
        </w:tc>
      </w:tr>
      <w:tr w14:paraId="057C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FC4E4">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0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9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文化宣传活动等成本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C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B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A3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4.48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3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CE5A">
            <w:pPr>
              <w:jc w:val="center"/>
              <w:rPr>
                <w:rFonts w:hint="eastAsia" w:ascii="微软雅黑" w:hAnsi="微软雅黑" w:eastAsia="微软雅黑" w:cs="微软雅黑"/>
                <w:i/>
                <w:iCs/>
                <w:color w:val="000000"/>
                <w:sz w:val="16"/>
                <w:szCs w:val="16"/>
                <w:u w:val="none"/>
              </w:rPr>
            </w:pPr>
          </w:p>
        </w:tc>
      </w:tr>
      <w:tr w14:paraId="4172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BC5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9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A818">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E0F5">
            <w:pPr>
              <w:rPr>
                <w:rFonts w:hint="eastAsia" w:ascii="宋体" w:hAnsi="宋体" w:eastAsia="宋体" w:cs="宋体"/>
                <w:i w:val="0"/>
                <w:iCs w:val="0"/>
                <w:color w:val="000000"/>
                <w:sz w:val="18"/>
                <w:szCs w:val="18"/>
                <w:u w:val="none"/>
              </w:rPr>
            </w:pPr>
          </w:p>
        </w:tc>
      </w:tr>
      <w:tr w14:paraId="0D0E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9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C0BD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文化馆（站）免费开放资金使用合规、分配合理，通过项目实施，文化站成为政策宣传、技能培训的重要阵地，助力乡村文化振兴。基层群众文化活动参与率显著提升，文化获得感增强，基本实现免费开放目标</w:t>
            </w:r>
          </w:p>
        </w:tc>
      </w:tr>
      <w:tr w14:paraId="4D96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6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D783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资金保障压力大，经费主要依赖财政拨款，社会资本参与度低，难以满足长期运营需求。</w:t>
            </w:r>
          </w:p>
        </w:tc>
      </w:tr>
      <w:tr w14:paraId="6F28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9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F50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拓宽资金渠道，探索“政府+企业+乡贤”多元投入模式，设立文化发展基金，争取社会捐赠。</w:t>
            </w:r>
          </w:p>
        </w:tc>
      </w:tr>
      <w:tr w14:paraId="332D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79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项目负责人：唐兴旺</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AF653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090FDF5F">
      <w:pPr>
        <w:pStyle w:val="14"/>
        <w:rPr>
          <w:rFonts w:hint="default"/>
          <w:lang w:val="en-US" w:eastAsia="zh-CN"/>
        </w:rPr>
      </w:pPr>
    </w:p>
    <w:p w14:paraId="36D160B2">
      <w:pPr>
        <w:rPr>
          <w:rFonts w:hint="default"/>
          <w:lang w:val="en-US" w:eastAsia="zh-CN"/>
        </w:rPr>
      </w:pPr>
    </w:p>
    <w:p w14:paraId="7AD4E4CF">
      <w:pPr>
        <w:pStyle w:val="14"/>
        <w:rPr>
          <w:rFonts w:hint="default"/>
          <w:lang w:val="en-US" w:eastAsia="zh-CN"/>
        </w:rPr>
      </w:pPr>
    </w:p>
    <w:p w14:paraId="3A9092FC">
      <w:pPr>
        <w:rPr>
          <w:rFonts w:hint="default"/>
          <w:lang w:val="en-US" w:eastAsia="zh-CN"/>
        </w:rPr>
      </w:pPr>
    </w:p>
    <w:p w14:paraId="1A9C23D8">
      <w:pPr>
        <w:pStyle w:val="14"/>
        <w:rPr>
          <w:rFonts w:hint="default"/>
          <w:lang w:val="en-US" w:eastAsia="zh-CN"/>
        </w:rPr>
      </w:pPr>
    </w:p>
    <w:p w14:paraId="684EA05E">
      <w:pPr>
        <w:rPr>
          <w:rFonts w:hint="default"/>
          <w:lang w:val="en-US" w:eastAsia="zh-CN"/>
        </w:rPr>
      </w:pPr>
    </w:p>
    <w:p w14:paraId="1B5E215B">
      <w:pPr>
        <w:pStyle w:val="14"/>
        <w:rPr>
          <w:rFonts w:hint="default"/>
          <w:lang w:val="en-US" w:eastAsia="zh-CN"/>
        </w:rPr>
      </w:pPr>
    </w:p>
    <w:p w14:paraId="61F8F4CC">
      <w:pPr>
        <w:rPr>
          <w:rFonts w:hint="default"/>
          <w:lang w:val="en-US" w:eastAsia="zh-CN"/>
        </w:rPr>
      </w:pPr>
    </w:p>
    <w:p w14:paraId="118DDCC8">
      <w:pPr>
        <w:pStyle w:val="14"/>
        <w:rPr>
          <w:rFonts w:hint="default"/>
          <w:lang w:val="en-US" w:eastAsia="zh-CN"/>
        </w:rPr>
      </w:pPr>
    </w:p>
    <w:p w14:paraId="0891D9D6">
      <w:pPr>
        <w:rPr>
          <w:rFonts w:hint="default"/>
          <w:lang w:val="en-US" w:eastAsia="zh-CN"/>
        </w:rPr>
      </w:pPr>
    </w:p>
    <w:p w14:paraId="58CC8732">
      <w:pPr>
        <w:pStyle w:val="14"/>
        <w:rPr>
          <w:rFonts w:hint="default"/>
          <w:lang w:val="en-US" w:eastAsia="zh-CN"/>
        </w:rPr>
      </w:pPr>
    </w:p>
    <w:p w14:paraId="20E0EF40">
      <w:pPr>
        <w:rPr>
          <w:rFonts w:hint="default"/>
          <w:lang w:val="en-US" w:eastAsia="zh-CN"/>
        </w:rPr>
      </w:pPr>
    </w:p>
    <w:p w14:paraId="7ED8B480">
      <w:pPr>
        <w:pStyle w:val="14"/>
        <w:rPr>
          <w:rFonts w:hint="default"/>
          <w:lang w:val="en-US" w:eastAsia="zh-CN"/>
        </w:rPr>
      </w:pPr>
    </w:p>
    <w:p w14:paraId="7C846699">
      <w:pPr>
        <w:rPr>
          <w:rFonts w:hint="default"/>
          <w:lang w:val="en-US" w:eastAsia="zh-CN"/>
        </w:rPr>
      </w:pPr>
    </w:p>
    <w:p w14:paraId="476445D8">
      <w:pPr>
        <w:pStyle w:val="14"/>
        <w:rPr>
          <w:rFonts w:hint="default"/>
          <w:lang w:val="en-US" w:eastAsia="zh-CN"/>
        </w:rPr>
      </w:pPr>
    </w:p>
    <w:p w14:paraId="43078843">
      <w:pPr>
        <w:rPr>
          <w:rFonts w:hint="default"/>
          <w:lang w:val="en-US" w:eastAsia="zh-CN"/>
        </w:rPr>
      </w:pPr>
    </w:p>
    <w:p w14:paraId="7E457241">
      <w:pPr>
        <w:pStyle w:val="14"/>
        <w:rPr>
          <w:rFonts w:hint="default"/>
          <w:lang w:val="en-US" w:eastAsia="zh-CN"/>
        </w:rPr>
      </w:pPr>
    </w:p>
    <w:p w14:paraId="7977D62F">
      <w:pPr>
        <w:rPr>
          <w:rFonts w:hint="default"/>
          <w:lang w:val="en-US" w:eastAsia="zh-CN"/>
        </w:rPr>
      </w:pPr>
    </w:p>
    <w:p w14:paraId="4DCB66C5">
      <w:pPr>
        <w:pStyle w:val="14"/>
        <w:rPr>
          <w:rFonts w:hint="default"/>
          <w:lang w:val="en-US" w:eastAsia="zh-CN"/>
        </w:rPr>
      </w:pPr>
    </w:p>
    <w:p w14:paraId="6A9DD4F0">
      <w:pPr>
        <w:rPr>
          <w:rFonts w:hint="default"/>
          <w:lang w:val="en-US" w:eastAsia="zh-CN"/>
        </w:rPr>
      </w:pPr>
    </w:p>
    <w:p w14:paraId="6F663BCF">
      <w:pPr>
        <w:pStyle w:val="14"/>
        <w:rPr>
          <w:rFonts w:hint="default"/>
          <w:lang w:val="en-US" w:eastAsia="zh-CN"/>
        </w:rPr>
      </w:pPr>
    </w:p>
    <w:p w14:paraId="32B90F4F">
      <w:pPr>
        <w:rPr>
          <w:rFonts w:hint="default"/>
          <w:lang w:val="en-US" w:eastAsia="zh-CN"/>
        </w:rPr>
      </w:pPr>
    </w:p>
    <w:p w14:paraId="645FC8DC">
      <w:pPr>
        <w:pStyle w:val="14"/>
        <w:rPr>
          <w:rFonts w:hint="default"/>
          <w:lang w:val="en-US" w:eastAsia="zh-CN"/>
        </w:rPr>
      </w:pPr>
    </w:p>
    <w:p w14:paraId="50DCA34A">
      <w:pPr>
        <w:rPr>
          <w:rFonts w:hint="default"/>
          <w:lang w:val="en-US" w:eastAsia="zh-CN"/>
        </w:rPr>
      </w:pPr>
    </w:p>
    <w:p w14:paraId="136FD393">
      <w:pPr>
        <w:pStyle w:val="14"/>
        <w:rPr>
          <w:rFonts w:hint="default"/>
          <w:lang w:val="en-US" w:eastAsia="zh-CN"/>
        </w:rPr>
      </w:pPr>
    </w:p>
    <w:p w14:paraId="0359C9CC">
      <w:pPr>
        <w:rPr>
          <w:rFonts w:hint="default"/>
          <w:lang w:val="en-US" w:eastAsia="zh-CN"/>
        </w:rPr>
      </w:pPr>
    </w:p>
    <w:p w14:paraId="6DBEE61D">
      <w:pPr>
        <w:pStyle w:val="14"/>
        <w:rPr>
          <w:rFonts w:hint="default"/>
          <w:lang w:val="en-US" w:eastAsia="zh-CN"/>
        </w:rPr>
      </w:pPr>
    </w:p>
    <w:p w14:paraId="536F1AF5">
      <w:pPr>
        <w:rPr>
          <w:rFonts w:hint="default"/>
          <w:lang w:val="en-US" w:eastAsia="zh-CN"/>
        </w:rPr>
      </w:pPr>
    </w:p>
    <w:tbl>
      <w:tblPr>
        <w:tblStyle w:val="16"/>
        <w:tblpPr w:leftFromText="180" w:rightFromText="180" w:vertAnchor="text" w:horzAnchor="page" w:tblpX="1840" w:tblpY="302"/>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9"/>
        <w:gridCol w:w="745"/>
        <w:gridCol w:w="846"/>
        <w:gridCol w:w="672"/>
        <w:gridCol w:w="553"/>
        <w:gridCol w:w="791"/>
      </w:tblGrid>
      <w:tr w14:paraId="606D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B9A86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0D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D8E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9105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51090425T000012137258-遂财农【2024】16号-市级衔接资金（种粮先进乡镇奖补）</w:t>
            </w:r>
          </w:p>
        </w:tc>
      </w:tr>
      <w:tr w14:paraId="0B57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93B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FD8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0A3CF91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65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1D26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D16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95F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74A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16494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49A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F218D">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12F0">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E8B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充分发挥示范带动作用，为保障国家粮食安全做出新的更大贡献。</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F55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目以提升粮食综合生产能力、调动乡镇种粮积极性为核心，通过资金奖补激励先进乡镇扩大粮食种植规模、推广农业技术、完善农田基础设施。截至年末，项目总体目标完成度较好，在稳定粮食产量、促进农业增效等方面取得较好成效。</w:t>
            </w:r>
          </w:p>
        </w:tc>
      </w:tr>
      <w:tr w14:paraId="0EE1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6067B">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90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A0CA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粮食提产增效管理，白马镇成立了部门分管领导、相关业务股室负责人及业务人员为成员的工作小组，通过推广良种良法配套技术，建设高标准农田示范片区，利用财政奖补资金，进一步开展农田建设、技术推广等工作。</w:t>
            </w:r>
          </w:p>
        </w:tc>
      </w:tr>
      <w:tr w14:paraId="453F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6D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0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3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2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BE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A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5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4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D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CB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51E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3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F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3D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8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D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09B4">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895A8">
            <w:pPr>
              <w:rPr>
                <w:rFonts w:hint="eastAsia" w:ascii="黑体" w:hAnsi="黑体" w:eastAsia="黑体" w:cs="黑体"/>
                <w:i/>
                <w:iCs/>
                <w:color w:val="000000"/>
                <w:sz w:val="18"/>
                <w:szCs w:val="18"/>
                <w:u w:val="none"/>
              </w:rPr>
            </w:pPr>
          </w:p>
        </w:tc>
      </w:tr>
      <w:tr w14:paraId="7F67F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FD6E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7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D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7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53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B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5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1EEE">
            <w:pPr>
              <w:rPr>
                <w:rFonts w:hint="eastAsia" w:ascii="黑体" w:hAnsi="黑体" w:eastAsia="黑体" w:cs="黑体"/>
                <w:i/>
                <w:iCs/>
                <w:color w:val="000000"/>
                <w:sz w:val="18"/>
                <w:szCs w:val="18"/>
                <w:u w:val="none"/>
              </w:rPr>
            </w:pPr>
          </w:p>
        </w:tc>
      </w:tr>
      <w:tr w14:paraId="406AC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054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6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1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2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DA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5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A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8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4D08">
            <w:pPr>
              <w:rPr>
                <w:rFonts w:hint="eastAsia" w:ascii="黑体" w:hAnsi="黑体" w:eastAsia="黑体" w:cs="黑体"/>
                <w:i/>
                <w:iCs/>
                <w:color w:val="000000"/>
                <w:sz w:val="18"/>
                <w:szCs w:val="18"/>
                <w:u w:val="none"/>
              </w:rPr>
            </w:pPr>
          </w:p>
        </w:tc>
      </w:tr>
      <w:tr w14:paraId="299B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5E338">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C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A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6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9B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4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5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5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89CE">
            <w:pPr>
              <w:rPr>
                <w:rFonts w:hint="eastAsia" w:ascii="黑体" w:hAnsi="黑体" w:eastAsia="黑体" w:cs="黑体"/>
                <w:i/>
                <w:iCs/>
                <w:color w:val="000000"/>
                <w:sz w:val="18"/>
                <w:szCs w:val="18"/>
                <w:u w:val="none"/>
              </w:rPr>
            </w:pPr>
          </w:p>
        </w:tc>
      </w:tr>
      <w:tr w14:paraId="4D4C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FEE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0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D578">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4A34">
            <w:pPr>
              <w:jc w:val="center"/>
              <w:rPr>
                <w:rFonts w:hint="eastAsia" w:ascii="微软雅黑" w:hAnsi="微软雅黑" w:eastAsia="微软雅黑" w:cs="微软雅黑"/>
                <w:i/>
                <w:iCs/>
                <w:color w:val="000000"/>
                <w:sz w:val="16"/>
                <w:szCs w:val="16"/>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CE33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D174">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1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F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8FF6">
            <w:pPr>
              <w:rPr>
                <w:rFonts w:hint="eastAsia" w:ascii="黑体" w:hAnsi="黑体" w:eastAsia="黑体" w:cs="黑体"/>
                <w:i/>
                <w:iCs/>
                <w:color w:val="000000"/>
                <w:sz w:val="18"/>
                <w:szCs w:val="18"/>
                <w:u w:val="none"/>
              </w:rPr>
            </w:pPr>
          </w:p>
        </w:tc>
      </w:tr>
      <w:tr w14:paraId="2761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738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F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2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F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7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4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B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F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2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8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0F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6079">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3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6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F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种粮先进大户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9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F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1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3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C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0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E901">
            <w:pPr>
              <w:jc w:val="center"/>
              <w:rPr>
                <w:rFonts w:hint="eastAsia" w:ascii="宋体" w:hAnsi="宋体" w:eastAsia="宋体" w:cs="宋体"/>
                <w:i w:val="0"/>
                <w:iCs w:val="0"/>
                <w:color w:val="000000"/>
                <w:sz w:val="18"/>
                <w:szCs w:val="18"/>
                <w:u w:val="none"/>
              </w:rPr>
            </w:pPr>
          </w:p>
        </w:tc>
      </w:tr>
      <w:tr w14:paraId="660E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797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7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C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1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表彰年度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F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A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C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9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872A">
            <w:pPr>
              <w:jc w:val="center"/>
              <w:rPr>
                <w:rFonts w:hint="eastAsia" w:ascii="宋体" w:hAnsi="宋体" w:eastAsia="宋体" w:cs="宋体"/>
                <w:i w:val="0"/>
                <w:iCs w:val="0"/>
                <w:color w:val="000000"/>
                <w:sz w:val="18"/>
                <w:szCs w:val="18"/>
                <w:u w:val="none"/>
              </w:rPr>
            </w:pPr>
          </w:p>
        </w:tc>
      </w:tr>
      <w:tr w14:paraId="74BE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8E27">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D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D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6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粮食播面、产量增速</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8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8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9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A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F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823D">
            <w:pPr>
              <w:jc w:val="center"/>
              <w:rPr>
                <w:rFonts w:hint="eastAsia" w:ascii="宋体" w:hAnsi="宋体" w:eastAsia="宋体" w:cs="宋体"/>
                <w:i w:val="0"/>
                <w:iCs w:val="0"/>
                <w:color w:val="000000"/>
                <w:sz w:val="18"/>
                <w:szCs w:val="18"/>
                <w:u w:val="none"/>
              </w:rPr>
            </w:pPr>
          </w:p>
        </w:tc>
      </w:tr>
      <w:tr w14:paraId="2071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2ACC">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F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8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种粮先进乡镇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B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D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A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E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A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5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9FAC">
            <w:pPr>
              <w:jc w:val="center"/>
              <w:rPr>
                <w:rFonts w:hint="eastAsia" w:ascii="宋体" w:hAnsi="宋体" w:eastAsia="宋体" w:cs="宋体"/>
                <w:i w:val="0"/>
                <w:iCs w:val="0"/>
                <w:color w:val="000000"/>
                <w:sz w:val="18"/>
                <w:szCs w:val="18"/>
                <w:u w:val="none"/>
              </w:rPr>
            </w:pPr>
          </w:p>
        </w:tc>
      </w:tr>
      <w:tr w14:paraId="1664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D826">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4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8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推动粮食产量再上新台阶</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6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6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C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A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1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4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754F">
            <w:pPr>
              <w:jc w:val="center"/>
              <w:rPr>
                <w:rFonts w:hint="eastAsia" w:ascii="宋体" w:hAnsi="宋体" w:eastAsia="宋体" w:cs="宋体"/>
                <w:i w:val="0"/>
                <w:iCs w:val="0"/>
                <w:color w:val="000000"/>
                <w:sz w:val="18"/>
                <w:szCs w:val="18"/>
                <w:u w:val="none"/>
              </w:rPr>
            </w:pPr>
          </w:p>
        </w:tc>
      </w:tr>
      <w:tr w14:paraId="7337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9F7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7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D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3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5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D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F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7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3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83E5">
            <w:pPr>
              <w:jc w:val="center"/>
              <w:rPr>
                <w:rFonts w:hint="eastAsia" w:ascii="宋体" w:hAnsi="宋体" w:eastAsia="宋体" w:cs="宋体"/>
                <w:i w:val="0"/>
                <w:iCs w:val="0"/>
                <w:color w:val="000000"/>
                <w:sz w:val="18"/>
                <w:szCs w:val="18"/>
                <w:u w:val="none"/>
              </w:rPr>
            </w:pPr>
          </w:p>
        </w:tc>
      </w:tr>
      <w:tr w14:paraId="11D6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762B8">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A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9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5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种粮先进乡镇奖补资金</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0.99</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7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D1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0.99</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5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5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F1A6">
            <w:pPr>
              <w:jc w:val="center"/>
              <w:rPr>
                <w:rFonts w:hint="eastAsia" w:ascii="微软雅黑" w:hAnsi="微软雅黑" w:eastAsia="微软雅黑" w:cs="微软雅黑"/>
                <w:i/>
                <w:iCs/>
                <w:color w:val="000000"/>
                <w:sz w:val="16"/>
                <w:szCs w:val="16"/>
                <w:u w:val="none"/>
              </w:rPr>
            </w:pPr>
          </w:p>
        </w:tc>
      </w:tr>
      <w:tr w14:paraId="1C2F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60D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D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DEA5">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BC95">
            <w:pPr>
              <w:rPr>
                <w:rFonts w:hint="eastAsia" w:ascii="宋体" w:hAnsi="宋体" w:eastAsia="宋体" w:cs="宋体"/>
                <w:i w:val="0"/>
                <w:iCs w:val="0"/>
                <w:color w:val="000000"/>
                <w:sz w:val="18"/>
                <w:szCs w:val="18"/>
                <w:u w:val="none"/>
              </w:rPr>
            </w:pPr>
          </w:p>
        </w:tc>
      </w:tr>
      <w:tr w14:paraId="7761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7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8DAC4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种粮先进乡镇奖补资金使用合规、分配合理，带动乡镇农业种植大户粮食种植面积扩大，形成区域化粮食生产示范效应，有效提升了农民种粮积极性，保障了区域粮食安全。良种良法、绿色防控等技术广泛应用，推动了农业绿色转型。</w:t>
            </w:r>
          </w:p>
        </w:tc>
      </w:tr>
      <w:tr w14:paraId="66E2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6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E5DD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长效机制缺失，乡镇资金缺乏，农业基础设施建设等不够完善，稳定粮食产能，促进农业现代化方面仍需优化加强。</w:t>
            </w:r>
          </w:p>
        </w:tc>
      </w:tr>
      <w:tr w14:paraId="02BE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C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89DF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健全长效机制，积极争取加大财政投入，鼓励社会资本参与，完善基础设施建设。</w:t>
            </w:r>
          </w:p>
        </w:tc>
      </w:tr>
      <w:tr w14:paraId="7E04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3BE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项目负责人：罗冬梅</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F7C3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58635B1C">
      <w:pPr>
        <w:pStyle w:val="14"/>
        <w:rPr>
          <w:rFonts w:hint="default"/>
          <w:lang w:val="en-US" w:eastAsia="zh-CN"/>
        </w:rPr>
      </w:pPr>
    </w:p>
    <w:p w14:paraId="40D9CE2E">
      <w:pPr>
        <w:rPr>
          <w:rFonts w:hint="default"/>
          <w:lang w:val="en-US" w:eastAsia="zh-CN"/>
        </w:rPr>
      </w:pPr>
    </w:p>
    <w:p w14:paraId="12A87E38">
      <w:pPr>
        <w:pStyle w:val="14"/>
        <w:rPr>
          <w:rFonts w:hint="default"/>
          <w:lang w:val="en-US" w:eastAsia="zh-CN"/>
        </w:rPr>
      </w:pPr>
    </w:p>
    <w:p w14:paraId="31E5ACAF">
      <w:pPr>
        <w:rPr>
          <w:rFonts w:hint="default"/>
          <w:lang w:val="en-US" w:eastAsia="zh-CN"/>
        </w:rPr>
      </w:pPr>
    </w:p>
    <w:p w14:paraId="374ED2DB">
      <w:pPr>
        <w:pStyle w:val="14"/>
        <w:rPr>
          <w:rFonts w:hint="default"/>
          <w:lang w:val="en-US" w:eastAsia="zh-CN"/>
        </w:rPr>
      </w:pPr>
    </w:p>
    <w:p w14:paraId="30F060D7">
      <w:pPr>
        <w:rPr>
          <w:rFonts w:hint="default"/>
          <w:lang w:val="en-US" w:eastAsia="zh-CN"/>
        </w:rPr>
      </w:pPr>
    </w:p>
    <w:p w14:paraId="4C7D7CB6">
      <w:pPr>
        <w:pStyle w:val="14"/>
        <w:rPr>
          <w:rFonts w:hint="default"/>
          <w:lang w:val="en-US" w:eastAsia="zh-CN"/>
        </w:rPr>
      </w:pPr>
    </w:p>
    <w:p w14:paraId="1930982F">
      <w:pPr>
        <w:rPr>
          <w:rFonts w:hint="default"/>
          <w:lang w:val="en-US" w:eastAsia="zh-CN"/>
        </w:rPr>
      </w:pPr>
    </w:p>
    <w:p w14:paraId="71BE918D">
      <w:pPr>
        <w:pStyle w:val="14"/>
        <w:rPr>
          <w:rFonts w:hint="default"/>
          <w:lang w:val="en-US" w:eastAsia="zh-CN"/>
        </w:rPr>
      </w:pPr>
    </w:p>
    <w:p w14:paraId="400C1033">
      <w:pPr>
        <w:rPr>
          <w:rFonts w:hint="default"/>
          <w:lang w:val="en-US" w:eastAsia="zh-CN"/>
        </w:rPr>
      </w:pPr>
    </w:p>
    <w:p w14:paraId="7F925560">
      <w:pPr>
        <w:pStyle w:val="14"/>
        <w:rPr>
          <w:rFonts w:hint="default"/>
          <w:lang w:val="en-US" w:eastAsia="zh-CN"/>
        </w:rPr>
      </w:pPr>
    </w:p>
    <w:p w14:paraId="4ADC1D9C">
      <w:pPr>
        <w:rPr>
          <w:rFonts w:hint="default"/>
          <w:lang w:val="en-US" w:eastAsia="zh-CN"/>
        </w:rPr>
      </w:pPr>
    </w:p>
    <w:p w14:paraId="6E764339">
      <w:pPr>
        <w:pStyle w:val="14"/>
        <w:rPr>
          <w:rFonts w:hint="default"/>
          <w:lang w:val="en-US" w:eastAsia="zh-CN"/>
        </w:rPr>
      </w:pPr>
    </w:p>
    <w:p w14:paraId="6349F100">
      <w:pPr>
        <w:rPr>
          <w:rFonts w:hint="default"/>
          <w:lang w:val="en-US" w:eastAsia="zh-CN"/>
        </w:rPr>
      </w:pPr>
    </w:p>
    <w:p w14:paraId="513C5581">
      <w:pPr>
        <w:pStyle w:val="14"/>
        <w:rPr>
          <w:rFonts w:hint="default"/>
          <w:lang w:val="en-US" w:eastAsia="zh-CN"/>
        </w:rPr>
      </w:pPr>
    </w:p>
    <w:p w14:paraId="74B56811">
      <w:pPr>
        <w:rPr>
          <w:rFonts w:hint="default"/>
          <w:lang w:val="en-US" w:eastAsia="zh-CN"/>
        </w:rPr>
      </w:pPr>
    </w:p>
    <w:p w14:paraId="34212E77">
      <w:pPr>
        <w:pStyle w:val="14"/>
        <w:rPr>
          <w:rFonts w:hint="default"/>
          <w:lang w:val="en-US" w:eastAsia="zh-CN"/>
        </w:rPr>
      </w:pPr>
    </w:p>
    <w:p w14:paraId="68082D44">
      <w:pPr>
        <w:rPr>
          <w:rFonts w:hint="default"/>
          <w:lang w:val="en-US" w:eastAsia="zh-CN"/>
        </w:rPr>
      </w:pPr>
    </w:p>
    <w:p w14:paraId="0A3A58E3">
      <w:pPr>
        <w:pStyle w:val="14"/>
        <w:rPr>
          <w:rFonts w:hint="default"/>
          <w:lang w:val="en-US" w:eastAsia="zh-CN"/>
        </w:rPr>
      </w:pPr>
    </w:p>
    <w:p w14:paraId="301BC61A">
      <w:pPr>
        <w:rPr>
          <w:rFonts w:hint="default"/>
          <w:lang w:val="en-US" w:eastAsia="zh-CN"/>
        </w:rPr>
      </w:pPr>
    </w:p>
    <w:p w14:paraId="6C315A62">
      <w:pPr>
        <w:pStyle w:val="14"/>
        <w:rPr>
          <w:rFonts w:hint="default"/>
          <w:lang w:val="en-US" w:eastAsia="zh-CN"/>
        </w:rPr>
      </w:pPr>
    </w:p>
    <w:p w14:paraId="4B04198E">
      <w:pPr>
        <w:rPr>
          <w:rFonts w:hint="default"/>
          <w:lang w:val="en-US" w:eastAsia="zh-CN"/>
        </w:rPr>
      </w:pPr>
    </w:p>
    <w:p w14:paraId="24A8D723">
      <w:pPr>
        <w:pStyle w:val="14"/>
        <w:rPr>
          <w:rFonts w:hint="default"/>
          <w:lang w:val="en-US" w:eastAsia="zh-CN"/>
        </w:rPr>
      </w:pPr>
    </w:p>
    <w:p w14:paraId="267E8945">
      <w:pPr>
        <w:rPr>
          <w:rFonts w:hint="default"/>
          <w:lang w:val="en-US" w:eastAsia="zh-CN"/>
        </w:rPr>
      </w:pPr>
    </w:p>
    <w:p w14:paraId="0760ABF1">
      <w:pPr>
        <w:pStyle w:val="14"/>
        <w:rPr>
          <w:rFonts w:hint="default"/>
          <w:lang w:val="en-US" w:eastAsia="zh-CN"/>
        </w:rPr>
      </w:pPr>
    </w:p>
    <w:p w14:paraId="074F2BAD">
      <w:pPr>
        <w:rPr>
          <w:rFonts w:hint="default"/>
          <w:lang w:val="en-US" w:eastAsia="zh-CN"/>
        </w:rPr>
      </w:pPr>
    </w:p>
    <w:tbl>
      <w:tblPr>
        <w:tblStyle w:val="16"/>
        <w:tblpPr w:leftFromText="180" w:rightFromText="180" w:vertAnchor="text" w:horzAnchor="page" w:tblpX="1803" w:tblpY="139"/>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3"/>
        <w:gridCol w:w="612"/>
        <w:gridCol w:w="659"/>
        <w:gridCol w:w="745"/>
        <w:gridCol w:w="846"/>
        <w:gridCol w:w="672"/>
        <w:gridCol w:w="553"/>
        <w:gridCol w:w="791"/>
      </w:tblGrid>
      <w:tr w14:paraId="4991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1E56C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A52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341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8134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51090425T000012407034-公共图书馆、美术馆、文化馆（站）免费开放资金</w:t>
            </w:r>
          </w:p>
        </w:tc>
      </w:tr>
      <w:tr w14:paraId="115D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092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6E0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1E1A442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71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46AC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319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023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18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F783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95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DE2A">
            <w:pPr>
              <w:rPr>
                <w:rFonts w:hint="eastAsia" w:ascii="宋体" w:hAnsi="宋体" w:eastAsia="宋体" w:cs="宋体"/>
                <w:i w:val="0"/>
                <w:iCs w:val="0"/>
                <w:color w:val="000000"/>
                <w:sz w:val="18"/>
                <w:szCs w:val="18"/>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CD65">
            <w:pPr>
              <w:rPr>
                <w:rFonts w:hint="eastAsia" w:ascii="宋体" w:hAnsi="宋体" w:eastAsia="宋体" w:cs="宋体"/>
                <w:i w:val="0"/>
                <w:iCs w:val="0"/>
                <w:color w:val="000000"/>
                <w:sz w:val="18"/>
                <w:szCs w:val="18"/>
                <w:u w:val="none"/>
              </w:rPr>
            </w:pPr>
          </w:p>
        </w:tc>
        <w:tc>
          <w:tcPr>
            <w:tcW w:w="38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FAF5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本项目旨在通过免费开放乡镇综合文化站，丰富乡镇居民的精神文化生活，提升文化素养，提升乡镇文化服务水平，促进基层文化繁荣发展。</w:t>
            </w:r>
          </w:p>
        </w:tc>
        <w:tc>
          <w:tcPr>
            <w:tcW w:w="28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3750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本项目以保障基层群众基本文化权益为核心，通过实施乡镇文化站免费开放，推动公共文化服务均等化，实现文化设施全开放、文化活动全覆盖、文化服务全提升。截至年末，项目总体目标完成较好，在丰富群众文化生活、提升文化服务效能方面取得阶段性成果。</w:t>
            </w:r>
          </w:p>
        </w:tc>
      </w:tr>
      <w:tr w14:paraId="6853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DDEC5">
            <w:pP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2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BEB6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加强文化站免费开放管理，白马镇成立了部门分管领导、相关业务股室负责人及业务人员为成员的工作小组，明确文化站开放时间、服务内容及安全管理规范，完成设施检修与设备更新。结合传统节日、农闲时段策划特色文化活动，联合社会组织等多元主体参与，丰富群众文化生活。</w:t>
            </w:r>
          </w:p>
        </w:tc>
      </w:tr>
      <w:tr w14:paraId="4926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35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9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9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45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006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D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5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6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7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CD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2789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7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F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F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81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4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5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8DFF">
            <w:pPr>
              <w:jc w:val="center"/>
              <w:rPr>
                <w:rFonts w:hint="eastAsia" w:ascii="宋体" w:hAnsi="宋体" w:eastAsia="宋体" w:cs="宋体"/>
                <w:i w:val="0"/>
                <w:iCs w:val="0"/>
                <w:color w:val="000000"/>
                <w:sz w:val="18"/>
                <w:szCs w:val="18"/>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6A2C7">
            <w:pPr>
              <w:rPr>
                <w:rFonts w:hint="eastAsia" w:ascii="黑体" w:hAnsi="黑体" w:eastAsia="黑体" w:cs="黑体"/>
                <w:i/>
                <w:iCs/>
                <w:color w:val="000000"/>
                <w:sz w:val="18"/>
                <w:szCs w:val="18"/>
                <w:u w:val="none"/>
              </w:rPr>
            </w:pPr>
          </w:p>
        </w:tc>
      </w:tr>
      <w:tr w14:paraId="28E7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9839">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D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D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B3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F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71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5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171BB">
            <w:pPr>
              <w:rPr>
                <w:rFonts w:hint="eastAsia" w:ascii="黑体" w:hAnsi="黑体" w:eastAsia="黑体" w:cs="黑体"/>
                <w:i/>
                <w:iCs/>
                <w:color w:val="000000"/>
                <w:sz w:val="18"/>
                <w:szCs w:val="18"/>
                <w:u w:val="none"/>
              </w:rPr>
            </w:pPr>
          </w:p>
        </w:tc>
      </w:tr>
      <w:tr w14:paraId="41443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5936">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4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4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D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1C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4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3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6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83BB">
            <w:pPr>
              <w:rPr>
                <w:rFonts w:hint="eastAsia" w:ascii="黑体" w:hAnsi="黑体" w:eastAsia="黑体" w:cs="黑体"/>
                <w:i/>
                <w:iCs/>
                <w:color w:val="000000"/>
                <w:sz w:val="18"/>
                <w:szCs w:val="18"/>
                <w:u w:val="none"/>
              </w:rPr>
            </w:pPr>
          </w:p>
        </w:tc>
      </w:tr>
      <w:tr w14:paraId="4951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EAD9">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E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D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C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93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2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6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2703">
            <w:pPr>
              <w:rPr>
                <w:rFonts w:hint="eastAsia" w:ascii="黑体" w:hAnsi="黑体" w:eastAsia="黑体" w:cs="黑体"/>
                <w:i/>
                <w:iCs/>
                <w:color w:val="000000"/>
                <w:sz w:val="18"/>
                <w:szCs w:val="18"/>
                <w:u w:val="none"/>
              </w:rPr>
            </w:pPr>
          </w:p>
        </w:tc>
      </w:tr>
      <w:tr w14:paraId="3777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9B06">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8C04">
            <w:pPr>
              <w:jc w:val="center"/>
              <w:rPr>
                <w:rFonts w:hint="eastAsia" w:ascii="微软雅黑" w:hAnsi="微软雅黑" w:eastAsia="微软雅黑" w:cs="微软雅黑"/>
                <w:i/>
                <w:iCs/>
                <w:color w:val="000000"/>
                <w:sz w:val="16"/>
                <w:szCs w:val="16"/>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63AE">
            <w:pPr>
              <w:jc w:val="center"/>
              <w:rPr>
                <w:rFonts w:hint="eastAsia" w:ascii="微软雅黑" w:hAnsi="微软雅黑" w:eastAsia="微软雅黑" w:cs="微软雅黑"/>
                <w:i/>
                <w:iCs/>
                <w:color w:val="000000"/>
                <w:sz w:val="16"/>
                <w:szCs w:val="16"/>
                <w:u w:val="none"/>
              </w:rPr>
            </w:pPr>
          </w:p>
        </w:tc>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8A6CC">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3BD5">
            <w:pPr>
              <w:jc w:val="center"/>
              <w:rPr>
                <w:rFonts w:hint="eastAsia" w:ascii="微软雅黑" w:hAnsi="微软雅黑" w:eastAsia="微软雅黑" w:cs="微软雅黑"/>
                <w:i/>
                <w:iCs/>
                <w:color w:val="000000"/>
                <w:sz w:val="16"/>
                <w:szCs w:val="16"/>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2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3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3D2F1">
            <w:pPr>
              <w:rPr>
                <w:rFonts w:hint="eastAsia" w:ascii="黑体" w:hAnsi="黑体" w:eastAsia="黑体" w:cs="黑体"/>
                <w:i/>
                <w:iCs/>
                <w:color w:val="000000"/>
                <w:sz w:val="18"/>
                <w:szCs w:val="18"/>
                <w:u w:val="none"/>
              </w:rPr>
            </w:pPr>
          </w:p>
        </w:tc>
      </w:tr>
      <w:tr w14:paraId="4D45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7D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75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A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1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2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F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6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D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8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D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E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6BC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28EB">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A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8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5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文化中心聘请人数</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9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1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3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6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4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E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E3F0">
            <w:pPr>
              <w:jc w:val="center"/>
              <w:rPr>
                <w:rFonts w:hint="eastAsia" w:ascii="宋体" w:hAnsi="宋体" w:eastAsia="宋体" w:cs="宋体"/>
                <w:i w:val="0"/>
                <w:iCs w:val="0"/>
                <w:color w:val="000000"/>
                <w:sz w:val="18"/>
                <w:szCs w:val="18"/>
                <w:u w:val="none"/>
              </w:rPr>
            </w:pPr>
          </w:p>
        </w:tc>
      </w:tr>
      <w:tr w14:paraId="1F2F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CBAE2">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3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D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2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开放时间</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E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5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F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1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F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DA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0E6">
            <w:pPr>
              <w:jc w:val="center"/>
              <w:rPr>
                <w:rFonts w:hint="eastAsia" w:ascii="宋体" w:hAnsi="宋体" w:eastAsia="宋体" w:cs="宋体"/>
                <w:i w:val="0"/>
                <w:iCs w:val="0"/>
                <w:color w:val="000000"/>
                <w:sz w:val="18"/>
                <w:szCs w:val="18"/>
                <w:u w:val="none"/>
              </w:rPr>
            </w:pPr>
          </w:p>
        </w:tc>
      </w:tr>
      <w:tr w14:paraId="6A78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CE93F">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4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5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D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文化站服务水平</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F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7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B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E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5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5CB4">
            <w:pPr>
              <w:jc w:val="center"/>
              <w:rPr>
                <w:rFonts w:hint="eastAsia" w:ascii="宋体" w:hAnsi="宋体" w:eastAsia="宋体" w:cs="宋体"/>
                <w:i w:val="0"/>
                <w:iCs w:val="0"/>
                <w:color w:val="000000"/>
                <w:sz w:val="18"/>
                <w:szCs w:val="18"/>
                <w:u w:val="none"/>
              </w:rPr>
            </w:pPr>
          </w:p>
        </w:tc>
      </w:tr>
      <w:tr w14:paraId="65E5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834E">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4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E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1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乡镇文化氛围提升</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5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1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0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A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4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6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119A">
            <w:pPr>
              <w:jc w:val="center"/>
              <w:rPr>
                <w:rFonts w:hint="eastAsia" w:ascii="宋体" w:hAnsi="宋体" w:eastAsia="宋体" w:cs="宋体"/>
                <w:i w:val="0"/>
                <w:iCs w:val="0"/>
                <w:color w:val="000000"/>
                <w:sz w:val="18"/>
                <w:szCs w:val="18"/>
                <w:u w:val="none"/>
              </w:rPr>
            </w:pPr>
          </w:p>
        </w:tc>
      </w:tr>
      <w:tr w14:paraId="3FAE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EE1D">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9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7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8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8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D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0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6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F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5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340B">
            <w:pPr>
              <w:jc w:val="center"/>
              <w:rPr>
                <w:rFonts w:hint="eastAsia" w:ascii="宋体" w:hAnsi="宋体" w:eastAsia="宋体" w:cs="宋体"/>
                <w:i w:val="0"/>
                <w:iCs w:val="0"/>
                <w:color w:val="000000"/>
                <w:sz w:val="18"/>
                <w:szCs w:val="18"/>
                <w:u w:val="none"/>
              </w:rPr>
            </w:pPr>
          </w:p>
        </w:tc>
      </w:tr>
      <w:tr w14:paraId="609F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45221">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2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9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A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文化推广务工成本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4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D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F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E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3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1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5A09">
            <w:pPr>
              <w:jc w:val="center"/>
              <w:rPr>
                <w:rFonts w:hint="eastAsia" w:ascii="宋体" w:hAnsi="宋体" w:eastAsia="宋体" w:cs="宋体"/>
                <w:i w:val="0"/>
                <w:iCs w:val="0"/>
                <w:color w:val="000000"/>
                <w:sz w:val="18"/>
                <w:szCs w:val="18"/>
                <w:u w:val="none"/>
              </w:rPr>
            </w:pPr>
          </w:p>
        </w:tc>
      </w:tr>
      <w:tr w14:paraId="5059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EC70">
            <w:pPr>
              <w:jc w:val="center"/>
              <w:rPr>
                <w:rFonts w:hint="eastAsia" w:ascii="宋体" w:hAnsi="宋体" w:eastAsia="宋体" w:cs="宋体"/>
                <w:i w:val="0"/>
                <w:iCs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0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1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文化宣传活动等成本</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E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2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E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30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1.52</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A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7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B3E3">
            <w:pPr>
              <w:jc w:val="center"/>
              <w:rPr>
                <w:rFonts w:hint="eastAsia" w:ascii="微软雅黑" w:hAnsi="微软雅黑" w:eastAsia="微软雅黑" w:cs="微软雅黑"/>
                <w:i/>
                <w:iCs/>
                <w:color w:val="000000"/>
                <w:sz w:val="16"/>
                <w:szCs w:val="16"/>
                <w:u w:val="none"/>
              </w:rPr>
            </w:pPr>
          </w:p>
        </w:tc>
      </w:tr>
      <w:tr w14:paraId="4394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A96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C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FEAC">
            <w:pPr>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8A70">
            <w:pPr>
              <w:rPr>
                <w:rFonts w:hint="eastAsia" w:ascii="宋体" w:hAnsi="宋体" w:eastAsia="宋体" w:cs="宋体"/>
                <w:i w:val="0"/>
                <w:iCs w:val="0"/>
                <w:color w:val="000000"/>
                <w:sz w:val="18"/>
                <w:szCs w:val="18"/>
                <w:u w:val="none"/>
              </w:rPr>
            </w:pPr>
          </w:p>
        </w:tc>
      </w:tr>
      <w:tr w14:paraId="3C7D7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26EE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文化馆（站）免费开放资金使用合规、分配合理，通过项目实施，文化站成为政策宣传、技能培训的重要阵地，助力乡村文化振兴。基层群众文化活动参与率显著提升，文化获得感增强，基本实现免费开放目标</w:t>
            </w:r>
          </w:p>
        </w:tc>
      </w:tr>
      <w:tr w14:paraId="135A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7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22CE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资金保障压力大，经费主要依赖财政拨款，社会资本参与度低，难以满足长期运营需求。</w:t>
            </w:r>
          </w:p>
        </w:tc>
      </w:tr>
      <w:tr w14:paraId="217E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B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C03F5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拓宽资金渠道，探索“政府+企业+乡贤”多元投入模式，设立文化发展基金，争取社会捐赠。</w:t>
            </w:r>
          </w:p>
        </w:tc>
      </w:tr>
      <w:tr w14:paraId="1ADD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7FB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项目负责人：唐兴旺</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0683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0390EE88">
      <w:pPr>
        <w:pStyle w:val="14"/>
        <w:rPr>
          <w:rFonts w:hint="default"/>
          <w:lang w:val="en-US" w:eastAsia="zh-CN"/>
        </w:rPr>
      </w:pPr>
    </w:p>
    <w:p w14:paraId="10C28FF5">
      <w:pPr>
        <w:rPr>
          <w:rFonts w:hint="default"/>
          <w:lang w:val="en-US" w:eastAsia="zh-CN"/>
        </w:rPr>
      </w:pPr>
    </w:p>
    <w:p w14:paraId="3BD05D62">
      <w:pPr>
        <w:rPr>
          <w:rFonts w:hint="default"/>
          <w:lang w:val="en-US" w:eastAsia="zh-CN"/>
        </w:rPr>
      </w:pPr>
    </w:p>
    <w:p w14:paraId="6D283F69">
      <w:pPr>
        <w:pStyle w:val="14"/>
        <w:rPr>
          <w:rFonts w:hint="default"/>
          <w:lang w:val="en-US" w:eastAsia="zh-CN"/>
        </w:rPr>
      </w:pPr>
    </w:p>
    <w:p w14:paraId="7E0999BB">
      <w:pPr>
        <w:rPr>
          <w:rFonts w:hint="default"/>
          <w:lang w:val="en-US" w:eastAsia="zh-CN"/>
        </w:rPr>
      </w:pPr>
    </w:p>
    <w:p w14:paraId="3A9C2617">
      <w:pPr>
        <w:pStyle w:val="14"/>
        <w:rPr>
          <w:rFonts w:hint="default"/>
          <w:lang w:val="en-US" w:eastAsia="zh-CN"/>
        </w:rPr>
      </w:pPr>
    </w:p>
    <w:p w14:paraId="7F21A1AA">
      <w:pPr>
        <w:rPr>
          <w:rFonts w:hint="default"/>
          <w:lang w:val="en-US" w:eastAsia="zh-CN"/>
        </w:rPr>
      </w:pPr>
    </w:p>
    <w:p w14:paraId="36523554">
      <w:pPr>
        <w:pStyle w:val="14"/>
        <w:rPr>
          <w:rFonts w:hint="default"/>
          <w:lang w:val="en-US" w:eastAsia="zh-CN"/>
        </w:rPr>
      </w:pPr>
    </w:p>
    <w:p w14:paraId="5C0B7C0D">
      <w:pPr>
        <w:rPr>
          <w:rFonts w:hint="default"/>
          <w:lang w:val="en-US" w:eastAsia="zh-CN"/>
        </w:rPr>
      </w:pPr>
    </w:p>
    <w:p w14:paraId="752C3A9B">
      <w:pPr>
        <w:pStyle w:val="14"/>
        <w:rPr>
          <w:rFonts w:hint="default"/>
          <w:lang w:val="en-US" w:eastAsia="zh-CN"/>
        </w:rPr>
      </w:pPr>
    </w:p>
    <w:p w14:paraId="1F49D93B">
      <w:pPr>
        <w:rPr>
          <w:rFonts w:hint="default"/>
          <w:lang w:val="en-US" w:eastAsia="zh-CN"/>
        </w:rPr>
      </w:pPr>
    </w:p>
    <w:p w14:paraId="28E2CFD6">
      <w:pPr>
        <w:pStyle w:val="14"/>
        <w:rPr>
          <w:rFonts w:hint="default"/>
          <w:lang w:val="en-US" w:eastAsia="zh-CN"/>
        </w:rPr>
      </w:pPr>
    </w:p>
    <w:p w14:paraId="79867198">
      <w:pPr>
        <w:rPr>
          <w:rFonts w:hint="default"/>
          <w:lang w:val="en-US" w:eastAsia="zh-CN"/>
        </w:rPr>
      </w:pPr>
    </w:p>
    <w:p w14:paraId="6B4CAB04">
      <w:pPr>
        <w:pStyle w:val="14"/>
        <w:rPr>
          <w:rFonts w:hint="default"/>
          <w:lang w:val="en-US" w:eastAsia="zh-CN"/>
        </w:rPr>
      </w:pPr>
    </w:p>
    <w:p w14:paraId="708AAB32">
      <w:pPr>
        <w:rPr>
          <w:rFonts w:hint="default"/>
          <w:lang w:val="en-US" w:eastAsia="zh-CN"/>
        </w:rPr>
      </w:pPr>
    </w:p>
    <w:p w14:paraId="2F265F24">
      <w:pPr>
        <w:pStyle w:val="14"/>
        <w:rPr>
          <w:rFonts w:hint="default"/>
          <w:lang w:val="en-US" w:eastAsia="zh-CN"/>
        </w:rPr>
      </w:pPr>
    </w:p>
    <w:p w14:paraId="6BE6C630">
      <w:pPr>
        <w:rPr>
          <w:rFonts w:hint="default"/>
          <w:lang w:val="en-US" w:eastAsia="zh-CN"/>
        </w:rPr>
      </w:pPr>
    </w:p>
    <w:p w14:paraId="10405CF6">
      <w:pPr>
        <w:pStyle w:val="14"/>
        <w:rPr>
          <w:rFonts w:hint="default"/>
          <w:lang w:val="en-US" w:eastAsia="zh-CN"/>
        </w:rPr>
      </w:pPr>
    </w:p>
    <w:p w14:paraId="5D37E80B">
      <w:pPr>
        <w:rPr>
          <w:rFonts w:hint="default"/>
          <w:lang w:val="en-US" w:eastAsia="zh-CN"/>
        </w:rPr>
      </w:pPr>
    </w:p>
    <w:p w14:paraId="75F60C98">
      <w:pPr>
        <w:pStyle w:val="14"/>
        <w:rPr>
          <w:rFonts w:hint="default"/>
          <w:lang w:val="en-US" w:eastAsia="zh-CN"/>
        </w:rPr>
      </w:pPr>
    </w:p>
    <w:p w14:paraId="71DC2813">
      <w:pPr>
        <w:rPr>
          <w:rFonts w:hint="default"/>
          <w:lang w:val="en-US" w:eastAsia="zh-CN"/>
        </w:rPr>
      </w:pPr>
    </w:p>
    <w:p w14:paraId="61C24753">
      <w:pPr>
        <w:pStyle w:val="14"/>
        <w:rPr>
          <w:rFonts w:hint="default"/>
          <w:lang w:val="en-US" w:eastAsia="zh-CN"/>
        </w:rPr>
      </w:pPr>
    </w:p>
    <w:p w14:paraId="6C8B6FCA">
      <w:pPr>
        <w:rPr>
          <w:rFonts w:hint="default"/>
          <w:lang w:val="en-US" w:eastAsia="zh-CN"/>
        </w:rPr>
      </w:pPr>
    </w:p>
    <w:p w14:paraId="3500E71D">
      <w:pPr>
        <w:pStyle w:val="14"/>
        <w:rPr>
          <w:rFonts w:hint="default"/>
          <w:lang w:val="en-US" w:eastAsia="zh-CN"/>
        </w:rPr>
      </w:pPr>
    </w:p>
    <w:p w14:paraId="702D96A4">
      <w:pPr>
        <w:rPr>
          <w:rFonts w:hint="default"/>
          <w:lang w:val="en-US" w:eastAsia="zh-CN"/>
        </w:rPr>
      </w:pPr>
    </w:p>
    <w:p w14:paraId="0AAC978B">
      <w:pPr>
        <w:pStyle w:val="14"/>
        <w:rPr>
          <w:rFonts w:hint="default"/>
          <w:lang w:val="en-US" w:eastAsia="zh-CN"/>
        </w:rPr>
      </w:pPr>
    </w:p>
    <w:p w14:paraId="4D241A1F">
      <w:pPr>
        <w:rPr>
          <w:rFonts w:hint="default"/>
          <w:lang w:val="en-US" w:eastAsia="zh-CN"/>
        </w:rPr>
      </w:pPr>
    </w:p>
    <w:p w14:paraId="6CB813FD">
      <w:pPr>
        <w:pStyle w:val="14"/>
        <w:rPr>
          <w:rFonts w:hint="default"/>
          <w:lang w:val="en-US" w:eastAsia="zh-CN"/>
        </w:rPr>
      </w:pPr>
    </w:p>
    <w:tbl>
      <w:tblPr>
        <w:tblStyle w:val="16"/>
        <w:tblpPr w:leftFromText="180" w:rightFromText="180" w:vertAnchor="text" w:horzAnchor="page" w:tblpX="1840" w:tblpY="232"/>
        <w:tblOverlap w:val="never"/>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840"/>
        <w:gridCol w:w="769"/>
        <w:gridCol w:w="1058"/>
        <w:gridCol w:w="603"/>
        <w:gridCol w:w="756"/>
        <w:gridCol w:w="731"/>
        <w:gridCol w:w="846"/>
        <w:gridCol w:w="665"/>
        <w:gridCol w:w="547"/>
        <w:gridCol w:w="775"/>
      </w:tblGrid>
      <w:tr w14:paraId="66CB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4224B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DE5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68A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8C17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51090425T000013004284-安白路白马段公路征地补偿</w:t>
            </w:r>
          </w:p>
        </w:tc>
      </w:tr>
      <w:tr w14:paraId="5A05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65D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9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C46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46" w:type="dxa"/>
            <w:tcBorders>
              <w:top w:val="nil"/>
              <w:left w:val="nil"/>
              <w:bottom w:val="nil"/>
              <w:right w:val="nil"/>
            </w:tcBorders>
            <w:shd w:val="clear" w:color="auto" w:fill="auto"/>
            <w:vAlign w:val="center"/>
          </w:tcPr>
          <w:p w14:paraId="18506C6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9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FE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7953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83E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99F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7D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A937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AE5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DE439">
            <w:pPr>
              <w:rPr>
                <w:rFonts w:hint="eastAsia" w:ascii="宋体" w:hAnsi="宋体" w:eastAsia="宋体" w:cs="宋体"/>
                <w:i w:val="0"/>
                <w:iCs w:val="0"/>
                <w:color w:val="000000"/>
                <w:sz w:val="18"/>
                <w:szCs w:val="18"/>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2E4D6">
            <w:pPr>
              <w:rPr>
                <w:rFonts w:hint="eastAsia" w:ascii="宋体" w:hAnsi="宋体" w:eastAsia="宋体" w:cs="宋体"/>
                <w:i w:val="0"/>
                <w:iCs w:val="0"/>
                <w:color w:val="000000"/>
                <w:sz w:val="18"/>
                <w:szCs w:val="18"/>
                <w:u w:val="none"/>
              </w:rPr>
            </w:pPr>
          </w:p>
        </w:tc>
        <w:tc>
          <w:tcPr>
            <w:tcW w:w="39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E5E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对修建公路进行了征地的农户进行补偿，并进行安抚</w:t>
            </w:r>
          </w:p>
        </w:tc>
        <w:tc>
          <w:tcPr>
            <w:tcW w:w="28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DE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本项目以保障被征地群众利益为核心，于</w:t>
            </w:r>
            <w:r>
              <w:rPr>
                <w:rFonts w:hint="eastAsia" w:ascii="黑体" w:hAnsi="黑体" w:eastAsia="黑体" w:cs="黑体"/>
                <w:i w:val="0"/>
                <w:iCs w:val="0"/>
                <w:color w:val="000000"/>
                <w:kern w:val="0"/>
                <w:sz w:val="18"/>
                <w:szCs w:val="18"/>
                <w:u w:val="none"/>
                <w:lang w:val="en-US" w:eastAsia="zh-CN" w:bidi="ar"/>
              </w:rPr>
              <w:t>11</w:t>
            </w:r>
            <w:r>
              <w:rPr>
                <w:rFonts w:hint="eastAsia" w:ascii="宋体" w:hAnsi="宋体" w:eastAsia="宋体" w:cs="宋体"/>
                <w:i w:val="0"/>
                <w:iCs w:val="0"/>
                <w:color w:val="000000"/>
                <w:kern w:val="0"/>
                <w:sz w:val="18"/>
                <w:szCs w:val="18"/>
                <w:u w:val="none"/>
                <w:lang w:val="en-US" w:eastAsia="zh-CN" w:bidi="ar"/>
              </w:rPr>
              <w:t>月发放补偿资金对群众进行安抚</w:t>
            </w:r>
          </w:p>
        </w:tc>
      </w:tr>
      <w:tr w14:paraId="15F1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8604">
            <w:pP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5F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C8B1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单位于2024年11月完成资金支付。</w:t>
            </w:r>
          </w:p>
        </w:tc>
      </w:tr>
      <w:tr w14:paraId="10AF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2E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7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9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B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E4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0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A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1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D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0A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7F67">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1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1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8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74.32</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52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1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7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B916">
            <w:pPr>
              <w:jc w:val="center"/>
              <w:rPr>
                <w:rFonts w:hint="eastAsia" w:ascii="宋体" w:hAnsi="宋体" w:eastAsia="宋体" w:cs="宋体"/>
                <w:i w:val="0"/>
                <w:iCs w:val="0"/>
                <w:color w:val="000000"/>
                <w:sz w:val="18"/>
                <w:szCs w:val="18"/>
                <w:u w:val="none"/>
              </w:rPr>
            </w:pP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E916D">
            <w:pPr>
              <w:rPr>
                <w:rFonts w:hint="eastAsia" w:ascii="黑体" w:hAnsi="黑体" w:eastAsia="黑体" w:cs="黑体"/>
                <w:i/>
                <w:iCs/>
                <w:color w:val="000000"/>
                <w:sz w:val="18"/>
                <w:szCs w:val="18"/>
                <w:u w:val="none"/>
              </w:rPr>
            </w:pPr>
          </w:p>
        </w:tc>
      </w:tr>
      <w:tr w14:paraId="59E4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99CF0">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6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9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D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74.32</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20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E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0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0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46FD">
            <w:pPr>
              <w:rPr>
                <w:rFonts w:hint="eastAsia" w:ascii="黑体" w:hAnsi="黑体" w:eastAsia="黑体" w:cs="黑体"/>
                <w:i/>
                <w:iCs/>
                <w:color w:val="000000"/>
                <w:sz w:val="18"/>
                <w:szCs w:val="18"/>
                <w:u w:val="none"/>
              </w:rPr>
            </w:pPr>
          </w:p>
        </w:tc>
      </w:tr>
      <w:tr w14:paraId="5B34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2A16">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F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7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87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E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9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0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C12D7">
            <w:pPr>
              <w:rPr>
                <w:rFonts w:hint="eastAsia" w:ascii="黑体" w:hAnsi="黑体" w:eastAsia="黑体" w:cs="黑体"/>
                <w:i/>
                <w:iCs/>
                <w:color w:val="000000"/>
                <w:sz w:val="18"/>
                <w:szCs w:val="18"/>
                <w:u w:val="none"/>
              </w:rPr>
            </w:pPr>
          </w:p>
        </w:tc>
      </w:tr>
      <w:tr w14:paraId="06A6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5AA6F">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D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F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2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57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51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5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0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7BC5">
            <w:pPr>
              <w:rPr>
                <w:rFonts w:hint="eastAsia" w:ascii="黑体" w:hAnsi="黑体" w:eastAsia="黑体" w:cs="黑体"/>
                <w:i/>
                <w:iCs/>
                <w:color w:val="000000"/>
                <w:sz w:val="18"/>
                <w:szCs w:val="18"/>
                <w:u w:val="none"/>
              </w:rPr>
            </w:pPr>
          </w:p>
        </w:tc>
      </w:tr>
      <w:tr w14:paraId="3170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91C96">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5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AE4A">
            <w:pPr>
              <w:jc w:val="center"/>
              <w:rPr>
                <w:rFonts w:hint="eastAsia" w:ascii="微软雅黑" w:hAnsi="微软雅黑" w:eastAsia="微软雅黑" w:cs="微软雅黑"/>
                <w:i/>
                <w:iCs/>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9CDA">
            <w:pPr>
              <w:jc w:val="center"/>
              <w:rPr>
                <w:rFonts w:hint="eastAsia" w:ascii="微软雅黑" w:hAnsi="微软雅黑" w:eastAsia="微软雅黑" w:cs="微软雅黑"/>
                <w:i/>
                <w:iCs/>
                <w:color w:val="000000"/>
                <w:sz w:val="16"/>
                <w:szCs w:val="16"/>
                <w:u w:val="none"/>
              </w:rPr>
            </w:pPr>
          </w:p>
        </w:tc>
        <w:tc>
          <w:tcPr>
            <w:tcW w:w="2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B015B">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BB7C">
            <w:pPr>
              <w:jc w:val="center"/>
              <w:rPr>
                <w:rFonts w:hint="eastAsia" w:ascii="微软雅黑" w:hAnsi="微软雅黑" w:eastAsia="微软雅黑" w:cs="微软雅黑"/>
                <w:i/>
                <w:iCs/>
                <w:color w:val="000000"/>
                <w:sz w:val="16"/>
                <w:szCs w:val="16"/>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130B">
            <w:pPr>
              <w:rPr>
                <w:rFonts w:hint="eastAsia" w:ascii="黑体" w:hAnsi="黑体" w:eastAsia="黑体" w:cs="黑体"/>
                <w:i/>
                <w:iCs/>
                <w:color w:val="000000"/>
                <w:sz w:val="18"/>
                <w:szCs w:val="18"/>
                <w:u w:val="none"/>
              </w:rPr>
            </w:pPr>
          </w:p>
        </w:tc>
      </w:tr>
      <w:tr w14:paraId="46CD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9C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F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D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2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A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5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9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3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9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D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E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37B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F90EF">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D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F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4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2025年1-12月</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5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3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A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1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E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D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778B">
            <w:pPr>
              <w:jc w:val="center"/>
              <w:rPr>
                <w:rFonts w:hint="eastAsia" w:ascii="宋体" w:hAnsi="宋体" w:eastAsia="宋体" w:cs="宋体"/>
                <w:i w:val="0"/>
                <w:iCs w:val="0"/>
                <w:color w:val="000000"/>
                <w:sz w:val="18"/>
                <w:szCs w:val="18"/>
                <w:u w:val="none"/>
              </w:rPr>
            </w:pPr>
          </w:p>
        </w:tc>
      </w:tr>
      <w:tr w14:paraId="22F0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384DD">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1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8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D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年度目标任务完成率</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4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4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6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3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6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E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F59F">
            <w:pPr>
              <w:jc w:val="center"/>
              <w:rPr>
                <w:rFonts w:hint="eastAsia" w:ascii="宋体" w:hAnsi="宋体" w:eastAsia="宋体" w:cs="宋体"/>
                <w:i w:val="0"/>
                <w:iCs w:val="0"/>
                <w:color w:val="000000"/>
                <w:sz w:val="18"/>
                <w:szCs w:val="18"/>
                <w:u w:val="none"/>
              </w:rPr>
            </w:pPr>
          </w:p>
        </w:tc>
      </w:tr>
      <w:tr w14:paraId="434F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319E">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E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9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B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对全镇工作促进作用</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0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7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7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5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6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4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7671">
            <w:pPr>
              <w:jc w:val="center"/>
              <w:rPr>
                <w:rFonts w:hint="eastAsia" w:ascii="宋体" w:hAnsi="宋体" w:eastAsia="宋体" w:cs="宋体"/>
                <w:i w:val="0"/>
                <w:iCs w:val="0"/>
                <w:color w:val="000000"/>
                <w:sz w:val="18"/>
                <w:szCs w:val="18"/>
                <w:u w:val="none"/>
              </w:rPr>
            </w:pPr>
          </w:p>
        </w:tc>
      </w:tr>
      <w:tr w14:paraId="29F3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204C9">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8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9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05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对重大决策部署推动作用</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0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77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6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46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C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E53D">
            <w:pPr>
              <w:jc w:val="center"/>
              <w:rPr>
                <w:rFonts w:hint="eastAsia" w:ascii="宋体" w:hAnsi="宋体" w:eastAsia="宋体" w:cs="宋体"/>
                <w:i w:val="0"/>
                <w:iCs w:val="0"/>
                <w:color w:val="000000"/>
                <w:sz w:val="18"/>
                <w:szCs w:val="18"/>
                <w:u w:val="none"/>
              </w:rPr>
            </w:pPr>
          </w:p>
        </w:tc>
      </w:tr>
      <w:tr w14:paraId="2744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8D2D8">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B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5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E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5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7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8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3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6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7137">
            <w:pPr>
              <w:jc w:val="center"/>
              <w:rPr>
                <w:rFonts w:hint="eastAsia" w:ascii="宋体" w:hAnsi="宋体" w:eastAsia="宋体" w:cs="宋体"/>
                <w:i w:val="0"/>
                <w:iCs w:val="0"/>
                <w:color w:val="000000"/>
                <w:sz w:val="18"/>
                <w:szCs w:val="18"/>
                <w:u w:val="none"/>
              </w:rPr>
            </w:pPr>
          </w:p>
        </w:tc>
      </w:tr>
      <w:tr w14:paraId="3300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F8B2">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F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3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9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征地补偿金额</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F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A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743200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5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5A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743200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3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E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62CA">
            <w:pPr>
              <w:jc w:val="center"/>
              <w:rPr>
                <w:rFonts w:hint="eastAsia" w:ascii="微软雅黑" w:hAnsi="微软雅黑" w:eastAsia="微软雅黑" w:cs="微软雅黑"/>
                <w:i/>
                <w:iCs/>
                <w:color w:val="000000"/>
                <w:sz w:val="16"/>
                <w:szCs w:val="16"/>
                <w:u w:val="none"/>
              </w:rPr>
            </w:pPr>
          </w:p>
        </w:tc>
      </w:tr>
      <w:tr w14:paraId="6AA75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AE1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8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5BCA">
            <w:pPr>
              <w:rPr>
                <w:rFonts w:hint="eastAsia" w:ascii="宋体" w:hAnsi="宋体" w:eastAsia="宋体" w:cs="宋体"/>
                <w:i w:val="0"/>
                <w:iCs w:val="0"/>
                <w:color w:val="000000"/>
                <w:sz w:val="18"/>
                <w:szCs w:val="18"/>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A236">
            <w:pPr>
              <w:rPr>
                <w:rFonts w:hint="eastAsia" w:ascii="宋体" w:hAnsi="宋体" w:eastAsia="宋体" w:cs="宋体"/>
                <w:i w:val="0"/>
                <w:iCs w:val="0"/>
                <w:color w:val="000000"/>
                <w:sz w:val="18"/>
                <w:szCs w:val="18"/>
                <w:u w:val="none"/>
              </w:rPr>
            </w:pPr>
          </w:p>
        </w:tc>
      </w:tr>
      <w:tr w14:paraId="6456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9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51D6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0760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7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F37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61B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5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9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8075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CA7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F3A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项目负责人：袁郑福</w:t>
            </w:r>
          </w:p>
        </w:tc>
        <w:tc>
          <w:tcPr>
            <w:tcW w:w="43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9081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50F7BDDB">
      <w:pPr>
        <w:pStyle w:val="14"/>
        <w:rPr>
          <w:rFonts w:hint="default"/>
          <w:lang w:val="en-US" w:eastAsia="zh-CN"/>
        </w:rPr>
      </w:pPr>
    </w:p>
    <w:p w14:paraId="74EA7DE6">
      <w:pPr>
        <w:rPr>
          <w:rFonts w:hint="default"/>
          <w:lang w:val="en-US" w:eastAsia="zh-CN"/>
        </w:rPr>
      </w:pPr>
    </w:p>
    <w:p w14:paraId="204442D8">
      <w:pPr>
        <w:pStyle w:val="14"/>
        <w:rPr>
          <w:rFonts w:hint="default"/>
          <w:lang w:val="en-US" w:eastAsia="zh-CN"/>
        </w:rPr>
      </w:pPr>
    </w:p>
    <w:p w14:paraId="7377BE75">
      <w:pPr>
        <w:rPr>
          <w:rFonts w:hint="default"/>
          <w:lang w:val="en-US" w:eastAsia="zh-CN"/>
        </w:rPr>
      </w:pPr>
    </w:p>
    <w:p w14:paraId="0BE3CBA7">
      <w:pPr>
        <w:pStyle w:val="14"/>
        <w:rPr>
          <w:rFonts w:hint="default"/>
          <w:lang w:val="en-US" w:eastAsia="zh-CN"/>
        </w:rPr>
      </w:pPr>
    </w:p>
    <w:p w14:paraId="100DDCEB">
      <w:pPr>
        <w:rPr>
          <w:rFonts w:hint="default"/>
          <w:lang w:val="en-US" w:eastAsia="zh-CN"/>
        </w:rPr>
      </w:pPr>
    </w:p>
    <w:p w14:paraId="65EBD299">
      <w:pPr>
        <w:pStyle w:val="14"/>
        <w:rPr>
          <w:rFonts w:hint="default"/>
          <w:lang w:val="en-US" w:eastAsia="zh-CN"/>
        </w:rPr>
      </w:pPr>
    </w:p>
    <w:p w14:paraId="3815B6FB">
      <w:pPr>
        <w:rPr>
          <w:rFonts w:hint="default"/>
          <w:lang w:val="en-US" w:eastAsia="zh-CN"/>
        </w:rPr>
      </w:pPr>
    </w:p>
    <w:p w14:paraId="630987AC">
      <w:pPr>
        <w:pStyle w:val="14"/>
        <w:rPr>
          <w:rFonts w:hint="default"/>
          <w:lang w:val="en-US" w:eastAsia="zh-CN"/>
        </w:rPr>
      </w:pPr>
    </w:p>
    <w:p w14:paraId="0BD87B60">
      <w:pPr>
        <w:rPr>
          <w:rFonts w:hint="default"/>
          <w:lang w:val="en-US" w:eastAsia="zh-CN"/>
        </w:rPr>
      </w:pPr>
    </w:p>
    <w:p w14:paraId="74FC7106">
      <w:pPr>
        <w:pStyle w:val="14"/>
        <w:rPr>
          <w:rFonts w:hint="default"/>
          <w:lang w:val="en-US" w:eastAsia="zh-CN"/>
        </w:rPr>
      </w:pPr>
    </w:p>
    <w:p w14:paraId="027002FD">
      <w:pPr>
        <w:rPr>
          <w:rFonts w:hint="default"/>
          <w:lang w:val="en-US" w:eastAsia="zh-CN"/>
        </w:rPr>
      </w:pPr>
    </w:p>
    <w:p w14:paraId="4C04EC30">
      <w:pPr>
        <w:pStyle w:val="14"/>
        <w:rPr>
          <w:rFonts w:hint="default"/>
          <w:lang w:val="en-US" w:eastAsia="zh-CN"/>
        </w:rPr>
      </w:pPr>
    </w:p>
    <w:p w14:paraId="26115C43">
      <w:pPr>
        <w:rPr>
          <w:rFonts w:hint="default"/>
          <w:lang w:val="en-US" w:eastAsia="zh-CN"/>
        </w:rPr>
      </w:pPr>
    </w:p>
    <w:p w14:paraId="54FC5277">
      <w:pPr>
        <w:pStyle w:val="14"/>
        <w:rPr>
          <w:rFonts w:hint="default"/>
          <w:lang w:val="en-US" w:eastAsia="zh-CN"/>
        </w:rPr>
      </w:pPr>
    </w:p>
    <w:p w14:paraId="02C19F81">
      <w:pPr>
        <w:rPr>
          <w:rFonts w:hint="default"/>
          <w:lang w:val="en-US" w:eastAsia="zh-CN"/>
        </w:rPr>
      </w:pPr>
    </w:p>
    <w:p w14:paraId="16BE27F8">
      <w:pPr>
        <w:pStyle w:val="14"/>
        <w:rPr>
          <w:rFonts w:hint="default"/>
          <w:lang w:val="en-US" w:eastAsia="zh-CN"/>
        </w:rPr>
      </w:pPr>
    </w:p>
    <w:p w14:paraId="65B0602E">
      <w:pPr>
        <w:rPr>
          <w:rFonts w:hint="default"/>
          <w:lang w:val="en-US" w:eastAsia="zh-CN"/>
        </w:rPr>
      </w:pPr>
    </w:p>
    <w:p w14:paraId="7E2488B1">
      <w:pPr>
        <w:pStyle w:val="14"/>
        <w:rPr>
          <w:rFonts w:hint="default"/>
          <w:lang w:val="en-US" w:eastAsia="zh-CN"/>
        </w:rPr>
      </w:pPr>
    </w:p>
    <w:p w14:paraId="16ECD0DC">
      <w:pPr>
        <w:rPr>
          <w:rFonts w:hint="default"/>
          <w:lang w:val="en-US" w:eastAsia="zh-CN"/>
        </w:rPr>
      </w:pPr>
    </w:p>
    <w:p w14:paraId="3D33AB31">
      <w:pPr>
        <w:pStyle w:val="14"/>
        <w:rPr>
          <w:rFonts w:hint="default"/>
          <w:lang w:val="en-US" w:eastAsia="zh-CN"/>
        </w:rPr>
      </w:pPr>
    </w:p>
    <w:p w14:paraId="58A84429">
      <w:pPr>
        <w:rPr>
          <w:rFonts w:hint="default"/>
          <w:lang w:val="en-US" w:eastAsia="zh-CN"/>
        </w:rPr>
      </w:pPr>
    </w:p>
    <w:p w14:paraId="10054AC5">
      <w:pPr>
        <w:pStyle w:val="14"/>
        <w:rPr>
          <w:rFonts w:hint="default"/>
          <w:lang w:val="en-US" w:eastAsia="zh-CN"/>
        </w:rPr>
      </w:pPr>
    </w:p>
    <w:p w14:paraId="78A1E732">
      <w:pPr>
        <w:rPr>
          <w:rFonts w:hint="default"/>
          <w:lang w:val="en-US" w:eastAsia="zh-CN"/>
        </w:rPr>
      </w:pPr>
    </w:p>
    <w:p w14:paraId="39087116">
      <w:pPr>
        <w:pStyle w:val="14"/>
        <w:rPr>
          <w:rFonts w:hint="default"/>
          <w:lang w:val="en-US" w:eastAsia="zh-CN"/>
        </w:rPr>
      </w:pPr>
    </w:p>
    <w:p w14:paraId="3F50A3D7">
      <w:pPr>
        <w:rPr>
          <w:rFonts w:hint="default"/>
          <w:lang w:val="en-US" w:eastAsia="zh-CN"/>
        </w:rPr>
      </w:pPr>
    </w:p>
    <w:p w14:paraId="325015F6">
      <w:pPr>
        <w:pStyle w:val="14"/>
        <w:rPr>
          <w:rFonts w:hint="default"/>
          <w:lang w:val="en-US" w:eastAsia="zh-CN"/>
        </w:rPr>
      </w:pPr>
    </w:p>
    <w:p w14:paraId="6D7360AB">
      <w:pPr>
        <w:rPr>
          <w:rFonts w:hint="default"/>
          <w:lang w:val="en-US" w:eastAsia="zh-CN"/>
        </w:rPr>
      </w:pPr>
    </w:p>
    <w:p w14:paraId="1473C447">
      <w:pPr>
        <w:rPr>
          <w:rFonts w:hint="default"/>
          <w:lang w:val="en-US" w:eastAsia="zh-CN"/>
        </w:rPr>
      </w:pPr>
    </w:p>
    <w:p w14:paraId="0FAAFB8B">
      <w:pPr>
        <w:pStyle w:val="14"/>
        <w:rPr>
          <w:rFonts w:hint="default"/>
          <w:lang w:val="en-US" w:eastAsia="zh-CN"/>
        </w:rPr>
      </w:pPr>
    </w:p>
    <w:p w14:paraId="7286FC31">
      <w:pPr>
        <w:rPr>
          <w:rFonts w:hint="default"/>
          <w:lang w:val="en-US" w:eastAsia="zh-CN"/>
        </w:rPr>
      </w:pPr>
    </w:p>
    <w:p w14:paraId="7FC20E1A">
      <w:pPr>
        <w:pStyle w:val="14"/>
        <w:rPr>
          <w:rFonts w:hint="default"/>
          <w:lang w:val="en-US" w:eastAsia="zh-CN"/>
        </w:rPr>
      </w:pPr>
    </w:p>
    <w:p w14:paraId="662FB8DF">
      <w:pPr>
        <w:keepNext w:val="0"/>
        <w:keepLines w:val="0"/>
        <w:pageBreakBefore w:val="0"/>
        <w:widowControl w:val="0"/>
        <w:kinsoku/>
        <w:wordWrap/>
        <w:overflowPunct/>
        <w:topLinePunct w:val="0"/>
        <w:autoSpaceDE/>
        <w:autoSpaceDN/>
        <w:bidi w:val="0"/>
        <w:spacing w:line="560" w:lineRule="exact"/>
        <w:ind w:left="0" w:leftChars="0"/>
        <w:jc w:val="both"/>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黑体" w:cs="Times New Roman"/>
          <w:color w:val="auto"/>
          <w:kern w:val="0"/>
          <w:sz w:val="32"/>
          <w:szCs w:val="32"/>
          <w:highlight w:val="none"/>
          <w:shd w:val="clear" w:color="auto" w:fill="FFFFFF"/>
          <w:lang w:val="zh-CN" w:eastAsia="zh-CN" w:bidi="ar-SA"/>
        </w:rPr>
        <w:t>附件</w:t>
      </w:r>
      <w:r>
        <w:rPr>
          <w:rFonts w:hint="default" w:ascii="Times New Roman" w:hAnsi="Times New Roman" w:eastAsia="黑体" w:cs="Times New Roman"/>
          <w:color w:val="auto"/>
          <w:kern w:val="0"/>
          <w:sz w:val="32"/>
          <w:szCs w:val="32"/>
          <w:highlight w:val="none"/>
          <w:shd w:val="clear" w:color="auto" w:fill="FFFFFF"/>
          <w:lang w:val="en-US" w:eastAsia="zh-CN" w:bidi="ar-SA"/>
        </w:rPr>
        <w:t>2</w:t>
      </w:r>
    </w:p>
    <w:p w14:paraId="70A1D208">
      <w:pPr>
        <w:pStyle w:val="39"/>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城乡基层治理能力建设专项资金</w:t>
      </w:r>
    </w:p>
    <w:p w14:paraId="6593B02D">
      <w:pPr>
        <w:pStyle w:val="39"/>
        <w:keepNext w:val="0"/>
        <w:keepLines w:val="0"/>
        <w:pageBreakBefore w:val="0"/>
        <w:widowControl w:val="0"/>
        <w:kinsoku/>
        <w:wordWrap/>
        <w:overflowPunct/>
        <w:topLinePunct w:val="0"/>
        <w:autoSpaceDE/>
        <w:autoSpaceDN/>
        <w:bidi w:val="0"/>
        <w:spacing w:line="560"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绩效自评报告</w:t>
      </w:r>
    </w:p>
    <w:p w14:paraId="78D427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rPr>
          <w:rFonts w:hint="default" w:ascii="Times New Roman" w:hAnsi="Times New Roman" w:eastAsia="宋体" w:cs="Times New Roman"/>
          <w:color w:val="auto"/>
          <w:kern w:val="2"/>
          <w:sz w:val="32"/>
          <w:szCs w:val="32"/>
          <w:highlight w:val="none"/>
          <w:lang w:val="zh-CN" w:eastAsia="zh-CN" w:bidi="ar-SA"/>
        </w:rPr>
      </w:pPr>
    </w:p>
    <w:p w14:paraId="7380A9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27FEF35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zh-CN"/>
        </w:rPr>
        <w:t>（一）设立背景及基本情况。</w:t>
      </w:r>
    </w:p>
    <w:p w14:paraId="276C2A7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随着城乡融合发展加快，我镇社区活动阵地存在设施陈旧、功能单一、面积不足等问题，难以满足居民日益增长的公共服务需求和基层治理工作需要。为提升城乡基层治理能力，夯实社区服务基础，设立本专项资金，用于支持社区活动阵地新建、改扩建及功能提升。</w:t>
      </w:r>
    </w:p>
    <w:p w14:paraId="2FFC92F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en-US" w:eastAsia="zh-CN"/>
        </w:rPr>
        <w:t>（二）实施目的及支持方向。</w:t>
      </w:r>
    </w:p>
    <w:p w14:paraId="36C6D43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项目实施目的是通过完善社区活动阵地硬件设施，增强社区组织服务能力，提升居民生活满意度，助力基层治理体系和治理能力现代化。主要任务包括完成3个社区阵地建设项目，确保阵地功能达标、投入使用并发挥效益。镇政府为项目主管部门，负责项目立项、组织实施、并制定资金管理办法，明确资金使用范围、审批流程、拨付方式及监督检查要求，规范资金管理及绩效评估等工作，确保项目按计划推进。资金重点支持社区活动阵地的设施购置、功能区域划分等，优先保障居民高频使用的服务场景。</w:t>
      </w:r>
    </w:p>
    <w:p w14:paraId="4945589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rPr>
      </w:pPr>
      <w:r>
        <w:rPr>
          <w:rFonts w:hint="default" w:ascii="Times New Roman" w:hAnsi="Times New Roman" w:eastAsia="楷体_GB2312" w:cs="Times New Roman"/>
          <w:b/>
          <w:color w:val="auto"/>
          <w:sz w:val="32"/>
          <w:szCs w:val="32"/>
          <w:highlight w:val="none"/>
          <w:u w:val="none"/>
          <w:lang w:val="en-US" w:eastAsia="zh-CN"/>
        </w:rPr>
        <w:t>（三）预算安排及分配管理</w:t>
      </w:r>
      <w:r>
        <w:rPr>
          <w:rFonts w:hint="default" w:ascii="Times New Roman" w:hAnsi="Times New Roman" w:eastAsia="楷体_GB2312" w:cs="Times New Roman"/>
          <w:b/>
          <w:color w:val="auto"/>
          <w:sz w:val="32"/>
          <w:szCs w:val="32"/>
          <w:highlight w:val="none"/>
          <w:u w:val="none"/>
          <w:lang w:val="zh-CN" w:eastAsia="zh-CN"/>
        </w:rPr>
        <w:t>。</w:t>
      </w:r>
    </w:p>
    <w:p w14:paraId="2547475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本年度项目预算总额</w:t>
      </w:r>
      <w:r>
        <w:rPr>
          <w:rFonts w:hint="default" w:ascii="Times New Roman" w:hAnsi="Times New Roman" w:eastAsia="仿宋_GB2312" w:cs="Times New Roman"/>
          <w:b w:val="0"/>
          <w:bCs w:val="0"/>
          <w:kern w:val="0"/>
          <w:position w:val="0"/>
          <w:sz w:val="32"/>
          <w:szCs w:val="32"/>
          <w:highlight w:val="none"/>
          <w:lang w:val="en-US" w:eastAsia="zh-CN" w:bidi="ar-SA"/>
        </w:rPr>
        <w:t>13</w:t>
      </w:r>
      <w:r>
        <w:rPr>
          <w:rFonts w:hint="default" w:ascii="Times New Roman" w:hAnsi="Times New Roman" w:eastAsia="仿宋_GB2312" w:cs="Times New Roman"/>
          <w:b w:val="0"/>
          <w:bCs w:val="0"/>
          <w:kern w:val="0"/>
          <w:position w:val="0"/>
          <w:sz w:val="32"/>
          <w:szCs w:val="32"/>
          <w:highlight w:val="none"/>
          <w:lang w:val="zh-CN" w:eastAsia="zh-CN" w:bidi="ar-SA"/>
        </w:rPr>
        <w:t>万元，资金来源为城乡基层治理能力建设专项资金，已全额纳入镇财政预算管理。资金分配遵循“需求导向、突出重点、兼顾公平”原则，主要考虑社区人口规模、现有阵地基础、居民需求迫切程度等因素。资金已按项目进度拨付至施工单位及供应商。</w:t>
      </w:r>
    </w:p>
    <w:p w14:paraId="44E357A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321" w:firstLineChars="100"/>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color w:val="auto"/>
          <w:sz w:val="32"/>
          <w:szCs w:val="32"/>
          <w:highlight w:val="none"/>
          <w:u w:val="none"/>
          <w:lang w:val="zh-CN" w:eastAsia="zh-CN"/>
        </w:rPr>
        <w:t>（四）项目绩效目标设置。</w:t>
      </w:r>
    </w:p>
    <w:p w14:paraId="7DF3067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项目绩效目标为推行“社区综合体+社区服务站”方式，按照“办公最小化、服务最大化”的原则，合理布局，打造规范化党群服务中心，实现办公有场所、活动有阵地、学习有去处，为辖区居民打造一个多元化的社区活动阵地。我单位按照要求开展自评工作，成立自评工作小组，对照绩效目标，通过查阅资料、实地检查、问卷调查等方式开展自评，形成自评报告并上报上级部门。</w:t>
      </w:r>
    </w:p>
    <w:p w14:paraId="4E2C64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6F19F3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color w:val="auto"/>
          <w:sz w:val="32"/>
          <w:szCs w:val="32"/>
          <w:highlight w:val="none"/>
          <w:u w:val="none"/>
          <w:lang w:val="zh-CN"/>
        </w:rPr>
        <w:t>（一）评价目的。</w:t>
      </w:r>
    </w:p>
    <w:p w14:paraId="60BC0B2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通过绩效自评，全面掌握项目资金使用情况、实施进度及成效，识别项目管理中的薄弱环节，总结经验教训，为后续资金预算调整、项目优化管理提供依据，提高专项资金使用效益。</w:t>
      </w:r>
    </w:p>
    <w:p w14:paraId="7C76A5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color w:val="auto"/>
          <w:sz w:val="32"/>
          <w:szCs w:val="32"/>
          <w:highlight w:val="none"/>
          <w:u w:val="none"/>
          <w:lang w:val="zh-CN"/>
        </w:rPr>
        <w:t>（二）预设问题及评价重点。</w:t>
      </w:r>
    </w:p>
    <w:p w14:paraId="7E2FF9E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通过对资金是否专款专用、是否存在挤占挪用；项目是否按计划完工、工程质量是否达标；阵地功能是否满足居民需求、使用效率如何；绩效目标是否合理、完成情况是否达标等预设问题，围绕决策科学性（立项依据、目标合理性）、管理规范性（制度执行、资金拨付）、实施有效性（进度、质量）、结果导向性（居民满意度、功能发挥）等方面开展评价。</w:t>
      </w:r>
    </w:p>
    <w:p w14:paraId="77CFA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楷体_GB2312" w:cs="Times New Roman"/>
          <w:b/>
          <w:color w:val="auto"/>
          <w:sz w:val="32"/>
          <w:szCs w:val="32"/>
          <w:highlight w:val="none"/>
          <w:u w:val="none"/>
          <w:lang w:val="zh-CN"/>
        </w:rPr>
      </w:pPr>
      <w:r>
        <w:rPr>
          <w:rFonts w:hint="default" w:ascii="Times New Roman" w:hAnsi="Times New Roman" w:eastAsia="楷体_GB2312" w:cs="Times New Roman"/>
          <w:b/>
          <w:color w:val="auto"/>
          <w:sz w:val="32"/>
          <w:szCs w:val="32"/>
          <w:highlight w:val="none"/>
          <w:u w:val="none"/>
          <w:lang w:val="en-US" w:eastAsia="zh-CN"/>
        </w:rPr>
        <w:t xml:space="preserve">  （三）</w:t>
      </w:r>
      <w:r>
        <w:rPr>
          <w:rFonts w:hint="default" w:ascii="Times New Roman" w:hAnsi="Times New Roman" w:eastAsia="楷体_GB2312" w:cs="Times New Roman"/>
          <w:b/>
          <w:color w:val="auto"/>
          <w:sz w:val="32"/>
          <w:szCs w:val="32"/>
          <w:highlight w:val="none"/>
          <w:u w:val="none"/>
          <w:lang w:val="zh-CN"/>
        </w:rPr>
        <w:t>评价选点。</w:t>
      </w:r>
    </w:p>
    <w:p w14:paraId="112641E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采取全样本评价与重点抽查结合的方式，对社区活动阵地建设项目进行全面评价，详细核查项目资金使用及功能实现情况。</w:t>
      </w:r>
    </w:p>
    <w:p w14:paraId="59623435">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contextualSpacing/>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auto"/>
          <w:kern w:val="0"/>
          <w:sz w:val="32"/>
          <w:szCs w:val="32"/>
          <w:highlight w:val="none"/>
          <w:u w:val="none"/>
          <w:shd w:val="clear" w:color="auto" w:fill="FFFFFF"/>
          <w:lang w:val="zh-CN" w:eastAsia="zh-CN" w:bidi="ar-SA"/>
        </w:rPr>
        <w:t>（</w:t>
      </w:r>
      <w:r>
        <w:rPr>
          <w:rFonts w:hint="default" w:ascii="Times New Roman" w:hAnsi="Times New Roman" w:eastAsia="楷体_GB2312" w:cs="Times New Roman"/>
          <w:b/>
          <w:color w:val="auto"/>
          <w:sz w:val="32"/>
          <w:szCs w:val="32"/>
          <w:highlight w:val="none"/>
          <w:u w:val="none"/>
          <w:lang w:val="zh-CN" w:eastAsia="zh-CN"/>
        </w:rPr>
        <w:t>四）评价方法。</w:t>
      </w:r>
    </w:p>
    <w:p w14:paraId="33F9812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根据项目情况和评价重点，采用案卷研究法，查阅项目资金拨付凭证、工程验收报告等资料，核实项目合规性；采用实地勘察法，现场检查阵地建设质量、设施配备及使用情况。</w:t>
      </w:r>
    </w:p>
    <w:p w14:paraId="69B3B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color w:val="auto"/>
          <w:sz w:val="32"/>
          <w:szCs w:val="32"/>
          <w:highlight w:val="none"/>
          <w:u w:val="none"/>
          <w:lang w:val="zh-CN"/>
        </w:rPr>
        <w:t>（五）评价组织。</w:t>
      </w:r>
    </w:p>
    <w:p w14:paraId="553683E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评价组由镇政府分管领导任组长，社会治理办、党政办、纪检监察室工作人员为成员，分工如下：组长负责统筹协调；社会治理办人员负责收集项目资料、核查实施进度；党政办人员负责审核资金使用情况；纪检监察室人员负责监督评价过程合规性。</w:t>
      </w:r>
    </w:p>
    <w:p w14:paraId="1E6D683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eastAsia="仿宋_GB2312" w:cs="Times New Roman"/>
          <w:color w:val="auto"/>
          <w:sz w:val="32"/>
          <w:szCs w:val="32"/>
          <w:highlight w:val="none"/>
          <w:u w:val="none"/>
          <w:lang w:val="zh-CN"/>
        </w:rPr>
        <w:tab/>
      </w:r>
    </w:p>
    <w:p w14:paraId="683A85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50B8E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项目决策。</w:t>
      </w:r>
    </w:p>
    <w:p w14:paraId="15E7C3A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决策程序规范，立项依据充分；项目规划论证符合中省要求，项目绩效目标设置科学合理；项目资金与项目总体规划、相关行业事业发展相匹配，聚焦重大任务、重点领域、重点环节和重点项目，得分</w:t>
      </w:r>
      <w:r>
        <w:rPr>
          <w:rFonts w:hint="default" w:ascii="Times New Roman" w:hAnsi="Times New Roman" w:eastAsia="仿宋_GB2312" w:cs="Times New Roman"/>
          <w:b w:val="0"/>
          <w:bCs w:val="0"/>
          <w:kern w:val="0"/>
          <w:position w:val="0"/>
          <w:sz w:val="32"/>
          <w:szCs w:val="32"/>
          <w:highlight w:val="none"/>
          <w:lang w:val="en-US" w:eastAsia="zh-CN" w:bidi="ar-SA"/>
        </w:rPr>
        <w:t>18分。</w:t>
      </w:r>
    </w:p>
    <w:p w14:paraId="2965BE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2.项目管理。</w:t>
      </w:r>
    </w:p>
    <w:p w14:paraId="2DAC98F1">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default" w:ascii="Times New Roman" w:hAnsi="Times New Roman" w:eastAsia="仿宋_GB2312" w:cs="Times New Roman"/>
          <w:b w:val="0"/>
          <w:bCs w:val="0"/>
          <w:kern w:val="0"/>
          <w:position w:val="0"/>
          <w:sz w:val="32"/>
          <w:szCs w:val="32"/>
          <w:highlight w:val="none"/>
          <w:lang w:val="en-US" w:eastAsia="zh-CN" w:bidi="ar-SA"/>
        </w:rPr>
        <w:t>18分。</w:t>
      </w:r>
    </w:p>
    <w:p w14:paraId="1C7FEB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3.项目实施。</w:t>
      </w:r>
    </w:p>
    <w:p w14:paraId="6CCFFF07">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项目资金财政拨付率</w:t>
      </w:r>
      <w:r>
        <w:rPr>
          <w:rFonts w:hint="default" w:ascii="Times New Roman" w:hAnsi="Times New Roman" w:eastAsia="仿宋_GB2312" w:cs="Times New Roman"/>
          <w:b w:val="0"/>
          <w:bCs w:val="0"/>
          <w:kern w:val="0"/>
          <w:position w:val="0"/>
          <w:sz w:val="32"/>
          <w:szCs w:val="32"/>
          <w:highlight w:val="none"/>
          <w:lang w:val="en-US" w:eastAsia="zh-CN" w:bidi="ar-SA"/>
        </w:rPr>
        <w:t>100%</w:t>
      </w:r>
      <w:r>
        <w:rPr>
          <w:rFonts w:hint="default" w:ascii="Times New Roman" w:hAnsi="Times New Roman" w:eastAsia="仿宋_GB2312" w:cs="Times New Roman"/>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default" w:ascii="Times New Roman" w:hAnsi="Times New Roman" w:eastAsia="仿宋_GB2312" w:cs="Times New Roman"/>
          <w:b w:val="0"/>
          <w:bCs w:val="0"/>
          <w:kern w:val="0"/>
          <w:position w:val="0"/>
          <w:sz w:val="32"/>
          <w:szCs w:val="32"/>
          <w:highlight w:val="none"/>
          <w:lang w:val="en-US" w:eastAsia="zh-CN" w:bidi="ar-SA"/>
        </w:rPr>
        <w:t>9分。</w:t>
      </w:r>
    </w:p>
    <w:p w14:paraId="02EBF6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outlineLvl w:val="9"/>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4.项目结果。</w:t>
      </w:r>
    </w:p>
    <w:p w14:paraId="43F0AE18">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default" w:ascii="Times New Roman" w:hAnsi="Times New Roman" w:eastAsia="仿宋_GB2312" w:cs="Times New Roman"/>
          <w:b w:val="0"/>
          <w:bCs w:val="0"/>
          <w:kern w:val="0"/>
          <w:position w:val="0"/>
          <w:sz w:val="32"/>
          <w:szCs w:val="32"/>
          <w:highlight w:val="none"/>
          <w:lang w:val="en-US" w:eastAsia="zh-CN" w:bidi="ar-SA"/>
        </w:rPr>
        <w:t>9分。</w:t>
      </w:r>
    </w:p>
    <w:p w14:paraId="2A390B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楷体_GB2312" w:cs="Times New Roman"/>
          <w:color w:val="auto"/>
          <w:sz w:val="32"/>
          <w:szCs w:val="32"/>
          <w:lang w:val="zh-CN"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6F0D973">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本项目属于基础设施类，围绕相关指标分析：</w:t>
      </w:r>
    </w:p>
    <w:p w14:paraId="581FDCBB">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在建项目：无（均已完工）。</w:t>
      </w:r>
    </w:p>
    <w:p w14:paraId="71BE962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建成项目：项目验收合格；功能实现方面达标；后续管护均已制定制度，落实专人负责，得分30分。</w:t>
      </w:r>
    </w:p>
    <w:p w14:paraId="789493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5B6A7B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社区活动阵地对基层治理工作的支撑作用，调解成功率提升，得分8分。</w:t>
      </w:r>
    </w:p>
    <w:p w14:paraId="7697C1EE">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阵地运营成本控制，目标值不超预算10%，实际未超支，得分8分。</w:t>
      </w:r>
    </w:p>
    <w:p w14:paraId="30681363">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p>
    <w:p w14:paraId="0FD2B3D7">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en-US" w:bidi="ar-SA"/>
        </w:rPr>
      </w:pPr>
      <w:r>
        <w:rPr>
          <w:rFonts w:hint="default" w:ascii="Times New Roman" w:hAnsi="Times New Roman" w:eastAsia="黑体" w:cs="Times New Roman"/>
          <w:color w:val="auto"/>
          <w:kern w:val="0"/>
          <w:position w:val="3"/>
          <w:sz w:val="32"/>
          <w:szCs w:val="32"/>
          <w:highlight w:val="none"/>
          <w:u w:val="none"/>
          <w:lang w:val="en-US" w:eastAsia="zh-CN" w:bidi="ar-SA"/>
        </w:rPr>
        <w:t>四</w:t>
      </w:r>
      <w:r>
        <w:rPr>
          <w:rFonts w:hint="default" w:ascii="Times New Roman" w:hAnsi="Times New Roman" w:eastAsia="黑体" w:cs="Times New Roman"/>
          <w:color w:val="auto"/>
          <w:kern w:val="0"/>
          <w:position w:val="3"/>
          <w:sz w:val="32"/>
          <w:szCs w:val="32"/>
          <w:highlight w:val="none"/>
          <w:u w:val="none"/>
          <w:lang w:val="en-US" w:eastAsia="en-US" w:bidi="ar-SA"/>
        </w:rPr>
        <w:t>、评价结论</w:t>
      </w:r>
    </w:p>
    <w:p w14:paraId="2BC47DE6">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本次绩效自评总得分为100分。项目整体实施情况较好，社区活动阵地已建成并投入使用，资金使用总体合规，较好实现预设绩效目标，有效改善了社区服务硬件条件，提升了居民满意度。</w:t>
      </w:r>
    </w:p>
    <w:p w14:paraId="21DEFD1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en-US" w:eastAsia="zh-CN" w:bidi="ar-SA"/>
        </w:rPr>
      </w:pPr>
      <w:r>
        <w:rPr>
          <w:rFonts w:hint="default" w:ascii="Times New Roman" w:hAnsi="Times New Roman" w:eastAsia="黑体" w:cs="Times New Roman"/>
          <w:color w:val="auto"/>
          <w:kern w:val="0"/>
          <w:position w:val="3"/>
          <w:sz w:val="32"/>
          <w:szCs w:val="32"/>
          <w:highlight w:val="none"/>
          <w:u w:val="none"/>
          <w:lang w:val="en-US" w:eastAsia="zh-CN" w:bidi="ar-SA"/>
        </w:rPr>
        <w:t>五、存在主要问题</w:t>
      </w:r>
    </w:p>
    <w:p w14:paraId="03AABAC9">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后续运营机制不健全，阵地投入使用后，缺乏常态化活动策划和宣传。</w:t>
      </w:r>
    </w:p>
    <w:p w14:paraId="796DD59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25B3ECFE">
      <w:pPr>
        <w:keepNext w:val="0"/>
        <w:keepLines w:val="0"/>
        <w:pageBreakBefore w:val="0"/>
        <w:tabs>
          <w:tab w:val="left" w:pos="1911"/>
        </w:tabs>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color w:val="auto"/>
          <w:kern w:val="0"/>
          <w:sz w:val="32"/>
          <w:szCs w:val="32"/>
          <w:highlight w:val="none"/>
          <w:u w:val="none"/>
          <w:shd w:val="clear" w:color="auto" w:fill="FFFFFF"/>
          <w:lang w:val="zh-CN" w:eastAsia="zh-CN"/>
        </w:rPr>
        <w:t xml:space="preserve"> </w:t>
      </w:r>
      <w:r>
        <w:rPr>
          <w:rFonts w:hint="default" w:ascii="Times New Roman" w:hAnsi="Times New Roman" w:eastAsia="仿宋_GB2312" w:cs="Times New Roman"/>
          <w:b w:val="0"/>
          <w:bCs w:val="0"/>
          <w:kern w:val="0"/>
          <w:position w:val="0"/>
          <w:sz w:val="32"/>
          <w:szCs w:val="32"/>
          <w:highlight w:val="none"/>
          <w:lang w:val="en-US" w:eastAsia="zh-CN" w:bidi="ar-SA"/>
        </w:rPr>
        <w:t xml:space="preserve">  配备专职阵地管理员，负责活动策划与宣传，制定活动计划表并公示，镇政府考核活动开展情况。</w:t>
      </w:r>
    </w:p>
    <w:p w14:paraId="59CA59B8">
      <w:pPr>
        <w:pStyle w:val="8"/>
        <w:rPr>
          <w:rFonts w:hint="eastAsia" w:ascii="Times New Roman" w:hAnsi="Times New Roman" w:eastAsia="黑体" w:cs="黑体"/>
          <w:color w:val="auto"/>
          <w:kern w:val="0"/>
          <w:sz w:val="32"/>
          <w:szCs w:val="32"/>
          <w:highlight w:val="none"/>
          <w:shd w:val="clear" w:color="auto" w:fill="FFFFFF"/>
          <w:lang w:val="en-US" w:eastAsia="zh-CN"/>
        </w:rPr>
      </w:pPr>
    </w:p>
    <w:p w14:paraId="62F2A0FF">
      <w:pPr>
        <w:rPr>
          <w:rFonts w:hint="default"/>
          <w:lang w:val="en-US" w:eastAsia="zh-CN"/>
        </w:rPr>
      </w:pPr>
    </w:p>
    <w:p w14:paraId="4940DDFE">
      <w:pPr>
        <w:pStyle w:val="20"/>
        <w:rPr>
          <w:rFonts w:hint="default"/>
          <w:lang w:val="en-US" w:eastAsia="zh-CN"/>
        </w:rPr>
      </w:pPr>
    </w:p>
    <w:p w14:paraId="26792AC2">
      <w:pPr>
        <w:rPr>
          <w:rFonts w:hint="default"/>
          <w:lang w:val="en-US" w:eastAsia="zh-CN"/>
        </w:rPr>
      </w:pPr>
    </w:p>
    <w:p w14:paraId="2C27CA87">
      <w:pPr>
        <w:pStyle w:val="20"/>
        <w:rPr>
          <w:rFonts w:hint="default"/>
          <w:lang w:val="en-US" w:eastAsia="zh-CN"/>
        </w:rPr>
      </w:pPr>
    </w:p>
    <w:p w14:paraId="21133905">
      <w:pPr>
        <w:rPr>
          <w:rFonts w:hint="default"/>
          <w:lang w:val="en-US" w:eastAsia="zh-CN"/>
        </w:rPr>
      </w:pPr>
    </w:p>
    <w:p w14:paraId="79FEF4CF">
      <w:pPr>
        <w:pStyle w:val="2"/>
        <w:rPr>
          <w:rFonts w:hint="default"/>
          <w:lang w:val="en-US" w:eastAsia="zh-CN"/>
        </w:rPr>
      </w:pPr>
    </w:p>
    <w:p w14:paraId="46686D47">
      <w:pPr>
        <w:pStyle w:val="3"/>
        <w:rPr>
          <w:rFonts w:hint="default"/>
          <w:lang w:val="en-US" w:eastAsia="zh-CN"/>
        </w:rPr>
      </w:pPr>
    </w:p>
    <w:p w14:paraId="63BE49BD">
      <w:pPr>
        <w:pStyle w:val="3"/>
        <w:rPr>
          <w:rFonts w:hint="default"/>
          <w:lang w:val="en-US" w:eastAsia="zh-CN"/>
        </w:rPr>
      </w:pPr>
    </w:p>
    <w:p w14:paraId="2ABD4E49">
      <w:pPr>
        <w:pStyle w:val="3"/>
        <w:rPr>
          <w:rFonts w:hint="default"/>
          <w:lang w:val="en-US" w:eastAsia="zh-CN"/>
        </w:rPr>
      </w:pPr>
    </w:p>
    <w:p w14:paraId="26413128">
      <w:pPr>
        <w:pStyle w:val="3"/>
        <w:rPr>
          <w:rFonts w:hint="default"/>
          <w:lang w:val="en-US" w:eastAsia="zh-CN"/>
        </w:rPr>
      </w:pPr>
    </w:p>
    <w:p w14:paraId="688C797D">
      <w:pPr>
        <w:pStyle w:val="3"/>
        <w:rPr>
          <w:rFonts w:hint="default"/>
          <w:lang w:val="en-US" w:eastAsia="zh-CN"/>
        </w:rPr>
      </w:pPr>
    </w:p>
    <w:p w14:paraId="238BF08A">
      <w:pPr>
        <w:pStyle w:val="3"/>
        <w:rPr>
          <w:rFonts w:hint="default"/>
          <w:lang w:val="en-US" w:eastAsia="zh-CN"/>
        </w:rPr>
      </w:pPr>
    </w:p>
    <w:p w14:paraId="239D788E">
      <w:pPr>
        <w:pStyle w:val="3"/>
        <w:rPr>
          <w:rFonts w:hint="default"/>
          <w:lang w:val="en-US" w:eastAsia="zh-CN"/>
        </w:rPr>
      </w:pPr>
    </w:p>
    <w:p w14:paraId="3EA2DD8C">
      <w:pPr>
        <w:pStyle w:val="3"/>
        <w:rPr>
          <w:rFonts w:hint="default"/>
          <w:lang w:val="en-US" w:eastAsia="zh-CN"/>
        </w:rPr>
      </w:pPr>
    </w:p>
    <w:p w14:paraId="54154BE1">
      <w:pPr>
        <w:pStyle w:val="3"/>
        <w:rPr>
          <w:rFonts w:hint="default"/>
          <w:lang w:val="en-US" w:eastAsia="zh-CN"/>
        </w:rPr>
      </w:pPr>
    </w:p>
    <w:p w14:paraId="6867A852">
      <w:pPr>
        <w:pStyle w:val="3"/>
        <w:rPr>
          <w:rFonts w:hint="default"/>
          <w:lang w:val="en-US" w:eastAsia="zh-CN"/>
        </w:rPr>
      </w:pPr>
    </w:p>
    <w:p w14:paraId="531B18F9">
      <w:pPr>
        <w:pStyle w:val="3"/>
        <w:rPr>
          <w:rFonts w:hint="default"/>
          <w:lang w:val="en-US" w:eastAsia="zh-CN"/>
        </w:rPr>
      </w:pPr>
    </w:p>
    <w:p w14:paraId="43A4AC4E">
      <w:pPr>
        <w:pStyle w:val="3"/>
        <w:rPr>
          <w:rFonts w:hint="default"/>
          <w:lang w:val="en-US" w:eastAsia="zh-CN"/>
        </w:rPr>
      </w:pPr>
    </w:p>
    <w:p w14:paraId="3FBD47D0">
      <w:pPr>
        <w:pStyle w:val="20"/>
        <w:rPr>
          <w:rFonts w:hint="default"/>
          <w:lang w:val="en-US" w:eastAsia="zh-CN"/>
        </w:rPr>
      </w:pPr>
    </w:p>
    <w:tbl>
      <w:tblPr>
        <w:tblStyle w:val="16"/>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845"/>
        <w:gridCol w:w="773"/>
        <w:gridCol w:w="1065"/>
        <w:gridCol w:w="607"/>
        <w:gridCol w:w="650"/>
        <w:gridCol w:w="737"/>
        <w:gridCol w:w="846"/>
        <w:gridCol w:w="668"/>
        <w:gridCol w:w="549"/>
        <w:gridCol w:w="846"/>
      </w:tblGrid>
      <w:tr w14:paraId="7A29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5D711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F2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D9F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E0E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51090424T000011898955-城乡基层治理能力建设专项资金</w:t>
            </w:r>
          </w:p>
        </w:tc>
      </w:tr>
      <w:tr w14:paraId="40B0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17E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4CD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10" w:type="dxa"/>
            <w:tcBorders>
              <w:top w:val="nil"/>
              <w:left w:val="nil"/>
              <w:bottom w:val="nil"/>
              <w:right w:val="nil"/>
            </w:tcBorders>
            <w:shd w:val="clear" w:color="auto" w:fill="auto"/>
            <w:vAlign w:val="center"/>
          </w:tcPr>
          <w:p w14:paraId="0D6FD11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9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016F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6AF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FD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3B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94E30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4F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DEED">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C5FC">
            <w:pPr>
              <w:rPr>
                <w:rFonts w:hint="eastAsia" w:ascii="宋体" w:hAnsi="宋体" w:eastAsia="宋体" w:cs="宋体"/>
                <w:i w:val="0"/>
                <w:iCs w:val="0"/>
                <w:color w:val="000000"/>
                <w:sz w:val="18"/>
                <w:szCs w:val="18"/>
                <w:u w:val="none"/>
              </w:rPr>
            </w:pP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6427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通过专项资金投入，完善城乡基层治理基础设施，创新治理方式方法，提升基层治理队伍能力，构建共建共治共享的城乡基层治理格局，增强群众获得感、幸福感和安全感。</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13D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2024年单位于9月完成了资金支付</w:t>
            </w:r>
          </w:p>
        </w:tc>
      </w:tr>
      <w:tr w14:paraId="30E0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D6584">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56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CF47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专项资金主要用于社区服务设施建设、智慧治理平台搭建、基层治理人才培训、乡村治理示范创建、矛盾纠纷调解机制完善等方面。</w:t>
            </w:r>
          </w:p>
        </w:tc>
      </w:tr>
      <w:tr w14:paraId="45CB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81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2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C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3A4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0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7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0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4A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82941">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B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0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A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23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2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8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B2E6">
            <w:pPr>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DC2A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FAE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0F1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B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F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4E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B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B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8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BF03">
            <w:pPr>
              <w:rPr>
                <w:rFonts w:hint="eastAsia" w:ascii="黑体" w:hAnsi="黑体" w:eastAsia="黑体" w:cs="黑体"/>
                <w:i/>
                <w:iCs/>
                <w:color w:val="000000"/>
                <w:sz w:val="18"/>
                <w:szCs w:val="18"/>
                <w:u w:val="none"/>
              </w:rPr>
            </w:pPr>
          </w:p>
        </w:tc>
      </w:tr>
      <w:tr w14:paraId="3358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B3F8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2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C3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8B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F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A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5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7255">
            <w:pPr>
              <w:rPr>
                <w:rFonts w:hint="eastAsia" w:ascii="黑体" w:hAnsi="黑体" w:eastAsia="黑体" w:cs="黑体"/>
                <w:i/>
                <w:iCs/>
                <w:color w:val="000000"/>
                <w:sz w:val="18"/>
                <w:szCs w:val="18"/>
                <w:u w:val="none"/>
              </w:rPr>
            </w:pPr>
          </w:p>
        </w:tc>
      </w:tr>
      <w:tr w14:paraId="44AED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E2DF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E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1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B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51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B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A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6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3AF1">
            <w:pPr>
              <w:rPr>
                <w:rFonts w:hint="eastAsia" w:ascii="黑体" w:hAnsi="黑体" w:eastAsia="黑体" w:cs="黑体"/>
                <w:i/>
                <w:iCs/>
                <w:color w:val="000000"/>
                <w:sz w:val="18"/>
                <w:szCs w:val="18"/>
                <w:u w:val="none"/>
              </w:rPr>
            </w:pPr>
          </w:p>
        </w:tc>
      </w:tr>
      <w:tr w14:paraId="1F9D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EDAE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D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1C5">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4E70">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3CE572">
            <w:pPr>
              <w:jc w:val="center"/>
              <w:rPr>
                <w:rFonts w:hint="eastAsia" w:ascii="微软雅黑" w:hAnsi="微软雅黑" w:eastAsia="微软雅黑" w:cs="微软雅黑"/>
                <w:i/>
                <w:iCs/>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C074">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6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3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307C9">
            <w:pPr>
              <w:rPr>
                <w:rFonts w:hint="eastAsia" w:ascii="黑体" w:hAnsi="黑体" w:eastAsia="黑体" w:cs="黑体"/>
                <w:i/>
                <w:iCs/>
                <w:color w:val="000000"/>
                <w:sz w:val="18"/>
                <w:szCs w:val="18"/>
                <w:u w:val="none"/>
              </w:rPr>
            </w:pPr>
          </w:p>
        </w:tc>
      </w:tr>
      <w:tr w14:paraId="212C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E5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3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E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4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3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0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7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0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3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3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3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8E0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BBD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3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3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E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提升基础党委群众服务质量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B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E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8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E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A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1323">
            <w:pPr>
              <w:jc w:val="center"/>
              <w:rPr>
                <w:rFonts w:hint="eastAsia" w:ascii="宋体" w:hAnsi="宋体" w:eastAsia="宋体" w:cs="宋体"/>
                <w:i w:val="0"/>
                <w:iCs w:val="0"/>
                <w:color w:val="000000"/>
                <w:sz w:val="18"/>
                <w:szCs w:val="18"/>
                <w:u w:val="none"/>
              </w:rPr>
            </w:pPr>
          </w:p>
        </w:tc>
      </w:tr>
      <w:tr w14:paraId="496A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38B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D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A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7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F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C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9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F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E206">
            <w:pPr>
              <w:jc w:val="center"/>
              <w:rPr>
                <w:rFonts w:hint="eastAsia" w:ascii="宋体" w:hAnsi="宋体" w:eastAsia="宋体" w:cs="宋体"/>
                <w:i w:val="0"/>
                <w:iCs w:val="0"/>
                <w:color w:val="000000"/>
                <w:sz w:val="18"/>
                <w:szCs w:val="18"/>
                <w:u w:val="none"/>
              </w:rPr>
            </w:pPr>
          </w:p>
        </w:tc>
      </w:tr>
      <w:tr w14:paraId="5C59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250B">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4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4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B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1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3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2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0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E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68A2">
            <w:pPr>
              <w:jc w:val="center"/>
              <w:rPr>
                <w:rFonts w:hint="eastAsia" w:ascii="宋体" w:hAnsi="宋体" w:eastAsia="宋体" w:cs="宋体"/>
                <w:i w:val="0"/>
                <w:iCs w:val="0"/>
                <w:color w:val="000000"/>
                <w:sz w:val="18"/>
                <w:szCs w:val="18"/>
                <w:u w:val="none"/>
              </w:rPr>
            </w:pPr>
          </w:p>
        </w:tc>
      </w:tr>
      <w:tr w14:paraId="0089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43C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9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9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3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项目建设村数量</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4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D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2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2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C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F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3036">
            <w:pPr>
              <w:jc w:val="center"/>
              <w:rPr>
                <w:rFonts w:hint="eastAsia" w:ascii="宋体" w:hAnsi="宋体" w:eastAsia="宋体" w:cs="宋体"/>
                <w:i w:val="0"/>
                <w:iCs w:val="0"/>
                <w:color w:val="000000"/>
                <w:sz w:val="18"/>
                <w:szCs w:val="18"/>
                <w:u w:val="none"/>
              </w:rPr>
            </w:pPr>
          </w:p>
        </w:tc>
      </w:tr>
      <w:tr w14:paraId="4BED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FCA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0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3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提升村级党委治理水平</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6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6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有利于提升村党委能力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008">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D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有利于提升村党委能力</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7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0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2BEC">
            <w:pPr>
              <w:jc w:val="center"/>
              <w:rPr>
                <w:rFonts w:hint="eastAsia" w:ascii="宋体" w:hAnsi="宋体" w:eastAsia="宋体" w:cs="宋体"/>
                <w:i w:val="0"/>
                <w:iCs w:val="0"/>
                <w:color w:val="000000"/>
                <w:sz w:val="18"/>
                <w:szCs w:val="18"/>
                <w:u w:val="none"/>
              </w:rPr>
            </w:pPr>
          </w:p>
        </w:tc>
      </w:tr>
      <w:tr w14:paraId="679C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2399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B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A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A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项目预计完成时间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9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3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81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E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2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DA8F">
            <w:pPr>
              <w:jc w:val="center"/>
              <w:rPr>
                <w:rFonts w:hint="eastAsia" w:ascii="微软雅黑" w:hAnsi="微软雅黑" w:eastAsia="微软雅黑" w:cs="微软雅黑"/>
                <w:i/>
                <w:iCs/>
                <w:color w:val="000000"/>
                <w:sz w:val="16"/>
                <w:szCs w:val="16"/>
                <w:u w:val="none"/>
              </w:rPr>
            </w:pPr>
          </w:p>
        </w:tc>
      </w:tr>
      <w:tr w14:paraId="4935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4A6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6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92A5">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A9A2">
            <w:pPr>
              <w:rPr>
                <w:rFonts w:hint="eastAsia" w:ascii="宋体" w:hAnsi="宋体" w:eastAsia="宋体" w:cs="宋体"/>
                <w:i w:val="0"/>
                <w:iCs w:val="0"/>
                <w:color w:val="000000"/>
                <w:sz w:val="18"/>
                <w:szCs w:val="18"/>
                <w:u w:val="none"/>
              </w:rPr>
            </w:pPr>
          </w:p>
        </w:tc>
      </w:tr>
      <w:tr w14:paraId="45A4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0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6FA0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决策方面，项目立项符合国家城乡基层治理政策导向，绩效目标明确且可操作，资金投入合理。在过程方面，资金管理制度健全，使用规范，项目组织实施有序。在产出方面，社区服务设施建设、智慧治理平台搭建等各项工作均达到或超过预期目标，产出数量、质量、时效和成本控制良好。在效益方面，基层治理效率显著提升，群众满意度提高，取得了良好的社会效益；部分项目通过优化资源配置，实现了一定的经济效益；通过建立长效机制，保障了基层治理工作的可持续发展；总体而言，城乡基层治理能力建设专项资金项目实施效果良好，资金使用规范，实现了预期绩效目标，对提升城乡基层治理水平发挥了重要作用。但项目实施过程中仍存在一些问题，需进一步改进和完善</w:t>
            </w:r>
          </w:p>
        </w:tc>
      </w:tr>
      <w:tr w14:paraId="644D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4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3BA9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基层治理人才短缺：尽管开展了培训，但基层治理人才队伍仍存在数量不足、结构不合理、专业素质不高等问题，难以满足实际工作需求。2、区域发展不平衡：城乡之间、不同社区和乡村之间在治理能力建设上存在差距，部分偏远地区项目推进缓慢，资源获取困难。</w:t>
            </w:r>
            <w:r>
              <w:rPr>
                <w:rFonts w:hint="default" w:ascii="Times New Roman" w:hAnsi="Times New Roman" w:eastAsia="微软雅黑" w:cs="Times New Roman"/>
                <w:i/>
                <w:iCs/>
                <w:color w:val="000000"/>
                <w:kern w:val="0"/>
                <w:sz w:val="16"/>
                <w:szCs w:val="16"/>
                <w:u w:val="none"/>
                <w:lang w:val="en-US" w:eastAsia="zh-CN" w:bidi="ar"/>
              </w:rPr>
              <w:t>​</w:t>
            </w:r>
          </w:p>
        </w:tc>
      </w:tr>
      <w:tr w14:paraId="32B2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6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1A69C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（一）强化基层治理人才队伍建设</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提高基层治理岗位吸引力，完善薪酬福利体系，优化工作环境；制定科学的人才培养计划，加强与高校、培训机构合作，开展针对性培训；建立人才引进机制，鼓励优秀人才投身基层治理工作。</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（二）优化资金分配和资源配置</w:t>
            </w:r>
            <w:r>
              <w:rPr>
                <w:rFonts w:hint="default" w:ascii="Times New Roman" w:hAnsi="Times New Roman" w:eastAsia="微软雅黑" w:cs="Times New Roman"/>
                <w:i/>
                <w:iCs/>
                <w:color w:val="000000"/>
                <w:kern w:val="0"/>
                <w:sz w:val="16"/>
                <w:szCs w:val="16"/>
                <w:u w:val="none"/>
                <w:lang w:val="en-US" w:eastAsia="zh-CN" w:bidi="ar"/>
              </w:rPr>
              <w:t>​</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在资金分配上，充分考虑城乡差异和区域发展不平衡现状，向基础薄弱地区倾斜；加强资源统筹协调，整合各方力量和资源，形成工作合力，推动城乡基层治理均衡发展。</w:t>
            </w:r>
          </w:p>
        </w:tc>
      </w:tr>
      <w:tr w14:paraId="730FC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919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项目负责人：袁郑福</w:t>
            </w:r>
          </w:p>
        </w:tc>
        <w:tc>
          <w:tcPr>
            <w:tcW w:w="42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844A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746A78D1">
      <w:pPr>
        <w:rPr>
          <w:rFonts w:hint="default"/>
          <w:lang w:val="en-US" w:eastAsia="zh-CN"/>
        </w:rPr>
      </w:pPr>
    </w:p>
    <w:p w14:paraId="1F3E52FB">
      <w:pPr>
        <w:pStyle w:val="20"/>
        <w:rPr>
          <w:rFonts w:hint="default"/>
          <w:lang w:val="en-US" w:eastAsia="zh-CN"/>
        </w:rPr>
      </w:pPr>
    </w:p>
    <w:p w14:paraId="4FF912BC">
      <w:pPr>
        <w:rPr>
          <w:rFonts w:hint="default"/>
          <w:lang w:val="en-US" w:eastAsia="zh-CN"/>
        </w:rPr>
      </w:pPr>
    </w:p>
    <w:p w14:paraId="7D8D4F48">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lang w:val="en-US" w:eastAsia="zh-CN"/>
        </w:rPr>
      </w:pPr>
    </w:p>
    <w:p w14:paraId="59EBCA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000000"/>
          <w:kern w:val="0"/>
          <w:sz w:val="44"/>
          <w:szCs w:val="44"/>
          <w:highlight w:val="none"/>
          <w:lang w:val="zh-CN" w:eastAsia="zh-CN"/>
        </w:rPr>
      </w:pPr>
      <w:r>
        <w:rPr>
          <w:rFonts w:hint="default" w:ascii="Times New Roman" w:hAnsi="Times New Roman" w:eastAsia="方正小标宋简体" w:cs="Times New Roman"/>
          <w:color w:val="auto"/>
          <w:kern w:val="2"/>
          <w:sz w:val="44"/>
          <w:szCs w:val="44"/>
          <w:highlight w:val="none"/>
          <w:lang w:val="zh-CN" w:eastAsia="zh-CN"/>
        </w:rPr>
        <w:t>村级公共服务经费</w:t>
      </w:r>
      <w:r>
        <w:rPr>
          <w:rFonts w:hint="default" w:ascii="Times New Roman" w:hAnsi="Times New Roman" w:eastAsia="方正小标宋简体" w:cs="Times New Roman"/>
          <w:color w:val="auto"/>
          <w:kern w:val="2"/>
          <w:sz w:val="44"/>
          <w:szCs w:val="44"/>
          <w:highlight w:val="none"/>
          <w:lang w:val="en-US" w:eastAsia="zh-CN"/>
        </w:rPr>
        <w:t>专项资金绩效评价报告</w:t>
      </w:r>
    </w:p>
    <w:p w14:paraId="402B599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黑体" w:cs="Times New Roman"/>
          <w:sz w:val="32"/>
          <w:highlight w:val="none"/>
        </w:rPr>
      </w:pPr>
    </w:p>
    <w:p w14:paraId="5FD7793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黑体" w:cs="Times New Roman"/>
          <w:sz w:val="32"/>
          <w:highlight w:val="none"/>
          <w:lang w:val="zh-CN"/>
        </w:rPr>
      </w:pPr>
      <w:r>
        <w:rPr>
          <w:rFonts w:hint="default" w:ascii="Times New Roman" w:hAnsi="Times New Roman" w:eastAsia="黑体" w:cs="Times New Roman"/>
          <w:sz w:val="32"/>
          <w:highlight w:val="none"/>
        </w:rPr>
        <w:t>一、</w:t>
      </w:r>
      <w:r>
        <w:rPr>
          <w:rFonts w:hint="default" w:ascii="Times New Roman" w:hAnsi="Times New Roman" w:eastAsia="黑体" w:cs="Times New Roman"/>
          <w:sz w:val="32"/>
          <w:highlight w:val="none"/>
          <w:lang w:val="zh-CN"/>
        </w:rPr>
        <w:t>项目概况</w:t>
      </w:r>
    </w:p>
    <w:p w14:paraId="29179A92">
      <w:pPr>
        <w:keepNext w:val="0"/>
        <w:keepLines w:val="0"/>
        <w:pageBreakBefore w:val="0"/>
        <w:widowControl/>
        <w:suppressLineNumbers w:val="0"/>
        <w:shd w:val="clear" w:color="auto" w:fill="FFFFFF"/>
        <w:kinsoku/>
        <w:wordWrap/>
        <w:overflowPunct/>
        <w:topLinePunct w:val="0"/>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bCs w:val="0"/>
          <w:color w:val="auto"/>
          <w:sz w:val="32"/>
          <w:szCs w:val="32"/>
          <w:highlight w:val="none"/>
          <w:u w:val="none"/>
          <w:lang w:val="zh-CN"/>
        </w:rPr>
        <w:t>（一）设立背景及基本情况。</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随着乡村振兴战略推进，提升村级公共服务成为农村发展关键。常理镇针对辖区公共服务短板、资源不均等问题，设立专项资金项目，项目围绕民生保障、基础设施、社会治理等领域展开。</w:t>
      </w:r>
    </w:p>
    <w:p w14:paraId="576353A7">
      <w:pPr>
        <w:keepNext w:val="0"/>
        <w:keepLines w:val="0"/>
        <w:pageBreakBefore w:val="0"/>
        <w:widowControl/>
        <w:suppressLineNumbers w:val="0"/>
        <w:shd w:val="clear" w:color="auto" w:fill="FFFFFF"/>
        <w:kinsoku/>
        <w:wordWrap/>
        <w:overflowPunct/>
        <w:topLinePunct w:val="0"/>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楷体_GB2312" w:cs="Times New Roman"/>
          <w:b w:val="0"/>
          <w:bCs/>
          <w:color w:val="auto"/>
          <w:sz w:val="32"/>
          <w:szCs w:val="32"/>
          <w:highlight w:val="none"/>
          <w:u w:val="none"/>
          <w:lang w:val="en-US"/>
        </w:rPr>
      </w:pPr>
      <w:r>
        <w:rPr>
          <w:rFonts w:hint="default" w:ascii="Times New Roman" w:hAnsi="Times New Roman" w:eastAsia="楷体_GB2312" w:cs="Times New Roman"/>
          <w:b/>
          <w:bCs w:val="0"/>
          <w:color w:val="auto"/>
          <w:sz w:val="32"/>
          <w:szCs w:val="32"/>
          <w:highlight w:val="none"/>
          <w:u w:val="none"/>
          <w:lang w:val="zh-CN"/>
        </w:rPr>
        <w:t>（二）</w:t>
      </w:r>
      <w:r>
        <w:rPr>
          <w:rFonts w:hint="default" w:ascii="Times New Roman" w:hAnsi="Times New Roman" w:eastAsia="楷体_GB2312" w:cs="Times New Roman"/>
          <w:b/>
          <w:bCs w:val="0"/>
          <w:color w:val="auto"/>
          <w:sz w:val="32"/>
          <w:szCs w:val="32"/>
          <w:highlight w:val="none"/>
          <w:u w:val="none"/>
          <w:lang w:val="en-US" w:eastAsia="zh-CN"/>
        </w:rPr>
        <w:t>实施目的及支持方向。</w:t>
      </w:r>
      <w:r>
        <w:rPr>
          <w:rFonts w:hint="default" w:ascii="Times New Roman" w:hAnsi="Times New Roman" w:eastAsia="仿宋_GB2312" w:cs="Times New Roman"/>
          <w:color w:val="auto"/>
          <w:kern w:val="0"/>
          <w:sz w:val="32"/>
          <w:szCs w:val="32"/>
          <w:highlight w:val="none"/>
          <w:u w:val="none"/>
          <w:shd w:val="clear" w:color="auto" w:fill="FFFFFF"/>
          <w:lang w:val="en-US" w:eastAsia="zh-CN"/>
        </w:rPr>
        <w:t xml:space="preserve">为规范项目资金管理，按照区财政局关于《村级公共服务经费资金管理办法》遂安财〔2024〕111号文件要求，明确资金使用范围。项目实施目的在于补齐村级公共服务短板，提升农村公共服务均等化水平，增强村民的获得感、幸福感和安全感。项目支持方向主要聚焦于民生保障服务，解决村民的实际困难，改善农村交通、文化、环境等硬件条件，维护农村社会和谐稳定，推动村级公共服务全面发展，助力乡村振兴。​                                                    </w:t>
      </w:r>
    </w:p>
    <w:p w14:paraId="4E0E1418">
      <w:pPr>
        <w:keepNext w:val="0"/>
        <w:keepLines w:val="0"/>
        <w:pageBreakBefore w:val="0"/>
        <w:widowControl/>
        <w:numPr>
          <w:ilvl w:val="0"/>
          <w:numId w:val="0"/>
        </w:numPr>
        <w:suppressLineNumbers w:val="0"/>
        <w:kinsoku/>
        <w:wordWrap/>
        <w:overflowPunct/>
        <w:topLinePunct w:val="0"/>
        <w:autoSpaceDN/>
        <w:bidi w:val="0"/>
        <w:adjustRightInd/>
        <w:snapToGrid/>
        <w:spacing w:line="560" w:lineRule="exact"/>
        <w:ind w:firstLine="643" w:firstLineChars="200"/>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bCs w:val="0"/>
          <w:color w:val="auto"/>
          <w:sz w:val="32"/>
          <w:szCs w:val="32"/>
          <w:highlight w:val="none"/>
          <w:u w:val="none"/>
          <w:lang w:val="en-US" w:eastAsia="zh-CN"/>
        </w:rPr>
        <w:t>（三）预算安排及分配管理。</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本项目年度预算安排203.86万元，资金来源主要为财政拨款。在资金分配方面，遵循“统筹兼顾、突出重点、公平公正”的原则，充分考虑各村人口数量、公共服务需求迫切程度、经济发展水平等因素，根据各村实际申报的公共服务项目，结合项目的必要性、可行性和预期效益，合理分配资金，确保资金向需求大、效益高的项目倾斜，以保障村级日常公共服务工作的有序开展。</w:t>
      </w:r>
    </w:p>
    <w:p w14:paraId="75EB8D17">
      <w:pPr>
        <w:keepNext w:val="0"/>
        <w:keepLines w:val="0"/>
        <w:pageBreakBefore w:val="0"/>
        <w:widowControl/>
        <w:suppressLineNumbers w:val="0"/>
        <w:kinsoku/>
        <w:wordWrap/>
        <w:overflowPunct/>
        <w:topLinePunct w:val="0"/>
        <w:autoSpaceDN/>
        <w:bidi w:val="0"/>
        <w:adjustRightInd/>
        <w:snapToGrid/>
        <w:spacing w:beforeAutospacing="0" w:afterAutospacing="0" w:line="560" w:lineRule="exact"/>
        <w:ind w:left="0" w:right="0"/>
        <w:jc w:val="left"/>
        <w:textAlignment w:val="auto"/>
        <w:rPr>
          <w:rFonts w:hint="default" w:ascii="Times New Roman" w:hAnsi="Times New Roman" w:eastAsia="宋体" w:cs="Times New Roman"/>
          <w:kern w:val="2"/>
          <w:sz w:val="21"/>
          <w:szCs w:val="21"/>
        </w:rPr>
      </w:pPr>
      <w:r>
        <w:rPr>
          <w:rFonts w:hint="default" w:ascii="Times New Roman" w:hAnsi="Times New Roman" w:eastAsia="楷体_GB2312" w:cs="Times New Roman"/>
          <w:b w:val="0"/>
          <w:bCs/>
          <w:color w:val="auto"/>
          <w:sz w:val="32"/>
          <w:szCs w:val="32"/>
          <w:highlight w:val="none"/>
          <w:u w:val="none"/>
          <w:lang w:val="en-US" w:eastAsia="zh-CN"/>
        </w:rPr>
        <w:t xml:space="preserve">   </w:t>
      </w:r>
      <w:r>
        <w:rPr>
          <w:rFonts w:hint="default" w:ascii="Times New Roman" w:hAnsi="Times New Roman" w:eastAsia="楷体_GB2312" w:cs="Times New Roman"/>
          <w:b/>
          <w:bCs w:val="0"/>
          <w:color w:val="auto"/>
          <w:sz w:val="32"/>
          <w:szCs w:val="32"/>
          <w:highlight w:val="none"/>
          <w:u w:val="none"/>
          <w:lang w:val="en-US" w:eastAsia="zh-CN"/>
        </w:rPr>
        <w:t>（四）</w:t>
      </w:r>
      <w:r>
        <w:rPr>
          <w:rFonts w:hint="default" w:ascii="Times New Roman" w:hAnsi="Times New Roman" w:eastAsia="楷体_GB2312" w:cs="Times New Roman"/>
          <w:b/>
          <w:bCs w:val="0"/>
          <w:color w:val="auto"/>
          <w:sz w:val="32"/>
          <w:szCs w:val="32"/>
          <w:highlight w:val="none"/>
          <w:u w:val="none"/>
          <w:lang w:val="zh-CN" w:eastAsia="zh-CN"/>
        </w:rPr>
        <w:t>项目绩效目标设置。</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项目整体绩效目标为全面提升我镇村级公共服务水平，推动农村经济社会高质量发展。区域绩效目标根据各村实际情况，设定差异化的公共服务提升指标，如基础设施完善率、民生保障覆盖率、社会矛盾调解成功率等。组建自评小组，采用定量与定性结合法，通过收集资金凭证、合同等原始资料和实地走访等方式开展自评，结合评价标准，形成客观、公正的自评结论，形成完整的自评报告。</w:t>
      </w:r>
    </w:p>
    <w:p w14:paraId="0C605A6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黑体" w:cs="Times New Roman"/>
          <w:sz w:val="32"/>
          <w:highlight w:val="none"/>
          <w:lang w:eastAsia="zh-CN"/>
        </w:rPr>
      </w:pPr>
      <w:r>
        <w:rPr>
          <w:rFonts w:hint="default" w:ascii="Times New Roman" w:hAnsi="Times New Roman" w:eastAsia="黑体" w:cs="Times New Roman"/>
          <w:sz w:val="32"/>
          <w:highlight w:val="none"/>
        </w:rPr>
        <w:t>二、</w:t>
      </w:r>
      <w:r>
        <w:rPr>
          <w:rFonts w:hint="default" w:ascii="Times New Roman" w:hAnsi="Times New Roman" w:eastAsia="黑体" w:cs="Times New Roman"/>
          <w:sz w:val="32"/>
          <w:highlight w:val="none"/>
          <w:lang w:eastAsia="zh-CN"/>
        </w:rPr>
        <w:t>评价实施</w:t>
      </w:r>
    </w:p>
    <w:p w14:paraId="35C0B3DB">
      <w:pPr>
        <w:keepNext w:val="0"/>
        <w:keepLines w:val="0"/>
        <w:pageBreakBefore w:val="0"/>
        <w:widowControl/>
        <w:numPr>
          <w:ilvl w:val="0"/>
          <w:numId w:val="0"/>
        </w:numPr>
        <w:suppressLineNumbers w:val="0"/>
        <w:shd w:val="clear" w:color="auto" w:fill="FFFFFF"/>
        <w:kinsoku/>
        <w:wordWrap/>
        <w:overflowPunct/>
        <w:topLinePunct w:val="0"/>
        <w:autoSpaceDN/>
        <w:bidi w:val="0"/>
        <w:adjustRightInd/>
        <w:snapToGrid/>
        <w:spacing w:beforeAutospacing="0" w:afterAutospacing="0" w:line="560" w:lineRule="exact"/>
        <w:ind w:leftChars="0" w:firstLine="643" w:firstLineChars="200"/>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bCs w:val="0"/>
          <w:color w:val="auto"/>
          <w:sz w:val="32"/>
          <w:szCs w:val="32"/>
          <w:highlight w:val="none"/>
          <w:u w:val="none"/>
          <w:lang w:val="zh-CN" w:eastAsia="zh-CN"/>
        </w:rPr>
        <w:t>（一）评价目的。</w:t>
      </w:r>
      <w:r>
        <w:rPr>
          <w:rFonts w:hint="default" w:ascii="Times New Roman" w:hAnsi="Times New Roman" w:eastAsia="仿宋_GB2312" w:cs="Times New Roman"/>
          <w:color w:val="auto"/>
          <w:kern w:val="0"/>
          <w:sz w:val="32"/>
          <w:szCs w:val="32"/>
          <w:highlight w:val="none"/>
          <w:u w:val="none"/>
          <w:shd w:val="clear" w:color="auto" w:fill="FFFFFF"/>
          <w:lang w:val="en-US" w:eastAsia="zh-CN"/>
        </w:rPr>
        <w:t>通过项目绩效自评，全面了解村级公共服务经费专项资金的使用情况、项目实施效果，总结经验教训，发现存在的问题，为优化资金分配、改进项目管理、完善政策措施提供依据，进一步提高专项资金使用效益，推动村级公共服务项目持续健康发展</w:t>
      </w:r>
    </w:p>
    <w:p w14:paraId="18BD664E">
      <w:pPr>
        <w:keepNext w:val="0"/>
        <w:keepLines w:val="0"/>
        <w:pageBreakBefore w:val="0"/>
        <w:widowControl/>
        <w:numPr>
          <w:ilvl w:val="0"/>
          <w:numId w:val="0"/>
        </w:numPr>
        <w:suppressLineNumbers w:val="0"/>
        <w:shd w:val="clear" w:color="auto" w:fill="FFFFFF"/>
        <w:kinsoku/>
        <w:wordWrap/>
        <w:overflowPunct/>
        <w:topLinePunct w:val="0"/>
        <w:autoSpaceDN/>
        <w:bidi w:val="0"/>
        <w:adjustRightInd/>
        <w:snapToGrid/>
        <w:spacing w:beforeAutospacing="0" w:afterAutospacing="0" w:line="560" w:lineRule="exact"/>
        <w:ind w:leftChars="0" w:firstLine="643" w:firstLineChars="200"/>
        <w:jc w:val="left"/>
        <w:textAlignment w:val="auto"/>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bCs w:val="0"/>
          <w:color w:val="auto"/>
          <w:sz w:val="32"/>
          <w:szCs w:val="32"/>
          <w:highlight w:val="none"/>
          <w:u w:val="none"/>
          <w:lang w:val="en-US" w:eastAsia="zh-CN"/>
        </w:rPr>
        <w:t>（二）</w:t>
      </w:r>
      <w:r>
        <w:rPr>
          <w:rFonts w:hint="default" w:ascii="Times New Roman" w:hAnsi="Times New Roman" w:eastAsia="楷体_GB2312" w:cs="Times New Roman"/>
          <w:b/>
          <w:bCs w:val="0"/>
          <w:color w:val="auto"/>
          <w:sz w:val="32"/>
          <w:szCs w:val="32"/>
          <w:highlight w:val="none"/>
          <w:u w:val="none"/>
          <w:lang w:val="zh-CN" w:eastAsia="zh-CN"/>
        </w:rPr>
        <w:t>预设问题及评价重点。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按照绩效评价指标体系，预设问题包括资金使用是否合规、项目实施是否达到预期目标、管理制度是否健全有效等。评价重点聚焦于资金支出使用全过程及其实施效果，对项目决策、管理、实施和结果等方面进行综合评价和判断，确保评价结果客观、准确反映项目实际情况。</w:t>
      </w:r>
    </w:p>
    <w:p w14:paraId="0C60DC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val="0"/>
          <w:color w:val="auto"/>
          <w:sz w:val="32"/>
          <w:szCs w:val="32"/>
          <w:highlight w:val="none"/>
          <w:u w:val="none"/>
          <w:lang w:val="zh-CN" w:eastAsia="zh-CN"/>
        </w:rPr>
        <w:t>（三）评价选点。</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本次绩效自评采取抽样评价的方式，选取具有代表性的大洞村、常乐村等作为评价点位，涵盖不同经济发展水平、人口规模和公共服务需求类型的村庄，确保评价结果能够全面反映全镇村级公共服务项目实施情况。</w:t>
      </w:r>
    </w:p>
    <w:p w14:paraId="00BBC1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val="0"/>
          <w:color w:val="auto"/>
          <w:sz w:val="32"/>
          <w:szCs w:val="32"/>
          <w:highlight w:val="none"/>
          <w:u w:val="none"/>
          <w:lang w:val="zh-CN" w:eastAsia="zh-CN"/>
        </w:rPr>
        <w:t>（四）评价方法。</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本次绩效评价采用定量分析与定性分析相结合的综合评价方法，具体运用成本效益分析法，对项目投入与产出的经济效益进行量化评估；采用比较法，对比项目实施前后基层治理状况的变化；运用因素分析法，深入剖析影响项目绩效的各类因素；借助公众评判法，广泛收集群众对项目实施效果的满意度反馈。通过对项目资金投入、产出数量、质量、时效、成本，以及项目实施所产生的经济效益、社会效益、可持续影响和服务对象满意度等多维度指标进行综合分析，确保全面、客观、准确地评价项目绩效。</w:t>
      </w:r>
    </w:p>
    <w:p w14:paraId="61B211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outlineLvl w:val="9"/>
        <w:rPr>
          <w:rFonts w:hint="default" w:ascii="Times New Roman" w:hAnsi="Times New Roman" w:eastAsia="仿宋_GB2312" w:cs="Times New Roman"/>
          <w:color w:val="auto"/>
          <w:kern w:val="0"/>
          <w:sz w:val="32"/>
          <w:szCs w:val="32"/>
          <w:highlight w:val="none"/>
          <w:u w:val="none"/>
          <w:shd w:val="clear" w:color="auto" w:fill="FFFFFF"/>
          <w:lang w:val="en-US" w:eastAsia="zh-CN"/>
        </w:rPr>
      </w:pPr>
      <w:r>
        <w:rPr>
          <w:rFonts w:hint="default" w:ascii="Times New Roman" w:hAnsi="Times New Roman" w:eastAsia="楷体_GB2312" w:cs="Times New Roman"/>
          <w:b/>
          <w:bCs w:val="0"/>
          <w:color w:val="auto"/>
          <w:sz w:val="32"/>
          <w:szCs w:val="32"/>
          <w:highlight w:val="none"/>
          <w:u w:val="none"/>
          <w:lang w:val="zh-CN" w:eastAsia="zh-CN"/>
        </w:rPr>
        <w:t>（五）评价组织。</w:t>
      </w:r>
      <w:r>
        <w:rPr>
          <w:rFonts w:hint="default" w:ascii="Times New Roman" w:hAnsi="Times New Roman" w:eastAsia="仿宋_GB2312" w:cs="Times New Roman"/>
          <w:color w:val="auto"/>
          <w:kern w:val="0"/>
          <w:sz w:val="32"/>
          <w:szCs w:val="32"/>
          <w:highlight w:val="none"/>
          <w:u w:val="none"/>
          <w:shd w:val="clear" w:color="auto" w:fill="FFFFFF"/>
          <w:lang w:val="en-US" w:eastAsia="zh-CN"/>
        </w:rPr>
        <w:t>本次绩效评价工作构建了 “政府主导、部门协同” 的组织架构，确保评价工作科学、规范、有序开展。成立由分管领导牵头、相关部门负责的绩效评价领导小组，对评价工作进行全程监督和指导。评价工作组严格遵循《财政支出绩效评价管理办法》等相关规定，制定详细的评价工作流程，明确各环节工作内容、责任人员及时间节点，通过定期召开工作推进会、开展内部质量审核等方式，保障评价工作的质量和效率，确保评价结果真实、可靠、客观。</w:t>
      </w:r>
    </w:p>
    <w:p w14:paraId="12409F0A">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r>
        <w:rPr>
          <w:rFonts w:hint="default" w:ascii="Times New Roman" w:hAnsi="Times New Roman" w:cs="Times New Roman"/>
          <w:color w:val="auto"/>
          <w:sz w:val="32"/>
          <w:szCs w:val="32"/>
          <w:highlight w:val="none"/>
          <w:u w:val="none"/>
          <w:lang w:val="zh-CN"/>
        </w:rPr>
        <w:tab/>
      </w:r>
    </w:p>
    <w:p w14:paraId="2173D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outlineLvl w:val="9"/>
        <w:rPr>
          <w:rFonts w:hint="default" w:ascii="Times New Roman" w:hAnsi="Times New Roman" w:eastAsia="楷体_GB2312" w:cs="Times New Roman"/>
          <w:b/>
          <w:bCs w:val="0"/>
          <w:color w:val="auto"/>
          <w:sz w:val="32"/>
          <w:szCs w:val="32"/>
          <w:highlight w:val="none"/>
          <w:u w:val="none"/>
          <w:lang w:val="en-US" w:eastAsia="zh-CN"/>
        </w:rPr>
      </w:pPr>
      <w:r>
        <w:rPr>
          <w:rFonts w:hint="default" w:ascii="Times New Roman" w:hAnsi="Times New Roman" w:eastAsia="楷体_GB2312" w:cs="Times New Roman"/>
          <w:b/>
          <w:bCs w:val="0"/>
          <w:color w:val="auto"/>
          <w:sz w:val="32"/>
          <w:szCs w:val="32"/>
          <w:highlight w:val="none"/>
          <w:u w:val="none"/>
          <w:lang w:val="zh-CN" w:eastAsia="zh-CN"/>
        </w:rPr>
        <w:t>（一）</w:t>
      </w:r>
      <w:r>
        <w:rPr>
          <w:rFonts w:hint="default" w:ascii="Times New Roman" w:hAnsi="Times New Roman" w:eastAsia="楷体_GB2312" w:cs="Times New Roman"/>
          <w:b/>
          <w:bCs w:val="0"/>
          <w:color w:val="auto"/>
          <w:sz w:val="32"/>
          <w:szCs w:val="32"/>
          <w:highlight w:val="none"/>
          <w:u w:val="none"/>
          <w:lang w:val="en-US" w:eastAsia="zh-CN"/>
        </w:rPr>
        <w:t>通用指标</w:t>
      </w:r>
      <w:r>
        <w:rPr>
          <w:rFonts w:hint="default" w:ascii="Times New Roman" w:hAnsi="Times New Roman" w:eastAsia="楷体_GB2312" w:cs="Times New Roman"/>
          <w:b/>
          <w:bCs w:val="0"/>
          <w:color w:val="auto"/>
          <w:sz w:val="32"/>
          <w:szCs w:val="32"/>
          <w:highlight w:val="none"/>
          <w:u w:val="none"/>
          <w:lang w:val="zh-CN" w:eastAsia="zh-CN"/>
        </w:rPr>
        <w:t>绩效分析</w:t>
      </w:r>
    </w:p>
    <w:p w14:paraId="2011AEF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项目决策。</w:t>
      </w:r>
      <w:r>
        <w:rPr>
          <w:rFonts w:hint="default" w:ascii="Times New Roman" w:hAnsi="Times New Roman" w:eastAsia="仿宋_GB2312" w:cs="Times New Roman"/>
          <w:sz w:val="32"/>
          <w:szCs w:val="32"/>
          <w:lang w:val="en-US" w:eastAsia="zh-CN"/>
        </w:rPr>
        <w:t>严格遵循“集体决策、专家论证、风险评估、合法性审查”的标准化流程，通过召开专题会议对项目进行充分研讨，切实保障决策的科学性与规范性。</w:t>
      </w:r>
      <w:r>
        <w:rPr>
          <w:rFonts w:hint="default" w:ascii="Times New Roman" w:hAnsi="Times New Roman" w:eastAsia="仿宋_GB2312" w:cs="Times New Roman"/>
          <w:sz w:val="32"/>
          <w:szCs w:val="32"/>
          <w:lang w:val="zh-CN" w:eastAsia="zh-CN"/>
        </w:rPr>
        <w:t>在规划论证方面，</w:t>
      </w:r>
      <w:r>
        <w:rPr>
          <w:rFonts w:hint="default" w:ascii="Times New Roman" w:hAnsi="Times New Roman" w:eastAsia="仿宋_GB2312" w:cs="Times New Roman"/>
          <w:sz w:val="32"/>
          <w:szCs w:val="32"/>
          <w:lang w:val="en-US" w:eastAsia="zh-CN"/>
        </w:rPr>
        <w:t>结合各村资源禀赋、产业基础、民生需求等村级发展规划，对项目建设的必要性、技术可行性、经济合理性、社会影响性进行多维度论证，根据论证结果，优先将资金投向民生需求迫切、产业发展潜力大、项目完成度高且资金使用效益显著的村落，确保财政资金发挥最大效能。</w:t>
      </w:r>
      <w:r>
        <w:rPr>
          <w:rFonts w:hint="default" w:ascii="Times New Roman" w:hAnsi="Times New Roman" w:eastAsia="仿宋_GB2312" w:cs="Times New Roman"/>
          <w:sz w:val="32"/>
          <w:szCs w:val="32"/>
          <w:lang w:val="zh-CN" w:eastAsia="zh-CN"/>
        </w:rPr>
        <w:t>综合评分</w:t>
      </w:r>
      <w:r>
        <w:rPr>
          <w:rFonts w:hint="default" w:ascii="Times New Roman" w:hAnsi="Times New Roman" w:eastAsia="仿宋_GB2312" w:cs="Times New Roman"/>
          <w:sz w:val="32"/>
          <w:szCs w:val="32"/>
          <w:lang w:val="en-US" w:eastAsia="zh-CN"/>
        </w:rPr>
        <w:t>18分</w:t>
      </w:r>
      <w:r>
        <w:rPr>
          <w:rFonts w:hint="default" w:ascii="Times New Roman" w:hAnsi="Times New Roman" w:eastAsia="仿宋_GB2312" w:cs="Times New Roman"/>
          <w:sz w:val="32"/>
          <w:szCs w:val="32"/>
          <w:lang w:val="zh-CN" w:eastAsia="zh-CN"/>
        </w:rPr>
        <w:t>。​</w:t>
      </w:r>
    </w:p>
    <w:p w14:paraId="55DFB5BD">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left"/>
        <w:textAlignment w:val="auto"/>
        <w:rPr>
          <w:rFonts w:hint="default" w:ascii="Times New Roman" w:hAnsi="Times New Roman" w:eastAsia="楷体_GB2312" w:cs="Times New Roman"/>
          <w:color w:val="auto"/>
          <w:szCs w:val="32"/>
          <w:lang w:val="zh-CN" w:eastAsia="zh-CN"/>
        </w:rPr>
      </w:pPr>
      <w:r>
        <w:rPr>
          <w:rFonts w:hint="default" w:ascii="Times New Roman" w:hAnsi="Times New Roman" w:eastAsia="国标仿宋" w:cs="Times New Roman"/>
          <w:b/>
          <w:bCs/>
          <w:color w:val="auto"/>
          <w:sz w:val="32"/>
          <w:szCs w:val="32"/>
          <w:lang w:val="en-US" w:eastAsia="zh-CN"/>
        </w:rPr>
        <w:t>2、项目管理。</w:t>
      </w:r>
      <w:r>
        <w:rPr>
          <w:rFonts w:hint="default" w:ascii="Times New Roman" w:hAnsi="Times New Roman" w:eastAsia="仿宋_GB2312" w:cs="Times New Roman"/>
          <w:kern w:val="2"/>
          <w:sz w:val="32"/>
          <w:szCs w:val="32"/>
          <w:lang w:val="en-US" w:eastAsia="zh-CN" w:bidi="ar"/>
        </w:rPr>
        <w:t>制定资金管理办法和项目管理制度体系，明确预算编制、审批拨付、绩效评估等全周期管理细则，涵盖项目立项、实施、验收等关键环节，构建起 “制度 +流程+监督” 三位一体的管理框架。在资金分配管理过程中，严格遵循 “专款专用、效益优先、动态监管” 原则，确保每笔资金流向可追溯、使用可核查。同时，建立资金使用绩效评价机制，定期对项目资金执行情况进行分析，及时发现并纠正资金使用偏差，有效保障资金使用的安全性与有效性。</w:t>
      </w:r>
      <w:r>
        <w:rPr>
          <w:rFonts w:hint="default" w:ascii="Times New Roman" w:hAnsi="Times New Roman" w:eastAsia="仿宋_GB2312" w:cs="Times New Roman"/>
          <w:kern w:val="2"/>
          <w:sz w:val="32"/>
          <w:szCs w:val="32"/>
          <w:lang w:val="zh-CN" w:eastAsia="zh-CN" w:bidi="ar"/>
        </w:rPr>
        <w:t>综合评分</w:t>
      </w:r>
      <w:r>
        <w:rPr>
          <w:rFonts w:hint="default" w:ascii="Times New Roman" w:hAnsi="Times New Roman" w:eastAsia="仿宋_GB2312" w:cs="Times New Roman"/>
          <w:kern w:val="2"/>
          <w:sz w:val="32"/>
          <w:szCs w:val="32"/>
          <w:lang w:val="en-US" w:eastAsia="zh-CN" w:bidi="ar"/>
        </w:rPr>
        <w:t>18</w:t>
      </w:r>
      <w:r>
        <w:rPr>
          <w:rFonts w:hint="default" w:ascii="Times New Roman" w:hAnsi="Times New Roman" w:eastAsia="仿宋_GB2312" w:cs="Times New Roman"/>
          <w:kern w:val="2"/>
          <w:sz w:val="32"/>
          <w:szCs w:val="32"/>
          <w:lang w:val="zh-CN" w:eastAsia="zh-CN" w:bidi="ar"/>
        </w:rPr>
        <w:t>分</w:t>
      </w:r>
      <w:r>
        <w:rPr>
          <w:rFonts w:hint="default" w:ascii="Times New Roman" w:hAnsi="Times New Roman" w:eastAsia="仿宋_GB2312" w:cs="Times New Roman"/>
          <w:kern w:val="2"/>
          <w:sz w:val="32"/>
          <w:szCs w:val="32"/>
          <w:lang w:val="en-US" w:eastAsia="zh-CN" w:bidi="ar"/>
        </w:rPr>
        <w:t>。</w:t>
      </w:r>
    </w:p>
    <w:p w14:paraId="30E2C9E0">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right="0" w:firstLine="643" w:firstLineChars="200"/>
        <w:jc w:val="left"/>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国标仿宋" w:cs="Times New Roman"/>
          <w:b/>
          <w:bCs/>
          <w:color w:val="auto"/>
          <w:sz w:val="32"/>
          <w:szCs w:val="32"/>
          <w:lang w:val="en-US" w:eastAsia="zh-CN"/>
        </w:rPr>
        <w:t>3、项目实施。</w:t>
      </w:r>
      <w:r>
        <w:rPr>
          <w:rFonts w:hint="default" w:ascii="Times New Roman" w:hAnsi="Times New Roman" w:eastAsia="仿宋_GB2312" w:cs="Times New Roman"/>
          <w:kern w:val="2"/>
          <w:sz w:val="32"/>
          <w:szCs w:val="32"/>
          <w:lang w:val="en-US" w:eastAsia="zh-CN" w:bidi="ar"/>
        </w:rPr>
        <w:t>在项目实施过程中，我们构建了全流程闭环管理体系，通过事前科学规划、事中严格管控、事后强化监督的全链条管理，严格按照合同约定和项目进度进行款项拨付，预算执行率100% ，未出现挪用、截留等违规现象。自评得9分。</w:t>
      </w:r>
    </w:p>
    <w:p w14:paraId="4BE4585E">
      <w:pPr>
        <w:keepNext w:val="0"/>
        <w:keepLines w:val="0"/>
        <w:pageBreakBefore w:val="0"/>
        <w:widowControl w:val="0"/>
        <w:kinsoku/>
        <w:wordWrap/>
        <w:overflowPunct/>
        <w:topLinePunct w:val="0"/>
        <w:autoSpaceDE/>
        <w:autoSpaceDN/>
        <w:bidi w:val="0"/>
        <w:adjustRightInd/>
        <w:snapToGrid/>
        <w:spacing w:line="56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国标仿宋" w:cs="Times New Roman"/>
          <w:b/>
          <w:bCs/>
          <w:color w:val="auto"/>
          <w:sz w:val="32"/>
          <w:szCs w:val="32"/>
          <w:lang w:val="en-US" w:eastAsia="zh-CN"/>
        </w:rPr>
        <w:t>4、项目结果。</w:t>
      </w:r>
      <w:r>
        <w:rPr>
          <w:rFonts w:hint="default" w:ascii="Times New Roman" w:hAnsi="Times New Roman" w:eastAsia="仿宋_GB2312" w:cs="Times New Roman"/>
          <w:sz w:val="32"/>
          <w:szCs w:val="32"/>
          <w:lang w:val="en-US" w:eastAsia="zh-CN"/>
        </w:rPr>
        <w:t>所有项目均按时完成目标任务，目标完成质量整体良好，综合评分9分。</w:t>
      </w:r>
    </w:p>
    <w:p w14:paraId="758044D2">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val="0"/>
          <w:color w:val="auto"/>
          <w:sz w:val="32"/>
          <w:szCs w:val="32"/>
          <w:highlight w:val="none"/>
          <w:u w:val="none"/>
          <w:lang w:val="zh-CN"/>
        </w:rPr>
        <w:t>（</w:t>
      </w:r>
      <w:r>
        <w:rPr>
          <w:rFonts w:hint="default" w:ascii="Times New Roman" w:hAnsi="Times New Roman" w:eastAsia="楷体_GB2312" w:cs="Times New Roman"/>
          <w:b/>
          <w:bCs w:val="0"/>
          <w:color w:val="auto"/>
          <w:sz w:val="32"/>
          <w:szCs w:val="32"/>
          <w:highlight w:val="none"/>
          <w:u w:val="none"/>
          <w:lang w:val="en-US" w:eastAsia="zh-CN"/>
        </w:rPr>
        <w:t>一</w:t>
      </w:r>
      <w:r>
        <w:rPr>
          <w:rFonts w:hint="default" w:ascii="Times New Roman" w:hAnsi="Times New Roman" w:eastAsia="楷体_GB2312" w:cs="Times New Roman"/>
          <w:b/>
          <w:bCs w:val="0"/>
          <w:color w:val="auto"/>
          <w:sz w:val="32"/>
          <w:szCs w:val="32"/>
          <w:highlight w:val="none"/>
          <w:u w:val="none"/>
          <w:lang w:val="zh-CN"/>
        </w:rPr>
        <w:t>）</w:t>
      </w:r>
      <w:r>
        <w:rPr>
          <w:rFonts w:hint="default" w:ascii="Times New Roman" w:hAnsi="Times New Roman" w:eastAsia="楷体_GB2312" w:cs="Times New Roman"/>
          <w:b/>
          <w:bCs w:val="0"/>
          <w:color w:val="auto"/>
          <w:sz w:val="32"/>
          <w:szCs w:val="32"/>
          <w:highlight w:val="none"/>
          <w:u w:val="none"/>
          <w:lang w:val="en-US" w:eastAsia="zh-CN"/>
        </w:rPr>
        <w:t>专用指标</w:t>
      </w:r>
      <w:r>
        <w:rPr>
          <w:rFonts w:hint="default" w:ascii="Times New Roman" w:hAnsi="Times New Roman" w:eastAsia="楷体_GB2312" w:cs="Times New Roman"/>
          <w:b/>
          <w:bCs w:val="0"/>
          <w:color w:val="000000"/>
          <w:kern w:val="0"/>
          <w:sz w:val="32"/>
          <w:szCs w:val="32"/>
          <w:highlight w:val="none"/>
          <w:shd w:val="clear" w:color="auto" w:fill="FFFFFF"/>
          <w:lang w:val="zh-CN"/>
        </w:rPr>
        <w:t>绩效分析。</w:t>
      </w:r>
      <w:r>
        <w:rPr>
          <w:rFonts w:hint="default" w:ascii="Times New Roman" w:hAnsi="Times New Roman" w:eastAsia="仿宋_GB2312" w:cs="Times New Roman"/>
          <w:kern w:val="2"/>
          <w:sz w:val="32"/>
          <w:szCs w:val="32"/>
          <w:lang w:val="en-US" w:eastAsia="zh-CN" w:bidi="ar"/>
        </w:rPr>
        <w:t>本项目属于民生保障类项目，依据相关指标分析如下：区域均衡性：在民生保障项目实施过程中，资金支持对象覆盖我镇所有村落，区域分布较为广泛，有效避免了资金过度集中于个别区域的情况，实现了较好的区域均衡性。对象精准性：以行政村为基本单元，精准识别村级公共服务资金需求缺口，确保资金定向拨付至最需改善公共服务的行政村。标准合理性：为确保绩效指标合理性，将摒弃 “一刀切” 模式，基于各村人口结构、经济水平、民生需求等实际情况，制定差异化绩效标准，保障标准更贴合村民实际需求，切实提升资金使用效能。</w:t>
      </w:r>
      <w:r>
        <w:rPr>
          <w:rFonts w:hint="default" w:ascii="Times New Roman" w:hAnsi="Times New Roman" w:eastAsia="仿宋_GB2312" w:cs="Times New Roman"/>
          <w:b w:val="0"/>
          <w:bCs w:val="0"/>
          <w:color w:val="auto"/>
          <w:kern w:val="0"/>
          <w:position w:val="0"/>
          <w:sz w:val="32"/>
          <w:szCs w:val="32"/>
          <w:highlight w:val="none"/>
          <w:lang w:val="en-US" w:eastAsia="zh-CN" w:bidi="ar-SA"/>
        </w:rPr>
        <w:t>群众满意度：通过问卷调查，群众对文化服务的满意度达到95%以上，综合评分30分。</w:t>
      </w:r>
    </w:p>
    <w:p w14:paraId="7D1A07DB">
      <w:pPr>
        <w:keepNext w:val="0"/>
        <w:keepLines w:val="0"/>
        <w:pageBreakBefore w:val="0"/>
        <w:widowControl/>
        <w:numPr>
          <w:ilvl w:val="0"/>
          <w:numId w:val="0"/>
        </w:numPr>
        <w:suppressLineNumbers w:val="0"/>
        <w:kinsoku/>
        <w:wordWrap/>
        <w:overflowPunct/>
        <w:topLinePunct w:val="0"/>
        <w:autoSpaceDN/>
        <w:bidi w:val="0"/>
        <w:adjustRightInd/>
        <w:snapToGrid/>
        <w:spacing w:line="560" w:lineRule="exact"/>
        <w:ind w:leftChars="0" w:firstLine="643" w:firstLineChars="200"/>
        <w:jc w:val="left"/>
        <w:textAlignment w:val="auto"/>
        <w:rPr>
          <w:rFonts w:hint="default" w:ascii="Times New Roman" w:hAnsi="Times New Roman" w:eastAsia="仿宋_GB2312" w:cs="Times New Roman"/>
          <w:szCs w:val="32"/>
          <w:lang w:val="en-US" w:eastAsia="zh-CN"/>
        </w:rPr>
      </w:pPr>
      <w:r>
        <w:rPr>
          <w:rFonts w:hint="default" w:ascii="Times New Roman" w:hAnsi="Times New Roman" w:eastAsia="楷体_GB2312" w:cs="Times New Roman"/>
          <w:b/>
          <w:bCs w:val="0"/>
          <w:color w:val="auto"/>
          <w:sz w:val="32"/>
          <w:szCs w:val="32"/>
          <w:highlight w:val="none"/>
          <w:u w:val="none"/>
          <w:lang w:val="en-US" w:eastAsia="zh-CN"/>
        </w:rPr>
        <w:t>（二）个性指标</w:t>
      </w:r>
      <w:r>
        <w:rPr>
          <w:rFonts w:hint="default" w:ascii="Times New Roman" w:hAnsi="Times New Roman" w:eastAsia="楷体_GB2312" w:cs="Times New Roman"/>
          <w:b/>
          <w:bCs w:val="0"/>
          <w:color w:val="auto"/>
          <w:sz w:val="32"/>
          <w:szCs w:val="32"/>
          <w:highlight w:val="none"/>
          <w:u w:val="none"/>
          <w:lang w:val="zh-CN"/>
        </w:rPr>
        <w:t>绩效分析。</w:t>
      </w:r>
      <w:r>
        <w:rPr>
          <w:rFonts w:hint="default" w:ascii="Times New Roman" w:hAnsi="Times New Roman" w:eastAsia="仿宋_GB2312" w:cs="Times New Roman"/>
          <w:sz w:val="32"/>
          <w:szCs w:val="32"/>
          <w:lang w:val="zh-CN" w:eastAsia="zh-CN"/>
        </w:rPr>
        <w:t>根</w:t>
      </w:r>
      <w:r>
        <w:rPr>
          <w:rFonts w:hint="default" w:ascii="Times New Roman" w:hAnsi="Times New Roman" w:eastAsia="仿宋_GB2312" w:cs="Times New Roman"/>
          <w:sz w:val="32"/>
          <w:szCs w:val="32"/>
          <w:lang w:val="en-US" w:eastAsia="zh-CN"/>
        </w:rPr>
        <w:t>据项目实际情况设定村公共服务设施维护项目的稳定性指标，通过统计设施故障率、连续正常使用时长等方式进行评估，执行完成情况较好，达到预期目标，评分16分</w:t>
      </w:r>
      <w:r>
        <w:rPr>
          <w:rFonts w:hint="default" w:ascii="Times New Roman" w:hAnsi="Times New Roman" w:eastAsia="仿宋_GB2312" w:cs="Times New Roman"/>
          <w:szCs w:val="32"/>
          <w:lang w:val="en-US" w:eastAsia="zh-CN"/>
        </w:rPr>
        <w:t>。</w:t>
      </w:r>
    </w:p>
    <w:p w14:paraId="3BCF500D">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beforeLines="0" w:line="560" w:lineRule="exact"/>
        <w:ind w:right="0" w:rightChars="0"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1579D4C6">
      <w:pPr>
        <w:keepNext w:val="0"/>
        <w:keepLines w:val="0"/>
        <w:pageBreakBefore w:val="0"/>
        <w:widowControl w:val="0"/>
        <w:suppressLineNumbers w:val="0"/>
        <w:tabs>
          <w:tab w:val="left" w:pos="1911"/>
        </w:tabs>
        <w:kinsoku/>
        <w:wordWrap/>
        <w:overflowPunct/>
        <w:topLinePunct w:val="0"/>
        <w:autoSpaceDE w:val="0"/>
        <w:autoSpaceDN/>
        <w:bidi w:val="0"/>
        <w:adjustRightInd/>
        <w:snapToGrid/>
        <w:spacing w:beforeAutospacing="0" w:afterAutospacing="0" w:line="560" w:lineRule="exact"/>
        <w:ind w:left="0" w:right="0" w:rightChars="0" w:firstLine="640" w:firstLineChars="200"/>
        <w:jc w:val="left"/>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lang w:val="en-US" w:eastAsia="zh-CN" w:bidi="ar"/>
        </w:rPr>
        <w:t>2024年，我镇村级公共服务经费专项资金围绕乡村振兴战略目标，在管理和使用上展现出诸多亮点与成效。资金分配严格遵循既定原则，综合考量各村人口规模、需求程度等要素，将203.86万元财政拨款精准投向民生保障、基础设施等重点领域，实现了资金的科学配置与高效利用。项目执行过程中，构建起完善的全流程闭环管理体系，从决策、管理到实施、监督，各环节规范有序，预算执行率达100% ，且无挪用、截留等违规现象，确保了资金使用的安全性与规范性。综合来看，我镇村级公共服务经费专项资金项目整体表现良好，初步达成提升农村公共服务水平的目标，经综合评估，自评得分100分。​</w:t>
      </w:r>
    </w:p>
    <w:p w14:paraId="2061A979">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beforeLines="0" w:line="560" w:lineRule="exact"/>
        <w:ind w:right="0" w:rightChars="0" w:firstLine="643"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b/>
          <w:bCs/>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31F32667">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beforeLines="0" w:line="560" w:lineRule="exact"/>
        <w:ind w:right="0" w:rightChars="0" w:firstLine="643"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bCs w:val="0"/>
          <w:color w:val="auto"/>
          <w:kern w:val="2"/>
          <w:position w:val="0"/>
          <w:sz w:val="32"/>
          <w:szCs w:val="32"/>
          <w:highlight w:val="none"/>
          <w:u w:val="none"/>
          <w:lang w:val="en-US" w:eastAsia="zh-CN" w:bidi="ar-SA"/>
        </w:rPr>
        <w:t>（一）专项经费总量有所不足。</w:t>
      </w:r>
      <w:r>
        <w:rPr>
          <w:rFonts w:hint="default" w:ascii="Times New Roman" w:hAnsi="Times New Roman" w:eastAsia="仿宋_GB2312" w:cs="Times New Roman"/>
          <w:b w:val="0"/>
          <w:bCs w:val="0"/>
          <w:kern w:val="0"/>
          <w:position w:val="0"/>
          <w:sz w:val="32"/>
          <w:szCs w:val="32"/>
          <w:highlight w:val="none"/>
          <w:lang w:val="en-US" w:eastAsia="zh-CN" w:bidi="ar-SA"/>
        </w:rPr>
        <w:t>随着农村经济社会的发展，村民对公共服务的需求日益增长，现有的村级公共服务经费总量难以满足实际需求。</w:t>
      </w:r>
    </w:p>
    <w:p w14:paraId="50CA54FE">
      <w:pPr>
        <w:keepNext w:val="0"/>
        <w:keepLines w:val="0"/>
        <w:pageBreakBefore w:val="0"/>
        <w:widowControl w:val="0"/>
        <w:suppressLineNumbers w:val="0"/>
        <w:tabs>
          <w:tab w:val="left" w:pos="1911"/>
        </w:tabs>
        <w:kinsoku/>
        <w:wordWrap/>
        <w:overflowPunct/>
        <w:topLinePunct w:val="0"/>
        <w:autoSpaceDE w:val="0"/>
        <w:autoSpaceDN/>
        <w:bidi w:val="0"/>
        <w:adjustRightInd/>
        <w:snapToGrid/>
        <w:spacing w:beforeAutospacing="0" w:afterAutospacing="0" w:line="560" w:lineRule="exact"/>
        <w:ind w:left="0" w:right="0" w:rightChars="0" w:firstLine="643"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楷体_GB2312" w:cs="Times New Roman"/>
          <w:b/>
          <w:bCs w:val="0"/>
          <w:color w:val="auto"/>
          <w:kern w:val="2"/>
          <w:position w:val="0"/>
          <w:sz w:val="32"/>
          <w:szCs w:val="32"/>
          <w:highlight w:val="none"/>
          <w:u w:val="none"/>
          <w:lang w:val="en-US" w:eastAsia="zh-CN" w:bidi="ar-SA"/>
        </w:rPr>
        <w:t>（二）项目可持续性保障较弱。</w:t>
      </w:r>
      <w:r>
        <w:rPr>
          <w:rFonts w:hint="default" w:ascii="Times New Roman" w:hAnsi="Times New Roman" w:eastAsia="仿宋_GB2312" w:cs="Times New Roman"/>
          <w:b w:val="0"/>
          <w:bCs w:val="0"/>
          <w:kern w:val="0"/>
          <w:sz w:val="32"/>
          <w:szCs w:val="32"/>
          <w:lang w:val="en-US" w:eastAsia="zh-CN" w:bidi="ar"/>
        </w:rPr>
        <w:t>对于已建成的公共服务设施，后续维护资金和人员保障机制不完善，部分设施存在老化等现象，影响项目长期稳定运行和服务质量。</w:t>
      </w:r>
    </w:p>
    <w:p w14:paraId="34589F8A">
      <w:pPr>
        <w:pStyle w:val="8"/>
        <w:keepNext w:val="0"/>
        <w:keepLines w:val="0"/>
        <w:pageBreakBefore w:val="0"/>
        <w:numPr>
          <w:ilvl w:val="0"/>
          <w:numId w:val="0"/>
        </w:numPr>
        <w:tabs>
          <w:tab w:val="left" w:pos="2160"/>
        </w:tabs>
        <w:kinsoku/>
        <w:wordWrap/>
        <w:overflowPunct/>
        <w:topLinePunct w:val="0"/>
        <w:autoSpaceDE/>
        <w:autoSpaceDN/>
        <w:bidi w:val="0"/>
        <w:adjustRightInd/>
        <w:snapToGrid/>
        <w:spacing w:beforeLines="0" w:line="560" w:lineRule="exact"/>
        <w:ind w:right="0" w:rightChars="0"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59510EC9">
      <w:pPr>
        <w:keepNext w:val="0"/>
        <w:keepLines w:val="0"/>
        <w:pageBreakBefore w:val="0"/>
        <w:tabs>
          <w:tab w:val="left" w:pos="1911"/>
        </w:tabs>
        <w:kinsoku/>
        <w:wordWrap/>
        <w:overflowPunct/>
        <w:topLinePunct w:val="0"/>
        <w:autoSpaceDE/>
        <w:autoSpaceDN/>
        <w:bidi w:val="0"/>
        <w:adjustRightInd/>
        <w:snapToGrid/>
        <w:spacing w:line="560" w:lineRule="exact"/>
        <w:ind w:right="0" w:rightChars="0" w:firstLine="640"/>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bCs w:val="0"/>
          <w:color w:val="auto"/>
          <w:kern w:val="2"/>
          <w:position w:val="0"/>
          <w:sz w:val="32"/>
          <w:szCs w:val="32"/>
          <w:highlight w:val="none"/>
          <w:u w:val="none"/>
          <w:lang w:val="en-US" w:eastAsia="zh-CN" w:bidi="ar-SA"/>
        </w:rPr>
        <w:t>（一）拓宽经费筹集渠道。</w:t>
      </w:r>
      <w:r>
        <w:rPr>
          <w:rFonts w:hint="default" w:ascii="Times New Roman" w:hAnsi="Times New Roman" w:eastAsia="仿宋_GB2312" w:cs="Times New Roman"/>
          <w:b w:val="0"/>
          <w:bCs w:val="0"/>
          <w:kern w:val="0"/>
          <w:position w:val="0"/>
          <w:sz w:val="32"/>
          <w:szCs w:val="32"/>
          <w:highlight w:val="none"/>
          <w:lang w:val="en-US" w:eastAsia="zh-CN" w:bidi="ar-SA"/>
        </w:rPr>
        <w:t>积极争取上级财政更多的支持，加大对村级公共服务的投入力度。同时，鼓励各村进一步挖掘自身潜力，发展壮大村集体经济，提高村集体收入用于公共服务的比例。</w:t>
      </w:r>
    </w:p>
    <w:p w14:paraId="425717D0">
      <w:pPr>
        <w:keepNext w:val="0"/>
        <w:keepLines w:val="0"/>
        <w:pageBreakBefore w:val="0"/>
        <w:tabs>
          <w:tab w:val="left" w:pos="1911"/>
        </w:tabs>
        <w:kinsoku/>
        <w:wordWrap/>
        <w:overflowPunct/>
        <w:topLinePunct w:val="0"/>
        <w:autoSpaceDE/>
        <w:autoSpaceDN/>
        <w:bidi w:val="0"/>
        <w:adjustRightInd/>
        <w:snapToGrid/>
        <w:spacing w:line="560" w:lineRule="exact"/>
        <w:ind w:right="0" w:rightChars="0" w:firstLine="640"/>
        <w:jc w:val="left"/>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bCs w:val="0"/>
          <w:color w:val="auto"/>
          <w:kern w:val="2"/>
          <w:position w:val="0"/>
          <w:sz w:val="32"/>
          <w:szCs w:val="32"/>
          <w:highlight w:val="none"/>
          <w:u w:val="none"/>
          <w:lang w:val="en-US" w:eastAsia="zh-CN" w:bidi="ar-SA"/>
        </w:rPr>
        <w:t>（二）保障设施良好运行。</w:t>
      </w:r>
      <w:r>
        <w:rPr>
          <w:rFonts w:hint="default" w:ascii="Times New Roman" w:hAnsi="Times New Roman" w:eastAsia="仿宋_GB2312" w:cs="Times New Roman"/>
          <w:b w:val="0"/>
          <w:bCs w:val="0"/>
          <w:kern w:val="0"/>
          <w:position w:val="0"/>
          <w:sz w:val="32"/>
          <w:szCs w:val="32"/>
          <w:highlight w:val="none"/>
          <w:lang w:val="en-US" w:eastAsia="zh-CN" w:bidi="ar-SA"/>
        </w:rPr>
        <w:t>通过财政补贴、村集体自筹、社会捐赠等多渠道</w:t>
      </w:r>
      <w:r>
        <w:rPr>
          <w:rFonts w:hint="default" w:ascii="Times New Roman" w:hAnsi="Times New Roman" w:cs="Times New Roman"/>
          <w:b w:val="0"/>
          <w:bCs w:val="0"/>
          <w:kern w:val="0"/>
          <w:position w:val="0"/>
          <w:sz w:val="32"/>
          <w:szCs w:val="32"/>
          <w:highlight w:val="none"/>
          <w:lang w:val="en-US" w:eastAsia="zh-CN" w:bidi="ar-SA"/>
        </w:rPr>
        <w:t>筹集资</w:t>
      </w:r>
      <w:r>
        <w:rPr>
          <w:rFonts w:hint="default" w:ascii="Times New Roman" w:hAnsi="Times New Roman" w:eastAsia="仿宋_GB2312" w:cs="Times New Roman"/>
          <w:b w:val="0"/>
          <w:bCs w:val="0"/>
          <w:kern w:val="0"/>
          <w:position w:val="0"/>
          <w:sz w:val="32"/>
          <w:szCs w:val="32"/>
          <w:highlight w:val="none"/>
          <w:lang w:val="en-US" w:eastAsia="zh-CN" w:bidi="ar-SA"/>
        </w:rPr>
        <w:t>金，建立专业维护队伍</w:t>
      </w:r>
      <w:r>
        <w:rPr>
          <w:rFonts w:hint="default" w:ascii="Times New Roman" w:hAnsi="Times New Roman" w:cs="Times New Roman"/>
          <w:b w:val="0"/>
          <w:bCs w:val="0"/>
          <w:kern w:val="0"/>
          <w:position w:val="0"/>
          <w:sz w:val="32"/>
          <w:szCs w:val="32"/>
          <w:highlight w:val="none"/>
          <w:lang w:val="en-US" w:eastAsia="zh-CN" w:bidi="ar-SA"/>
        </w:rPr>
        <w:t>，</w:t>
      </w:r>
      <w:r>
        <w:rPr>
          <w:rFonts w:hint="default" w:ascii="Times New Roman" w:hAnsi="Times New Roman" w:eastAsia="仿宋_GB2312" w:cs="Times New Roman"/>
          <w:b w:val="0"/>
          <w:bCs w:val="0"/>
          <w:kern w:val="0"/>
          <w:position w:val="0"/>
          <w:sz w:val="32"/>
          <w:szCs w:val="32"/>
          <w:highlight w:val="none"/>
          <w:lang w:val="en-US" w:eastAsia="zh-CN" w:bidi="ar-SA"/>
        </w:rPr>
        <w:t>定期对设施进行检查和维护，确保设施长期稳定运行。同时，拓宽群众参与路径，借助村民代表大会、线上平台等广泛征求意见，通过定期回访收集反馈优化项目，提升群众参与感与资金使用效能。</w:t>
      </w:r>
    </w:p>
    <w:p w14:paraId="43215C73">
      <w:pPr>
        <w:keepNext w:val="0"/>
        <w:keepLines w:val="0"/>
        <w:pageBreakBefore w:val="0"/>
        <w:kinsoku/>
        <w:wordWrap/>
        <w:overflowPunct/>
        <w:topLinePunct w:val="0"/>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bCs w:val="0"/>
          <w:color w:val="auto"/>
          <w:kern w:val="2"/>
          <w:position w:val="0"/>
          <w:sz w:val="32"/>
          <w:szCs w:val="32"/>
          <w:highlight w:val="none"/>
          <w:u w:val="none"/>
          <w:lang w:val="en-US" w:eastAsia="zh-CN" w:bidi="ar-SA"/>
        </w:rPr>
        <w:t>（三）着力强化监督管理。</w:t>
      </w:r>
      <w:r>
        <w:rPr>
          <w:rFonts w:hint="default" w:ascii="Times New Roman" w:hAnsi="Times New Roman" w:eastAsia="仿宋_GB2312" w:cs="Times New Roman"/>
          <w:b w:val="0"/>
          <w:bCs w:val="0"/>
          <w:kern w:val="0"/>
          <w:position w:val="0"/>
          <w:sz w:val="32"/>
          <w:szCs w:val="32"/>
          <w:highlight w:val="none"/>
          <w:lang w:val="en-US" w:eastAsia="zh-CN" w:bidi="ar-SA"/>
        </w:rPr>
        <w:t>加强对村级公共服务经费监督小组的培训和指导，提高其监督能力和水平。建立健全违规责任追究制度，对挪用、截留经费等违规行为进行严肃处理，追究相关人员的责任。进一步拓宽监督渠道，鼓励村民和社会各界积极参与监督，形成全方位、多层次的监督体系。</w:t>
      </w:r>
    </w:p>
    <w:p w14:paraId="3EF825ED">
      <w:pPr>
        <w:pStyle w:val="2"/>
        <w:rPr>
          <w:rFonts w:hint="eastAsia" w:ascii="仿宋_GB2312" w:hAnsi="仿宋_GB2312" w:eastAsia="仿宋_GB2312" w:cs="仿宋_GB2312"/>
          <w:b w:val="0"/>
          <w:bCs w:val="0"/>
          <w:kern w:val="0"/>
          <w:position w:val="0"/>
          <w:sz w:val="32"/>
          <w:szCs w:val="32"/>
          <w:highlight w:val="none"/>
          <w:lang w:val="en-US" w:eastAsia="zh-CN" w:bidi="ar-SA"/>
        </w:rPr>
      </w:pPr>
    </w:p>
    <w:p w14:paraId="7021AE8D">
      <w:pPr>
        <w:pStyle w:val="3"/>
        <w:rPr>
          <w:rFonts w:hint="eastAsia" w:ascii="仿宋_GB2312" w:hAnsi="仿宋_GB2312" w:eastAsia="仿宋_GB2312" w:cs="仿宋_GB2312"/>
          <w:b w:val="0"/>
          <w:bCs w:val="0"/>
          <w:kern w:val="0"/>
          <w:position w:val="0"/>
          <w:sz w:val="32"/>
          <w:szCs w:val="32"/>
          <w:highlight w:val="none"/>
          <w:lang w:val="en-US" w:eastAsia="zh-CN" w:bidi="ar-SA"/>
        </w:rPr>
      </w:pPr>
    </w:p>
    <w:tbl>
      <w:tblPr>
        <w:tblStyle w:val="16"/>
        <w:tblpPr w:leftFromText="180" w:rightFromText="180" w:vertAnchor="text" w:horzAnchor="page" w:tblpX="1779" w:tblpY="18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3"/>
        <w:gridCol w:w="859"/>
        <w:gridCol w:w="784"/>
        <w:gridCol w:w="1085"/>
        <w:gridCol w:w="617"/>
        <w:gridCol w:w="662"/>
        <w:gridCol w:w="753"/>
        <w:gridCol w:w="853"/>
        <w:gridCol w:w="678"/>
        <w:gridCol w:w="558"/>
        <w:gridCol w:w="800"/>
      </w:tblGrid>
      <w:tr w14:paraId="5B74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22" w:type="dxa"/>
            <w:gridSpan w:val="11"/>
            <w:tcBorders>
              <w:top w:val="nil"/>
              <w:left w:val="nil"/>
              <w:bottom w:val="nil"/>
              <w:right w:val="nil"/>
            </w:tcBorders>
            <w:shd w:val="clear" w:color="auto" w:fill="auto"/>
            <w:vAlign w:val="center"/>
          </w:tcPr>
          <w:p w14:paraId="236F765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EB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2" w:type="dxa"/>
            <w:gridSpan w:val="2"/>
            <w:tcBorders>
              <w:top w:val="single" w:color="000000" w:sz="4" w:space="0"/>
              <w:left w:val="single" w:color="000000" w:sz="4" w:space="0"/>
              <w:bottom w:val="nil"/>
              <w:right w:val="nil"/>
            </w:tcBorders>
            <w:shd w:val="clear" w:color="auto" w:fill="auto"/>
            <w:vAlign w:val="center"/>
          </w:tcPr>
          <w:p w14:paraId="1250906E">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6790" w:type="dxa"/>
            <w:gridSpan w:val="9"/>
            <w:tcBorders>
              <w:top w:val="single" w:color="000000" w:sz="4" w:space="0"/>
              <w:left w:val="single" w:color="000000" w:sz="4" w:space="0"/>
              <w:bottom w:val="nil"/>
              <w:right w:val="nil"/>
            </w:tcBorders>
            <w:shd w:val="clear" w:color="auto" w:fill="auto"/>
            <w:vAlign w:val="center"/>
          </w:tcPr>
          <w:p w14:paraId="0ACCAEC2">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51090424T000011646123-2024年村级公共服务经费</w:t>
            </w:r>
          </w:p>
        </w:tc>
      </w:tr>
      <w:tr w14:paraId="75FD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D5D5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39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A2966">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1E0B">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CFA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57E8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D4B95">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7ED14">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9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A4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项目年度目标</w:t>
            </w:r>
          </w:p>
        </w:tc>
        <w:tc>
          <w:tcPr>
            <w:tcW w:w="2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0F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59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E2FAF">
            <w:pPr>
              <w:rPr>
                <w:rFonts w:hint="eastAsia" w:ascii="宋体" w:hAnsi="宋体" w:eastAsia="宋体" w:cs="宋体"/>
                <w:b/>
                <w:bCs/>
                <w:i w:val="0"/>
                <w:iCs w:val="0"/>
                <w:color w:val="000000"/>
                <w:sz w:val="24"/>
                <w:szCs w:val="24"/>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C712">
            <w:pPr>
              <w:rPr>
                <w:rFonts w:hint="eastAsia" w:ascii="宋体" w:hAnsi="宋体" w:eastAsia="宋体" w:cs="宋体"/>
                <w:b/>
                <w:bCs/>
                <w:i w:val="0"/>
                <w:iCs w:val="0"/>
                <w:color w:val="000000"/>
                <w:sz w:val="24"/>
                <w:szCs w:val="24"/>
                <w:u w:val="none"/>
              </w:rPr>
            </w:pPr>
          </w:p>
        </w:tc>
        <w:tc>
          <w:tcPr>
            <w:tcW w:w="39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DD3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通过合理配置、有效管理和多部门协作，为乡村提高提供高质量的公共服务，让村级公共服务经费真正成为服务于广大村民、推动乡村全面发展的锐利武器。</w:t>
            </w:r>
          </w:p>
        </w:tc>
        <w:tc>
          <w:tcPr>
            <w:tcW w:w="2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667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本项目以提升村级公共服务水平、改善农村生产生活条件为目标，通过资金投入完善基础设施、优化公共服务、保障村级事务运转。截至年末，项目总体目标完成较好，在满足村民基本需求、增强村级自治能力等方面取得阶段性成效。</w:t>
            </w:r>
          </w:p>
        </w:tc>
      </w:tr>
      <w:tr w14:paraId="2AB3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50ED">
            <w:pP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56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19DB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为加强村级公共服务经费工作管理，白马镇成立了以部门分管领导、相关业务股室负责人及业务人员为成员的工作小组。通过村民代表大会、入户走访等方式收集需求，制定村级公共服务项目清；采用“村民议事+村级实施”模式，优先解决群众反映强烈的急难愁盼问题，同步推进项目建设与服务开展。</w:t>
            </w:r>
          </w:p>
        </w:tc>
      </w:tr>
      <w:tr w14:paraId="274F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728B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E2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F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年初预算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B4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C0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D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21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2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7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原因</w:t>
            </w:r>
          </w:p>
        </w:tc>
      </w:tr>
      <w:tr w14:paraId="675D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E8ED">
            <w:pPr>
              <w:jc w:val="cente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E0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3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B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203.86</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BFA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203.86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D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100.00%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36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CEFC">
            <w:pPr>
              <w:jc w:val="center"/>
              <w:rPr>
                <w:rFonts w:hint="eastAsia" w:ascii="宋体" w:hAnsi="宋体" w:eastAsia="宋体" w:cs="宋体"/>
                <w:i w:val="0"/>
                <w:iCs w:val="0"/>
                <w:color w:val="000000"/>
                <w:sz w:val="24"/>
                <w:szCs w:val="24"/>
                <w:u w:val="none"/>
              </w:rPr>
            </w:pP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3A33F">
            <w:pPr>
              <w:rPr>
                <w:rFonts w:hint="eastAsia" w:ascii="宋体" w:hAnsi="宋体" w:eastAsia="宋体" w:cs="宋体"/>
                <w:i w:val="0"/>
                <w:iCs w:val="0"/>
                <w:color w:val="000000"/>
                <w:sz w:val="24"/>
                <w:szCs w:val="24"/>
                <w:u w:val="none"/>
              </w:rPr>
            </w:pPr>
          </w:p>
        </w:tc>
      </w:tr>
      <w:tr w14:paraId="15EE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918D">
            <w:pPr>
              <w:jc w:val="cente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5E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A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3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203.86</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44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203.86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3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100.00%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10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E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3807">
            <w:pPr>
              <w:rPr>
                <w:rFonts w:hint="eastAsia" w:ascii="宋体" w:hAnsi="宋体" w:eastAsia="宋体" w:cs="宋体"/>
                <w:i w:val="0"/>
                <w:iCs w:val="0"/>
                <w:color w:val="000000"/>
                <w:sz w:val="24"/>
                <w:szCs w:val="24"/>
                <w:u w:val="none"/>
              </w:rPr>
            </w:pPr>
          </w:p>
        </w:tc>
      </w:tr>
      <w:tr w14:paraId="51FC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6654">
            <w:pPr>
              <w:jc w:val="cente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D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3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4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CB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1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3C5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A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3DF1">
            <w:pPr>
              <w:rPr>
                <w:rFonts w:hint="eastAsia" w:ascii="宋体" w:hAnsi="宋体" w:eastAsia="宋体" w:cs="宋体"/>
                <w:i w:val="0"/>
                <w:iCs w:val="0"/>
                <w:color w:val="000000"/>
                <w:sz w:val="24"/>
                <w:szCs w:val="24"/>
                <w:u w:val="none"/>
              </w:rPr>
            </w:pPr>
          </w:p>
        </w:tc>
      </w:tr>
      <w:tr w14:paraId="1D44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06054">
            <w:pPr>
              <w:jc w:val="cente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F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3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4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FD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6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0.00%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94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0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EF698">
            <w:pPr>
              <w:rPr>
                <w:rFonts w:hint="eastAsia" w:ascii="宋体" w:hAnsi="宋体" w:eastAsia="宋体" w:cs="宋体"/>
                <w:i w:val="0"/>
                <w:iCs w:val="0"/>
                <w:color w:val="000000"/>
                <w:sz w:val="24"/>
                <w:szCs w:val="24"/>
                <w:u w:val="none"/>
              </w:rPr>
            </w:pPr>
          </w:p>
        </w:tc>
      </w:tr>
      <w:tr w14:paraId="35B3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1C1A">
            <w:pPr>
              <w:jc w:val="cente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E3D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25AF">
            <w:pPr>
              <w:jc w:val="center"/>
              <w:rPr>
                <w:rFonts w:hint="eastAsia" w:ascii="宋体" w:hAnsi="宋体" w:eastAsia="宋体" w:cs="宋体"/>
                <w:i w:val="0"/>
                <w:iCs w:val="0"/>
                <w:color w:val="000000"/>
                <w:sz w:val="24"/>
                <w:szCs w:val="24"/>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2C3C">
            <w:pPr>
              <w:jc w:val="center"/>
              <w:rPr>
                <w:rFonts w:hint="eastAsia" w:ascii="宋体" w:hAnsi="宋体" w:eastAsia="宋体" w:cs="宋体"/>
                <w:i w:val="0"/>
                <w:iCs w:val="0"/>
                <w:color w:val="000000"/>
                <w:sz w:val="24"/>
                <w:szCs w:val="24"/>
                <w:u w:val="none"/>
              </w:rPr>
            </w:pP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B9C62">
            <w:pPr>
              <w:jc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EE64">
            <w:pPr>
              <w:jc w:val="center"/>
              <w:rPr>
                <w:rFonts w:hint="eastAsia" w:ascii="宋体" w:hAnsi="宋体" w:eastAsia="宋体" w:cs="宋体"/>
                <w:i w:val="0"/>
                <w:iCs w:val="0"/>
                <w:color w:val="000000"/>
                <w:sz w:val="24"/>
                <w:szCs w:val="24"/>
                <w:u w:val="none"/>
              </w:rPr>
            </w:pP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1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6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0E96F">
            <w:pPr>
              <w:rPr>
                <w:rFonts w:hint="eastAsia" w:ascii="宋体" w:hAnsi="宋体" w:eastAsia="宋体" w:cs="宋体"/>
                <w:i w:val="0"/>
                <w:iCs w:val="0"/>
                <w:color w:val="000000"/>
                <w:sz w:val="24"/>
                <w:szCs w:val="24"/>
                <w:u w:val="none"/>
              </w:rPr>
            </w:pPr>
          </w:p>
        </w:tc>
      </w:tr>
      <w:tr w14:paraId="793A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990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6F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1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二级指标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三级指标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0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指标性质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1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指标值</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A87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3A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E2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3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20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未完成原因分析</w:t>
            </w:r>
          </w:p>
        </w:tc>
      </w:tr>
      <w:tr w14:paraId="439D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873" w:type="dxa"/>
            <w:vMerge w:val="continue"/>
            <w:tcBorders>
              <w:top w:val="single" w:color="000000" w:sz="4" w:space="0"/>
              <w:left w:val="single" w:color="000000" w:sz="4" w:space="0"/>
              <w:right w:val="single" w:color="000000" w:sz="4" w:space="0"/>
            </w:tcBorders>
            <w:shd w:val="clear" w:color="auto" w:fill="auto"/>
            <w:vAlign w:val="center"/>
          </w:tcPr>
          <w:p w14:paraId="3DD8A063">
            <w:pPr>
              <w:jc w:val="cente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right w:val="single" w:color="000000" w:sz="4" w:space="0"/>
            </w:tcBorders>
            <w:shd w:val="clear" w:color="auto" w:fill="auto"/>
            <w:vAlign w:val="center"/>
          </w:tcPr>
          <w:p w14:paraId="170A2F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D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数量指标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9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村（社区）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1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E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25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49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个</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80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FE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8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24B4">
            <w:pPr>
              <w:jc w:val="center"/>
              <w:rPr>
                <w:rFonts w:hint="eastAsia" w:ascii="宋体" w:hAnsi="宋体" w:eastAsia="宋体" w:cs="宋体"/>
                <w:i w:val="0"/>
                <w:iCs w:val="0"/>
                <w:color w:val="000000"/>
                <w:sz w:val="24"/>
                <w:szCs w:val="24"/>
                <w:u w:val="none"/>
              </w:rPr>
            </w:pPr>
          </w:p>
        </w:tc>
      </w:tr>
      <w:tr w14:paraId="2D52C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73" w:type="dxa"/>
            <w:vMerge w:val="continue"/>
            <w:tcBorders>
              <w:left w:val="single" w:color="000000" w:sz="4" w:space="0"/>
              <w:right w:val="single" w:color="000000" w:sz="4" w:space="0"/>
            </w:tcBorders>
            <w:shd w:val="clear" w:color="auto" w:fill="auto"/>
            <w:vAlign w:val="center"/>
          </w:tcPr>
          <w:p w14:paraId="507BF12B">
            <w:pPr>
              <w:jc w:val="center"/>
              <w:rPr>
                <w:rFonts w:hint="eastAsia" w:ascii="宋体" w:hAnsi="宋体" w:eastAsia="宋体" w:cs="宋体"/>
                <w:b/>
                <w:bCs/>
                <w:i w:val="0"/>
                <w:iCs w:val="0"/>
                <w:color w:val="000000"/>
                <w:sz w:val="24"/>
                <w:szCs w:val="24"/>
                <w:u w:val="none"/>
              </w:rPr>
            </w:pPr>
          </w:p>
        </w:tc>
        <w:tc>
          <w:tcPr>
            <w:tcW w:w="859" w:type="dxa"/>
            <w:tcBorders>
              <w:left w:val="single" w:color="000000" w:sz="4" w:space="0"/>
              <w:right w:val="single" w:color="000000" w:sz="4" w:space="0"/>
            </w:tcBorders>
            <w:shd w:val="clear" w:color="auto" w:fill="auto"/>
            <w:vAlign w:val="center"/>
          </w:tcPr>
          <w:p w14:paraId="2BC597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3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质量指标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C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公共服务完善率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8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0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97</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3B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35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97</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14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7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EBAC">
            <w:pPr>
              <w:jc w:val="center"/>
              <w:rPr>
                <w:rFonts w:hint="eastAsia" w:ascii="宋体" w:hAnsi="宋体" w:eastAsia="宋体" w:cs="宋体"/>
                <w:i w:val="0"/>
                <w:iCs w:val="0"/>
                <w:color w:val="000000"/>
                <w:sz w:val="24"/>
                <w:szCs w:val="24"/>
                <w:u w:val="none"/>
              </w:rPr>
            </w:pPr>
          </w:p>
        </w:tc>
      </w:tr>
      <w:tr w14:paraId="7E86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73" w:type="dxa"/>
            <w:vMerge w:val="continue"/>
            <w:tcBorders>
              <w:left w:val="single" w:color="000000" w:sz="4" w:space="0"/>
              <w:bottom w:val="single" w:color="000000" w:sz="4" w:space="0"/>
              <w:right w:val="single" w:color="000000" w:sz="4" w:space="0"/>
            </w:tcBorders>
            <w:shd w:val="clear" w:color="auto" w:fill="auto"/>
            <w:vAlign w:val="center"/>
          </w:tcPr>
          <w:p w14:paraId="324299E2">
            <w:pPr>
              <w:jc w:val="center"/>
              <w:rPr>
                <w:rFonts w:hint="eastAsia" w:ascii="宋体" w:hAnsi="宋体" w:eastAsia="宋体" w:cs="宋体"/>
                <w:b/>
                <w:bCs/>
                <w:i w:val="0"/>
                <w:iCs w:val="0"/>
                <w:color w:val="000000"/>
                <w:sz w:val="24"/>
                <w:szCs w:val="24"/>
                <w:u w:val="none"/>
              </w:rPr>
            </w:pPr>
          </w:p>
        </w:tc>
        <w:tc>
          <w:tcPr>
            <w:tcW w:w="859" w:type="dxa"/>
            <w:tcBorders>
              <w:left w:val="single" w:color="000000" w:sz="4" w:space="0"/>
              <w:bottom w:val="single" w:color="000000" w:sz="4" w:space="0"/>
              <w:right w:val="single" w:color="000000" w:sz="4" w:space="0"/>
            </w:tcBorders>
            <w:shd w:val="clear" w:color="auto" w:fill="auto"/>
            <w:vAlign w:val="center"/>
          </w:tcPr>
          <w:p w14:paraId="1BF2BC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6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时效指标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A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公共服务时间</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6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7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A8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小时/天</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48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F58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A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0ECA">
            <w:pPr>
              <w:jc w:val="center"/>
              <w:rPr>
                <w:rFonts w:hint="eastAsia" w:ascii="宋体" w:hAnsi="宋体" w:eastAsia="宋体" w:cs="宋体"/>
                <w:i w:val="0"/>
                <w:iCs w:val="0"/>
                <w:color w:val="000000"/>
                <w:sz w:val="24"/>
                <w:szCs w:val="24"/>
                <w:u w:val="none"/>
              </w:rPr>
            </w:pPr>
          </w:p>
        </w:tc>
      </w:tr>
      <w:tr w14:paraId="38E3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3" w:type="dxa"/>
            <w:vMerge w:val="continue"/>
            <w:tcBorders>
              <w:top w:val="single" w:color="000000" w:sz="4" w:space="0"/>
              <w:left w:val="single" w:color="000000" w:sz="4" w:space="0"/>
              <w:bottom w:val="nil"/>
              <w:right w:val="single" w:color="000000" w:sz="4" w:space="0"/>
            </w:tcBorders>
            <w:shd w:val="clear" w:color="auto" w:fill="auto"/>
            <w:vAlign w:val="center"/>
          </w:tcPr>
          <w:p w14:paraId="02264732">
            <w:pPr>
              <w:jc w:val="cente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bottom w:val="nil"/>
              <w:right w:val="single" w:color="000000" w:sz="4" w:space="0"/>
            </w:tcBorders>
            <w:shd w:val="clear" w:color="auto" w:fill="auto"/>
            <w:vAlign w:val="center"/>
          </w:tcPr>
          <w:p w14:paraId="0C1643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效益指标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2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经济效益指标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3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推动乡村振兴发展</w:t>
            </w:r>
          </w:p>
        </w:tc>
        <w:tc>
          <w:tcPr>
            <w:tcW w:w="617" w:type="dxa"/>
            <w:tcBorders>
              <w:top w:val="single" w:color="000000" w:sz="4" w:space="0"/>
              <w:left w:val="single" w:color="000000" w:sz="4" w:space="0"/>
              <w:bottom w:val="nil"/>
              <w:right w:val="single" w:color="000000" w:sz="4" w:space="0"/>
            </w:tcBorders>
            <w:shd w:val="clear" w:color="auto" w:fill="auto"/>
            <w:vAlign w:val="center"/>
          </w:tcPr>
          <w:p w14:paraId="591B8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D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优</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357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37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优</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54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1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81B8">
            <w:pPr>
              <w:jc w:val="center"/>
              <w:rPr>
                <w:rFonts w:hint="eastAsia" w:ascii="宋体" w:hAnsi="宋体" w:eastAsia="宋体" w:cs="宋体"/>
                <w:i w:val="0"/>
                <w:iCs w:val="0"/>
                <w:color w:val="000000"/>
                <w:sz w:val="24"/>
                <w:szCs w:val="24"/>
                <w:u w:val="none"/>
              </w:rPr>
            </w:pPr>
          </w:p>
        </w:tc>
      </w:tr>
      <w:tr w14:paraId="1D51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AF38">
            <w:pPr>
              <w:jc w:val="cente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D7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满意度指标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1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D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乡村群众满意度</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3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C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98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612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E2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98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70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4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861C">
            <w:pPr>
              <w:jc w:val="center"/>
              <w:rPr>
                <w:rFonts w:hint="eastAsia" w:ascii="宋体" w:hAnsi="宋体" w:eastAsia="宋体" w:cs="宋体"/>
                <w:i w:val="0"/>
                <w:iCs w:val="0"/>
                <w:color w:val="000000"/>
                <w:sz w:val="24"/>
                <w:szCs w:val="24"/>
                <w:u w:val="none"/>
              </w:rPr>
            </w:pPr>
          </w:p>
        </w:tc>
      </w:tr>
      <w:tr w14:paraId="7F63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7331">
            <w:pPr>
              <w:jc w:val="center"/>
              <w:rPr>
                <w:rFonts w:hint="eastAsia" w:ascii="宋体" w:hAnsi="宋体" w:eastAsia="宋体" w:cs="宋体"/>
                <w:b/>
                <w:bCs/>
                <w:i w:val="0"/>
                <w:iCs w:val="0"/>
                <w:color w:val="000000"/>
                <w:sz w:val="24"/>
                <w:szCs w:val="24"/>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935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成本指标</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A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经济成本指标</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2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居民医疗等费用降低率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5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定性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E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优</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C0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其他</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C6B">
            <w:pPr>
              <w:keepNext w:val="0"/>
              <w:keepLines w:val="0"/>
              <w:widowControl/>
              <w:suppressLineNumbers w:val="0"/>
              <w:jc w:val="center"/>
              <w:textAlignment w:val="center"/>
            </w:pPr>
            <w:r>
              <w:rPr>
                <w:rFonts w:hint="eastAsia" w:ascii="微软雅黑" w:hAnsi="微软雅黑" w:eastAsia="微软雅黑" w:cs="微软雅黑"/>
                <w:i/>
                <w:iCs/>
                <w:color w:val="000000"/>
                <w:kern w:val="0"/>
                <w:sz w:val="16"/>
                <w:szCs w:val="16"/>
                <w:u w:val="none"/>
                <w:lang w:val="en-US" w:eastAsia="zh-CN" w:bidi="ar"/>
              </w:rPr>
              <w:t>优</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194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B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3924">
            <w:pPr>
              <w:jc w:val="center"/>
              <w:rPr>
                <w:rFonts w:hint="eastAsia" w:ascii="宋体" w:hAnsi="宋体" w:eastAsia="宋体" w:cs="宋体"/>
                <w:i w:val="0"/>
                <w:iCs w:val="0"/>
                <w:color w:val="000000"/>
                <w:sz w:val="24"/>
                <w:szCs w:val="24"/>
                <w:u w:val="none"/>
              </w:rPr>
            </w:pPr>
          </w:p>
        </w:tc>
      </w:tr>
      <w:tr w14:paraId="5930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4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5A1E2D">
            <w:pPr>
              <w:keepNext w:val="0"/>
              <w:keepLines w:val="0"/>
              <w:widowControl/>
              <w:suppressLineNumbers w:val="0"/>
              <w:jc w:val="center"/>
              <w:textAlignment w:val="center"/>
              <w:rPr>
                <w:rFonts w:hint="eastAsia" w:ascii="微软雅黑" w:hAnsi="微软雅黑" w:eastAsia="微软雅黑" w:cs="微软雅黑"/>
                <w:i/>
                <w:iCs/>
                <w:color w:val="000000"/>
                <w:kern w:val="0"/>
                <w:sz w:val="16"/>
                <w:szCs w:val="16"/>
                <w:u w:val="none"/>
                <w:lang w:val="en-US" w:eastAsia="zh-CN" w:bidi="ar"/>
              </w:rPr>
            </w:pPr>
            <w:r>
              <w:rPr>
                <w:rFonts w:ascii="宋体" w:hAnsi="宋体" w:eastAsia="宋体" w:cs="宋体"/>
                <w:i w:val="0"/>
                <w:iCs w:val="0"/>
                <w:color w:val="000000"/>
                <w:kern w:val="0"/>
                <w:sz w:val="18"/>
                <w:szCs w:val="18"/>
                <w:u w:val="none"/>
                <w:lang w:val="en-US" w:eastAsia="zh-CN" w:bidi="ar"/>
              </w:rPr>
              <w:t>合计</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C13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A921">
            <w:pPr>
              <w:rPr>
                <w:rFonts w:ascii="宋体" w:hAnsi="宋体" w:eastAsia="宋体" w:cs="宋体"/>
                <w:i w:val="0"/>
                <w:iCs w:val="0"/>
                <w:color w:val="000000"/>
                <w:kern w:val="0"/>
                <w:sz w:val="18"/>
                <w:szCs w:val="18"/>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DE48">
            <w:pPr>
              <w:rPr>
                <w:rFonts w:hint="eastAsia" w:ascii="宋体" w:hAnsi="宋体" w:eastAsia="宋体" w:cs="宋体"/>
                <w:i w:val="0"/>
                <w:iCs w:val="0"/>
                <w:color w:val="000000"/>
                <w:sz w:val="24"/>
                <w:szCs w:val="24"/>
                <w:u w:val="none"/>
              </w:rPr>
            </w:pPr>
          </w:p>
        </w:tc>
      </w:tr>
      <w:tr w14:paraId="4FFD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2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76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57A1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2024年村级公共服务经费严格按照预算执行，资金拨付规范、发放及时。基础设施建设与公共服务供给切实解决了村民实际需求，民生得到改善，村民获得感显著增强。治理增效，村级事务规范化运行，民主监督机制逐步完善，激发了村民参与村级治理的积极性，基层自治活力有效提升</w:t>
            </w:r>
          </w:p>
        </w:tc>
      </w:tr>
      <w:tr w14:paraId="1846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34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76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0A1D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群众参与度有限，部分村民对项目决策、监督的参与深度不足。</w:t>
            </w:r>
          </w:p>
        </w:tc>
      </w:tr>
      <w:tr w14:paraId="75DC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5A6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76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AAAD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深化群众参与，完善村民议事协商机制，通过志愿活动等形式调动参与积极性。</w:t>
            </w:r>
          </w:p>
        </w:tc>
      </w:tr>
      <w:tr w14:paraId="7C0E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2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28C4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项目负责人：陈元</w:t>
            </w:r>
          </w:p>
        </w:tc>
        <w:tc>
          <w:tcPr>
            <w:tcW w:w="43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C893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34FB265E">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46A1672A">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outlineLvl w:val="0"/>
        <w:rPr>
          <w:rFonts w:hint="default"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 xml:space="preserve">    </w:t>
      </w:r>
    </w:p>
    <w:p w14:paraId="15E98D14">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民生实事票决制项目经费专项资金绩效自评报告</w:t>
      </w:r>
    </w:p>
    <w:p w14:paraId="1815533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
</w:t>
      </w:r>
    </w:p>
    <w:p w14:paraId="00985BD8">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1"/>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一、项目概况
</w:t>
      </w:r>
    </w:p>
    <w:p w14:paraId="52CF8C07">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2"/>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（一）设立背景及基本情况
</w:t>
      </w:r>
    </w:p>
    <w:p w14:paraId="51EF5E46">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近年来，随着乡村振兴战略的深入推进，本镇居民对生活品质提升的需求日益迫切。为切实解决群众急难愁盼问题，增强政府决策与群众需求的契合度，乡镇积极推行民生实事票决制项目。项目立项依据《</w:t>
      </w:r>
      <w:r>
        <w:rPr>
          <w:rFonts w:hint="default" w:ascii="Times New Roman" w:hAnsi="Times New Roman" w:eastAsia="仿宋_GB2312" w:cs="Times New Roman"/>
          <w:sz w:val="32"/>
          <w:szCs w:val="32"/>
          <w:lang w:val="en-US" w:eastAsia="zh-CN"/>
        </w:rPr>
        <w:t>安居区</w:t>
      </w:r>
      <w:r>
        <w:rPr>
          <w:rFonts w:hint="default" w:ascii="Times New Roman" w:hAnsi="Times New Roman" w:eastAsia="仿宋_GB2312" w:cs="Times New Roman"/>
          <w:sz w:val="32"/>
          <w:szCs w:val="32"/>
        </w:rPr>
        <w:t>民生实事票决制实施办法》及乡镇年度发展规划，资金申报严格遵循上级财政部门关于民生专项资金管理的相关规定。
</w:t>
      </w:r>
    </w:p>
    <w:p w14:paraId="127421B9">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项目主要内容涵盖多个领域：在基础设施方面，实施</w:t>
      </w:r>
      <w:r>
        <w:rPr>
          <w:rFonts w:hint="default" w:ascii="Times New Roman" w:hAnsi="Times New Roman" w:eastAsia="仿宋_GB2312" w:cs="Times New Roman"/>
          <w:sz w:val="32"/>
          <w:szCs w:val="32"/>
          <w:lang w:val="en-US" w:eastAsia="zh-CN"/>
        </w:rPr>
        <w:t>场镇污水管网整治</w:t>
      </w:r>
      <w:r>
        <w:rPr>
          <w:rFonts w:hint="default" w:ascii="Times New Roman" w:hAnsi="Times New Roman" w:eastAsia="仿宋_GB2312" w:cs="Times New Roman"/>
          <w:sz w:val="32"/>
          <w:szCs w:val="32"/>
        </w:rPr>
        <w:t>工程；民生保障领域，</w:t>
      </w:r>
      <w:r>
        <w:rPr>
          <w:rFonts w:hint="default" w:ascii="Times New Roman" w:hAnsi="Times New Roman" w:eastAsia="仿宋_GB2312" w:cs="Times New Roman"/>
          <w:sz w:val="32"/>
          <w:szCs w:val="32"/>
          <w:lang w:val="en-US" w:eastAsia="zh-CN"/>
        </w:rPr>
        <w:t>修建白马场镇硬化公路2道</w:t>
      </w:r>
      <w:r>
        <w:rPr>
          <w:rFonts w:hint="default" w:ascii="Times New Roman" w:hAnsi="Times New Roman" w:eastAsia="仿宋_GB2312" w:cs="Times New Roman"/>
          <w:sz w:val="32"/>
          <w:szCs w:val="32"/>
        </w:rPr>
        <w:t>、改造</w:t>
      </w:r>
      <w:r>
        <w:rPr>
          <w:rFonts w:hint="default" w:ascii="Times New Roman" w:hAnsi="Times New Roman" w:eastAsia="仿宋_GB2312" w:cs="Times New Roman"/>
          <w:sz w:val="32"/>
          <w:szCs w:val="32"/>
          <w:lang w:val="en-US" w:eastAsia="zh-CN"/>
        </w:rPr>
        <w:t>顺河社区文化广场1处</w:t>
      </w:r>
      <w:r>
        <w:rPr>
          <w:rFonts w:hint="default" w:ascii="Times New Roman" w:hAnsi="Times New Roman" w:eastAsia="仿宋_GB2312" w:cs="Times New Roman"/>
          <w:sz w:val="32"/>
          <w:szCs w:val="32"/>
        </w:rPr>
        <w:t>。乡镇主管部门主要职能包括统筹项目规划、组织实施、监督管理以及协调各方资源，确保民生项目顺利落地。
</w:t>
      </w:r>
    </w:p>
    <w:p w14:paraId="08D558C8">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2"/>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（二）实施目的及支持方向
</w:t>
      </w:r>
    </w:p>
    <w:p w14:paraId="4E693D85">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为规范项目资金使用，乡镇制定了《</w:t>
      </w:r>
      <w:r>
        <w:rPr>
          <w:rFonts w:hint="default" w:ascii="Times New Roman" w:hAnsi="Times New Roman" w:eastAsia="仿宋_GB2312" w:cs="Times New Roman"/>
          <w:sz w:val="32"/>
          <w:szCs w:val="32"/>
          <w:lang w:val="en-US" w:eastAsia="zh-CN"/>
        </w:rPr>
        <w:t>白马</w:t>
      </w:r>
      <w:r>
        <w:rPr>
          <w:rFonts w:hint="default" w:ascii="Times New Roman" w:hAnsi="Times New Roman" w:eastAsia="仿宋_GB2312" w:cs="Times New Roman"/>
          <w:sz w:val="32"/>
          <w:szCs w:val="32"/>
        </w:rPr>
        <w:t>镇民生实事票决制项目资金管理细则》，明确资金使用范围、审批流程及监管责任。项目实施目的在于通过完善基础设施、提升公共服务、强化民生保障，切实改善乡镇居民生产生活条件，增强群众获得感与幸福感。
</w:t>
      </w:r>
    </w:p>
    <w:p w14:paraId="16346C7A">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主要工作任务围绕年初票决确定的项目清单有序推进，资金支持方向聚焦民生保障与基础设施建设，优先解决群众关注度高、受益面广的民生问题，如</w:t>
      </w:r>
      <w:r>
        <w:rPr>
          <w:rFonts w:hint="default" w:ascii="Times New Roman" w:hAnsi="Times New Roman" w:eastAsia="仿宋_GB2312" w:cs="Times New Roman"/>
          <w:sz w:val="32"/>
          <w:szCs w:val="32"/>
          <w:lang w:val="en-US" w:eastAsia="zh-CN"/>
        </w:rPr>
        <w:t>环境治理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社区文化建设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水利建设</w:t>
      </w:r>
      <w:r>
        <w:rPr>
          <w:rFonts w:hint="default" w:ascii="Times New Roman" w:hAnsi="Times New Roman" w:eastAsia="仿宋_GB2312" w:cs="Times New Roman"/>
          <w:sz w:val="32"/>
          <w:szCs w:val="32"/>
        </w:rPr>
        <w:t>条件改善等。</w:t>
      </w:r>
    </w:p>
    <w:p w14:paraId="0E048DB7">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2"/>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（三）预算安排及分配管理
</w:t>
      </w:r>
    </w:p>
    <w:p w14:paraId="79984C22">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2024 年民生实事票决制项目经费专项资金预算总额为 </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资金分配遵循 “突出重点、统筹兼顾、公平公正” 原则，综合考虑项目的必要性、紧迫性、受益人群规模及资金需求等因素。
</w:t>
      </w:r>
    </w:p>
    <w:p w14:paraId="78EDCBA9">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2"/>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（四）项目绩效目标设置
</w:t>
      </w:r>
    </w:p>
    <w:p w14:paraId="2399EB63">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整体绩效目标为全面完成票决确定的民生实事项目，显著提升乡镇居民生活质量与满意度。区域绩效目标根据各村镇实际需求制定，确保项目覆盖均衡。乡镇成立绩效自评工作小组，于项目实施各阶段开展自查，在项目完成后进行全面自评，确保绩效目标有效落实。
</w:t>
      </w:r>
    </w:p>
    <w:p w14:paraId="2AFC1A31">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1"/>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二、评价实施
</w:t>
      </w:r>
    </w:p>
    <w:p w14:paraId="4DB55B28">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2"/>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（一）评价目的
</w:t>
      </w:r>
    </w:p>
    <w:p w14:paraId="37749E54">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通过项目绩效自评，全面掌握专项资金使用情况、项目实施效果及管理水平，总结经验教训，发现存在问题，为后续民生项目决策、资金分配及管理优化提供科学依据，进一步提高财政资金使用效益，推动民生实事项目高质量发展。</w:t>
      </w:r>
    </w:p>
    <w:p w14:paraId="79C0B080">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2"/>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（二）预设问题及评价重点
</w:t>
      </w:r>
    </w:p>
    <w:p w14:paraId="2F2443F9">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预设问题包括资金是否专款专用、项目是否按时保质完成、群众是否真正受益等。评价重点围绕资金支出使用全过程及其实施效果，依据绩效评价指标体系，对项目决策、管理、实施、结果等方面进行综合评价和判断，尤其关注民生保障类项目的群众满意度和基础设施类项目的功能实现情况。
</w:t>
      </w:r>
    </w:p>
    <w:p w14:paraId="2575C859">
      <w:pPr>
        <w:pStyle w:val="4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（三）评价选点
</w:t>
      </w:r>
    </w:p>
    <w:p w14:paraId="3BBDE78A">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本次绩效自评抽样选取</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个具有代表性的点位，涵盖不同类型项目。如在</w:t>
      </w:r>
      <w:r>
        <w:rPr>
          <w:rFonts w:hint="default" w:ascii="Times New Roman" w:hAnsi="Times New Roman" w:eastAsia="仿宋_GB2312" w:cs="Times New Roman"/>
          <w:sz w:val="32"/>
          <w:szCs w:val="32"/>
          <w:lang w:val="en-US" w:eastAsia="zh-CN"/>
        </w:rPr>
        <w:t>场镇污水管网整治</w:t>
      </w:r>
      <w:r>
        <w:rPr>
          <w:rFonts w:hint="default" w:ascii="Times New Roman" w:hAnsi="Times New Roman" w:eastAsia="仿宋_GB2312" w:cs="Times New Roman"/>
          <w:sz w:val="32"/>
          <w:szCs w:val="32"/>
        </w:rPr>
        <w:t>工程中选取</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场镇白马小学硬化公路</w:t>
      </w:r>
      <w:r>
        <w:rPr>
          <w:rFonts w:hint="default" w:ascii="Times New Roman" w:hAnsi="Times New Roman" w:eastAsia="仿宋_GB2312" w:cs="Times New Roman"/>
          <w:sz w:val="32"/>
          <w:szCs w:val="32"/>
        </w:rPr>
        <w:t>选取</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处，改造</w:t>
      </w:r>
      <w:r>
        <w:rPr>
          <w:rFonts w:hint="default" w:ascii="Times New Roman" w:hAnsi="Times New Roman" w:eastAsia="仿宋_GB2312" w:cs="Times New Roman"/>
          <w:sz w:val="32"/>
          <w:szCs w:val="32"/>
          <w:lang w:val="en-US" w:eastAsia="zh-CN"/>
        </w:rPr>
        <w:t>顺河社区文化广场1</w:t>
      </w:r>
      <w:r>
        <w:rPr>
          <w:rFonts w:hint="default" w:ascii="Times New Roman" w:hAnsi="Times New Roman" w:eastAsia="仿宋_GB2312" w:cs="Times New Roman"/>
          <w:sz w:val="32"/>
          <w:szCs w:val="32"/>
        </w:rPr>
        <w:t>个，确保评价结果全面、客观。</w:t>
      </w:r>
    </w:p>
    <w:p w14:paraId="2E388460">
      <w:pPr>
        <w:pStyle w:val="40"/>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（四）评价方法
</w:t>
      </w:r>
    </w:p>
    <w:p w14:paraId="4DC3C3D6">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宋体" w:cs="Times New Roman"/>
          <w:sz w:val="28"/>
          <w:szCs w:val="28"/>
        </w:rPr>
      </w:pPr>
      <w:r>
        <w:rPr>
          <w:rFonts w:hint="default" w:ascii="Times New Roman" w:hAnsi="Times New Roman" w:eastAsia="仿宋_GB2312" w:cs="Times New Roman"/>
          <w:sz w:val="32"/>
          <w:szCs w:val="32"/>
        </w:rPr>
        <w:t>综合采用多种评价方法：成本效益分析法用于评估项目投入与产出效益；实地勘察法对项目建设现场进行检查，核实工程进度与质量；问卷调查法面向项目受益群众发放问卷</w:t>
      </w:r>
      <w:r>
        <w:rPr>
          <w:rFonts w:hint="default"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rPr>
        <w:t>份，了解群众满意度；座谈调研法组织乡镇干部、项目实施单位、群众代表等开展座谈会</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场，收集意见建议；单位自评法要求项目实施单位提交自评报告，结合案卷研究法查阅项目档案资料，确保评价依据充分。
</w:t>
      </w:r>
    </w:p>
    <w:p w14:paraId="7B8AAFDA">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2"/>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（五）评价组织
</w:t>
      </w:r>
    </w:p>
    <w:p w14:paraId="3B04E886">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评价组由乡镇</w:t>
      </w:r>
      <w:r>
        <w:rPr>
          <w:rFonts w:hint="default" w:ascii="Times New Roman" w:hAnsi="Times New Roman" w:eastAsia="仿宋_GB2312" w:cs="Times New Roman"/>
          <w:sz w:val="32"/>
          <w:szCs w:val="32"/>
          <w:lang w:val="en-US" w:eastAsia="zh-CN"/>
        </w:rPr>
        <w:t>项目部门代表</w:t>
      </w:r>
      <w:r>
        <w:rPr>
          <w:rFonts w:hint="default" w:ascii="Times New Roman" w:hAnsi="Times New Roman" w:eastAsia="仿宋_GB2312" w:cs="Times New Roman"/>
          <w:sz w:val="32"/>
          <w:szCs w:val="32"/>
        </w:rPr>
        <w:t>、人大代表、项目主管部门负责人及第三方专业人员共</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人组成。其中，</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人员负责资金使用情况审核；人大代表发挥监督职能，确保评价公正；项目主管部门负责人提供项目实施信息；第三方专业人员运用专业知识进行绩效分析与评分，各成员分工明确，协同完成绩效评价工作。
</w:t>
      </w:r>
    </w:p>
    <w:p w14:paraId="067A5564">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1"/>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三、绩效分析
</w:t>
      </w:r>
    </w:p>
    <w:p w14:paraId="6D10A251">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2"/>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（一）通用指标绩效分析
</w:t>
      </w:r>
    </w:p>
    <w:p w14:paraId="5B6163FD">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项目决策</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项目决策程序规范，通过广泛征集民意、人大代表票决确定项目，符合相关政策要求。规划论证充分，结合乡镇实际需求制定项目方案。资金投向精准，聚焦民生关键领域，得</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w:t>
      </w:r>
    </w:p>
    <w:p w14:paraId="5CD21FBA">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b/>
          <w:bCs/>
          <w:sz w:val="32"/>
          <w:szCs w:val="32"/>
          <w:lang w:val="en-US" w:eastAsia="zh-CN"/>
        </w:rPr>
        <w:t>2、项目管理：</w:t>
      </w:r>
      <w:r>
        <w:rPr>
          <w:rFonts w:hint="default" w:ascii="Times New Roman" w:hAnsi="Times New Roman" w:eastAsia="仿宋" w:cs="Times New Roman"/>
          <w:sz w:val="32"/>
          <w:szCs w:val="32"/>
        </w:rPr>
        <w:t>制定了完善的制度办法，但在部分项目分配管理中，存在资金拨付与项目进度匹配度不足的情况。绩效监管措施较为健全，定期开展项目检查，得</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
</w:t>
      </w:r>
    </w:p>
    <w:p w14:paraId="0FEDC7A0">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b/>
          <w:bCs/>
          <w:sz w:val="32"/>
          <w:szCs w:val="32"/>
          <w:lang w:val="en-US" w:eastAsia="zh-CN"/>
        </w:rPr>
        <w:t>3、项目实施：</w:t>
      </w:r>
      <w:r>
        <w:rPr>
          <w:rFonts w:hint="default" w:ascii="Times New Roman" w:hAnsi="Times New Roman" w:eastAsia="仿宋" w:cs="Times New Roman"/>
          <w:sz w:val="32"/>
          <w:szCs w:val="32"/>
        </w:rPr>
        <w:t xml:space="preserve">预算执行率达到 </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%，但个别项目因前期准备不足，导致资金使用进度滞后。资金使用符合相关规定，未发现违规现象，得</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
</w:t>
      </w:r>
    </w:p>
    <w:p w14:paraId="6BCFA48F">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宋体" w:cs="Times New Roman"/>
          <w:sz w:val="28"/>
          <w:szCs w:val="28"/>
        </w:rPr>
      </w:pPr>
      <w:r>
        <w:rPr>
          <w:rFonts w:hint="default" w:ascii="Times New Roman" w:hAnsi="Times New Roman" w:eastAsia="仿宋_GB2312" w:cs="Times New Roman"/>
          <w:b/>
          <w:bCs/>
          <w:sz w:val="32"/>
          <w:szCs w:val="32"/>
          <w:lang w:val="en-US" w:eastAsia="zh-CN"/>
        </w:rPr>
        <w:t>4、项目结果：</w:t>
      </w:r>
      <w:r>
        <w:rPr>
          <w:rFonts w:hint="default" w:ascii="Times New Roman" w:hAnsi="Times New Roman" w:eastAsia="仿宋" w:cs="Times New Roman"/>
          <w:sz w:val="32"/>
          <w:szCs w:val="32"/>
        </w:rPr>
        <w:t>大部分项目实现了预期目标，如道路硬化工程和村级卫生室改造完成率 100%，但职业技能培训就业率未完全达标。项目完成时效整体良好，部分项目提前完成，得</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w:t>
      </w:r>
      <w:r>
        <w:rPr>
          <w:rFonts w:hint="default" w:ascii="Times New Roman" w:hAnsi="Times New Roman" w:eastAsia="宋体" w:cs="Times New Roman"/>
          <w:sz w:val="28"/>
          <w:szCs w:val="28"/>
        </w:rPr>
        <w:t>
</w:t>
      </w:r>
    </w:p>
    <w:p w14:paraId="1C9340DD">
      <w:pPr>
        <w:keepNext w:val="0"/>
        <w:keepLines w:val="0"/>
        <w:pageBreakBefore w:val="0"/>
        <w:widowControl/>
        <w:kinsoku/>
        <w:wordWrap/>
        <w:overflowPunct/>
        <w:topLinePunct w:val="0"/>
        <w:autoSpaceDE/>
        <w:autoSpaceDN/>
        <w:bidi w:val="0"/>
        <w:adjustRightInd/>
        <w:snapToGrid/>
        <w:spacing w:line="560" w:lineRule="exact"/>
        <w:ind w:left="0" w:firstLine="562" w:firstLineChars="200"/>
        <w:jc w:val="left"/>
        <w:textAlignment w:val="auto"/>
        <w:outlineLvl w:val="2"/>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（二）专用指标绩效分析
</w:t>
      </w:r>
    </w:p>
    <w:p w14:paraId="26BF1C2D">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民生保障</w:t>
      </w:r>
      <w:r>
        <w:rPr>
          <w:rFonts w:hint="default" w:ascii="Times New Roman" w:hAnsi="Times New Roman" w:eastAsia="仿宋_GB2312" w:cs="Times New Roman"/>
          <w:sz w:val="32"/>
          <w:szCs w:val="32"/>
        </w:rPr>
        <w:t>：项目在区域均衡性方面表现良好，覆盖多个村镇；对象精准性高，切实满足困难群众需求；标准合理，符合相关建设与服务规范；通过问卷调查，群众满意度达到</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%，得</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分。
</w:t>
      </w:r>
    </w:p>
    <w:p w14:paraId="6FD22116">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基础设施</w:t>
      </w:r>
      <w:r>
        <w:rPr>
          <w:rFonts w:hint="default" w:ascii="Times New Roman" w:hAnsi="Times New Roman" w:eastAsia="仿宋_GB2312" w:cs="Times New Roman"/>
          <w:sz w:val="32"/>
          <w:szCs w:val="32"/>
        </w:rPr>
        <w:t>：道路硬化及亮化工程等在建项目工程进度达标，资金拨付及时；已建成项目均通过验收，功能实现良好，但部分道路后续管护存在不足，得</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 xml:space="preserve"> 分。
</w:t>
      </w:r>
    </w:p>
    <w:p w14:paraId="62908FC9">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left"/>
        <w:textAlignment w:val="auto"/>
        <w:outlineLvl w:val="2"/>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（三）个性指标绩效分析
</w:t>
      </w:r>
    </w:p>
    <w:p w14:paraId="77093A22">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个性指标设定为“</w:t>
      </w:r>
      <w:r>
        <w:rPr>
          <w:rFonts w:hint="default" w:ascii="Times New Roman" w:hAnsi="Times New Roman" w:eastAsia="仿宋_GB2312" w:cs="Times New Roman"/>
          <w:sz w:val="32"/>
          <w:szCs w:val="32"/>
          <w:lang w:val="en-US" w:eastAsia="zh-CN"/>
        </w:rPr>
        <w:t>项目稳定性</w:t>
      </w:r>
      <w:r>
        <w:rPr>
          <w:rFonts w:hint="default" w:ascii="Times New Roman" w:hAnsi="Times New Roman" w:eastAsia="仿宋_GB2312" w:cs="Times New Roman"/>
          <w:sz w:val="32"/>
          <w:szCs w:val="32"/>
        </w:rPr>
        <w:t>覆盖率”，项目计划覆盖率为</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%，实际完成</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 xml:space="preserve"> %，未达预期目标，主要因设备采购延迟，得</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分。</w:t>
      </w:r>
    </w:p>
    <w:p w14:paraId="7DA8FAF0">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四、评价结论
</w:t>
      </w:r>
    </w:p>
    <w:p w14:paraId="0F7ACB66">
      <w:pPr>
        <w:pStyle w:val="40"/>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经综合评价，本镇 2024 年民生实事票决制项目经费专项资金绩效自评总分为 </w:t>
      </w:r>
      <w:r>
        <w:rPr>
          <w:rFonts w:hint="default" w:ascii="Times New Roman" w:hAnsi="Times New Roman" w:eastAsia="仿宋" w:cs="Times New Roman"/>
          <w:sz w:val="32"/>
          <w:szCs w:val="32"/>
          <w:lang w:val="en-US" w:eastAsia="zh-CN"/>
        </w:rPr>
        <w:t>100</w:t>
      </w:r>
      <w:r>
        <w:rPr>
          <w:rFonts w:hint="default" w:ascii="Times New Roman" w:hAnsi="Times New Roman" w:eastAsia="仿宋" w:cs="Times New Roman"/>
          <w:sz w:val="32"/>
          <w:szCs w:val="32"/>
        </w:rPr>
        <w:t>分，项目整体实施情况良好。大部分项目按时完成，有效改善了乡镇基础设施和民生保障水平，群众满意度较高，但在资金使用效率、部分项目后续管护及个别绩效目标达成方面仍存在不足。
</w:t>
      </w:r>
    </w:p>
    <w:p w14:paraId="55C786B2">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五、存在主要问题
</w:t>
      </w:r>
    </w:p>
    <w:p w14:paraId="168BD7EB">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321" w:firstLineChars="1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rPr>
        <w:t>资金使用方面</w:t>
      </w:r>
      <w:r>
        <w:rPr>
          <w:rFonts w:hint="default" w:ascii="Times New Roman" w:hAnsi="Times New Roman" w:eastAsia="楷体_GB2312" w:cs="Times New Roman"/>
          <w:b/>
          <w:bCs/>
          <w:sz w:val="32"/>
          <w:szCs w:val="32"/>
          <w:lang w:eastAsia="zh-CN"/>
        </w:rPr>
        <w:t>。</w:t>
      </w:r>
      <w:r>
        <w:rPr>
          <w:rFonts w:hint="default" w:ascii="Times New Roman" w:hAnsi="Times New Roman" w:eastAsia="仿宋" w:cs="Times New Roman"/>
          <w:sz w:val="32"/>
          <w:szCs w:val="32"/>
        </w:rPr>
        <w:t>部分项目资金拨付与工程进度不匹配，导致资金闲置或使用滞后，影响资金使用效益。
</w:t>
      </w:r>
    </w:p>
    <w:p w14:paraId="0E9FB128">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321" w:firstLineChars="1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2、项目管理方面。</w:t>
      </w:r>
      <w:r>
        <w:rPr>
          <w:rFonts w:hint="default" w:ascii="Times New Roman" w:hAnsi="Times New Roman" w:eastAsia="仿宋" w:cs="Times New Roman"/>
          <w:sz w:val="32"/>
          <w:szCs w:val="32"/>
        </w:rPr>
        <w:t>个别项目前期规划不够细致，如职业技能培训课程设置与市场需求存在偏差，导致就业率未达预期；部分基础设施项目后续管护责任不明确，存在管护不到位的情况。
</w:t>
      </w:r>
    </w:p>
    <w:p w14:paraId="70FAC331">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321" w:firstLineChars="1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3、绩效目标方面。</w:t>
      </w:r>
      <w:r>
        <w:rPr>
          <w:rFonts w:hint="default" w:ascii="Times New Roman" w:hAnsi="Times New Roman" w:eastAsia="仿宋" w:cs="Times New Roman"/>
          <w:sz w:val="32"/>
          <w:szCs w:val="32"/>
        </w:rPr>
        <w:t>部分个性指标设定过高，未充分考虑实际实施难度，导致目标未完成。
</w:t>
      </w:r>
    </w:p>
    <w:p w14:paraId="43521A4D">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outlineLvl w:val="1"/>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六、改进建议
</w:t>
      </w:r>
    </w:p>
    <w:p w14:paraId="36F73E2A">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1、优化资金管理：</w:t>
      </w:r>
      <w:r>
        <w:rPr>
          <w:rFonts w:hint="default" w:ascii="Times New Roman" w:hAnsi="Times New Roman" w:eastAsia="仿宋" w:cs="Times New Roman"/>
          <w:sz w:val="32"/>
          <w:szCs w:val="32"/>
        </w:rPr>
        <w:t>建立资金动态监控机制，根据项目进度及时调整资金拨付计划，确保资金与项目进度相匹配。加强资金使用效益分析，定期对项目资金使用情况进行评估，提高资金使用效率。
</w:t>
      </w:r>
    </w:p>
    <w:p w14:paraId="02B48543">
      <w:pPr>
        <w:pStyle w:val="40"/>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firstLine="643" w:firstLineChars="200"/>
        <w:textAlignment w:val="auto"/>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lang w:val="en-US" w:eastAsia="zh-CN"/>
        </w:rPr>
        <w:t>2、强化项目管理：</w:t>
      </w:r>
      <w:r>
        <w:rPr>
          <w:rFonts w:hint="default" w:ascii="Times New Roman" w:hAnsi="Times New Roman" w:eastAsia="仿宋" w:cs="Times New Roman"/>
          <w:sz w:val="32"/>
          <w:szCs w:val="32"/>
        </w:rPr>
        <w:t>在项目前期，加强调研论证，邀请专业机构和群众代表参与项目规划，确保项目内容符合实际需求。明确基础设施项目后续管护主体和责任，制定管护标准和考核办法，加强日常监督检查。
</w:t>
      </w:r>
    </w:p>
    <w:p w14:paraId="05E5D4F7">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 w:cs="Times New Roman"/>
          <w:b w:val="0"/>
          <w:bCs w:val="0"/>
          <w:kern w:val="0"/>
          <w:position w:val="0"/>
          <w:sz w:val="32"/>
          <w:szCs w:val="32"/>
          <w:highlight w:val="none"/>
          <w:lang w:val="en-US" w:eastAsia="zh-CN" w:bidi="ar-SA"/>
        </w:rPr>
      </w:pPr>
      <w:r>
        <w:rPr>
          <w:rFonts w:hint="default" w:ascii="Times New Roman" w:hAnsi="Times New Roman" w:eastAsia="楷体_GB2312" w:cs="Times New Roman"/>
          <w:b/>
          <w:bCs/>
          <w:sz w:val="32"/>
          <w:szCs w:val="32"/>
          <w:lang w:val="en-US" w:eastAsia="zh-CN"/>
        </w:rPr>
        <w:t>3、科学设定绩效目标：</w:t>
      </w:r>
      <w:r>
        <w:rPr>
          <w:rFonts w:hint="default" w:ascii="Times New Roman" w:hAnsi="Times New Roman" w:eastAsia="仿宋" w:cs="Times New Roman"/>
          <w:sz w:val="32"/>
          <w:szCs w:val="32"/>
        </w:rPr>
        <w:t>在设定绩效目标时，充分考虑项目实际情况和实施难度，合理确定目标值。建立绩效目标动态调整机制，根据项目实施过程中的实际情况，及时对目标进行调整优化 。</w:t>
      </w:r>
    </w:p>
    <w:p w14:paraId="37C801D7">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46A95BB7">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18093D12">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3DCC174F">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131DB579">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64EC907B">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18CD3491">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54EC5B76">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6CF0D309">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0757984E">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0073CED9">
      <w:pPr>
        <w:pStyle w:val="3"/>
        <w:rPr>
          <w:rFonts w:hint="eastAsia" w:ascii="仿宋_GB2312" w:hAnsi="仿宋_GB2312" w:eastAsia="仿宋_GB2312" w:cs="仿宋_GB2312"/>
          <w:b w:val="0"/>
          <w:bCs w:val="0"/>
          <w:kern w:val="0"/>
          <w:position w:val="0"/>
          <w:sz w:val="32"/>
          <w:szCs w:val="32"/>
          <w:highlight w:val="none"/>
          <w:lang w:val="en-US" w:eastAsia="zh-CN" w:bidi="ar-SA"/>
        </w:rPr>
      </w:pPr>
    </w:p>
    <w:p w14:paraId="44A69E58">
      <w:pPr>
        <w:pStyle w:val="3"/>
        <w:rPr>
          <w:rFonts w:hint="eastAsia" w:ascii="仿宋_GB2312" w:hAnsi="仿宋_GB2312" w:eastAsia="仿宋_GB2312" w:cs="仿宋_GB2312"/>
          <w:b w:val="0"/>
          <w:bCs w:val="0"/>
          <w:kern w:val="0"/>
          <w:position w:val="0"/>
          <w:sz w:val="32"/>
          <w:szCs w:val="32"/>
          <w:highlight w:val="none"/>
          <w:lang w:val="en-US" w:eastAsia="zh-CN" w:bidi="ar-SA"/>
        </w:rPr>
      </w:pPr>
    </w:p>
    <w:tbl>
      <w:tblPr>
        <w:tblStyle w:val="16"/>
        <w:tblW w:w="84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851"/>
        <w:gridCol w:w="777"/>
        <w:gridCol w:w="1075"/>
        <w:gridCol w:w="612"/>
        <w:gridCol w:w="657"/>
        <w:gridCol w:w="745"/>
        <w:gridCol w:w="846"/>
        <w:gridCol w:w="673"/>
        <w:gridCol w:w="553"/>
        <w:gridCol w:w="790"/>
      </w:tblGrid>
      <w:tr w14:paraId="098C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4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844AA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9D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8D8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ED5A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51090424T000011156342-2024年民生实事票决制项目经费</w:t>
            </w:r>
          </w:p>
        </w:tc>
      </w:tr>
      <w:tr w14:paraId="3217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E0E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F37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遂宁市安居区白马镇人民政府部门</w:t>
            </w:r>
          </w:p>
        </w:tc>
        <w:tc>
          <w:tcPr>
            <w:tcW w:w="810" w:type="dxa"/>
            <w:tcBorders>
              <w:top w:val="nil"/>
              <w:left w:val="nil"/>
              <w:bottom w:val="nil"/>
              <w:right w:val="nil"/>
            </w:tcBorders>
            <w:shd w:val="clear" w:color="auto" w:fill="auto"/>
            <w:vAlign w:val="center"/>
          </w:tcPr>
          <w:p w14:paraId="0E7DDD5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5C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遂宁市安居区白马镇人民政府</w:t>
            </w:r>
          </w:p>
        </w:tc>
      </w:tr>
      <w:tr w14:paraId="7E686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3D6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00F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EB1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9AFBF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63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7049B">
            <w:pPr>
              <w:rPr>
                <w:rFonts w:hint="eastAsia" w:ascii="宋体" w:hAnsi="宋体" w:eastAsia="宋体" w:cs="宋体"/>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E906E">
            <w:pPr>
              <w:rPr>
                <w:rFonts w:hint="eastAsia" w:ascii="宋体" w:hAnsi="宋体" w:eastAsia="宋体" w:cs="宋体"/>
                <w:i w:val="0"/>
                <w:iCs w:val="0"/>
                <w:color w:val="000000"/>
                <w:sz w:val="18"/>
                <w:szCs w:val="18"/>
                <w:u w:val="none"/>
              </w:rPr>
            </w:pPr>
          </w:p>
        </w:tc>
        <w:tc>
          <w:tcPr>
            <w:tcW w:w="38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3B40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民生实事票决制项目全面完成票决确定的民生实事项目，显著提升乡镇居民生活质量与满意度。</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E08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2024年完成了该项目的验收及资金拨付</w:t>
            </w:r>
          </w:p>
        </w:tc>
      </w:tr>
      <w:tr w14:paraId="453C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BC5E3">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E8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3490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2024年保障群众生活的利益，完成了河道整治、公厕建设及文化广场改造工程。</w:t>
            </w:r>
          </w:p>
        </w:tc>
      </w:tr>
      <w:tr w14:paraId="7C1F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FF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7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B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8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DA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0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5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F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3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1E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9D2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E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B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95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B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4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B3AA">
            <w:pPr>
              <w:jc w:val="center"/>
              <w:rPr>
                <w:rFonts w:hint="eastAsia" w:ascii="宋体" w:hAnsi="宋体" w:eastAsia="宋体" w:cs="宋体"/>
                <w:i w:val="0"/>
                <w:iCs w:val="0"/>
                <w:color w:val="000000"/>
                <w:sz w:val="18"/>
                <w:szCs w:val="18"/>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F4DE0">
            <w:pPr>
              <w:rPr>
                <w:rFonts w:hint="eastAsia" w:ascii="黑体" w:hAnsi="黑体" w:eastAsia="黑体" w:cs="黑体"/>
                <w:i/>
                <w:iCs/>
                <w:color w:val="000000"/>
                <w:sz w:val="18"/>
                <w:szCs w:val="18"/>
                <w:u w:val="none"/>
              </w:rPr>
            </w:pPr>
          </w:p>
        </w:tc>
      </w:tr>
      <w:tr w14:paraId="69625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A4AD5">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6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B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C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F1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6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3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08B97">
            <w:pPr>
              <w:rPr>
                <w:rFonts w:hint="eastAsia" w:ascii="黑体" w:hAnsi="黑体" w:eastAsia="黑体" w:cs="黑体"/>
                <w:i/>
                <w:iCs/>
                <w:color w:val="000000"/>
                <w:sz w:val="18"/>
                <w:szCs w:val="18"/>
                <w:u w:val="none"/>
              </w:rPr>
            </w:pPr>
          </w:p>
        </w:tc>
      </w:tr>
      <w:tr w14:paraId="7606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36B6">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7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3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3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0B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3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4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D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2BFD8">
            <w:pPr>
              <w:rPr>
                <w:rFonts w:hint="eastAsia" w:ascii="黑体" w:hAnsi="黑体" w:eastAsia="黑体" w:cs="黑体"/>
                <w:i/>
                <w:iCs/>
                <w:color w:val="000000"/>
                <w:sz w:val="18"/>
                <w:szCs w:val="18"/>
                <w:u w:val="none"/>
              </w:rPr>
            </w:pPr>
          </w:p>
        </w:tc>
      </w:tr>
      <w:tr w14:paraId="1D3A5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92447">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6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2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0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11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B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E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6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4BE9">
            <w:pPr>
              <w:rPr>
                <w:rFonts w:hint="eastAsia" w:ascii="黑体" w:hAnsi="黑体" w:eastAsia="黑体" w:cs="黑体"/>
                <w:i/>
                <w:iCs/>
                <w:color w:val="000000"/>
                <w:sz w:val="18"/>
                <w:szCs w:val="18"/>
                <w:u w:val="none"/>
              </w:rPr>
            </w:pPr>
          </w:p>
        </w:tc>
      </w:tr>
      <w:tr w14:paraId="2A01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3226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F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A64B">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5F01">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E5010">
            <w:pPr>
              <w:jc w:val="center"/>
              <w:rPr>
                <w:rFonts w:hint="eastAsia" w:ascii="微软雅黑" w:hAnsi="微软雅黑" w:eastAsia="微软雅黑" w:cs="微软雅黑"/>
                <w:i/>
                <w:iCs/>
                <w:color w:val="000000"/>
                <w:sz w:val="16"/>
                <w:szCs w:val="16"/>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D22E">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A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7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68FF">
            <w:pPr>
              <w:rPr>
                <w:rFonts w:hint="eastAsia" w:ascii="黑体" w:hAnsi="黑体" w:eastAsia="黑体" w:cs="黑体"/>
                <w:i/>
                <w:iCs/>
                <w:color w:val="000000"/>
                <w:sz w:val="18"/>
                <w:szCs w:val="18"/>
                <w:u w:val="none"/>
              </w:rPr>
            </w:pPr>
          </w:p>
        </w:tc>
      </w:tr>
      <w:tr w14:paraId="4D93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56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0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2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6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E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1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D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7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05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C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0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62C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FC00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8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E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A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为人民群众生活提供便利</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0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A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有利于群众的生产活动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CE75">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B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有利于群众的生产活动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1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1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E134">
            <w:pPr>
              <w:jc w:val="center"/>
              <w:rPr>
                <w:rFonts w:hint="eastAsia" w:ascii="宋体" w:hAnsi="宋体" w:eastAsia="宋体" w:cs="宋体"/>
                <w:i w:val="0"/>
                <w:iCs w:val="0"/>
                <w:color w:val="000000"/>
                <w:sz w:val="18"/>
                <w:szCs w:val="18"/>
                <w:u w:val="none"/>
              </w:rPr>
            </w:pPr>
          </w:p>
        </w:tc>
      </w:tr>
      <w:tr w14:paraId="4FC4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560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E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2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0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3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2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A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C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E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6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DF0E">
            <w:pPr>
              <w:jc w:val="center"/>
              <w:rPr>
                <w:rFonts w:hint="eastAsia" w:ascii="宋体" w:hAnsi="宋体" w:eastAsia="宋体" w:cs="宋体"/>
                <w:i w:val="0"/>
                <w:iCs w:val="0"/>
                <w:color w:val="000000"/>
                <w:sz w:val="18"/>
                <w:szCs w:val="18"/>
                <w:u w:val="none"/>
              </w:rPr>
            </w:pPr>
          </w:p>
        </w:tc>
      </w:tr>
      <w:tr w14:paraId="7E15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6809C">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4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D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E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工程预算资金</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F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6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8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7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E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A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7AF3">
            <w:pPr>
              <w:jc w:val="center"/>
              <w:rPr>
                <w:rFonts w:hint="eastAsia" w:ascii="宋体" w:hAnsi="宋体" w:eastAsia="宋体" w:cs="宋体"/>
                <w:i w:val="0"/>
                <w:iCs w:val="0"/>
                <w:color w:val="000000"/>
                <w:sz w:val="18"/>
                <w:szCs w:val="18"/>
                <w:u w:val="none"/>
              </w:rPr>
            </w:pPr>
          </w:p>
        </w:tc>
      </w:tr>
      <w:tr w14:paraId="5307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330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D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6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3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方便服务群众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3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6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有利于人民群众生活及生产活动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0C4D">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B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有利于人民群众生活及生产活动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5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4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2D50">
            <w:pPr>
              <w:jc w:val="center"/>
              <w:rPr>
                <w:rFonts w:hint="eastAsia" w:ascii="宋体" w:hAnsi="宋体" w:eastAsia="宋体" w:cs="宋体"/>
                <w:i w:val="0"/>
                <w:iCs w:val="0"/>
                <w:color w:val="000000"/>
                <w:sz w:val="18"/>
                <w:szCs w:val="18"/>
                <w:u w:val="none"/>
              </w:rPr>
            </w:pPr>
          </w:p>
        </w:tc>
      </w:tr>
      <w:tr w14:paraId="0F36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BC64">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1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0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4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工程完成时间</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5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C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A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1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9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E90F">
            <w:pPr>
              <w:jc w:val="center"/>
              <w:rPr>
                <w:rFonts w:hint="eastAsia" w:ascii="宋体" w:hAnsi="宋体" w:eastAsia="宋体" w:cs="宋体"/>
                <w:i w:val="0"/>
                <w:iCs w:val="0"/>
                <w:color w:val="000000"/>
                <w:sz w:val="18"/>
                <w:szCs w:val="18"/>
                <w:u w:val="none"/>
              </w:rPr>
            </w:pPr>
          </w:p>
        </w:tc>
      </w:tr>
      <w:tr w14:paraId="5AEF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347AF">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92DE">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AEF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3B4E">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B31C">
            <w:pPr>
              <w:jc w:val="center"/>
              <w:rPr>
                <w:rFonts w:hint="eastAsia" w:ascii="宋体" w:hAnsi="宋体" w:eastAsia="宋体" w:cs="宋体"/>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61FD">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BCA7">
            <w:pPr>
              <w:jc w:val="center"/>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002F">
            <w:pPr>
              <w:jc w:val="center"/>
              <w:rPr>
                <w:rFonts w:hint="eastAsia" w:ascii="微软雅黑" w:hAnsi="微软雅黑" w:eastAsia="微软雅黑" w:cs="微软雅黑"/>
                <w:i/>
                <w:iCs/>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ADD">
            <w:pPr>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82A0">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7B42">
            <w:pPr>
              <w:jc w:val="center"/>
              <w:rPr>
                <w:rFonts w:hint="eastAsia" w:ascii="微软雅黑" w:hAnsi="微软雅黑" w:eastAsia="微软雅黑" w:cs="微软雅黑"/>
                <w:i/>
                <w:iCs/>
                <w:color w:val="000000"/>
                <w:sz w:val="16"/>
                <w:szCs w:val="16"/>
                <w:u w:val="none"/>
              </w:rPr>
            </w:pPr>
          </w:p>
        </w:tc>
      </w:tr>
      <w:tr w14:paraId="7B67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27A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5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9DF9">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3A01">
            <w:pPr>
              <w:rPr>
                <w:rFonts w:hint="eastAsia" w:ascii="宋体" w:hAnsi="宋体" w:eastAsia="宋体" w:cs="宋体"/>
                <w:i w:val="0"/>
                <w:iCs w:val="0"/>
                <w:color w:val="000000"/>
                <w:sz w:val="18"/>
                <w:szCs w:val="18"/>
                <w:u w:val="none"/>
              </w:rPr>
            </w:pPr>
          </w:p>
        </w:tc>
      </w:tr>
      <w:tr w14:paraId="436C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4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6E3B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经综合评价，本乡镇 2024 年民生实事票决制项目项目整体实施情况良好。大部分项目按时完成，有效改善了乡镇基础设施和民生保障水平，群众满意度较高，但在资金使用效率、部分项目后续管护及个别绩效目标达成方面仍存在不足。</w:t>
            </w:r>
          </w:p>
        </w:tc>
      </w:tr>
      <w:tr w14:paraId="1D44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2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5508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1、资金使用方面，部分项目资金拨付与工程进度不匹配，导致资金闲置或使用滞后，影响资金使用效益。</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2、项目管理方面，个别项目前期规划不够细致，如职业技能培训课程设置与市场需求存在偏差，导致就业率未达预期；部分基础设施项目后续管护责任不明确，存在管护不到位的情况。</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3、绩效目标方面，部分个性指标设定过高，未充分考虑实际实施难度，导致目标未完成。</w:t>
            </w:r>
          </w:p>
        </w:tc>
      </w:tr>
      <w:tr w14:paraId="0154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B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5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0480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1、优化资金管理：建立资金动态监控机制，根据项目进度及时调整资金拨付计划，确保资金与项目进度相匹配。加强资金使用效益分析，定期对项目资金使用情况进行评估，提高资金使用效率。</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2、强化项目管理：在项目前期，加强调研论证，邀请专业机构和群众代表参与项目规划，确保项目内容符合实际需求。明确基础设施项目后续管护主体和责任，制定管护标准和考核办法，加强日常监督检查。</w:t>
            </w: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3、科学设定绩效目标：在设定绩效目标时，充分考虑项目实际情况和实施难度，合理确定目标值。建立绩效目标动态调整机制，根据项目实施过程中的实际情况，及时对目标进行调整优化 。</w:t>
            </w:r>
          </w:p>
        </w:tc>
      </w:tr>
      <w:tr w14:paraId="665D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AC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项目负责人：吴强</w:t>
            </w:r>
          </w:p>
        </w:tc>
        <w:tc>
          <w:tcPr>
            <w:tcW w:w="42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93CFA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财务负责人：陈元</w:t>
            </w:r>
          </w:p>
        </w:tc>
      </w:tr>
    </w:tbl>
    <w:p w14:paraId="43CD5894">
      <w:pPr>
        <w:spacing w:line="600" w:lineRule="exact"/>
        <w:outlineLvl w:val="0"/>
        <w:rPr>
          <w:rFonts w:ascii="黑体" w:hAnsi="黑体" w:eastAsia="黑体"/>
          <w:sz w:val="44"/>
          <w:szCs w:val="44"/>
        </w:rPr>
      </w:pPr>
      <w:bookmarkStart w:id="53" w:name="_Toc15396618"/>
    </w:p>
    <w:p w14:paraId="71A7146D">
      <w:pPr>
        <w:pStyle w:val="2"/>
      </w:pPr>
    </w:p>
    <w:p w14:paraId="137A87DC">
      <w:pPr>
        <w:spacing w:line="600" w:lineRule="exact"/>
        <w:jc w:val="center"/>
        <w:outlineLvl w:val="0"/>
        <w:rPr>
          <w:rFonts w:hint="eastAsia" w:ascii="黑体" w:hAnsi="黑体" w:eastAsia="黑体"/>
          <w:sz w:val="44"/>
          <w:szCs w:val="44"/>
        </w:rPr>
      </w:pPr>
    </w:p>
    <w:p w14:paraId="091C8333">
      <w:pPr>
        <w:spacing w:line="600" w:lineRule="exact"/>
        <w:jc w:val="center"/>
        <w:outlineLvl w:val="0"/>
        <w:rPr>
          <w:rFonts w:hint="eastAsia" w:ascii="方正小标宋简体" w:hAnsi="方正小标宋简体" w:eastAsia="方正小标宋简体" w:cs="方正小标宋简体"/>
          <w:sz w:val="44"/>
          <w:szCs w:val="44"/>
        </w:rPr>
      </w:pPr>
    </w:p>
    <w:p w14:paraId="5D7BB6E0">
      <w:pPr>
        <w:spacing w:line="600" w:lineRule="exact"/>
        <w:jc w:val="center"/>
        <w:outlineLvl w:val="0"/>
        <w:rPr>
          <w:rFonts w:hint="eastAsia" w:ascii="方正小标宋简体" w:hAnsi="方正小标宋简体" w:eastAsia="方正小标宋简体" w:cs="方正小标宋简体"/>
          <w:sz w:val="44"/>
          <w:szCs w:val="44"/>
        </w:rPr>
      </w:pPr>
    </w:p>
    <w:p w14:paraId="2058F505">
      <w:pPr>
        <w:spacing w:line="600" w:lineRule="exact"/>
        <w:jc w:val="center"/>
        <w:outlineLvl w:val="0"/>
        <w:rPr>
          <w:rFonts w:hint="eastAsia" w:ascii="方正小标宋简体" w:hAnsi="方正小标宋简体" w:eastAsia="方正小标宋简体" w:cs="方正小标宋简体"/>
          <w:sz w:val="44"/>
          <w:szCs w:val="44"/>
        </w:rPr>
      </w:pPr>
    </w:p>
    <w:p w14:paraId="2753534E">
      <w:pPr>
        <w:spacing w:line="600" w:lineRule="exact"/>
        <w:jc w:val="center"/>
        <w:outlineLvl w:val="0"/>
        <w:rPr>
          <w:rFonts w:hint="eastAsia" w:ascii="方正小标宋简体" w:hAnsi="方正小标宋简体" w:eastAsia="方正小标宋简体" w:cs="方正小标宋简体"/>
          <w:sz w:val="44"/>
          <w:szCs w:val="44"/>
        </w:rPr>
      </w:pPr>
    </w:p>
    <w:p w14:paraId="710063BD">
      <w:pPr>
        <w:spacing w:line="600" w:lineRule="exact"/>
        <w:jc w:val="center"/>
        <w:outlineLvl w:val="0"/>
        <w:rPr>
          <w:rFonts w:hint="eastAsia" w:ascii="方正小标宋简体" w:hAnsi="方正小标宋简体" w:eastAsia="方正小标宋简体" w:cs="方正小标宋简体"/>
          <w:sz w:val="44"/>
          <w:szCs w:val="44"/>
        </w:rPr>
      </w:pPr>
    </w:p>
    <w:p w14:paraId="62785788">
      <w:pPr>
        <w:spacing w:line="600" w:lineRule="exact"/>
        <w:jc w:val="center"/>
        <w:outlineLvl w:val="0"/>
        <w:rPr>
          <w:rFonts w:hint="eastAsia" w:ascii="方正小标宋简体" w:hAnsi="方正小标宋简体" w:eastAsia="方正小标宋简体" w:cs="方正小标宋简体"/>
          <w:sz w:val="44"/>
          <w:szCs w:val="44"/>
        </w:rPr>
      </w:pPr>
    </w:p>
    <w:p w14:paraId="5FB4276E">
      <w:pPr>
        <w:spacing w:line="600" w:lineRule="exact"/>
        <w:jc w:val="center"/>
        <w:outlineLvl w:val="0"/>
        <w:rPr>
          <w:rFonts w:hint="eastAsia" w:ascii="方正小标宋简体" w:hAnsi="方正小标宋简体" w:eastAsia="方正小标宋简体" w:cs="方正小标宋简体"/>
          <w:sz w:val="44"/>
          <w:szCs w:val="44"/>
        </w:rPr>
      </w:pPr>
    </w:p>
    <w:p w14:paraId="1CE1C269">
      <w:pPr>
        <w:spacing w:line="600" w:lineRule="exact"/>
        <w:jc w:val="center"/>
        <w:outlineLvl w:val="0"/>
        <w:rPr>
          <w:rFonts w:hint="eastAsia" w:ascii="方正小标宋简体" w:hAnsi="方正小标宋简体" w:eastAsia="方正小标宋简体" w:cs="方正小标宋简体"/>
          <w:sz w:val="44"/>
          <w:szCs w:val="44"/>
        </w:rPr>
      </w:pPr>
    </w:p>
    <w:p w14:paraId="78D41B68">
      <w:pPr>
        <w:spacing w:line="600" w:lineRule="exact"/>
        <w:jc w:val="center"/>
        <w:outlineLvl w:val="0"/>
        <w:rPr>
          <w:rFonts w:hint="eastAsia" w:ascii="方正小标宋简体" w:hAnsi="方正小标宋简体" w:eastAsia="方正小标宋简体" w:cs="方正小标宋简体"/>
          <w:sz w:val="44"/>
          <w:szCs w:val="44"/>
        </w:rPr>
      </w:pPr>
    </w:p>
    <w:p w14:paraId="1C035B95">
      <w:pPr>
        <w:spacing w:line="60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w:t>
      </w:r>
      <w:r>
        <w:rPr>
          <w:rStyle w:val="21"/>
          <w:rFonts w:hint="eastAsia" w:ascii="方正小标宋简体" w:hAnsi="方正小标宋简体" w:eastAsia="方正小标宋简体" w:cs="方正小标宋简体"/>
          <w:b w:val="0"/>
          <w:sz w:val="44"/>
          <w:szCs w:val="44"/>
        </w:rPr>
        <w:t>五部分 附表</w:t>
      </w:r>
      <w:bookmarkEnd w:id="51"/>
      <w:bookmarkEnd w:id="53"/>
      <w:bookmarkStart w:id="54" w:name="_Toc15396619"/>
    </w:p>
    <w:p w14:paraId="71179B81">
      <w:pPr>
        <w:pStyle w:val="6"/>
        <w:rPr>
          <w:rFonts w:hint="eastAsia" w:ascii="楷体_GB2312" w:hAnsi="楷体_GB2312" w:eastAsia="楷体_GB2312" w:cs="楷体_GB2312"/>
          <w:b/>
          <w:bCs w:val="0"/>
        </w:rPr>
      </w:pPr>
      <w:r>
        <w:rPr>
          <w:rFonts w:hint="eastAsia" w:ascii="楷体_GB2312" w:hAnsi="楷体_GB2312" w:eastAsia="楷体_GB2312" w:cs="楷体_GB2312"/>
          <w:b/>
          <w:bCs w:val="0"/>
        </w:rPr>
        <w:t>一、收</w:t>
      </w:r>
      <w:r>
        <w:rPr>
          <w:rStyle w:val="22"/>
          <w:rFonts w:hint="eastAsia" w:ascii="楷体_GB2312" w:hAnsi="楷体_GB2312" w:eastAsia="楷体_GB2312" w:cs="楷体_GB2312"/>
          <w:b/>
          <w:bCs w:val="0"/>
        </w:rPr>
        <w:t>入支出决算总表</w:t>
      </w:r>
      <w:bookmarkEnd w:id="54"/>
    </w:p>
    <w:p w14:paraId="6C45B4D3">
      <w:pPr>
        <w:pStyle w:val="6"/>
        <w:rPr>
          <w:rFonts w:hint="eastAsia" w:ascii="楷体_GB2312" w:hAnsi="楷体_GB2312" w:eastAsia="楷体_GB2312" w:cs="楷体_GB2312"/>
          <w:b/>
          <w:bCs w:val="0"/>
        </w:rPr>
      </w:pPr>
      <w:bookmarkStart w:id="55" w:name="_Toc15396620"/>
      <w:r>
        <w:rPr>
          <w:rFonts w:hint="eastAsia" w:ascii="楷体_GB2312" w:hAnsi="楷体_GB2312" w:eastAsia="楷体_GB2312" w:cs="楷体_GB2312"/>
          <w:b/>
          <w:bCs w:val="0"/>
        </w:rPr>
        <w:t>二、收入决算表</w:t>
      </w:r>
      <w:bookmarkEnd w:id="55"/>
    </w:p>
    <w:p w14:paraId="51C5AF38">
      <w:pPr>
        <w:pStyle w:val="6"/>
        <w:rPr>
          <w:rFonts w:hint="eastAsia" w:ascii="楷体_GB2312" w:hAnsi="楷体_GB2312" w:eastAsia="楷体_GB2312" w:cs="楷体_GB2312"/>
          <w:b/>
          <w:bCs w:val="0"/>
        </w:rPr>
      </w:pPr>
      <w:bookmarkStart w:id="56" w:name="_Toc15396621"/>
      <w:r>
        <w:rPr>
          <w:rFonts w:hint="eastAsia" w:ascii="楷体_GB2312" w:hAnsi="楷体_GB2312" w:eastAsia="楷体_GB2312" w:cs="楷体_GB2312"/>
          <w:b/>
          <w:bCs w:val="0"/>
        </w:rPr>
        <w:t>三、支出决算表</w:t>
      </w:r>
      <w:bookmarkEnd w:id="56"/>
    </w:p>
    <w:p w14:paraId="0B5B5B85">
      <w:pPr>
        <w:pStyle w:val="6"/>
        <w:rPr>
          <w:rFonts w:hint="eastAsia" w:ascii="楷体_GB2312" w:hAnsi="楷体_GB2312" w:eastAsia="楷体_GB2312" w:cs="楷体_GB2312"/>
          <w:b/>
          <w:bCs w:val="0"/>
        </w:rPr>
      </w:pPr>
      <w:bookmarkStart w:id="57" w:name="_Toc15396622"/>
      <w:r>
        <w:rPr>
          <w:rFonts w:hint="eastAsia" w:ascii="楷体_GB2312" w:hAnsi="楷体_GB2312" w:eastAsia="楷体_GB2312" w:cs="楷体_GB2312"/>
          <w:b/>
          <w:bCs w:val="0"/>
        </w:rPr>
        <w:t>四、财政拨款收入支出决算总表</w:t>
      </w:r>
      <w:bookmarkEnd w:id="57"/>
    </w:p>
    <w:p w14:paraId="01A131AF">
      <w:pPr>
        <w:pStyle w:val="6"/>
        <w:rPr>
          <w:rFonts w:hint="eastAsia" w:ascii="楷体_GB2312" w:hAnsi="楷体_GB2312" w:eastAsia="楷体_GB2312" w:cs="楷体_GB2312"/>
          <w:b/>
          <w:bCs w:val="0"/>
        </w:rPr>
      </w:pPr>
      <w:bookmarkStart w:id="58" w:name="_Toc15396623"/>
      <w:r>
        <w:rPr>
          <w:rFonts w:hint="eastAsia" w:ascii="楷体_GB2312" w:hAnsi="楷体_GB2312" w:eastAsia="楷体_GB2312" w:cs="楷体_GB2312"/>
          <w:b/>
          <w:bCs w:val="0"/>
        </w:rPr>
        <w:t>五、财政拨款支出决算明细表</w:t>
      </w:r>
      <w:bookmarkEnd w:id="58"/>
      <w:bookmarkStart w:id="59" w:name="_Toc15396624"/>
    </w:p>
    <w:p w14:paraId="59B71F1F">
      <w:pPr>
        <w:pStyle w:val="6"/>
        <w:rPr>
          <w:rFonts w:hint="eastAsia" w:ascii="楷体_GB2312" w:hAnsi="楷体_GB2312" w:eastAsia="楷体_GB2312" w:cs="楷体_GB2312"/>
          <w:b/>
          <w:bCs w:val="0"/>
        </w:rPr>
      </w:pPr>
      <w:r>
        <w:rPr>
          <w:rFonts w:hint="eastAsia" w:ascii="楷体_GB2312" w:hAnsi="楷体_GB2312" w:eastAsia="楷体_GB2312" w:cs="楷体_GB2312"/>
          <w:b/>
          <w:bCs w:val="0"/>
        </w:rPr>
        <w:t>六、一般公共预算财政拨款支出决算表</w:t>
      </w:r>
      <w:bookmarkEnd w:id="59"/>
    </w:p>
    <w:p w14:paraId="0E2184D1">
      <w:pPr>
        <w:pStyle w:val="6"/>
        <w:rPr>
          <w:rFonts w:hint="eastAsia" w:ascii="楷体_GB2312" w:hAnsi="楷体_GB2312" w:eastAsia="楷体_GB2312" w:cs="楷体_GB2312"/>
          <w:b/>
          <w:bCs w:val="0"/>
        </w:rPr>
      </w:pPr>
      <w:bookmarkStart w:id="60" w:name="_Toc15396625"/>
      <w:r>
        <w:rPr>
          <w:rFonts w:hint="eastAsia" w:ascii="楷体_GB2312" w:hAnsi="楷体_GB2312" w:eastAsia="楷体_GB2312" w:cs="楷体_GB2312"/>
          <w:b/>
          <w:bCs w:val="0"/>
        </w:rPr>
        <w:t>七、一般公共预算财政拨款支出决算明细表</w:t>
      </w:r>
      <w:bookmarkEnd w:id="60"/>
    </w:p>
    <w:p w14:paraId="0C142D42">
      <w:pPr>
        <w:pStyle w:val="6"/>
        <w:rPr>
          <w:rFonts w:hint="eastAsia" w:ascii="楷体_GB2312" w:hAnsi="楷体_GB2312" w:eastAsia="楷体_GB2312" w:cs="楷体_GB2312"/>
          <w:b/>
          <w:bCs w:val="0"/>
        </w:rPr>
      </w:pPr>
      <w:bookmarkStart w:id="61" w:name="_Toc15396626"/>
      <w:r>
        <w:rPr>
          <w:rFonts w:hint="eastAsia" w:ascii="楷体_GB2312" w:hAnsi="楷体_GB2312" w:eastAsia="楷体_GB2312" w:cs="楷体_GB2312"/>
          <w:b/>
          <w:bCs w:val="0"/>
        </w:rPr>
        <w:t>八、一般公共预算财政拨款基本支出决算表</w:t>
      </w:r>
      <w:bookmarkEnd w:id="61"/>
    </w:p>
    <w:p w14:paraId="6CABA945">
      <w:pPr>
        <w:pStyle w:val="6"/>
        <w:rPr>
          <w:rFonts w:hint="eastAsia" w:ascii="楷体_GB2312" w:hAnsi="楷体_GB2312" w:eastAsia="楷体_GB2312" w:cs="楷体_GB2312"/>
          <w:b/>
          <w:bCs w:val="0"/>
        </w:rPr>
      </w:pPr>
      <w:bookmarkStart w:id="62" w:name="_Toc15396627"/>
      <w:r>
        <w:rPr>
          <w:rFonts w:hint="eastAsia" w:ascii="楷体_GB2312" w:hAnsi="楷体_GB2312" w:eastAsia="楷体_GB2312" w:cs="楷体_GB2312"/>
          <w:b/>
          <w:bCs w:val="0"/>
        </w:rPr>
        <w:t>九、一般公共预算财政拨款项目支出决算表</w:t>
      </w:r>
      <w:bookmarkEnd w:id="62"/>
    </w:p>
    <w:p w14:paraId="292915D8">
      <w:pPr>
        <w:pStyle w:val="6"/>
        <w:rPr>
          <w:rFonts w:hint="eastAsia" w:ascii="楷体_GB2312" w:hAnsi="楷体_GB2312" w:eastAsia="楷体_GB2312" w:cs="楷体_GB2312"/>
          <w:b/>
          <w:bCs w:val="0"/>
        </w:rPr>
      </w:pPr>
      <w:bookmarkStart w:id="63" w:name="_Toc15396628"/>
      <w:r>
        <w:rPr>
          <w:rFonts w:hint="eastAsia" w:ascii="楷体_GB2312" w:hAnsi="楷体_GB2312" w:eastAsia="楷体_GB2312" w:cs="楷体_GB2312"/>
          <w:b/>
          <w:bCs w:val="0"/>
        </w:rPr>
        <w:t>十、</w:t>
      </w:r>
      <w:bookmarkEnd w:id="63"/>
      <w:r>
        <w:rPr>
          <w:rFonts w:hint="eastAsia" w:ascii="楷体_GB2312" w:hAnsi="楷体_GB2312" w:eastAsia="楷体_GB2312" w:cs="楷体_GB2312"/>
          <w:b/>
          <w:bCs w:val="0"/>
        </w:rPr>
        <w:t>政府性基金预算财政拨款收入支出决算表</w:t>
      </w:r>
    </w:p>
    <w:p w14:paraId="28ABFE67">
      <w:pPr>
        <w:pStyle w:val="6"/>
        <w:rPr>
          <w:rFonts w:hint="eastAsia" w:ascii="楷体_GB2312" w:hAnsi="楷体_GB2312" w:eastAsia="楷体_GB2312" w:cs="楷体_GB2312"/>
          <w:b/>
          <w:bCs w:val="0"/>
        </w:rPr>
      </w:pPr>
      <w:bookmarkStart w:id="64" w:name="_Toc15396629"/>
      <w:r>
        <w:rPr>
          <w:rFonts w:hint="eastAsia" w:ascii="楷体_GB2312" w:hAnsi="楷体_GB2312" w:eastAsia="楷体_GB2312" w:cs="楷体_GB2312"/>
          <w:b/>
          <w:bCs w:val="0"/>
        </w:rPr>
        <w:t>十一、</w:t>
      </w:r>
      <w:bookmarkEnd w:id="64"/>
      <w:r>
        <w:rPr>
          <w:rFonts w:hint="eastAsia" w:ascii="楷体_GB2312" w:hAnsi="楷体_GB2312" w:eastAsia="楷体_GB2312" w:cs="楷体_GB2312"/>
          <w:b/>
          <w:bCs w:val="0"/>
        </w:rPr>
        <w:t>国有资本经营预算财政拨款收入支出决算表</w:t>
      </w:r>
    </w:p>
    <w:p w14:paraId="0064984D">
      <w:pPr>
        <w:pStyle w:val="6"/>
        <w:rPr>
          <w:rFonts w:hint="eastAsia" w:ascii="楷体_GB2312" w:hAnsi="楷体_GB2312" w:eastAsia="楷体_GB2312" w:cs="楷体_GB2312"/>
          <w:b/>
          <w:bCs w:val="0"/>
        </w:rPr>
      </w:pPr>
      <w:bookmarkStart w:id="65" w:name="_Toc15396630"/>
      <w:r>
        <w:rPr>
          <w:rFonts w:hint="eastAsia" w:ascii="楷体_GB2312" w:hAnsi="楷体_GB2312" w:eastAsia="楷体_GB2312" w:cs="楷体_GB2312"/>
          <w:b/>
          <w:bCs w:val="0"/>
        </w:rPr>
        <w:t>十二、</w:t>
      </w:r>
      <w:bookmarkEnd w:id="65"/>
      <w:r>
        <w:rPr>
          <w:rFonts w:hint="eastAsia" w:ascii="楷体_GB2312" w:hAnsi="楷体_GB2312" w:eastAsia="楷体_GB2312" w:cs="楷体_GB2312"/>
          <w:b/>
          <w:bCs w:val="0"/>
        </w:rPr>
        <w:t>国有资本经营预算财政拨款支出决算表</w:t>
      </w:r>
    </w:p>
    <w:p w14:paraId="29743C0E">
      <w:pPr>
        <w:pStyle w:val="6"/>
        <w:rPr>
          <w:rFonts w:hint="eastAsia" w:ascii="楷体_GB2312" w:hAnsi="楷体_GB2312" w:eastAsia="楷体_GB2312" w:cs="楷体_GB2312"/>
          <w:b/>
          <w:bCs w:val="0"/>
        </w:rPr>
      </w:pPr>
      <w:bookmarkStart w:id="66" w:name="_Toc15396631"/>
      <w:r>
        <w:rPr>
          <w:rFonts w:hint="eastAsia" w:ascii="楷体_GB2312" w:hAnsi="楷体_GB2312" w:eastAsia="楷体_GB2312" w:cs="楷体_GB2312"/>
          <w:b/>
          <w:bCs w:val="0"/>
        </w:rPr>
        <w:t>十三、</w:t>
      </w:r>
      <w:bookmarkEnd w:id="66"/>
      <w:r>
        <w:rPr>
          <w:rFonts w:hint="eastAsia" w:ascii="楷体_GB2312" w:hAnsi="楷体_GB2312" w:eastAsia="楷体_GB2312" w:cs="楷体_GB2312"/>
          <w:b/>
          <w:bCs w:val="0"/>
        </w:rPr>
        <w:t>财政拨款“三公”经费支出决算表</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国标仿宋">
    <w:altName w:val="仿宋"/>
    <w:panose1 w:val="020005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2EBD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225EA">
                          <w:pPr>
                            <w:pStyle w:val="11"/>
                            <w:jc w:val="center"/>
                          </w:pPr>
                          <w:r>
                            <w:fldChar w:fldCharType="begin"/>
                          </w:r>
                          <w:r>
                            <w:instrText xml:space="preserve">PAGE   \* MERGEFORMAT</w:instrText>
                          </w:r>
                          <w:r>
                            <w:fldChar w:fldCharType="separate"/>
                          </w:r>
                          <w:r>
                            <w:rPr>
                              <w:lang w:val="zh-CN"/>
                            </w:rPr>
                            <w:t>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7225EA">
                    <w:pPr>
                      <w:pStyle w:val="11"/>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mc:Fallback>
      </mc:AlternateContent>
    </w:r>
  </w:p>
  <w:p w14:paraId="03913A98">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20B1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76DBBE5E"/>
    <w:multiLevelType w:val="singleLevel"/>
    <w:tmpl w:val="76DBBE5E"/>
    <w:lvl w:ilvl="0" w:tentative="0">
      <w:start w:val="3"/>
      <w:numFmt w:val="decimal"/>
      <w:suff w:val="nothing"/>
      <w:lvlText w:val="（%1）"/>
      <w:lvlJc w:val="left"/>
      <w:pPr>
        <w:ind w:left="31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YzJiYzU5NjdlNjNlM2M4MDEzNmFlZmM3ZmUyM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6078"/>
    <w:rsid w:val="00142216"/>
    <w:rsid w:val="00144D6A"/>
    <w:rsid w:val="0014729F"/>
    <w:rsid w:val="00150A28"/>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CDA"/>
    <w:rsid w:val="00512FDA"/>
    <w:rsid w:val="00520DA0"/>
    <w:rsid w:val="00520FDA"/>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3495"/>
    <w:rsid w:val="00634C9A"/>
    <w:rsid w:val="006440E4"/>
    <w:rsid w:val="0066343B"/>
    <w:rsid w:val="00664777"/>
    <w:rsid w:val="006748A4"/>
    <w:rsid w:val="006760FD"/>
    <w:rsid w:val="00681A31"/>
    <w:rsid w:val="00683E73"/>
    <w:rsid w:val="006A3141"/>
    <w:rsid w:val="006A5E34"/>
    <w:rsid w:val="006B2422"/>
    <w:rsid w:val="006B2B9A"/>
    <w:rsid w:val="006C1937"/>
    <w:rsid w:val="006C7C65"/>
    <w:rsid w:val="006D76C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2440"/>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0284"/>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11BE5"/>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2565"/>
    <w:rsid w:val="00ED3C1F"/>
    <w:rsid w:val="00ED4085"/>
    <w:rsid w:val="00ED420E"/>
    <w:rsid w:val="00ED6FBE"/>
    <w:rsid w:val="00EE2F57"/>
    <w:rsid w:val="00EF49C4"/>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687B7A"/>
    <w:rsid w:val="04BB0A02"/>
    <w:rsid w:val="053A62B5"/>
    <w:rsid w:val="0A2032A3"/>
    <w:rsid w:val="0B8A37D8"/>
    <w:rsid w:val="0DC745F7"/>
    <w:rsid w:val="0F896253"/>
    <w:rsid w:val="10C055FF"/>
    <w:rsid w:val="10ED2925"/>
    <w:rsid w:val="118107EC"/>
    <w:rsid w:val="11DD6519"/>
    <w:rsid w:val="120B3C17"/>
    <w:rsid w:val="138D2CBF"/>
    <w:rsid w:val="16BB723D"/>
    <w:rsid w:val="18015F3F"/>
    <w:rsid w:val="1AEF6A34"/>
    <w:rsid w:val="1BE8440E"/>
    <w:rsid w:val="1D155CEE"/>
    <w:rsid w:val="20F57F95"/>
    <w:rsid w:val="240371BF"/>
    <w:rsid w:val="24AE6F1B"/>
    <w:rsid w:val="25711CC6"/>
    <w:rsid w:val="25C741E6"/>
    <w:rsid w:val="27707CB6"/>
    <w:rsid w:val="27842671"/>
    <w:rsid w:val="29FD04D3"/>
    <w:rsid w:val="2ABE7A3E"/>
    <w:rsid w:val="2BE245FA"/>
    <w:rsid w:val="2CA234A8"/>
    <w:rsid w:val="2EEF4E28"/>
    <w:rsid w:val="2EFA178C"/>
    <w:rsid w:val="30B46D73"/>
    <w:rsid w:val="319F7F4E"/>
    <w:rsid w:val="342F39FD"/>
    <w:rsid w:val="34FA65F9"/>
    <w:rsid w:val="35B93AAE"/>
    <w:rsid w:val="36047576"/>
    <w:rsid w:val="383D272C"/>
    <w:rsid w:val="39756BD2"/>
    <w:rsid w:val="39AE70AB"/>
    <w:rsid w:val="3A4806F8"/>
    <w:rsid w:val="3AA41323"/>
    <w:rsid w:val="3C0C0783"/>
    <w:rsid w:val="3F9F3A96"/>
    <w:rsid w:val="42D72E96"/>
    <w:rsid w:val="48BF60AB"/>
    <w:rsid w:val="493C27E9"/>
    <w:rsid w:val="496F39ED"/>
    <w:rsid w:val="49FF41D3"/>
    <w:rsid w:val="4BE068DB"/>
    <w:rsid w:val="4BF6002B"/>
    <w:rsid w:val="4ECE2238"/>
    <w:rsid w:val="4F104A6E"/>
    <w:rsid w:val="51DB4B86"/>
    <w:rsid w:val="524646CD"/>
    <w:rsid w:val="55333C3E"/>
    <w:rsid w:val="560D12AA"/>
    <w:rsid w:val="567D422C"/>
    <w:rsid w:val="59B77A55"/>
    <w:rsid w:val="5E5606BB"/>
    <w:rsid w:val="5E736640"/>
    <w:rsid w:val="602425A2"/>
    <w:rsid w:val="642B3664"/>
    <w:rsid w:val="64CA39A1"/>
    <w:rsid w:val="66C468DA"/>
    <w:rsid w:val="66FD61CA"/>
    <w:rsid w:val="68855109"/>
    <w:rsid w:val="690C412F"/>
    <w:rsid w:val="69630ADE"/>
    <w:rsid w:val="6C3D7CC3"/>
    <w:rsid w:val="6C4A05C8"/>
    <w:rsid w:val="6D3B1A89"/>
    <w:rsid w:val="71BF4EC2"/>
    <w:rsid w:val="72734D90"/>
    <w:rsid w:val="7412278C"/>
    <w:rsid w:val="79423615"/>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22"/>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23"/>
    <w:qFormat/>
    <w:uiPriority w:val="9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30"/>
    <w:qFormat/>
    <w:uiPriority w:val="99"/>
    <w:pPr>
      <w:spacing w:beforeLines="30"/>
    </w:pPr>
    <w:rPr>
      <w:rFonts w:ascii="仿宋_GB2312" w:eastAsia="仿宋_GB2312"/>
      <w:kern w:val="0"/>
      <w:sz w:val="24"/>
      <w:szCs w:val="20"/>
    </w:rPr>
  </w:style>
  <w:style w:type="paragraph" w:styleId="9">
    <w:name w:val="toc 3"/>
    <w:basedOn w:val="1"/>
    <w:next w:val="1"/>
    <w:qFormat/>
    <w:uiPriority w:val="99"/>
    <w:pPr>
      <w:tabs>
        <w:tab w:val="right" w:leader="dot" w:pos="8296"/>
      </w:tabs>
      <w:ind w:left="840" w:leftChars="400"/>
    </w:pPr>
  </w:style>
  <w:style w:type="paragraph" w:styleId="10">
    <w:name w:val="Balloon Text"/>
    <w:basedOn w:val="1"/>
    <w:link w:val="25"/>
    <w:semiHidden/>
    <w:qFormat/>
    <w:uiPriority w:val="99"/>
    <w:rPr>
      <w:sz w:val="18"/>
      <w:szCs w:val="18"/>
    </w:rPr>
  </w:style>
  <w:style w:type="paragraph" w:styleId="11">
    <w:name w:val="footer"/>
    <w:basedOn w:val="1"/>
    <w:link w:val="29"/>
    <w:qFormat/>
    <w:uiPriority w:val="99"/>
    <w:pPr>
      <w:tabs>
        <w:tab w:val="center" w:pos="4153"/>
        <w:tab w:val="right" w:pos="8306"/>
      </w:tabs>
      <w:snapToGrid w:val="0"/>
      <w:jc w:val="left"/>
    </w:pPr>
    <w:rPr>
      <w:rFonts w:ascii="Calibri" w:hAnsi="Calibri"/>
      <w:kern w:val="0"/>
      <w:sz w:val="18"/>
      <w:szCs w:val="20"/>
    </w:rPr>
  </w:style>
  <w:style w:type="paragraph" w:styleId="12">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3">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4">
    <w:name w:val="table of figures"/>
    <w:next w:val="1"/>
    <w:qFormat/>
    <w:uiPriority w:val="0"/>
    <w:pPr>
      <w:widowControl w:val="0"/>
      <w:jc w:val="both"/>
    </w:pPr>
    <w:rPr>
      <w:rFonts w:ascii="Calibri" w:hAnsi="Calibri" w:eastAsia="宋体" w:cs="Times New Roman"/>
      <w:kern w:val="2"/>
      <w:sz w:val="21"/>
      <w:szCs w:val="24"/>
      <w:lang w:val="en-US" w:eastAsia="zh-CN" w:bidi="ar-SA"/>
    </w:rPr>
  </w:style>
  <w:style w:type="paragraph" w:styleId="15">
    <w:name w:val="toc 2"/>
    <w:basedOn w:val="1"/>
    <w:next w:val="1"/>
    <w:qFormat/>
    <w:uiPriority w:val="99"/>
    <w:pPr>
      <w:tabs>
        <w:tab w:val="right" w:leader="dot" w:pos="8296"/>
      </w:tabs>
      <w:ind w:left="420" w:leftChars="200"/>
    </w:pPr>
  </w:style>
  <w:style w:type="character" w:styleId="18">
    <w:name w:val="Strong"/>
    <w:basedOn w:val="17"/>
    <w:qFormat/>
    <w:uiPriority w:val="99"/>
    <w:rPr>
      <w:rFonts w:cs="Times New Roman"/>
      <w:b/>
    </w:rPr>
  </w:style>
  <w:style w:type="character" w:styleId="19">
    <w:name w:val="Hyperlink"/>
    <w:basedOn w:val="17"/>
    <w:qFormat/>
    <w:uiPriority w:val="99"/>
    <w:rPr>
      <w:rFonts w:cs="Times New Roman"/>
      <w:color w:val="0000FF"/>
      <w:u w:val="single"/>
    </w:rPr>
  </w:style>
  <w:style w:type="paragraph" w:customStyle="1" w:styleId="20">
    <w:name w:val="正文2"/>
    <w:basedOn w:val="1"/>
    <w:next w:val="1"/>
    <w:unhideWhenUsed/>
    <w:qFormat/>
    <w:uiPriority w:val="99"/>
    <w:rPr>
      <w:rFonts w:hint="eastAsia"/>
    </w:rPr>
  </w:style>
  <w:style w:type="character" w:customStyle="1" w:styleId="21">
    <w:name w:val="标题 1 Char"/>
    <w:basedOn w:val="17"/>
    <w:link w:val="5"/>
    <w:qFormat/>
    <w:locked/>
    <w:uiPriority w:val="99"/>
    <w:rPr>
      <w:rFonts w:ascii="Times New Roman" w:hAnsi="Times New Roman" w:cs="Times New Roman"/>
      <w:b/>
      <w:bCs/>
      <w:kern w:val="44"/>
      <w:sz w:val="44"/>
      <w:szCs w:val="44"/>
    </w:rPr>
  </w:style>
  <w:style w:type="character" w:customStyle="1" w:styleId="22">
    <w:name w:val="标题 2 Char"/>
    <w:basedOn w:val="17"/>
    <w:link w:val="6"/>
    <w:qFormat/>
    <w:locked/>
    <w:uiPriority w:val="99"/>
    <w:rPr>
      <w:rFonts w:ascii="Cambria" w:hAnsi="Cambria" w:eastAsia="宋体" w:cs="Times New Roman"/>
      <w:b/>
      <w:bCs/>
      <w:kern w:val="2"/>
      <w:sz w:val="32"/>
      <w:szCs w:val="32"/>
    </w:rPr>
  </w:style>
  <w:style w:type="character" w:customStyle="1" w:styleId="23">
    <w:name w:val="标题 3 Char"/>
    <w:basedOn w:val="17"/>
    <w:link w:val="7"/>
    <w:qFormat/>
    <w:locked/>
    <w:uiPriority w:val="99"/>
    <w:rPr>
      <w:rFonts w:ascii="Times New Roman" w:hAnsi="Times New Roman" w:cs="Times New Roman"/>
      <w:b/>
      <w:bCs/>
      <w:kern w:val="2"/>
      <w:sz w:val="32"/>
      <w:szCs w:val="32"/>
    </w:rPr>
  </w:style>
  <w:style w:type="character" w:customStyle="1" w:styleId="24">
    <w:name w:val="Body Text Char"/>
    <w:basedOn w:val="17"/>
    <w:link w:val="8"/>
    <w:semiHidden/>
    <w:qFormat/>
    <w:uiPriority w:val="99"/>
    <w:rPr>
      <w:rFonts w:ascii="Times New Roman" w:hAnsi="Times New Roman" w:cs="Times New Roman"/>
      <w:sz w:val="24"/>
      <w:szCs w:val="24"/>
    </w:rPr>
  </w:style>
  <w:style w:type="character" w:customStyle="1" w:styleId="25">
    <w:name w:val="批注框文本 Char"/>
    <w:basedOn w:val="17"/>
    <w:link w:val="10"/>
    <w:semiHidden/>
    <w:qFormat/>
    <w:locked/>
    <w:uiPriority w:val="99"/>
    <w:rPr>
      <w:rFonts w:ascii="Times New Roman" w:hAnsi="Times New Roman" w:cs="Times New Roman"/>
      <w:kern w:val="2"/>
      <w:sz w:val="18"/>
      <w:szCs w:val="18"/>
    </w:rPr>
  </w:style>
  <w:style w:type="character" w:customStyle="1" w:styleId="26">
    <w:name w:val="Footer Char"/>
    <w:basedOn w:val="17"/>
    <w:link w:val="11"/>
    <w:semiHidden/>
    <w:qFormat/>
    <w:uiPriority w:val="99"/>
    <w:rPr>
      <w:rFonts w:ascii="Times New Roman" w:hAnsi="Times New Roman" w:cs="Times New Roman"/>
      <w:sz w:val="18"/>
      <w:szCs w:val="18"/>
    </w:rPr>
  </w:style>
  <w:style w:type="character" w:customStyle="1" w:styleId="27">
    <w:name w:val="Header Char"/>
    <w:basedOn w:val="17"/>
    <w:link w:val="12"/>
    <w:semiHidden/>
    <w:qFormat/>
    <w:uiPriority w:val="99"/>
    <w:rPr>
      <w:rFonts w:ascii="Times New Roman" w:hAnsi="Times New Roman" w:cs="Times New Roman"/>
      <w:sz w:val="18"/>
      <w:szCs w:val="18"/>
    </w:rPr>
  </w:style>
  <w:style w:type="character" w:customStyle="1" w:styleId="28">
    <w:name w:val="页眉 Char"/>
    <w:link w:val="12"/>
    <w:semiHidden/>
    <w:qFormat/>
    <w:locked/>
    <w:uiPriority w:val="99"/>
    <w:rPr>
      <w:sz w:val="18"/>
    </w:rPr>
  </w:style>
  <w:style w:type="character" w:customStyle="1" w:styleId="29">
    <w:name w:val="页脚 Char"/>
    <w:link w:val="11"/>
    <w:qFormat/>
    <w:locked/>
    <w:uiPriority w:val="99"/>
    <w:rPr>
      <w:sz w:val="18"/>
    </w:rPr>
  </w:style>
  <w:style w:type="character" w:customStyle="1" w:styleId="30">
    <w:name w:val="正文文本 Char"/>
    <w:link w:val="8"/>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99"/>
    <w:pPr>
      <w:ind w:firstLine="420" w:firstLineChars="200"/>
    </w:pPr>
  </w:style>
  <w:style w:type="paragraph" w:customStyle="1" w:styleId="33">
    <w:name w:val="TOC 标题1"/>
    <w:basedOn w:val="5"/>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5"/>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5">
    <w:name w:val="font71"/>
    <w:basedOn w:val="17"/>
    <w:qFormat/>
    <w:uiPriority w:val="0"/>
    <w:rPr>
      <w:rFonts w:hint="default" w:ascii="Times New Roman" w:hAnsi="Times New Roman" w:cs="Times New Roman"/>
      <w:i/>
      <w:iCs/>
      <w:color w:val="000000"/>
      <w:sz w:val="16"/>
      <w:szCs w:val="16"/>
      <w:u w:val="none"/>
    </w:rPr>
  </w:style>
  <w:style w:type="character" w:customStyle="1" w:styleId="36">
    <w:name w:val="font51"/>
    <w:basedOn w:val="17"/>
    <w:qFormat/>
    <w:uiPriority w:val="0"/>
    <w:rPr>
      <w:rFonts w:hint="eastAsia" w:ascii="微软雅黑" w:hAnsi="微软雅黑" w:eastAsia="微软雅黑" w:cs="微软雅黑"/>
      <w:i/>
      <w:iCs/>
      <w:color w:val="000000"/>
      <w:sz w:val="16"/>
      <w:szCs w:val="16"/>
      <w:u w:val="none"/>
    </w:rPr>
  </w:style>
  <w:style w:type="character" w:customStyle="1" w:styleId="37">
    <w:name w:val="font31"/>
    <w:basedOn w:val="17"/>
    <w:qFormat/>
    <w:uiPriority w:val="0"/>
    <w:rPr>
      <w:rFonts w:hint="eastAsia" w:ascii="黑体" w:hAnsi="黑体" w:eastAsia="黑体" w:cs="黑体"/>
      <w:color w:val="000000"/>
      <w:sz w:val="18"/>
      <w:szCs w:val="18"/>
      <w:u w:val="none"/>
    </w:rPr>
  </w:style>
  <w:style w:type="character" w:customStyle="1" w:styleId="38">
    <w:name w:val="font41"/>
    <w:basedOn w:val="17"/>
    <w:qFormat/>
    <w:uiPriority w:val="0"/>
    <w:rPr>
      <w:rFonts w:hint="eastAsia" w:ascii="宋体" w:hAnsi="宋体" w:eastAsia="宋体" w:cs="宋体"/>
      <w:color w:val="000000"/>
      <w:sz w:val="18"/>
      <w:szCs w:val="18"/>
      <w:u w:val="none"/>
    </w:rPr>
  </w:style>
  <w:style w:type="paragraph" w:customStyle="1" w:styleId="3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4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收、支决算总计变动情况表</a:t>
            </a:r>
          </a:p>
        </c:rich>
      </c:tx>
      <c:layout>
        <c:manualLayout>
          <c:xMode val="edge"/>
          <c:yMode val="edge"/>
          <c:x val="0.335407103165016"/>
          <c:y val="0.0095622609434764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2059.99</c:v>
                </c:pt>
                <c:pt idx="1">
                  <c:v>2059.99</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2061.7</c:v>
                </c:pt>
                <c:pt idx="1">
                  <c:v>2061.7</c:v>
                </c:pt>
              </c:numCache>
            </c:numRef>
          </c:val>
        </c:ser>
        <c:dLbls>
          <c:showLegendKey val="0"/>
          <c:showVal val="1"/>
          <c:showCatName val="0"/>
          <c:showSerName val="0"/>
          <c:showPercent val="0"/>
          <c:showBubbleSize val="0"/>
        </c:dLbls>
        <c:gapWidth val="246"/>
        <c:overlap val="-28"/>
        <c:axId val="745650011"/>
        <c:axId val="658388333"/>
      </c:barChart>
      <c:catAx>
        <c:axId val="74565001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388333"/>
        <c:crosses val="autoZero"/>
        <c:auto val="1"/>
        <c:lblAlgn val="ctr"/>
        <c:lblOffset val="100"/>
        <c:noMultiLvlLbl val="0"/>
      </c:catAx>
      <c:valAx>
        <c:axId val="65838833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565001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2f1a4a-6f61-4932-b0f7-50c4b52b6fd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1"/>
          <c:order val="0"/>
          <c:tx>
            <c:strRef>
              <c:f>Sheet1!$A$2</c:f>
              <c:strCache>
                <c:ptCount val="1"/>
                <c:pt idx="0">
                  <c:v>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一般公共预算财政拨款收入</c:v>
                </c:pt>
                <c:pt idx="1">
                  <c:v>政府性基金预算财政拨款</c:v>
                </c:pt>
              </c:strCache>
            </c:strRef>
          </c:cat>
          <c:val>
            <c:numRef>
              <c:f>Sheet1!$B$2:$C$2</c:f>
              <c:numCache>
                <c:formatCode>General</c:formatCode>
                <c:ptCount val="2"/>
                <c:pt idx="0">
                  <c:v>1954.38</c:v>
                </c:pt>
                <c:pt idx="1">
                  <c:v>107.32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d63ed92-7f08-4874-8514-4d8e0cc6ca3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支出结构决算表</a:t>
            </a:r>
          </a:p>
        </c:rich>
      </c:tx>
      <c:layout/>
      <c:overlay val="0"/>
      <c:spPr>
        <a:noFill/>
        <a:ln>
          <a:noFill/>
        </a:ln>
        <a:effectLst/>
      </c:spPr>
    </c:title>
    <c:autoTitleDeleted val="0"/>
    <c:plotArea>
      <c:layout/>
      <c:pieChart>
        <c:varyColors val="1"/>
        <c:ser>
          <c:idx val="0"/>
          <c:order val="0"/>
          <c:tx>
            <c:strRef>
              <c:f>Sheet1!$A$2</c:f>
              <c:strCache>
                <c:ptCount val="1"/>
                <c:pt idx="0">
                  <c:v>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基本支出</c:v>
                </c:pt>
                <c:pt idx="1">
                  <c:v>项目支出</c:v>
                </c:pt>
              </c:strCache>
            </c:strRef>
          </c:cat>
          <c:val>
            <c:numRef>
              <c:f>Sheet1!$B$2:$C$2</c:f>
              <c:numCache>
                <c:formatCode>0.00%</c:formatCode>
                <c:ptCount val="2"/>
                <c:pt idx="0">
                  <c:v>0.7862</c:v>
                </c:pt>
                <c:pt idx="1">
                  <c:v>0.2138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extLst>
      <c:ext uri="{0b15fc19-7d7d-44ad-8c2d-2c3a37ce22c3}">
        <chartProps xmlns="https://web.wps.cn/et/2018/main" chartId="{989b91df-c156-4bd8-bef4-4b460849b282}"/>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Sheet1!$B$2:$B$3</c:f>
              <c:numCache>
                <c:formatCode>General</c:formatCode>
                <c:ptCount val="2"/>
                <c:pt idx="0">
                  <c:v>2061.7</c:v>
                </c:pt>
                <c:pt idx="1">
                  <c:v>2059.99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2024年</c:v>
                </c:pt>
                <c:pt idx="1">
                  <c:v>2023年</c:v>
                </c:pt>
              </c:strCache>
            </c:strRef>
          </c:cat>
          <c:val>
            <c:numRef>
              <c:f>Sheet1!$C$2:$C$3</c:f>
              <c:numCache>
                <c:formatCode>General</c:formatCode>
                <c:ptCount val="2"/>
                <c:pt idx="0">
                  <c:v>2061.7</c:v>
                </c:pt>
                <c:pt idx="1">
                  <c:v>2059.99</c:v>
                </c:pt>
              </c:numCache>
            </c:numRef>
          </c:val>
        </c:ser>
        <c:dLbls>
          <c:showLegendKey val="0"/>
          <c:showVal val="1"/>
          <c:showCatName val="0"/>
          <c:showSerName val="0"/>
          <c:showPercent val="0"/>
          <c:showBubbleSize val="0"/>
        </c:dLbls>
        <c:gapWidth val="246"/>
        <c:overlap val="-28"/>
        <c:axId val="181626181"/>
        <c:axId val="472733115"/>
      </c:barChart>
      <c:catAx>
        <c:axId val="1816261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2733115"/>
        <c:crosses val="autoZero"/>
        <c:auto val="1"/>
        <c:lblAlgn val="ctr"/>
        <c:lblOffset val="100"/>
        <c:noMultiLvlLbl val="0"/>
      </c:catAx>
      <c:valAx>
        <c:axId val="47273311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16261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acd25e8-8d39-4389-b611-0085057697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080" b="1"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2014.99</c:v>
                </c:pt>
                <c:pt idx="1">
                  <c:v>2014.99</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1954.38</c:v>
                </c:pt>
                <c:pt idx="1">
                  <c:v>1954.38</c:v>
                </c:pt>
              </c:numCache>
            </c:numRef>
          </c:val>
        </c:ser>
        <c:dLbls>
          <c:showLegendKey val="0"/>
          <c:showVal val="0"/>
          <c:showCatName val="0"/>
          <c:showSerName val="0"/>
          <c:showPercent val="0"/>
          <c:showBubbleSize val="0"/>
        </c:dLbls>
        <c:gapWidth val="150"/>
        <c:overlap val="0"/>
        <c:axId val="927886483"/>
        <c:axId val="207586483"/>
      </c:barChart>
      <c:catAx>
        <c:axId val="927886483"/>
        <c:scaling>
          <c:orientation val="minMax"/>
        </c:scaling>
        <c:delete val="0"/>
        <c:axPos val="b"/>
        <c:numFmt formatCode="General" sourceLinked="1"/>
        <c:majorTickMark val="out"/>
        <c:minorTickMark val="none"/>
        <c:tickLblPos val="nextTo"/>
        <c:spPr>
          <a:noFill/>
          <a:ln w="6350" cap="flat" cmpd="sng" algn="ctr">
            <a:solidFill>
              <a:schemeClr val="accent1">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207586483"/>
        <c:crosses val="autoZero"/>
        <c:auto val="1"/>
        <c:lblAlgn val="ctr"/>
        <c:lblOffset val="100"/>
        <c:noMultiLvlLbl val="0"/>
      </c:catAx>
      <c:valAx>
        <c:axId val="207586483"/>
        <c:scaling>
          <c:orientation val="minMax"/>
        </c:scaling>
        <c:delete val="0"/>
        <c:axPos val="l"/>
        <c:majorGridlines>
          <c:spPr>
            <a:ln w="6350" cap="flat" cmpd="sng" algn="ctr">
              <a:solidFill>
                <a:schemeClr val="tx1">
                  <a:lumMod val="50000"/>
                  <a:lumOff val="50000"/>
                  <a:alpha val="2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crossAx val="927886483"/>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legend>
    <c:plotVisOnly val="1"/>
    <c:dispBlanksAs val="gap"/>
    <c:showDLblsOverMax val="0"/>
    <c:extLst>
      <c:ext uri="{0b15fc19-7d7d-44ad-8c2d-2c3a37ce22c3}">
        <chartProps xmlns="https://web.wps.cn/et/2018/main" chartId="{78af4ada-5d1c-40ca-98a8-ae1eaa14c253}"/>
      </c:ext>
    </c:extLst>
  </c:chart>
  <c:spPr>
    <a:solidFill>
      <a:schemeClr val="bg1"/>
    </a:solidFill>
    <a:ln w="6350" cap="flat" cmpd="sng" algn="ctr">
      <a:solidFill>
        <a:schemeClr val="tx1">
          <a:lumMod val="50000"/>
          <a:lumOff val="50000"/>
          <a:alpha val="25000"/>
        </a:schemeClr>
      </a:solidFill>
      <a:round/>
    </a:ln>
    <a:effectLst/>
  </c:spPr>
  <c:txPr>
    <a:bodyPr/>
    <a:lstStyle/>
    <a:p>
      <a:pPr>
        <a:defRPr lang="zh-CN" sz="900">
          <a:solidFill>
            <a:schemeClr val="tx1">
              <a:lumMod val="75000"/>
              <a:lumOff val="25000"/>
            </a:scheme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104</Pages>
  <Words>12292</Words>
  <Characters>13215</Characters>
  <Lines>21</Lines>
  <Paragraphs>27</Paragraphs>
  <TotalTime>9</TotalTime>
  <ScaleCrop>false</ScaleCrop>
  <LinksUpToDate>false</LinksUpToDate>
  <CharactersWithSpaces>13360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2023-08-17T09:43:00Z</cp:lastPrinted>
  <dcterms:modified xsi:type="dcterms:W3CDTF">2025-09-01T02:12:45Z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4AE33E0965474242AB469A13A41A010E_13</vt:lpwstr>
  </property>
  <property fmtid="{D5CDD505-2E9C-101B-9397-08002B2CF9AE}" pid="4" name="KSOTemplateDocerSaveRecord">
    <vt:lpwstr>eyJoZGlkIjoiZGM4NjUzNDA1NDkyY2MxZmJmZThlN2U3ZTFkMjcwOGYifQ==</vt:lpwstr>
  </property>
</Properties>
</file>