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2701">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sz w:val="72"/>
          <w:szCs w:val="72"/>
          <w:lang w:eastAsia="zh-CN"/>
        </w:rPr>
      </w:pPr>
      <w:bookmarkStart w:id="0" w:name="_Toc23430"/>
      <w:bookmarkStart w:id="1" w:name="_Toc15396475"/>
      <w:bookmarkStart w:id="2" w:name="_Toc15378441"/>
      <w:bookmarkStart w:id="3" w:name="_Toc15306267"/>
      <w:bookmarkStart w:id="4" w:name="_Toc15377193"/>
      <w:bookmarkStart w:id="5" w:name="_Toc15377425"/>
      <w:bookmarkStart w:id="6" w:name="_Toc15396597"/>
      <w:bookmarkStart w:id="42" w:name="_GoBack"/>
      <w:bookmarkEnd w:id="42"/>
    </w:p>
    <w:p w14:paraId="18CF0C99">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sz w:val="72"/>
          <w:szCs w:val="72"/>
          <w:lang w:eastAsia="zh-CN"/>
        </w:rPr>
      </w:pPr>
    </w:p>
    <w:p w14:paraId="75A249A4">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b w:val="0"/>
          <w:bCs w:val="0"/>
          <w:sz w:val="52"/>
          <w:szCs w:val="52"/>
          <w:lang w:eastAsia="zh-CN"/>
        </w:rPr>
      </w:pPr>
      <w:r>
        <w:rPr>
          <w:rFonts w:hint="default" w:ascii="Times New Roman" w:hAnsi="Times New Roman" w:eastAsia="方正小标宋简体" w:cs="Times New Roman"/>
          <w:b w:val="0"/>
          <w:bCs w:val="0"/>
          <w:sz w:val="52"/>
          <w:szCs w:val="52"/>
          <w:lang w:eastAsia="zh-CN"/>
        </w:rPr>
        <w:t>2024年度</w:t>
      </w:r>
      <w:bookmarkEnd w:id="0"/>
    </w:p>
    <w:p w14:paraId="2DC8F1A2">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b w:val="0"/>
          <w:bCs w:val="0"/>
          <w:sz w:val="52"/>
          <w:szCs w:val="52"/>
        </w:rPr>
      </w:pPr>
      <w:r>
        <w:rPr>
          <w:rFonts w:hint="default" w:ascii="Times New Roman" w:hAnsi="Times New Roman" w:eastAsia="方正小标宋简体" w:cs="Times New Roman"/>
          <w:b w:val="0"/>
          <w:bCs w:val="0"/>
          <w:sz w:val="52"/>
          <w:szCs w:val="52"/>
          <w:lang w:eastAsia="zh-CN"/>
        </w:rPr>
        <w:t>四川省</w:t>
      </w:r>
      <w:bookmarkStart w:id="7" w:name="_Toc7094"/>
      <w:r>
        <w:rPr>
          <w:rFonts w:hint="default" w:ascii="Times New Roman" w:hAnsi="Times New Roman" w:eastAsia="方正小标宋简体" w:cs="Times New Roman"/>
          <w:b w:val="0"/>
          <w:bCs w:val="0"/>
          <w:sz w:val="52"/>
          <w:szCs w:val="52"/>
        </w:rPr>
        <w:t>遂宁市安居区妇</w:t>
      </w:r>
      <w:r>
        <w:rPr>
          <w:rFonts w:hint="default" w:ascii="Times New Roman" w:hAnsi="Times New Roman" w:eastAsia="方正小标宋简体" w:cs="Times New Roman"/>
          <w:b w:val="0"/>
          <w:bCs w:val="0"/>
          <w:sz w:val="52"/>
          <w:szCs w:val="52"/>
          <w:lang w:eastAsia="zh-CN"/>
        </w:rPr>
        <w:t>女</w:t>
      </w:r>
      <w:r>
        <w:rPr>
          <w:rFonts w:hint="default" w:ascii="Times New Roman" w:hAnsi="Times New Roman" w:eastAsia="方正小标宋简体" w:cs="Times New Roman"/>
          <w:b w:val="0"/>
          <w:bCs w:val="0"/>
          <w:sz w:val="52"/>
          <w:szCs w:val="52"/>
        </w:rPr>
        <w:t>联合会</w:t>
      </w:r>
      <w:bookmarkEnd w:id="7"/>
    </w:p>
    <w:p w14:paraId="1820608D">
      <w:pPr>
        <w:pStyle w:val="2"/>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方正小标宋简体" w:cs="Times New Roman"/>
          <w:b w:val="0"/>
          <w:bCs w:val="0"/>
          <w:sz w:val="52"/>
          <w:szCs w:val="52"/>
          <w:lang w:eastAsia="zh-CN"/>
        </w:rPr>
      </w:pPr>
      <w:r>
        <w:rPr>
          <w:rFonts w:hint="default" w:ascii="Times New Roman" w:hAnsi="Times New Roman" w:eastAsia="方正小标宋简体" w:cs="Times New Roman"/>
          <w:b w:val="0"/>
          <w:bCs w:val="0"/>
          <w:sz w:val="52"/>
          <w:szCs w:val="52"/>
          <w:lang w:val="en-US" w:eastAsia="zh-CN"/>
        </w:rPr>
        <w:t>部门</w:t>
      </w:r>
      <w:r>
        <w:rPr>
          <w:rFonts w:hint="default" w:ascii="Times New Roman" w:hAnsi="Times New Roman" w:eastAsia="方正小标宋简体" w:cs="Times New Roman"/>
          <w:b w:val="0"/>
          <w:bCs w:val="0"/>
          <w:sz w:val="52"/>
          <w:szCs w:val="52"/>
          <w:lang w:eastAsia="zh-CN"/>
        </w:rPr>
        <w:t>决算</w:t>
      </w:r>
    </w:p>
    <w:p w14:paraId="06EF2229">
      <w:pPr>
        <w:pStyle w:val="2"/>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0EA6574D">
      <w:pPr>
        <w:pStyle w:val="2"/>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1853F885">
      <w:pPr>
        <w:pStyle w:val="2"/>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4B57A112">
      <w:pPr>
        <w:pStyle w:val="2"/>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0FFB9A1D">
      <w:pPr>
        <w:pStyle w:val="2"/>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6051E8AA">
      <w:pPr>
        <w:pStyle w:val="2"/>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109AB1EE">
      <w:pPr>
        <w:pStyle w:val="2"/>
        <w:keepNext w:val="0"/>
        <w:keepLines w:val="0"/>
        <w:pageBreakBefore w:val="0"/>
        <w:widowControl w:val="0"/>
        <w:kinsoku/>
        <w:wordWrap/>
        <w:overflowPunct/>
        <w:topLinePunct w:val="0"/>
        <w:bidi w:val="0"/>
        <w:spacing w:before="0" w:after="0" w:line="560" w:lineRule="exact"/>
        <w:ind w:left="0" w:leftChars="0" w:right="0" w:firstLine="643" w:firstLineChars="200"/>
        <w:jc w:val="both"/>
        <w:rPr>
          <w:rFonts w:hint="default" w:ascii="Times New Roman" w:hAnsi="Times New Roman" w:eastAsia="仿宋_GB2312" w:cs="Times New Roman"/>
          <w:sz w:val="32"/>
          <w:szCs w:val="32"/>
          <w:lang w:eastAsia="zh-CN"/>
        </w:rPr>
      </w:pPr>
    </w:p>
    <w:p w14:paraId="517311C3">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14:paraId="332AE019">
      <w:pPr>
        <w:keepNext w:val="0"/>
        <w:keepLines w:val="0"/>
        <w:pageBreakBefore w:val="0"/>
        <w:widowControl w:val="0"/>
        <w:kinsoku/>
        <w:wordWrap/>
        <w:overflowPunct/>
        <w:topLinePunct w:val="0"/>
        <w:bidi w:val="0"/>
        <w:spacing w:line="560" w:lineRule="exact"/>
        <w:ind w:right="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录</w:t>
      </w:r>
    </w:p>
    <w:p w14:paraId="3BE8D4E7">
      <w:pPr>
        <w:pStyle w:val="12"/>
        <w:keepNext w:val="0"/>
        <w:keepLines w:val="0"/>
        <w:pageBreakBefore w:val="0"/>
        <w:widowControl w:val="0"/>
        <w:kinsoku/>
        <w:wordWrap/>
        <w:overflowPunct/>
        <w:topLinePunct w:val="0"/>
        <w:bidi w:val="0"/>
        <w:spacing w:before="0" w:line="560" w:lineRule="exact"/>
        <w:ind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08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14:paraId="7E7091BD">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eastAsia="zh-CN"/>
        </w:rPr>
      </w:pPr>
    </w:p>
    <w:bookmarkEnd w:id="1"/>
    <w:bookmarkEnd w:id="2"/>
    <w:bookmarkEnd w:id="3"/>
    <w:bookmarkEnd w:id="4"/>
    <w:bookmarkEnd w:id="5"/>
    <w:bookmarkEnd w:id="6"/>
    <w:p w14:paraId="6B78DAA1">
      <w:pPr>
        <w:pStyle w:val="12"/>
        <w:keepNext w:val="0"/>
        <w:keepLines w:val="0"/>
        <w:pageBreakBefore w:val="0"/>
        <w:widowControl w:val="0"/>
        <w:kinsoku/>
        <w:wordWrap/>
        <w:overflowPunct/>
        <w:topLinePunct w:val="0"/>
        <w:bidi w:val="0"/>
        <w:spacing w:before="0" w:line="56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u w:val="none"/>
        </w:rPr>
        <w:t>第一部分 部门概况</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w:t>
      </w:r>
    </w:p>
    <w:p w14:paraId="57AB066C">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部门</w:t>
      </w:r>
      <w:r>
        <w:rPr>
          <w:rFonts w:hint="default" w:ascii="Times New Roman" w:hAnsi="Times New Roman" w:eastAsia="仿宋_GB2312" w:cs="Times New Roman"/>
          <w:color w:val="auto"/>
          <w:sz w:val="32"/>
          <w:szCs w:val="32"/>
          <w:u w:val="none"/>
          <w:lang w:eastAsia="zh-CN"/>
        </w:rPr>
        <w:t>职责</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 xml:space="preserve">1 </w:t>
      </w:r>
    </w:p>
    <w:p w14:paraId="0062E16A">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u w:val="none"/>
        </w:rPr>
        <w:t>二、机构设置</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2</w:t>
      </w:r>
    </w:p>
    <w:p w14:paraId="4BB32875">
      <w:pPr>
        <w:pStyle w:val="12"/>
        <w:keepNext w:val="0"/>
        <w:keepLines w:val="0"/>
        <w:pageBreakBefore w:val="0"/>
        <w:widowControl w:val="0"/>
        <w:kinsoku/>
        <w:wordWrap/>
        <w:overflowPunct/>
        <w:topLinePunct w:val="0"/>
        <w:bidi w:val="0"/>
        <w:spacing w:before="0" w:line="56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u w:val="none"/>
        </w:rPr>
        <w:t xml:space="preserve">第二部分 </w:t>
      </w:r>
      <w:r>
        <w:rPr>
          <w:rFonts w:hint="default" w:ascii="Times New Roman" w:hAnsi="Times New Roman" w:eastAsia="仿宋_GB2312" w:cs="Times New Roman"/>
          <w:b/>
          <w:bCs/>
          <w:color w:val="auto"/>
          <w:sz w:val="32"/>
          <w:szCs w:val="32"/>
          <w:u w:val="none"/>
          <w:lang w:eastAsia="zh-CN"/>
        </w:rPr>
        <w:t>2024年</w:t>
      </w:r>
      <w:r>
        <w:rPr>
          <w:rFonts w:hint="default" w:ascii="Times New Roman" w:hAnsi="Times New Roman" w:eastAsia="仿宋_GB2312" w:cs="Times New Roman"/>
          <w:b/>
          <w:bCs/>
          <w:color w:val="auto"/>
          <w:sz w:val="32"/>
          <w:szCs w:val="32"/>
          <w:u w:val="none"/>
        </w:rPr>
        <w:t>度部门决算情况说明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3</w:t>
      </w:r>
    </w:p>
    <w:p w14:paraId="49F0A35C">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一、</w:t>
      </w:r>
      <w:r>
        <w:rPr>
          <w:rFonts w:hint="default" w:ascii="Times New Roman" w:hAnsi="Times New Roman" w:eastAsia="仿宋_GB2312" w:cs="Times New Roman"/>
          <w:color w:val="auto"/>
          <w:sz w:val="32"/>
          <w:szCs w:val="32"/>
          <w:u w:val="none"/>
        </w:rPr>
        <w:t>收</w:t>
      </w:r>
      <w:r>
        <w:rPr>
          <w:rFonts w:hint="default" w:ascii="Times New Roman" w:hAnsi="Times New Roman" w:eastAsia="仿宋_GB2312" w:cs="Times New Roman"/>
          <w:bCs/>
          <w:color w:val="auto"/>
          <w:sz w:val="32"/>
          <w:szCs w:val="32"/>
          <w:u w:val="none"/>
        </w:rPr>
        <w:t>入支出决算总体情况说明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3</w:t>
      </w:r>
    </w:p>
    <w:p w14:paraId="17852B3C">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二、</w:t>
      </w:r>
      <w:r>
        <w:rPr>
          <w:rFonts w:hint="default" w:ascii="Times New Roman" w:hAnsi="Times New Roman" w:eastAsia="仿宋_GB2312" w:cs="Times New Roman"/>
          <w:color w:val="auto"/>
          <w:sz w:val="32"/>
          <w:szCs w:val="32"/>
          <w:u w:val="none"/>
        </w:rPr>
        <w:t>收</w:t>
      </w:r>
      <w:r>
        <w:rPr>
          <w:rFonts w:hint="default" w:ascii="Times New Roman" w:hAnsi="Times New Roman" w:eastAsia="仿宋_GB2312" w:cs="Times New Roman"/>
          <w:bCs/>
          <w:color w:val="auto"/>
          <w:sz w:val="32"/>
          <w:szCs w:val="32"/>
          <w:u w:val="none"/>
        </w:rPr>
        <w:t>入决算情况说明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3</w:t>
      </w:r>
    </w:p>
    <w:p w14:paraId="798046D4">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auto"/>
          <w:sz w:val="32"/>
          <w:szCs w:val="32"/>
          <w:u w:val="none"/>
        </w:rPr>
        <w:t>三、</w:t>
      </w:r>
      <w:r>
        <w:rPr>
          <w:rFonts w:hint="default" w:ascii="Times New Roman" w:hAnsi="Times New Roman" w:eastAsia="仿宋_GB2312" w:cs="Times New Roman"/>
          <w:color w:val="auto"/>
          <w:sz w:val="32"/>
          <w:szCs w:val="32"/>
          <w:u w:val="none"/>
        </w:rPr>
        <w:t>支</w:t>
      </w:r>
      <w:r>
        <w:rPr>
          <w:rFonts w:hint="default" w:ascii="Times New Roman" w:hAnsi="Times New Roman" w:eastAsia="仿宋_GB2312" w:cs="Times New Roman"/>
          <w:bCs/>
          <w:color w:val="auto"/>
          <w:sz w:val="32"/>
          <w:szCs w:val="32"/>
          <w:u w:val="none"/>
        </w:rPr>
        <w:t>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4</w:t>
      </w:r>
    </w:p>
    <w:p w14:paraId="61A3CC2E">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四、财</w:t>
      </w:r>
      <w:r>
        <w:rPr>
          <w:rFonts w:hint="default" w:ascii="Times New Roman" w:hAnsi="Times New Roman" w:eastAsia="仿宋_GB2312" w:cs="Times New Roman"/>
          <w:bCs/>
          <w:color w:val="auto"/>
          <w:sz w:val="32"/>
          <w:szCs w:val="32"/>
          <w:u w:val="none"/>
        </w:rPr>
        <w:t>政拨款收入支出决算总体情况说明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5</w:t>
      </w:r>
    </w:p>
    <w:p w14:paraId="488BE4A7">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五、一</w:t>
      </w:r>
      <w:r>
        <w:rPr>
          <w:rFonts w:hint="default" w:ascii="Times New Roman" w:hAnsi="Times New Roman" w:eastAsia="仿宋_GB2312" w:cs="Times New Roman"/>
          <w:bCs/>
          <w:color w:val="auto"/>
          <w:sz w:val="32"/>
          <w:szCs w:val="32"/>
          <w:u w:val="none"/>
        </w:rPr>
        <w:t>般公共预算财政拨款支出决算情况说明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6</w:t>
      </w:r>
    </w:p>
    <w:p w14:paraId="324FE428">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六、一</w:t>
      </w:r>
      <w:r>
        <w:rPr>
          <w:rFonts w:hint="default" w:ascii="Times New Roman" w:hAnsi="Times New Roman" w:eastAsia="仿宋_GB2312" w:cs="Times New Roman"/>
          <w:bCs/>
          <w:color w:val="auto"/>
          <w:sz w:val="32"/>
          <w:szCs w:val="32"/>
          <w:u w:val="none"/>
        </w:rPr>
        <w:t>般公共预算财政拨款基本支出决算情况说明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8</w:t>
      </w:r>
    </w:p>
    <w:p w14:paraId="6213E83F">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七、</w:t>
      </w:r>
      <w:r>
        <w:rPr>
          <w:rFonts w:hint="default" w:ascii="Times New Roman" w:hAnsi="Times New Roman" w:eastAsia="仿宋_GB2312" w:cs="Times New Roman"/>
          <w:color w:val="auto"/>
          <w:sz w:val="32"/>
          <w:szCs w:val="32"/>
          <w:u w:val="none"/>
          <w:lang w:eastAsia="zh-CN"/>
        </w:rPr>
        <w:t>财政拨款</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Cs/>
          <w:color w:val="auto"/>
          <w:sz w:val="32"/>
          <w:szCs w:val="32"/>
          <w:u w:val="none"/>
        </w:rPr>
        <w:t>三公”经费支出决算情况说明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9</w:t>
      </w:r>
    </w:p>
    <w:p w14:paraId="082C0D6E">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八、</w:t>
      </w:r>
      <w:r>
        <w:rPr>
          <w:rFonts w:hint="default" w:ascii="Times New Roman" w:hAnsi="Times New Roman" w:eastAsia="仿宋_GB2312" w:cs="Times New Roman"/>
          <w:bCs/>
          <w:color w:val="auto"/>
          <w:sz w:val="32"/>
          <w:szCs w:val="32"/>
          <w:u w:val="none"/>
        </w:rPr>
        <w:t>政府性基金预算支出决算情况说明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11</w:t>
      </w:r>
    </w:p>
    <w:p w14:paraId="140854DC">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九、</w:t>
      </w:r>
      <w:r>
        <w:rPr>
          <w:rFonts w:hint="default" w:ascii="Times New Roman" w:hAnsi="Times New Roman" w:eastAsia="仿宋_GB2312" w:cs="Times New Roman"/>
          <w:color w:val="auto"/>
          <w:sz w:val="32"/>
          <w:szCs w:val="32"/>
          <w:u w:val="none"/>
        </w:rPr>
        <w:t>国</w:t>
      </w:r>
      <w:r>
        <w:rPr>
          <w:rFonts w:hint="default" w:ascii="Times New Roman" w:hAnsi="Times New Roman" w:eastAsia="仿宋_GB2312" w:cs="Times New Roman"/>
          <w:bCs/>
          <w:color w:val="auto"/>
          <w:sz w:val="32"/>
          <w:szCs w:val="32"/>
          <w:u w:val="none"/>
        </w:rPr>
        <w:t>有资本经营预算支出决算情况说明</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11</w:t>
      </w:r>
    </w:p>
    <w:p w14:paraId="19A67FB4">
      <w:pPr>
        <w:pStyle w:val="24"/>
        <w:keepNext w:val="0"/>
        <w:keepLines w:val="0"/>
        <w:pageBreakBefore w:val="0"/>
        <w:widowControl w:val="0"/>
        <w:numPr>
          <w:ilvl w:val="0"/>
          <w:numId w:val="0"/>
        </w:numPr>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bidi="ar-SA"/>
        </w:rPr>
        <w:t>十、其他重要事项的情况说明…………………………11</w:t>
      </w:r>
    </w:p>
    <w:p w14:paraId="3A52BAC3">
      <w:pPr>
        <w:pStyle w:val="12"/>
        <w:keepNext w:val="0"/>
        <w:keepLines w:val="0"/>
        <w:pageBreakBefore w:val="0"/>
        <w:widowControl w:val="0"/>
        <w:kinsoku/>
        <w:wordWrap/>
        <w:overflowPunct/>
        <w:topLinePunct w:val="0"/>
        <w:bidi w:val="0"/>
        <w:spacing w:before="0" w:line="560" w:lineRule="exact"/>
        <w:ind w:left="0" w:leftChars="0" w:right="0"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val="0"/>
          <w:color w:val="auto"/>
          <w:kern w:val="44"/>
          <w:sz w:val="32"/>
          <w:szCs w:val="32"/>
          <w:u w:val="none"/>
        </w:rPr>
        <w:t>第三部分</w:t>
      </w:r>
      <w:r>
        <w:rPr>
          <w:rFonts w:hint="default" w:ascii="Times New Roman" w:hAnsi="Times New Roman" w:eastAsia="仿宋_GB2312" w:cs="Times New Roman"/>
          <w:b/>
          <w:bCs w:val="0"/>
          <w:color w:val="auto"/>
          <w:sz w:val="32"/>
          <w:szCs w:val="32"/>
          <w:u w:val="none"/>
        </w:rPr>
        <w:t xml:space="preserve"> 名</w:t>
      </w:r>
      <w:r>
        <w:rPr>
          <w:rFonts w:hint="default" w:ascii="Times New Roman" w:hAnsi="Times New Roman" w:eastAsia="仿宋_GB2312" w:cs="Times New Roman"/>
          <w:b/>
          <w:bCs w:val="0"/>
          <w:color w:val="auto"/>
          <w:kern w:val="44"/>
          <w:sz w:val="32"/>
          <w:szCs w:val="32"/>
          <w:u w:val="none"/>
        </w:rPr>
        <w:t>词解释</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15</w:t>
      </w:r>
    </w:p>
    <w:p w14:paraId="06B2027B">
      <w:pPr>
        <w:pStyle w:val="12"/>
        <w:keepNext w:val="0"/>
        <w:keepLines w:val="0"/>
        <w:pageBreakBefore w:val="0"/>
        <w:widowControl w:val="0"/>
        <w:kinsoku/>
        <w:wordWrap/>
        <w:overflowPunct/>
        <w:topLinePunct w:val="0"/>
        <w:bidi w:val="0"/>
        <w:spacing w:before="0" w:line="560" w:lineRule="exact"/>
        <w:ind w:left="0" w:leftChars="0" w:right="0" w:firstLine="643"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b/>
          <w:bCs/>
          <w:color w:val="auto"/>
          <w:sz w:val="32"/>
          <w:szCs w:val="32"/>
          <w:u w:val="none"/>
        </w:rPr>
        <w:t>第</w:t>
      </w:r>
      <w:r>
        <w:rPr>
          <w:rFonts w:hint="default" w:ascii="Times New Roman" w:hAnsi="Times New Roman" w:eastAsia="仿宋_GB2312" w:cs="Times New Roman"/>
          <w:b/>
          <w:bCs/>
          <w:color w:val="auto"/>
          <w:kern w:val="44"/>
          <w:sz w:val="32"/>
          <w:szCs w:val="32"/>
          <w:u w:val="none"/>
        </w:rPr>
        <w:t>四部分 附件</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18</w:t>
      </w:r>
    </w:p>
    <w:p w14:paraId="6092F27F">
      <w:pPr>
        <w:pStyle w:val="12"/>
        <w:keepNext w:val="0"/>
        <w:keepLines w:val="0"/>
        <w:pageBreakBefore w:val="0"/>
        <w:widowControl w:val="0"/>
        <w:kinsoku/>
        <w:wordWrap/>
        <w:overflowPunct/>
        <w:topLinePunct w:val="0"/>
        <w:bidi w:val="0"/>
        <w:spacing w:before="0" w:line="560" w:lineRule="exact"/>
        <w:ind w:left="0" w:leftChars="0" w:right="0"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u w:val="none"/>
        </w:rPr>
        <w:t>第</w:t>
      </w:r>
      <w:r>
        <w:rPr>
          <w:rFonts w:hint="default" w:ascii="Times New Roman" w:hAnsi="Times New Roman" w:eastAsia="仿宋_GB2312" w:cs="Times New Roman"/>
          <w:b/>
          <w:bCs/>
          <w:color w:val="auto"/>
          <w:kern w:val="44"/>
          <w:sz w:val="32"/>
          <w:szCs w:val="32"/>
          <w:u w:val="none"/>
        </w:rPr>
        <w:t>五部分 附表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597E13E4">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auto"/>
          <w:sz w:val="32"/>
          <w:szCs w:val="32"/>
          <w:u w:val="none"/>
        </w:rPr>
        <w:t>收入支出决算总表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685228F0">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auto"/>
          <w:sz w:val="32"/>
          <w:szCs w:val="32"/>
          <w:u w:val="none"/>
        </w:rPr>
        <w:t>收入</w:t>
      </w:r>
      <w:r>
        <w:rPr>
          <w:rFonts w:hint="default" w:ascii="Times New Roman" w:hAnsi="Times New Roman" w:eastAsia="仿宋_GB2312" w:cs="Times New Roman"/>
          <w:color w:val="auto"/>
          <w:sz w:val="32"/>
          <w:szCs w:val="32"/>
          <w:u w:val="none"/>
          <w:lang w:eastAsia="zh-CN"/>
        </w:rPr>
        <w:t>决算</w:t>
      </w:r>
      <w:r>
        <w:rPr>
          <w:rFonts w:hint="default" w:ascii="Times New Roman" w:hAnsi="Times New Roman" w:eastAsia="仿宋_GB2312" w:cs="Times New Roman"/>
          <w:color w:val="auto"/>
          <w:sz w:val="32"/>
          <w:szCs w:val="32"/>
          <w:u w:val="none"/>
        </w:rPr>
        <w:t>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21F6434D">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lang w:eastAsia="zh-CN"/>
        </w:rPr>
        <w:t>支出决算</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4CC5D8DB">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color w:val="auto"/>
          <w:sz w:val="32"/>
          <w:szCs w:val="32"/>
          <w:u w:val="none"/>
        </w:rPr>
        <w:t>财政拨款收入支出决算总表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63EA9FB2">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财政拨款支出决算</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5B25EE75">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08D34CC2">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6E2E54DF">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一般公共预算财政拨款基本支出决算表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36790047">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w:t>
      </w:r>
      <w:r>
        <w:rPr>
          <w:rFonts w:hint="default" w:ascii="Times New Roman" w:hAnsi="Times New Roman" w:eastAsia="仿宋_GB2312" w:cs="Times New Roman"/>
          <w:color w:val="auto"/>
          <w:sz w:val="32"/>
          <w:szCs w:val="32"/>
          <w:u w:val="none"/>
          <w:lang w:eastAsia="zh-CN"/>
        </w:rPr>
        <w:t>项目</w:t>
      </w:r>
      <w:r>
        <w:rPr>
          <w:rFonts w:hint="default" w:ascii="Times New Roman" w:hAnsi="Times New Roman" w:eastAsia="仿宋_GB2312" w:cs="Times New Roman"/>
          <w:color w:val="auto"/>
          <w:sz w:val="32"/>
          <w:szCs w:val="32"/>
          <w:u w:val="none"/>
        </w:rPr>
        <w:t>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516B2F88">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、政府性基金预算财政拨款收入支出决算表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6D91D166">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、国有资本经营预算财政拨款收入支出决算表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64D5E4C5">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、国有资本经营预算财政拨款支出决算表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4203F4D4">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、财政拨款“三公”经费支出决算表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57</w:t>
      </w:r>
    </w:p>
    <w:p w14:paraId="5A7E47D7">
      <w:pPr>
        <w:pStyle w:val="12"/>
        <w:keepNext w:val="0"/>
        <w:keepLines w:val="0"/>
        <w:pageBreakBefore w:val="0"/>
        <w:widowControl w:val="0"/>
        <w:kinsoku/>
        <w:wordWrap/>
        <w:overflowPunct/>
        <w:topLinePunct w:val="0"/>
        <w:bidi w:val="0"/>
        <w:spacing w:before="0" w:line="560" w:lineRule="exact"/>
        <w:ind w:left="0" w:leftChars="0" w:right="0" w:firstLine="640" w:firstLineChars="200"/>
        <w:jc w:val="both"/>
        <w:rPr>
          <w:rFonts w:hint="default" w:ascii="Times New Roman" w:hAnsi="Times New Roman" w:eastAsia="仿宋_GB2312" w:cs="Times New Roman"/>
          <w:sz w:val="32"/>
          <w:szCs w:val="32"/>
        </w:rPr>
      </w:pPr>
    </w:p>
    <w:p w14:paraId="663C54FA">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p>
    <w:p w14:paraId="1364D862">
      <w:pPr>
        <w:pStyle w:val="2"/>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color w:val="000000"/>
          <w:sz w:val="44"/>
          <w:szCs w:val="44"/>
          <w:lang w:val="en-US" w:eastAsia="zh-CN"/>
        </w:rPr>
        <w:sectPr>
          <w:footerReference r:id="rId3" w:type="default"/>
          <w:footerReference r:id="rId4" w:type="even"/>
          <w:pgSz w:w="11906" w:h="16838"/>
          <w:pgMar w:top="2098" w:right="1474" w:bottom="1984" w:left="1587" w:header="851" w:footer="1559" w:gutter="0"/>
          <w:pgNumType w:fmt="decimal" w:start="1"/>
          <w:cols w:space="0" w:num="1"/>
          <w:rtlGutter w:val="0"/>
          <w:docGrid w:type="lines" w:linePitch="312" w:charSpace="0"/>
        </w:sectPr>
      </w:pPr>
      <w:bookmarkStart w:id="8" w:name="_Toc29424"/>
    </w:p>
    <w:p w14:paraId="2B20B41D">
      <w:pPr>
        <w:pStyle w:val="2"/>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color w:val="000000"/>
          <w:sz w:val="44"/>
          <w:szCs w:val="44"/>
          <w:lang w:val="en-US" w:eastAsia="zh-CN"/>
        </w:rPr>
      </w:pPr>
      <w:r>
        <w:rPr>
          <w:rFonts w:hint="default" w:ascii="Times New Roman" w:hAnsi="Times New Roman" w:eastAsia="方正小标宋简体" w:cs="Times New Roman"/>
          <w:b w:val="0"/>
          <w:color w:val="000000"/>
          <w:sz w:val="44"/>
          <w:szCs w:val="44"/>
          <w:lang w:val="en-US" w:eastAsia="zh-CN"/>
        </w:rPr>
        <w:t>第一部分  部门概况</w:t>
      </w:r>
      <w:bookmarkEnd w:id="8"/>
    </w:p>
    <w:p w14:paraId="69340AD0">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b w:val="0"/>
          <w:color w:val="000000"/>
          <w:sz w:val="32"/>
          <w:szCs w:val="32"/>
          <w:lang w:val="en-US" w:eastAsia="zh-CN"/>
        </w:rPr>
      </w:pPr>
    </w:p>
    <w:p w14:paraId="20AA886C">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b w:val="0"/>
          <w:color w:val="000000"/>
          <w:sz w:val="32"/>
          <w:szCs w:val="32"/>
          <w:lang w:val="en-US" w:eastAsia="zh-CN"/>
        </w:rPr>
        <w:t>一、部门职责</w:t>
      </w:r>
    </w:p>
    <w:p w14:paraId="6AB3686F">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安居区妇联是区委领导下的全区各族各界妇女的群众团体，是党和政府联系妇女的桥梁和纽带，是国家政权的重要社会支柱之一。主要职责是：</w:t>
      </w:r>
    </w:p>
    <w:p w14:paraId="7F97AE40">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对全区广大妇女进行自尊、自信、自立、自强的教育；围绕党的中心工作，动员和组织广大妇女投身社会主义两个文明建设；在农村妇女中深入、持久、有效地开展“双学双赛”活动；在城镇妇女中广泛开展“巾帼建功”活动；在妇女中分层次、多渠道地开展妇干培训、职业培训、实用技术培训，努力提高妇女素质。</w:t>
      </w:r>
    </w:p>
    <w:p w14:paraId="38ED8C47">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代表广大妇女参与国家和社会事务的民主管理、监督，参与有关妇女儿童法律、法规、条例、规定的制定，代表妇女的利益，反映妇女的呼声。大力培养、选拔优秀妇女人才，促进女性参政议政水平的提高。</w:t>
      </w:r>
    </w:p>
    <w:p w14:paraId="0B3D6A66">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（3）根据</w:t>
      </w:r>
      <w:r>
        <w:rPr>
          <w:rFonts w:hint="eastAsia" w:ascii="Times New Roman" w:hAnsi="Times New Roman" w:eastAsia="仿宋_GB2312" w:cs="Times New Roman"/>
          <w:color w:val="000000"/>
          <w:sz w:val="32"/>
          <w:szCs w:val="32"/>
          <w:lang w:eastAsia="zh-CN"/>
        </w:rPr>
        <w:t>《中华人民共和国宪法》</w:t>
      </w:r>
      <w:r>
        <w:rPr>
          <w:rFonts w:hint="default" w:ascii="Times New Roman" w:hAnsi="Times New Roman" w:eastAsia="仿宋_GB2312" w:cs="Times New Roman"/>
          <w:color w:val="000000"/>
          <w:sz w:val="32"/>
          <w:szCs w:val="32"/>
        </w:rPr>
        <w:t>赋予妇女与男子“五平等”的权利，对全区妇女参政、就业、受教育、社会地位及婚姻家庭等方面的问题进行调查，及时向区委、区政府反映情况，提出建议，依法维护妇女儿童权益。</w:t>
      </w:r>
    </w:p>
    <w:p w14:paraId="080EDDC3">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（4）为广大妇女服务，为基层服务，加强调研，指导乡镇妇联开展妇女儿童工作。对基层妇女组织和女工委员会工作给予指导；加强同社会各界的联系，宣传马克思主义妇女观，加快妇女工作社会化进程。</w:t>
      </w:r>
    </w:p>
    <w:p w14:paraId="60E06524">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（5）团结、教育全区各族各界妇女以及各类妇女组织，坚持正确的政治方向；促进全区各族各界妇女的大团结，为维护祖国统一和台湾回归作贡献。</w:t>
      </w:r>
    </w:p>
    <w:p w14:paraId="585265D4">
      <w:pPr>
        <w:pStyle w:val="16"/>
        <w:keepNext w:val="0"/>
        <w:keepLines w:val="0"/>
        <w:pageBreakBefore w:val="0"/>
        <w:widowControl w:val="0"/>
        <w:kinsoku/>
        <w:wordWrap/>
        <w:overflowPunct/>
        <w:topLinePunct w:val="0"/>
        <w:bidi w:val="0"/>
        <w:spacing w:before="0" w:beforeAutospacing="0" w:after="0" w:afterAutospacing="0"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（6）承担区政府妇女儿童工作委员会的日常工作。</w:t>
      </w:r>
    </w:p>
    <w:p w14:paraId="2AA3534A">
      <w:pPr>
        <w:pStyle w:val="6"/>
        <w:keepNext w:val="0"/>
        <w:keepLines w:val="0"/>
        <w:pageBreakBefore w:val="0"/>
        <w:widowControl w:val="0"/>
        <w:kinsoku/>
        <w:wordWrap/>
        <w:overflowPunct/>
        <w:topLinePunct w:val="0"/>
        <w:bidi w:val="0"/>
        <w:adjustRightInd w:val="0"/>
        <w:snapToGrid w:val="0"/>
        <w:spacing w:beforeLines="0" w:line="560" w:lineRule="exact"/>
        <w:ind w:left="0" w:leftChars="0" w:right="0" w:firstLine="632" w:firstLineChars="200"/>
        <w:jc w:val="both"/>
        <w:outlineLvl w:val="2"/>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（7）承办区委、区政府及上级主管部门交办</w:t>
      </w:r>
      <w:r>
        <w:rPr>
          <w:rFonts w:hint="eastAsia" w:ascii="Times New Roman" w:hAnsi="Times New Roman" w:cs="Times New Roman"/>
          <w:color w:val="000000"/>
          <w:sz w:val="32"/>
          <w:szCs w:val="32"/>
          <w:lang w:eastAsia="zh-CN"/>
        </w:rPr>
        <w:t>的其他事项</w:t>
      </w:r>
      <w:r>
        <w:rPr>
          <w:rFonts w:hint="default" w:ascii="Times New Roman" w:hAnsi="Times New Roman" w:eastAsia="仿宋_GB2312" w:cs="Times New Roman"/>
          <w:color w:val="000000"/>
          <w:sz w:val="32"/>
          <w:szCs w:val="32"/>
        </w:rPr>
        <w:t>。</w:t>
      </w:r>
    </w:p>
    <w:p w14:paraId="54E8A5D3">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bookmarkStart w:id="9" w:name="_Toc18583"/>
      <w:r>
        <w:rPr>
          <w:rFonts w:hint="default" w:ascii="Times New Roman" w:hAnsi="Times New Roman" w:eastAsia="黑体" w:cs="Times New Roman"/>
          <w:b w:val="0"/>
          <w:color w:val="000000"/>
          <w:sz w:val="32"/>
          <w:szCs w:val="32"/>
          <w:lang w:val="en-US" w:eastAsia="zh-CN"/>
        </w:rPr>
        <w:t>二、机构设置</w:t>
      </w:r>
      <w:bookmarkEnd w:id="9"/>
    </w:p>
    <w:p w14:paraId="4A4F168A">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区妇联属行政单位，</w:t>
      </w:r>
      <w:r>
        <w:rPr>
          <w:rFonts w:hint="default" w:ascii="Times New Roman" w:hAnsi="Times New Roman" w:eastAsia="仿宋_GB2312" w:cs="Times New Roman"/>
          <w:color w:val="auto"/>
          <w:sz w:val="32"/>
          <w:szCs w:val="32"/>
          <w:lang w:val="en-US" w:eastAsia="zh-CN"/>
        </w:rPr>
        <w:t>内设</w:t>
      </w:r>
      <w:r>
        <w:rPr>
          <w:rFonts w:hint="eastAsia" w:ascii="Times New Roman" w:hAnsi="Times New Roman" w:eastAsia="仿宋_GB2312" w:cs="Times New Roman"/>
          <w:color w:val="auto"/>
          <w:sz w:val="32"/>
          <w:szCs w:val="32"/>
          <w:lang w:val="en-US" w:eastAsia="zh-CN"/>
        </w:rPr>
        <w:t>办公室及妇女儿童</w:t>
      </w:r>
      <w:r>
        <w:rPr>
          <w:rFonts w:hint="default" w:ascii="Times New Roman" w:hAnsi="Times New Roman" w:eastAsia="仿宋_GB2312" w:cs="Times New Roman"/>
          <w:color w:val="auto"/>
          <w:sz w:val="32"/>
          <w:szCs w:val="32"/>
          <w:lang w:val="en-US" w:eastAsia="zh-CN"/>
        </w:rPr>
        <w:t>事业发展中心；</w:t>
      </w:r>
      <w:r>
        <w:rPr>
          <w:rFonts w:hint="default" w:ascii="Times New Roman" w:hAnsi="Times New Roman" w:eastAsia="仿宋_GB2312" w:cs="Times New Roman"/>
          <w:sz w:val="32"/>
          <w:szCs w:val="32"/>
        </w:rPr>
        <w:t>区妇联下属二级单位0个，其中行政单位0个，参照公务员法管理的事业单位</w:t>
      </w:r>
      <w:r>
        <w:rPr>
          <w:rFonts w:hint="default" w:ascii="Times New Roman" w:hAnsi="Times New Roman" w:eastAsia="仿宋_GB2312" w:cs="Times New Roman"/>
          <w:bCs/>
          <w:sz w:val="32"/>
          <w:szCs w:val="32"/>
        </w:rPr>
        <w:t>0</w:t>
      </w:r>
      <w:r>
        <w:rPr>
          <w:rFonts w:hint="default" w:ascii="Times New Roman" w:hAnsi="Times New Roman" w:eastAsia="仿宋_GB2312" w:cs="Times New Roman"/>
          <w:sz w:val="32"/>
          <w:szCs w:val="32"/>
        </w:rPr>
        <w:t>个，其他事业单位0个。</w:t>
      </w:r>
    </w:p>
    <w:p w14:paraId="20EEBC61">
      <w:pPr>
        <w:pStyle w:val="6"/>
        <w:keepNext w:val="0"/>
        <w:keepLines w:val="0"/>
        <w:pageBreakBefore w:val="0"/>
        <w:widowControl w:val="0"/>
        <w:kinsoku/>
        <w:wordWrap/>
        <w:overflowPunct/>
        <w:topLinePunct w:val="0"/>
        <w:bidi w:val="0"/>
        <w:adjustRightInd w:val="0"/>
        <w:snapToGrid w:val="0"/>
        <w:spacing w:beforeLines="0"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没有纳入区妇联</w:t>
      </w:r>
      <w:r>
        <w:rPr>
          <w:rFonts w:hint="default" w:ascii="Times New Roman" w:hAnsi="Times New Roman" w:cs="Times New Roman"/>
          <w:color w:val="000000"/>
          <w:sz w:val="32"/>
          <w:szCs w:val="32"/>
          <w:lang w:eastAsia="zh-CN"/>
        </w:rPr>
        <w:t>2024年</w:t>
      </w:r>
      <w:r>
        <w:rPr>
          <w:rFonts w:hint="default" w:ascii="Times New Roman" w:hAnsi="Times New Roman" w:eastAsia="仿宋_GB2312" w:cs="Times New Roman"/>
          <w:color w:val="000000"/>
          <w:sz w:val="32"/>
          <w:szCs w:val="32"/>
        </w:rPr>
        <w:t xml:space="preserve">度部门决算编制范围的二级预算单位。 </w:t>
      </w:r>
    </w:p>
    <w:p w14:paraId="65A304CC">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b w:val="0"/>
          <w:color w:val="000000"/>
          <w:sz w:val="32"/>
          <w:szCs w:val="32"/>
        </w:rPr>
      </w:pPr>
      <w:bookmarkStart w:id="10" w:name="_Toc3473"/>
      <w:bookmarkStart w:id="11" w:name="_Toc15377204"/>
      <w:bookmarkStart w:id="12" w:name="_Toc15396602"/>
      <w:r>
        <w:rPr>
          <w:rFonts w:hint="default" w:ascii="Times New Roman" w:hAnsi="Times New Roman" w:eastAsia="仿宋_GB2312" w:cs="Times New Roman"/>
          <w:b w:val="0"/>
          <w:bCs w:val="0"/>
          <w:sz w:val="32"/>
          <w:szCs w:val="32"/>
        </w:rPr>
        <w:t>区妇联目前有主席</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名、副主席</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名、科员</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名，</w:t>
      </w:r>
      <w:r>
        <w:rPr>
          <w:rFonts w:hint="default" w:ascii="Times New Roman" w:hAnsi="Times New Roman" w:eastAsia="仿宋_GB2312" w:cs="Times New Roman"/>
          <w:sz w:val="32"/>
          <w:szCs w:val="32"/>
        </w:rPr>
        <w:t>事业</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名，</w:t>
      </w:r>
      <w:r>
        <w:rPr>
          <w:rFonts w:hint="default" w:ascii="Times New Roman" w:hAnsi="Times New Roman" w:eastAsia="仿宋_GB2312" w:cs="Times New Roman"/>
          <w:b w:val="0"/>
          <w:bCs w:val="0"/>
          <w:sz w:val="32"/>
          <w:szCs w:val="32"/>
        </w:rPr>
        <w:t>聘用人员（含公益性岗位）</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名。</w:t>
      </w:r>
    </w:p>
    <w:p w14:paraId="44BC20C4">
      <w:pPr>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sz w:val="32"/>
          <w:szCs w:val="32"/>
        </w:rPr>
        <w:br w:type="page"/>
      </w:r>
    </w:p>
    <w:p w14:paraId="74C201C8">
      <w:pPr>
        <w:pStyle w:val="2"/>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color w:val="000000"/>
          <w:sz w:val="44"/>
          <w:szCs w:val="44"/>
        </w:rPr>
        <w:t>第二部分</w:t>
      </w:r>
      <w:r>
        <w:rPr>
          <w:rFonts w:hint="default" w:ascii="Times New Roman" w:hAnsi="Times New Roman" w:eastAsia="方正小标宋简体" w:cs="Times New Roman"/>
          <w:b w:val="0"/>
          <w:bCs/>
          <w:color w:val="000000"/>
          <w:sz w:val="44"/>
          <w:szCs w:val="44"/>
          <w:lang w:val="en-US" w:eastAsia="zh-CN"/>
        </w:rPr>
        <w:t xml:space="preserve"> </w:t>
      </w:r>
      <w:r>
        <w:rPr>
          <w:rFonts w:hint="default" w:ascii="Times New Roman" w:hAnsi="Times New Roman" w:eastAsia="方正小标宋简体" w:cs="Times New Roman"/>
          <w:b w:val="0"/>
          <w:bCs/>
          <w:color w:val="000000"/>
          <w:sz w:val="44"/>
          <w:szCs w:val="44"/>
        </w:rPr>
        <w:t xml:space="preserve"> </w:t>
      </w:r>
      <w:r>
        <w:rPr>
          <w:rStyle w:val="25"/>
          <w:rFonts w:hint="default" w:ascii="Times New Roman" w:hAnsi="Times New Roman" w:eastAsia="方正小标宋简体" w:cs="Times New Roman"/>
          <w:b w:val="0"/>
          <w:bCs/>
          <w:sz w:val="44"/>
          <w:szCs w:val="44"/>
          <w:lang w:eastAsia="zh-CN"/>
        </w:rPr>
        <w:t>2024年</w:t>
      </w:r>
      <w:r>
        <w:rPr>
          <w:rStyle w:val="25"/>
          <w:rFonts w:hint="default" w:ascii="Times New Roman" w:hAnsi="Times New Roman" w:eastAsia="方正小标宋简体" w:cs="Times New Roman"/>
          <w:b w:val="0"/>
          <w:bCs/>
          <w:sz w:val="44"/>
          <w:szCs w:val="44"/>
        </w:rPr>
        <w:t>度部门决算情况说明</w:t>
      </w:r>
      <w:bookmarkEnd w:id="10"/>
      <w:bookmarkEnd w:id="11"/>
      <w:bookmarkEnd w:id="12"/>
    </w:p>
    <w:p w14:paraId="4B659F92">
      <w:pPr>
        <w:keepNext w:val="0"/>
        <w:keepLines w:val="0"/>
        <w:pageBreakBefore w:val="0"/>
        <w:widowControl w:val="0"/>
        <w:kinsoku/>
        <w:wordWrap/>
        <w:overflowPunct/>
        <w:topLinePunct w:val="0"/>
        <w:bidi w:val="0"/>
        <w:spacing w:line="560" w:lineRule="exact"/>
        <w:ind w:left="0" w:leftChars="0" w:right="0" w:firstLine="632" w:firstLineChars="200"/>
        <w:jc w:val="both"/>
        <w:rPr>
          <w:rStyle w:val="26"/>
          <w:rFonts w:hint="default" w:ascii="Times New Roman" w:hAnsi="Times New Roman" w:eastAsia="仿宋_GB2312" w:cs="Times New Roman"/>
          <w:b/>
          <w:bCs w:val="0"/>
          <w:sz w:val="32"/>
          <w:szCs w:val="32"/>
          <w:lang w:eastAsia="zh-CN"/>
        </w:rPr>
      </w:pPr>
      <w:bookmarkStart w:id="13" w:name="_Toc15396603"/>
      <w:bookmarkStart w:id="14" w:name="_Toc15377205"/>
      <w:bookmarkStart w:id="15" w:name="_Toc9473"/>
    </w:p>
    <w:p w14:paraId="5FD95472">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w:t>
      </w:r>
      <w:bookmarkEnd w:id="13"/>
      <w:bookmarkEnd w:id="14"/>
      <w:r>
        <w:rPr>
          <w:rFonts w:hint="default" w:ascii="Times New Roman" w:hAnsi="Times New Roman" w:eastAsia="黑体" w:cs="Times New Roman"/>
          <w:b w:val="0"/>
          <w:color w:val="000000"/>
          <w:sz w:val="32"/>
          <w:szCs w:val="32"/>
          <w:lang w:val="en-US" w:eastAsia="zh-CN"/>
        </w:rPr>
        <w:t>收入支出决算总体情况情况。</w:t>
      </w:r>
    </w:p>
    <w:bookmarkEnd w:id="15"/>
    <w:p w14:paraId="61B8539D">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区妇联</w:t>
      </w: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度收</w:t>
      </w:r>
      <w:r>
        <w:rPr>
          <w:rFonts w:hint="default"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支</w:t>
      </w:r>
      <w:r>
        <w:rPr>
          <w:rFonts w:hint="default" w:ascii="Times New Roman" w:hAnsi="Times New Roman" w:eastAsia="仿宋_GB2312" w:cs="Times New Roman"/>
          <w:color w:val="000000"/>
          <w:sz w:val="32"/>
          <w:szCs w:val="32"/>
          <w:lang w:val="en-US" w:eastAsia="zh-CN"/>
        </w:rPr>
        <w:t>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223.19</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度收</w:t>
      </w:r>
      <w:r>
        <w:rPr>
          <w:rFonts w:hint="default"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支</w:t>
      </w:r>
      <w:r>
        <w:rPr>
          <w:rFonts w:hint="default" w:ascii="Times New Roman" w:hAnsi="Times New Roman" w:eastAsia="仿宋_GB2312" w:cs="Times New Roman"/>
          <w:color w:val="000000"/>
          <w:sz w:val="32"/>
          <w:szCs w:val="32"/>
          <w:lang w:val="en-US" w:eastAsia="zh-CN"/>
        </w:rPr>
        <w:t>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287.86</w:t>
      </w:r>
      <w:r>
        <w:rPr>
          <w:rFonts w:hint="default" w:ascii="Times New Roman" w:hAnsi="Times New Roman" w:eastAsia="仿宋_GB2312" w:cs="Times New Roman"/>
          <w:color w:val="000000"/>
          <w:sz w:val="32"/>
          <w:szCs w:val="32"/>
        </w:rPr>
        <w:t>万元与</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相比，收、支总计</w:t>
      </w:r>
      <w:r>
        <w:rPr>
          <w:rFonts w:hint="default" w:ascii="Times New Roman" w:hAnsi="Times New Roman" w:eastAsia="仿宋_GB2312" w:cs="Times New Roman"/>
          <w:color w:val="000000"/>
          <w:sz w:val="32"/>
          <w:szCs w:val="32"/>
          <w:lang w:val="en-US" w:eastAsia="zh-CN"/>
        </w:rPr>
        <w:t>减少64.67</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下降22.46</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val="en-US" w:eastAsia="zh-CN"/>
        </w:rPr>
        <w:t>2024年减少儿童之家运维项目导致下降</w:t>
      </w:r>
      <w:r>
        <w:rPr>
          <w:rFonts w:hint="default" w:ascii="Times New Roman" w:hAnsi="Times New Roman" w:eastAsia="仿宋_GB2312" w:cs="Times New Roman"/>
          <w:color w:val="000000"/>
          <w:sz w:val="32"/>
          <w:szCs w:val="32"/>
        </w:rPr>
        <w:t>。</w:t>
      </w:r>
    </w:p>
    <w:p w14:paraId="422D424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0" w:firstLineChars="0"/>
        <w:jc w:val="center"/>
        <w:textAlignment w:val="auto"/>
        <w:outlineLvl w:val="1"/>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drawing>
          <wp:inline distT="0" distB="0" distL="114300" distR="114300">
            <wp:extent cx="5080000" cy="3237230"/>
            <wp:effectExtent l="4445" t="4445" r="20955" b="1587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F02FBD">
      <w:pPr>
        <w:pStyle w:val="14"/>
        <w:keepNext w:val="0"/>
        <w:keepLines w:val="0"/>
        <w:pageBreakBefore w:val="0"/>
        <w:widowControl w:val="0"/>
        <w:kinsoku/>
        <w:wordWrap/>
        <w:overflowPunct/>
        <w:topLinePunct w:val="0"/>
        <w:bidi w:val="0"/>
        <w:spacing w:line="560" w:lineRule="exact"/>
        <w:ind w:left="0" w:leftChars="0" w:right="0" w:firstLine="592" w:firstLineChars="200"/>
        <w:jc w:val="center"/>
        <w:rPr>
          <w:rFonts w:hint="default" w:ascii="Times New Roman" w:hAnsi="Times New Roman" w:eastAsia="黑体" w:cs="Times New Roman"/>
          <w:b w:val="0"/>
          <w:color w:val="000000"/>
          <w:sz w:val="32"/>
          <w:szCs w:val="32"/>
          <w:lang w:val="en-US" w:eastAsia="zh-CN"/>
        </w:rPr>
      </w:pPr>
      <w:bookmarkStart w:id="16" w:name="_Toc19057"/>
      <w:r>
        <w:rPr>
          <w:rFonts w:hint="default" w:ascii="Times New Roman" w:hAnsi="Times New Roman" w:eastAsia="楷体_GB2312" w:cs="Times New Roman"/>
          <w:b/>
          <w:bCs/>
          <w:sz w:val="30"/>
          <w:szCs w:val="30"/>
          <w:lang w:eastAsia="zh-CN"/>
        </w:rPr>
        <w:t>（</w:t>
      </w:r>
      <w:r>
        <w:rPr>
          <w:rFonts w:hint="default" w:ascii="Times New Roman" w:hAnsi="Times New Roman" w:eastAsia="楷体_GB2312" w:cs="Times New Roman"/>
          <w:b/>
          <w:bCs/>
          <w:color w:val="auto"/>
          <w:sz w:val="30"/>
          <w:szCs w:val="30"/>
          <w:highlight w:val="none"/>
        </w:rPr>
        <w:t>图1：</w:t>
      </w:r>
      <w:r>
        <w:rPr>
          <w:rFonts w:hint="default" w:ascii="Times New Roman" w:hAnsi="Times New Roman" w:eastAsia="楷体_GB2312" w:cs="Times New Roman"/>
          <w:b/>
          <w:bCs/>
          <w:color w:val="auto"/>
          <w:sz w:val="30"/>
          <w:szCs w:val="30"/>
          <w:highlight w:val="none"/>
          <w:lang w:eastAsia="zh-CN"/>
        </w:rPr>
        <w:t>收入</w:t>
      </w:r>
      <w:r>
        <w:rPr>
          <w:rFonts w:hint="default" w:ascii="Times New Roman" w:hAnsi="Times New Roman" w:eastAsia="楷体_GB2312" w:cs="Times New Roman"/>
          <w:b/>
          <w:bCs/>
          <w:color w:val="auto"/>
          <w:sz w:val="30"/>
          <w:szCs w:val="30"/>
          <w:highlight w:val="none"/>
        </w:rPr>
        <w:t>、</w:t>
      </w:r>
      <w:r>
        <w:rPr>
          <w:rFonts w:hint="default" w:ascii="Times New Roman" w:hAnsi="Times New Roman" w:eastAsia="楷体_GB2312" w:cs="Times New Roman"/>
          <w:b/>
          <w:bCs/>
          <w:color w:val="auto"/>
          <w:sz w:val="30"/>
          <w:szCs w:val="30"/>
          <w:highlight w:val="none"/>
          <w:lang w:eastAsia="zh-CN"/>
        </w:rPr>
        <w:t>支出</w:t>
      </w:r>
      <w:r>
        <w:rPr>
          <w:rFonts w:hint="default" w:ascii="Times New Roman" w:hAnsi="Times New Roman" w:eastAsia="楷体_GB2312" w:cs="Times New Roman"/>
          <w:b/>
          <w:bCs/>
          <w:color w:val="auto"/>
          <w:sz w:val="30"/>
          <w:szCs w:val="30"/>
          <w:highlight w:val="none"/>
        </w:rPr>
        <w:t>决算总计变动情况图</w:t>
      </w:r>
      <w:r>
        <w:rPr>
          <w:rFonts w:hint="default" w:ascii="Times New Roman" w:hAnsi="Times New Roman" w:eastAsia="楷体_GB2312" w:cs="Times New Roman"/>
          <w:b/>
          <w:bCs/>
          <w:sz w:val="30"/>
          <w:szCs w:val="30"/>
          <w:lang w:eastAsia="zh-CN"/>
        </w:rPr>
        <w:t>）</w:t>
      </w:r>
    </w:p>
    <w:p w14:paraId="5394AE51">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p>
    <w:p w14:paraId="78ECC0C7">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二、决算收入情况说明</w:t>
      </w:r>
      <w:bookmarkEnd w:id="16"/>
    </w:p>
    <w:p w14:paraId="2C1A01CC">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2024年妇联</w:t>
      </w:r>
      <w:r>
        <w:rPr>
          <w:rFonts w:hint="default" w:ascii="Times New Roman" w:hAnsi="Times New Roman" w:eastAsia="仿宋_GB2312" w:cs="Times New Roman"/>
          <w:color w:val="000000"/>
          <w:sz w:val="32"/>
          <w:szCs w:val="32"/>
        </w:rPr>
        <w:t>本年收入合计</w:t>
      </w:r>
      <w:r>
        <w:rPr>
          <w:rFonts w:hint="default" w:ascii="Times New Roman" w:hAnsi="Times New Roman" w:eastAsia="仿宋_GB2312" w:cs="Times New Roman"/>
          <w:color w:val="000000"/>
          <w:sz w:val="32"/>
          <w:szCs w:val="32"/>
          <w:lang w:val="en-US" w:eastAsia="zh-CN"/>
        </w:rPr>
        <w:t>223.19万元</w:t>
      </w: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color w:val="000000"/>
          <w:sz w:val="32"/>
          <w:szCs w:val="32"/>
          <w:shd w:val="clear" w:color="auto" w:fill="auto"/>
        </w:rPr>
        <w:t>一</w:t>
      </w:r>
      <w:r>
        <w:rPr>
          <w:rFonts w:hint="default" w:ascii="Times New Roman" w:hAnsi="Times New Roman" w:eastAsia="仿宋_GB2312" w:cs="Times New Roman"/>
          <w:color w:val="000000"/>
          <w:sz w:val="32"/>
          <w:szCs w:val="32"/>
          <w:shd w:val="clear" w:color="auto" w:fill="auto"/>
          <w:lang w:eastAsia="zh-CN"/>
        </w:rPr>
        <w:t>般</w:t>
      </w:r>
      <w:r>
        <w:rPr>
          <w:rFonts w:hint="default" w:ascii="Times New Roman" w:hAnsi="Times New Roman" w:eastAsia="仿宋_GB2312" w:cs="Times New Roman"/>
          <w:color w:val="000000"/>
          <w:sz w:val="32"/>
          <w:szCs w:val="32"/>
          <w:shd w:val="clear" w:color="auto" w:fill="auto"/>
        </w:rPr>
        <w:t>公共预算财政拨款收入</w:t>
      </w:r>
      <w:r>
        <w:rPr>
          <w:rFonts w:hint="default" w:ascii="Times New Roman" w:hAnsi="Times New Roman" w:eastAsia="仿宋_GB2312" w:cs="Times New Roman"/>
          <w:color w:val="000000"/>
          <w:sz w:val="32"/>
          <w:szCs w:val="32"/>
          <w:shd w:val="clear" w:color="auto" w:fill="auto"/>
          <w:lang w:val="en-US" w:eastAsia="zh-CN"/>
        </w:rPr>
        <w:t>223.19万元</w:t>
      </w:r>
      <w:r>
        <w:rPr>
          <w:rFonts w:hint="default" w:ascii="Times New Roman" w:hAnsi="Times New Roman" w:eastAsia="仿宋_GB2312" w:cs="Times New Roman"/>
          <w:color w:val="000000"/>
          <w:sz w:val="32"/>
          <w:szCs w:val="32"/>
          <w:shd w:val="clear" w:color="auto" w:fill="auto"/>
        </w:rPr>
        <w:t>，占</w:t>
      </w:r>
      <w:r>
        <w:rPr>
          <w:rFonts w:hint="default" w:ascii="Times New Roman" w:hAnsi="Times New Roman" w:eastAsia="仿宋_GB2312" w:cs="Times New Roman"/>
          <w:color w:val="000000"/>
          <w:sz w:val="32"/>
          <w:szCs w:val="32"/>
          <w:shd w:val="clear" w:color="auto" w:fill="auto"/>
          <w:lang w:val="en-US" w:eastAsia="zh-CN"/>
        </w:rPr>
        <w:t>100</w:t>
      </w:r>
      <w:r>
        <w:rPr>
          <w:rFonts w:hint="default" w:ascii="Times New Roman" w:hAnsi="Times New Roman" w:eastAsia="仿宋_GB2312" w:cs="Times New Roman"/>
          <w:color w:val="000000"/>
          <w:sz w:val="32"/>
          <w:szCs w:val="32"/>
          <w:shd w:val="clear" w:color="auto" w:fill="auto"/>
        </w:rPr>
        <w:t>%；政府性基金预算财政拨款收入</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万元，占</w:t>
      </w:r>
      <w:r>
        <w:rPr>
          <w:rFonts w:hint="default" w:ascii="Times New Roman" w:hAnsi="Times New Roman" w:eastAsia="仿宋_GB2312" w:cs="Times New Roman"/>
          <w:color w:val="000000"/>
          <w:sz w:val="32"/>
          <w:szCs w:val="32"/>
          <w:shd w:val="clear" w:color="auto" w:fill="auto"/>
          <w:lang w:val="en-US" w:eastAsia="zh-CN"/>
        </w:rPr>
        <w:t>0</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rPr>
        <w:t>。</w:t>
      </w:r>
    </w:p>
    <w:p w14:paraId="2B5074C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drawing>
          <wp:inline distT="0" distB="0" distL="114300" distR="114300">
            <wp:extent cx="5080000" cy="2353310"/>
            <wp:effectExtent l="4445" t="4445" r="20955"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E1DFD1">
      <w:pPr>
        <w:pStyle w:val="14"/>
        <w:jc w:val="center"/>
        <w:rPr>
          <w:rFonts w:hint="default" w:ascii="Times New Roman" w:hAnsi="Times New Roman" w:eastAsia="楷体_GB2312" w:cs="Times New Roman"/>
          <w:b/>
          <w:bCs/>
          <w:sz w:val="30"/>
          <w:szCs w:val="30"/>
        </w:rPr>
      </w:pPr>
      <w:r>
        <w:rPr>
          <w:rFonts w:hint="default" w:ascii="Times New Roman" w:hAnsi="Times New Roman" w:eastAsia="楷体_GB2312" w:cs="Times New Roman"/>
          <w:b/>
          <w:bCs/>
          <w:color w:val="auto"/>
          <w:sz w:val="30"/>
          <w:szCs w:val="30"/>
          <w:highlight w:val="none"/>
          <w:lang w:eastAsia="zh-CN"/>
        </w:rPr>
        <w:t>（图2：收入决算结构图）</w:t>
      </w:r>
    </w:p>
    <w:p w14:paraId="7DA4BB3B">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bookmarkStart w:id="17" w:name="_Toc3340"/>
      <w:bookmarkStart w:id="18" w:name="_Toc15377207"/>
      <w:bookmarkStart w:id="19" w:name="_Toc15396605"/>
      <w:r>
        <w:rPr>
          <w:rFonts w:hint="default" w:ascii="Times New Roman" w:hAnsi="Times New Roman" w:eastAsia="黑体" w:cs="Times New Roman"/>
          <w:b w:val="0"/>
          <w:color w:val="000000"/>
          <w:sz w:val="32"/>
          <w:szCs w:val="32"/>
          <w:lang w:val="en-US" w:eastAsia="zh-CN"/>
        </w:rPr>
        <w:t>三、决算支出情况说明</w:t>
      </w:r>
      <w:bookmarkEnd w:id="17"/>
      <w:bookmarkEnd w:id="18"/>
      <w:bookmarkEnd w:id="19"/>
    </w:p>
    <w:p w14:paraId="6DEA134F">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14:textFill>
            <w14:noFill/>
          </w14:textFill>
        </w:rPr>
      </w:pPr>
      <w:r>
        <w:rPr>
          <w:rFonts w:hint="default" w:ascii="Times New Roman" w:hAnsi="Times New Roman" w:eastAsia="仿宋_GB2312" w:cs="Times New Roman"/>
          <w:color w:val="000000"/>
          <w:sz w:val="32"/>
          <w:szCs w:val="32"/>
          <w:lang w:eastAsia="zh-CN"/>
        </w:rPr>
        <w:t>2024年妇联</w:t>
      </w:r>
      <w:r>
        <w:rPr>
          <w:rFonts w:hint="default" w:ascii="Times New Roman" w:hAnsi="Times New Roman" w:eastAsia="仿宋_GB2312" w:cs="Times New Roman"/>
          <w:color w:val="000000"/>
          <w:sz w:val="32"/>
          <w:szCs w:val="32"/>
        </w:rPr>
        <w:t>本年支出合计</w:t>
      </w:r>
      <w:r>
        <w:rPr>
          <w:rFonts w:hint="default" w:ascii="Times New Roman" w:hAnsi="Times New Roman" w:eastAsia="仿宋_GB2312" w:cs="Times New Roman"/>
          <w:color w:val="000000"/>
          <w:sz w:val="32"/>
          <w:szCs w:val="32"/>
          <w:lang w:val="en-US" w:eastAsia="zh-CN"/>
        </w:rPr>
        <w:t>223.19万元</w:t>
      </w:r>
      <w:r>
        <w:rPr>
          <w:rFonts w:hint="default" w:ascii="Times New Roman" w:hAnsi="Times New Roman" w:eastAsia="仿宋_GB2312" w:cs="Times New Roman"/>
          <w:color w:val="000000"/>
          <w:sz w:val="32"/>
          <w:szCs w:val="32"/>
        </w:rPr>
        <w:t>，其中：基本支出</w:t>
      </w:r>
      <w:r>
        <w:rPr>
          <w:rFonts w:hint="default" w:ascii="Times New Roman" w:hAnsi="Times New Roman" w:eastAsia="仿宋_GB2312" w:cs="Times New Roman"/>
          <w:color w:val="000000"/>
          <w:sz w:val="32"/>
          <w:szCs w:val="32"/>
          <w:lang w:val="en-US" w:eastAsia="zh-CN"/>
        </w:rPr>
        <w:t>106.28</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47.62%</w:t>
      </w:r>
      <w:r>
        <w:rPr>
          <w:rFonts w:hint="default" w:ascii="Times New Roman" w:hAnsi="Times New Roman" w:eastAsia="仿宋_GB2312" w:cs="Times New Roman"/>
          <w:color w:val="000000"/>
          <w:sz w:val="32"/>
          <w:szCs w:val="32"/>
        </w:rPr>
        <w:t>；项目支出</w:t>
      </w:r>
      <w:r>
        <w:rPr>
          <w:rFonts w:hint="default" w:ascii="Times New Roman" w:hAnsi="Times New Roman" w:eastAsia="仿宋_GB2312" w:cs="Times New Roman"/>
          <w:color w:val="000000"/>
          <w:sz w:val="32"/>
          <w:szCs w:val="32"/>
          <w:lang w:val="en-US" w:eastAsia="zh-CN"/>
        </w:rPr>
        <w:t>116.91万元</w:t>
      </w:r>
      <w:r>
        <w:rPr>
          <w:rFonts w:hint="default" w:ascii="Times New Roman" w:hAnsi="Times New Roman" w:eastAsia="仿宋_GB2312" w:cs="Times New Roman"/>
          <w:color w:val="000000"/>
          <w:sz w:val="32"/>
          <w:szCs w:val="32"/>
        </w:rPr>
        <w:t>，占</w:t>
      </w:r>
      <w:r>
        <w:rPr>
          <w:rFonts w:hint="default" w:ascii="Times New Roman" w:hAnsi="Times New Roman" w:eastAsia="仿宋_GB2312" w:cs="Times New Roman"/>
          <w:color w:val="000000"/>
          <w:sz w:val="32"/>
          <w:szCs w:val="32"/>
          <w:lang w:val="en-US" w:eastAsia="zh-CN"/>
        </w:rPr>
        <w:t>52.38</w:t>
      </w:r>
      <w:r>
        <w:rPr>
          <w:rFonts w:hint="default" w:ascii="Times New Roman" w:hAnsi="Times New Roman" w:eastAsia="仿宋_GB2312" w:cs="Times New Roman"/>
          <w:color w:val="000000"/>
          <w:sz w:val="32"/>
          <w:szCs w:val="32"/>
        </w:rPr>
        <w:t>%；上缴上级支出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%；经营支出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%；对附属单位补助支出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14:paraId="79719C7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drawing>
          <wp:inline distT="0" distB="0" distL="114300" distR="114300">
            <wp:extent cx="5080000" cy="2581275"/>
            <wp:effectExtent l="4445" t="4445" r="5715"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B1CD18">
      <w:pPr>
        <w:pStyle w:val="14"/>
        <w:jc w:val="center"/>
        <w:rPr>
          <w:rFonts w:hint="default" w:ascii="Times New Roman" w:hAnsi="Times New Roman" w:eastAsia="楷体_GB2312" w:cs="Times New Roman"/>
          <w:b/>
          <w:bCs/>
          <w:sz w:val="30"/>
          <w:szCs w:val="30"/>
        </w:rPr>
      </w:pPr>
      <w:r>
        <w:rPr>
          <w:rFonts w:hint="default" w:ascii="Times New Roman" w:hAnsi="Times New Roman" w:eastAsia="楷体_GB2312" w:cs="Times New Roman"/>
          <w:b/>
          <w:bCs/>
          <w:color w:val="auto"/>
          <w:sz w:val="30"/>
          <w:szCs w:val="30"/>
          <w:highlight w:val="none"/>
          <w:lang w:eastAsia="zh-CN"/>
        </w:rPr>
        <w:t>（图3：支出决算结构图）</w:t>
      </w:r>
    </w:p>
    <w:p w14:paraId="4A511726">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四、财政拨款收入支出决算总体情况说明</w:t>
      </w:r>
    </w:p>
    <w:p w14:paraId="23D3E8F4">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区妇联</w:t>
      </w: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度收</w:t>
      </w:r>
      <w:r>
        <w:rPr>
          <w:rFonts w:hint="default"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支</w:t>
      </w:r>
      <w:r>
        <w:rPr>
          <w:rFonts w:hint="default" w:ascii="Times New Roman" w:hAnsi="Times New Roman" w:eastAsia="仿宋_GB2312" w:cs="Times New Roman"/>
          <w:color w:val="000000"/>
          <w:sz w:val="32"/>
          <w:szCs w:val="32"/>
          <w:lang w:val="en-US" w:eastAsia="zh-CN"/>
        </w:rPr>
        <w:t>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223.19</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度收</w:t>
      </w:r>
      <w:r>
        <w:rPr>
          <w:rFonts w:hint="default"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支</w:t>
      </w:r>
      <w:r>
        <w:rPr>
          <w:rFonts w:hint="default" w:ascii="Times New Roman" w:hAnsi="Times New Roman" w:eastAsia="仿宋_GB2312" w:cs="Times New Roman"/>
          <w:color w:val="000000"/>
          <w:sz w:val="32"/>
          <w:szCs w:val="32"/>
          <w:lang w:val="en-US" w:eastAsia="zh-CN"/>
        </w:rPr>
        <w:t>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287.86</w:t>
      </w:r>
      <w:r>
        <w:rPr>
          <w:rFonts w:hint="default" w:ascii="Times New Roman" w:hAnsi="Times New Roman" w:eastAsia="仿宋_GB2312" w:cs="Times New Roman"/>
          <w:color w:val="000000"/>
          <w:sz w:val="32"/>
          <w:szCs w:val="32"/>
        </w:rPr>
        <w:t>万元与</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相比，收、支总计</w:t>
      </w:r>
      <w:r>
        <w:rPr>
          <w:rFonts w:hint="default" w:ascii="Times New Roman" w:hAnsi="Times New Roman" w:eastAsia="仿宋_GB2312" w:cs="Times New Roman"/>
          <w:color w:val="000000"/>
          <w:sz w:val="32"/>
          <w:szCs w:val="32"/>
          <w:lang w:val="en-US" w:eastAsia="zh-CN"/>
        </w:rPr>
        <w:t>减少64.67</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下降22.46</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val="en-US" w:eastAsia="zh-CN"/>
        </w:rPr>
        <w:t>2024年减少儿童之家项目导致下降</w:t>
      </w:r>
      <w:r>
        <w:rPr>
          <w:rFonts w:hint="default" w:ascii="Times New Roman" w:hAnsi="Times New Roman" w:eastAsia="仿宋_GB2312" w:cs="Times New Roman"/>
          <w:color w:val="000000"/>
          <w:sz w:val="32"/>
          <w:szCs w:val="32"/>
        </w:rPr>
        <w:t>。</w:t>
      </w:r>
    </w:p>
    <w:p w14:paraId="63073C17">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p>
    <w:p w14:paraId="1E56D3F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drawing>
          <wp:inline distT="0" distB="0" distL="114300" distR="114300">
            <wp:extent cx="4727575" cy="3315335"/>
            <wp:effectExtent l="4445" t="4445" r="11430" b="13970"/>
            <wp:docPr id="6" name="图表 6"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CDE1C7">
      <w:pPr>
        <w:pStyle w:val="14"/>
        <w:keepNext w:val="0"/>
        <w:keepLines w:val="0"/>
        <w:pageBreakBefore w:val="0"/>
        <w:widowControl w:val="0"/>
        <w:kinsoku/>
        <w:wordWrap/>
        <w:overflowPunct/>
        <w:topLinePunct w:val="0"/>
        <w:bidi w:val="0"/>
        <w:spacing w:line="560" w:lineRule="exact"/>
        <w:ind w:left="0" w:leftChars="0" w:right="0" w:firstLine="592" w:firstLineChars="200"/>
        <w:jc w:val="center"/>
        <w:rPr>
          <w:rFonts w:hint="default" w:ascii="Times New Roman" w:hAnsi="Times New Roman" w:eastAsia="楷体_GB2312" w:cs="Times New Roman"/>
          <w:b/>
          <w:bCs/>
          <w:color w:val="000000"/>
          <w:sz w:val="30"/>
          <w:szCs w:val="30"/>
          <w:lang w:val="en-US" w:eastAsia="zh-CN"/>
        </w:rPr>
      </w:pPr>
      <w:r>
        <w:rPr>
          <w:rFonts w:hint="default" w:ascii="Times New Roman" w:hAnsi="Times New Roman" w:eastAsia="楷体_GB2312" w:cs="Times New Roman"/>
          <w:b/>
          <w:bCs/>
          <w:color w:val="auto"/>
          <w:kern w:val="2"/>
          <w:sz w:val="30"/>
          <w:szCs w:val="30"/>
          <w:highlight w:val="none"/>
          <w:lang w:val="en-US" w:eastAsia="zh-CN" w:bidi="ar-SA"/>
        </w:rPr>
        <w:t>（图4：财政拨款收、支决算总计变动情况）</w:t>
      </w:r>
    </w:p>
    <w:p w14:paraId="646BF5FB">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b w:val="0"/>
          <w:color w:val="000000"/>
          <w:sz w:val="32"/>
          <w:szCs w:val="32"/>
          <w:lang w:val="en-US" w:eastAsia="zh-CN"/>
        </w:rPr>
        <w:t>五、一般公共预算财政拨款支出决算具体情况</w:t>
      </w:r>
    </w:p>
    <w:p w14:paraId="69CFEE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32"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（一）一般公共预算财政拨款支出决算总体情况</w:t>
      </w:r>
    </w:p>
    <w:p w14:paraId="63FC8C1C">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2024年一般公共预算财政拨款支出223.19万元，占本年支出合计的100%。</w:t>
      </w:r>
      <w:r>
        <w:rPr>
          <w:rFonts w:hint="eastAsia" w:ascii="Times New Roman" w:hAnsi="Times New Roman" w:eastAsia="仿宋_GB2312" w:cs="Times New Roman"/>
          <w:color w:val="000000"/>
          <w:sz w:val="32"/>
          <w:szCs w:val="32"/>
          <w:lang w:val="en-US" w:eastAsia="zh-CN"/>
        </w:rPr>
        <w:t>与</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相比，</w:t>
      </w:r>
      <w:r>
        <w:rPr>
          <w:rFonts w:hint="default" w:ascii="Times New Roman" w:hAnsi="Times New Roman" w:eastAsia="仿宋_GB2312" w:cs="Times New Roman"/>
          <w:color w:val="000000"/>
          <w:sz w:val="32"/>
          <w:szCs w:val="32"/>
          <w:lang w:eastAsia="zh-CN"/>
        </w:rPr>
        <w:t>一般公共预算财政拨款支出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减少64.67</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下降22.46</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val="en-US" w:eastAsia="zh-CN"/>
        </w:rPr>
        <w:t>2024年减少儿童之家运维项目导致下降</w:t>
      </w:r>
      <w:r>
        <w:rPr>
          <w:rFonts w:hint="default" w:ascii="Times New Roman" w:hAnsi="Times New Roman" w:eastAsia="仿宋_GB2312" w:cs="Times New Roman"/>
          <w:color w:val="000000"/>
          <w:sz w:val="32"/>
          <w:szCs w:val="32"/>
        </w:rPr>
        <w:t>。</w:t>
      </w:r>
    </w:p>
    <w:p w14:paraId="20D4EA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val="en-US" w:eastAsia="zh-CN"/>
        </w:rPr>
      </w:pPr>
    </w:p>
    <w:p w14:paraId="517EA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val="en-US" w:eastAsia="zh-CN"/>
        </w:rPr>
      </w:pPr>
    </w:p>
    <w:p w14:paraId="780C41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drawing>
          <wp:anchor distT="0" distB="0" distL="114300" distR="114300" simplePos="0" relativeHeight="251659264" behindDoc="0" locked="0" layoutInCell="1" allowOverlap="1">
            <wp:simplePos x="0" y="0"/>
            <wp:positionH relativeFrom="column">
              <wp:posOffset>306070</wp:posOffset>
            </wp:positionH>
            <wp:positionV relativeFrom="paragraph">
              <wp:posOffset>41910</wp:posOffset>
            </wp:positionV>
            <wp:extent cx="5080000" cy="3237230"/>
            <wp:effectExtent l="4445" t="4445" r="20955" b="1587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48CE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val="en-US" w:eastAsia="zh-CN"/>
        </w:rPr>
      </w:pPr>
    </w:p>
    <w:p w14:paraId="1BE18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val="en-US" w:eastAsia="zh-CN"/>
        </w:rPr>
      </w:pPr>
    </w:p>
    <w:p w14:paraId="0D0B1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eastAsia="zh-CN"/>
        </w:rPr>
      </w:pPr>
    </w:p>
    <w:p w14:paraId="3D92B7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eastAsia="zh-CN"/>
        </w:rPr>
      </w:pPr>
    </w:p>
    <w:p w14:paraId="4F73E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eastAsia="zh-CN"/>
        </w:rPr>
      </w:pPr>
    </w:p>
    <w:p w14:paraId="3AAB8C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val="en-US" w:eastAsia="zh-CN"/>
        </w:rPr>
      </w:pPr>
    </w:p>
    <w:p w14:paraId="79E67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b w:val="0"/>
          <w:bCs w:val="0"/>
          <w:color w:val="000000"/>
          <w:sz w:val="32"/>
          <w:szCs w:val="32"/>
          <w:lang w:val="en-US" w:eastAsia="zh-CN"/>
        </w:rPr>
      </w:pPr>
    </w:p>
    <w:p w14:paraId="082ACC20">
      <w:pPr>
        <w:pStyle w:val="20"/>
        <w:rPr>
          <w:rFonts w:hint="default" w:ascii="Times New Roman" w:hAnsi="Times New Roman" w:eastAsia="仿宋_GB2312" w:cs="Times New Roman"/>
          <w:b w:val="0"/>
          <w:bCs w:val="0"/>
          <w:color w:val="000000"/>
          <w:sz w:val="32"/>
          <w:szCs w:val="32"/>
          <w:lang w:val="en-US" w:eastAsia="zh-CN"/>
        </w:rPr>
      </w:pPr>
    </w:p>
    <w:p w14:paraId="407C2B5B">
      <w:pPr>
        <w:rPr>
          <w:rFonts w:hint="default" w:ascii="Times New Roman" w:hAnsi="Times New Roman" w:cs="Times New Roman"/>
          <w:lang w:val="en-US" w:eastAsia="zh-CN"/>
        </w:rPr>
      </w:pPr>
    </w:p>
    <w:p w14:paraId="79BA538E">
      <w:pPr>
        <w:pStyle w:val="14"/>
        <w:jc w:val="center"/>
        <w:rPr>
          <w:rFonts w:hint="default" w:ascii="Times New Roman" w:hAnsi="Times New Roman" w:eastAsia="楷体_GB2312" w:cs="Times New Roman"/>
          <w:b/>
          <w:bCs/>
          <w:sz w:val="30"/>
          <w:szCs w:val="30"/>
          <w:lang w:val="en-US" w:eastAsia="zh-CN"/>
        </w:rPr>
      </w:pPr>
      <w:r>
        <w:rPr>
          <w:rFonts w:hint="default" w:ascii="Times New Roman" w:hAnsi="Times New Roman" w:eastAsia="楷体_GB2312" w:cs="Times New Roman"/>
          <w:b/>
          <w:bCs/>
          <w:color w:val="auto"/>
          <w:kern w:val="2"/>
          <w:sz w:val="30"/>
          <w:szCs w:val="30"/>
          <w:highlight w:val="none"/>
          <w:lang w:val="en-US" w:eastAsia="zh-CN" w:bidi="ar-SA"/>
        </w:rPr>
        <w:t>（图5：一般公共预算财政拨款支出决算变动情况）</w:t>
      </w:r>
    </w:p>
    <w:p w14:paraId="3E022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（二）一般公共预算财政拨款支出决算结构情况</w:t>
      </w:r>
    </w:p>
    <w:p w14:paraId="116590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一般公共预算财政拨款支出</w:t>
      </w:r>
      <w:r>
        <w:rPr>
          <w:rFonts w:hint="default" w:ascii="Times New Roman" w:hAnsi="Times New Roman" w:eastAsia="仿宋_GB2312" w:cs="Times New Roman"/>
          <w:color w:val="000000"/>
          <w:sz w:val="32"/>
          <w:szCs w:val="32"/>
          <w:lang w:val="en-US" w:eastAsia="zh-CN"/>
        </w:rPr>
        <w:t>223.19万元</w:t>
      </w:r>
      <w:r>
        <w:rPr>
          <w:rFonts w:hint="default" w:ascii="Times New Roman" w:hAnsi="Times New Roman" w:eastAsia="仿宋_GB2312" w:cs="Times New Roman"/>
          <w:color w:val="000000"/>
          <w:sz w:val="32"/>
          <w:szCs w:val="32"/>
        </w:rPr>
        <w:t>，主要用于以下方面:一般公共服务支出</w:t>
      </w:r>
      <w:r>
        <w:rPr>
          <w:rFonts w:hint="default" w:ascii="Times New Roman" w:hAnsi="Times New Roman" w:eastAsia="仿宋_GB2312" w:cs="Times New Roman"/>
          <w:color w:val="000000"/>
          <w:sz w:val="32"/>
          <w:szCs w:val="32"/>
          <w:lang w:val="en-US" w:eastAsia="zh-CN"/>
        </w:rPr>
        <w:t>188.05</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84.25</w:t>
      </w:r>
      <w:r>
        <w:rPr>
          <w:rFonts w:hint="default" w:ascii="Times New Roman" w:hAnsi="Times New Roman" w:eastAsia="仿宋_GB2312" w:cs="Times New Roman"/>
          <w:color w:val="000000"/>
          <w:sz w:val="32"/>
          <w:szCs w:val="32"/>
        </w:rPr>
        <w:t>%；社会保障和就业支出</w:t>
      </w:r>
      <w:r>
        <w:rPr>
          <w:rFonts w:hint="default" w:ascii="Times New Roman" w:hAnsi="Times New Roman" w:eastAsia="仿宋_GB2312" w:cs="Times New Roman"/>
          <w:color w:val="000000"/>
          <w:sz w:val="32"/>
          <w:szCs w:val="32"/>
          <w:lang w:val="en-US" w:eastAsia="zh-CN"/>
        </w:rPr>
        <w:t>8.94</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卫生健康</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lang w:val="en-US" w:eastAsia="zh-CN"/>
        </w:rPr>
        <w:t>19.74</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8.84</w:t>
      </w:r>
      <w:r>
        <w:rPr>
          <w:rFonts w:hint="default" w:ascii="Times New Roman" w:hAnsi="Times New Roman" w:eastAsia="仿宋_GB2312" w:cs="Times New Roman"/>
          <w:color w:val="000000"/>
          <w:sz w:val="32"/>
          <w:szCs w:val="32"/>
        </w:rPr>
        <w:t>%；住房保障支出</w:t>
      </w:r>
      <w:r>
        <w:rPr>
          <w:rFonts w:hint="default" w:ascii="Times New Roman" w:hAnsi="Times New Roman" w:eastAsia="仿宋_GB2312" w:cs="Times New Roman"/>
          <w:color w:val="000000"/>
          <w:sz w:val="32"/>
          <w:szCs w:val="32"/>
          <w:lang w:val="en-US" w:eastAsia="zh-CN"/>
        </w:rPr>
        <w:t>6.47</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2.89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w:t>
      </w:r>
    </w:p>
    <w:p w14:paraId="2376C308">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000000"/>
          <w:sz w:val="32"/>
          <w:szCs w:val="32"/>
          <w:lang w:eastAsia="zh-CN"/>
        </w:rPr>
      </w:pPr>
      <w:bookmarkStart w:id="20" w:name="_Toc15377444"/>
      <w:bookmarkStart w:id="21" w:name="_Toc15378460"/>
      <w:bookmarkStart w:id="22" w:name="_Toc15377213"/>
      <w:r>
        <w:rPr>
          <w:rFonts w:hint="default" w:ascii="Times New Roman" w:hAnsi="Times New Roman" w:eastAsia="仿宋_GB2312" w:cs="Times New Roman"/>
          <w:color w:val="000000"/>
          <w:sz w:val="32"/>
          <w:szCs w:val="32"/>
          <w:lang w:eastAsia="zh-CN"/>
        </w:rPr>
        <w:drawing>
          <wp:inline distT="0" distB="0" distL="114300" distR="114300">
            <wp:extent cx="5080000" cy="2684145"/>
            <wp:effectExtent l="4445" t="4445" r="20955" b="54610"/>
            <wp:docPr id="8" name="图表 8"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45509F">
      <w:pPr>
        <w:pStyle w:val="9"/>
        <w:ind w:left="0" w:leftChars="0" w:firstLine="1184" w:firstLineChars="400"/>
        <w:jc w:val="both"/>
        <w:rPr>
          <w:rFonts w:hint="default" w:ascii="Times New Roman" w:hAnsi="Times New Roman" w:eastAsia="楷体_GB2312" w:cs="Times New Roman"/>
          <w:b/>
          <w:bCs/>
          <w:sz w:val="30"/>
          <w:szCs w:val="30"/>
          <w:lang w:eastAsia="zh-CN"/>
        </w:rPr>
      </w:pPr>
      <w:r>
        <w:rPr>
          <w:rFonts w:hint="default" w:ascii="Times New Roman" w:hAnsi="Times New Roman" w:eastAsia="楷体_GB2312" w:cs="Times New Roman"/>
          <w:b/>
          <w:bCs/>
          <w:color w:val="auto"/>
          <w:kern w:val="2"/>
          <w:sz w:val="30"/>
          <w:szCs w:val="30"/>
          <w:highlight w:val="none"/>
          <w:lang w:val="en-US" w:eastAsia="zh-CN" w:bidi="ar-SA"/>
        </w:rPr>
        <w:t>（图6：一般公共预算财政拨款支出决算结构）</w:t>
      </w:r>
    </w:p>
    <w:p w14:paraId="67F016E9">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（三）一般公共预算财政拨款支出决算具体情况</w:t>
      </w:r>
    </w:p>
    <w:p w14:paraId="3A36D2A0">
      <w:pPr>
        <w:keepNext w:val="0"/>
        <w:keepLines w:val="0"/>
        <w:pageBreakBefore w:val="0"/>
        <w:widowControl w:val="0"/>
        <w:kinsoku/>
        <w:wordWrap/>
        <w:overflowPunct/>
        <w:topLinePunct w:val="0"/>
        <w:bidi w:val="0"/>
        <w:spacing w:line="560" w:lineRule="exact"/>
        <w:ind w:left="0" w:leftChars="0" w:right="0" w:firstLine="632" w:firstLineChars="200"/>
        <w:jc w:val="both"/>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000000"/>
          <w:sz w:val="32"/>
          <w:szCs w:val="32"/>
          <w:lang w:eastAsia="zh-CN"/>
        </w:rPr>
        <w:t>2024年</w:t>
      </w:r>
      <w:r>
        <w:rPr>
          <w:rFonts w:hint="default" w:ascii="Times New Roman" w:hAnsi="Times New Roman" w:eastAsia="仿宋_GB2312" w:cs="Times New Roman"/>
          <w:b w:val="0"/>
          <w:bCs/>
          <w:color w:val="000000"/>
          <w:sz w:val="32"/>
          <w:szCs w:val="32"/>
        </w:rPr>
        <w:t>一般公共预算支出决算数为</w:t>
      </w:r>
      <w:r>
        <w:rPr>
          <w:rFonts w:hint="default" w:ascii="Times New Roman" w:hAnsi="Times New Roman" w:eastAsia="仿宋_GB2312" w:cs="Times New Roman"/>
          <w:b w:val="0"/>
          <w:bCs/>
          <w:color w:val="000000"/>
          <w:sz w:val="32"/>
          <w:szCs w:val="32"/>
          <w:lang w:val="en-US" w:eastAsia="zh-CN"/>
        </w:rPr>
        <w:t>223.19万元</w:t>
      </w:r>
      <w:r>
        <w:rPr>
          <w:rFonts w:hint="default" w:ascii="Times New Roman" w:hAnsi="Times New Roman" w:eastAsia="仿宋_GB2312" w:cs="Times New Roman"/>
          <w:b w:val="0"/>
          <w:bCs/>
          <w:color w:val="000000"/>
          <w:sz w:val="32"/>
          <w:szCs w:val="32"/>
        </w:rPr>
        <w:t>，</w:t>
      </w:r>
      <w:r>
        <w:rPr>
          <w:rStyle w:val="19"/>
          <w:rFonts w:hint="default" w:ascii="Times New Roman" w:hAnsi="Times New Roman" w:eastAsia="仿宋_GB2312" w:cs="Times New Roman"/>
          <w:b w:val="0"/>
          <w:bCs/>
          <w:color w:val="000000"/>
          <w:sz w:val="32"/>
          <w:szCs w:val="32"/>
        </w:rPr>
        <w:t>完成预算100%。其中：</w:t>
      </w:r>
      <w:bookmarkEnd w:id="20"/>
      <w:bookmarkEnd w:id="21"/>
      <w:bookmarkEnd w:id="22"/>
    </w:p>
    <w:p w14:paraId="4F5EBC15">
      <w:pPr>
        <w:keepNext w:val="0"/>
        <w:keepLines w:val="0"/>
        <w:pageBreakBefore w:val="0"/>
        <w:widowControl w:val="0"/>
        <w:numPr>
          <w:ilvl w:val="0"/>
          <w:numId w:val="2"/>
        </w:numPr>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000000"/>
          <w:sz w:val="32"/>
          <w:szCs w:val="32"/>
        </w:rPr>
        <w:t>一般公共服务</w:t>
      </w:r>
      <w:r>
        <w:rPr>
          <w:rStyle w:val="19"/>
          <w:rFonts w:hint="default" w:ascii="Times New Roman" w:hAnsi="Times New Roman" w:eastAsia="仿宋_GB2312" w:cs="Times New Roman"/>
          <w:b w:val="0"/>
          <w:bCs w:val="0"/>
          <w:color w:val="000000"/>
          <w:sz w:val="32"/>
          <w:szCs w:val="32"/>
          <w:lang w:eastAsia="zh-CN"/>
        </w:rPr>
        <w:t>支出（类）群众团体事务</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eastAsia="zh-CN"/>
        </w:rPr>
        <w:t xml:space="preserve">  行政运行</w:t>
      </w:r>
      <w:r>
        <w:rPr>
          <w:rStyle w:val="19"/>
          <w:rFonts w:hint="default" w:ascii="Times New Roman" w:hAnsi="Times New Roman" w:eastAsia="仿宋_GB2312" w:cs="Times New Roman"/>
          <w:b w:val="0"/>
          <w:bCs w:val="0"/>
          <w:color w:val="000000"/>
          <w:sz w:val="32"/>
          <w:szCs w:val="32"/>
        </w:rPr>
        <w:t>（项）: 支出决算为</w:t>
      </w:r>
      <w:r>
        <w:rPr>
          <w:rStyle w:val="19"/>
          <w:rFonts w:hint="default" w:ascii="Times New Roman" w:hAnsi="Times New Roman" w:eastAsia="仿宋_GB2312" w:cs="Times New Roman"/>
          <w:b w:val="0"/>
          <w:bCs w:val="0"/>
          <w:color w:val="000000"/>
          <w:sz w:val="32"/>
          <w:szCs w:val="32"/>
          <w:lang w:val="en-US" w:eastAsia="zh-CN"/>
        </w:rPr>
        <w:t>59.84</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6A7CECE0">
      <w:pPr>
        <w:keepNext w:val="0"/>
        <w:keepLines w:val="0"/>
        <w:pageBreakBefore w:val="0"/>
        <w:widowControl w:val="0"/>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lang w:val="en-US" w:eastAsia="zh-CN"/>
        </w:rPr>
      </w:pPr>
      <w:r>
        <w:rPr>
          <w:rStyle w:val="19"/>
          <w:rFonts w:hint="default" w:ascii="Times New Roman" w:hAnsi="Times New Roman" w:eastAsia="仿宋_GB2312" w:cs="Times New Roman"/>
          <w:b w:val="0"/>
          <w:bCs w:val="0"/>
          <w:color w:val="000000"/>
          <w:sz w:val="32"/>
          <w:szCs w:val="32"/>
          <w:lang w:val="en-US" w:eastAsia="zh-CN"/>
        </w:rPr>
        <w:t>2</w:t>
      </w:r>
      <w:r>
        <w:rPr>
          <w:rStyle w:val="19"/>
          <w:rFonts w:hint="default" w:ascii="Times New Roman" w:hAnsi="Times New Roman" w:eastAsia="仿宋_GB2312" w:cs="Times New Roman"/>
          <w:b w:val="0"/>
          <w:bCs w:val="0"/>
          <w:color w:val="000000"/>
          <w:sz w:val="32"/>
          <w:szCs w:val="32"/>
        </w:rPr>
        <w:t>.一般公共服务</w:t>
      </w:r>
      <w:r>
        <w:rPr>
          <w:rStyle w:val="19"/>
          <w:rFonts w:hint="default" w:ascii="Times New Roman" w:hAnsi="Times New Roman" w:eastAsia="仿宋_GB2312" w:cs="Times New Roman"/>
          <w:b w:val="0"/>
          <w:bCs w:val="0"/>
          <w:color w:val="000000"/>
          <w:sz w:val="32"/>
          <w:szCs w:val="32"/>
          <w:lang w:eastAsia="zh-CN"/>
        </w:rPr>
        <w:t>支出（类）群众团体事务</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eastAsia="zh-CN"/>
        </w:rPr>
        <w:t>事业运行</w:t>
      </w:r>
      <w:r>
        <w:rPr>
          <w:rStyle w:val="19"/>
          <w:rFonts w:hint="default" w:ascii="Times New Roman" w:hAnsi="Times New Roman" w:eastAsia="仿宋_GB2312" w:cs="Times New Roman"/>
          <w:b w:val="0"/>
          <w:bCs w:val="0"/>
          <w:color w:val="000000"/>
          <w:sz w:val="32"/>
          <w:szCs w:val="32"/>
        </w:rPr>
        <w:t>（项）: 支出决算为</w:t>
      </w:r>
      <w:r>
        <w:rPr>
          <w:rStyle w:val="19"/>
          <w:rFonts w:hint="default" w:ascii="Times New Roman" w:hAnsi="Times New Roman" w:eastAsia="仿宋_GB2312" w:cs="Times New Roman"/>
          <w:b w:val="0"/>
          <w:bCs w:val="0"/>
          <w:color w:val="000000"/>
          <w:sz w:val="32"/>
          <w:szCs w:val="32"/>
          <w:lang w:val="en-US" w:eastAsia="zh-CN"/>
        </w:rPr>
        <w:t>11.29</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30430D63">
      <w:pPr>
        <w:keepNext w:val="0"/>
        <w:keepLines w:val="0"/>
        <w:pageBreakBefore w:val="0"/>
        <w:widowControl w:val="0"/>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000000"/>
          <w:sz w:val="32"/>
          <w:szCs w:val="32"/>
          <w:lang w:val="en-US" w:eastAsia="zh-CN"/>
        </w:rPr>
        <w:t>3</w:t>
      </w:r>
      <w:r>
        <w:rPr>
          <w:rStyle w:val="19"/>
          <w:rFonts w:hint="default" w:ascii="Times New Roman" w:hAnsi="Times New Roman" w:eastAsia="仿宋_GB2312" w:cs="Times New Roman"/>
          <w:b w:val="0"/>
          <w:bCs w:val="0"/>
          <w:color w:val="000000"/>
          <w:sz w:val="32"/>
          <w:szCs w:val="32"/>
        </w:rPr>
        <w:t>.一般公共服务</w:t>
      </w:r>
      <w:r>
        <w:rPr>
          <w:rStyle w:val="19"/>
          <w:rFonts w:hint="default" w:ascii="Times New Roman" w:hAnsi="Times New Roman" w:eastAsia="仿宋_GB2312" w:cs="Times New Roman"/>
          <w:b w:val="0"/>
          <w:bCs w:val="0"/>
          <w:color w:val="000000"/>
          <w:sz w:val="32"/>
          <w:szCs w:val="32"/>
          <w:lang w:eastAsia="zh-CN"/>
        </w:rPr>
        <w:t>支出（类）群众团体事务</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eastAsia="zh-CN"/>
        </w:rPr>
        <w:t>其他群众团体事务支出</w:t>
      </w:r>
      <w:r>
        <w:rPr>
          <w:rStyle w:val="19"/>
          <w:rFonts w:hint="default" w:ascii="Times New Roman" w:hAnsi="Times New Roman" w:eastAsia="仿宋_GB2312" w:cs="Times New Roman"/>
          <w:b w:val="0"/>
          <w:bCs w:val="0"/>
          <w:color w:val="000000"/>
          <w:sz w:val="32"/>
          <w:szCs w:val="32"/>
        </w:rPr>
        <w:t>（项）: 支出决算为</w:t>
      </w:r>
      <w:r>
        <w:rPr>
          <w:rStyle w:val="19"/>
          <w:rFonts w:hint="default" w:ascii="Times New Roman" w:hAnsi="Times New Roman" w:eastAsia="仿宋_GB2312" w:cs="Times New Roman"/>
          <w:b w:val="0"/>
          <w:bCs w:val="0"/>
          <w:color w:val="000000"/>
          <w:sz w:val="32"/>
          <w:szCs w:val="32"/>
          <w:lang w:val="en-US" w:eastAsia="zh-CN"/>
        </w:rPr>
        <w:t>116.92</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5D5DA6E4">
      <w:pPr>
        <w:keepNext w:val="0"/>
        <w:keepLines w:val="0"/>
        <w:pageBreakBefore w:val="0"/>
        <w:widowControl w:val="0"/>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000000"/>
          <w:sz w:val="32"/>
          <w:szCs w:val="32"/>
          <w:lang w:val="en-US" w:eastAsia="zh-CN"/>
        </w:rPr>
        <w:t>4</w:t>
      </w:r>
      <w:r>
        <w:rPr>
          <w:rStyle w:val="19"/>
          <w:rFonts w:hint="default" w:ascii="Times New Roman" w:hAnsi="Times New Roman" w:eastAsia="仿宋_GB2312" w:cs="Times New Roman"/>
          <w:b w:val="0"/>
          <w:bCs w:val="0"/>
          <w:color w:val="000000"/>
          <w:sz w:val="32"/>
          <w:szCs w:val="32"/>
        </w:rPr>
        <w:t>. 社会保障和就业支出</w:t>
      </w:r>
      <w:r>
        <w:rPr>
          <w:rStyle w:val="19"/>
          <w:rFonts w:hint="default" w:ascii="Times New Roman" w:hAnsi="Times New Roman" w:eastAsia="仿宋_GB2312" w:cs="Times New Roman"/>
          <w:b w:val="0"/>
          <w:bCs w:val="0"/>
          <w:color w:val="000000"/>
          <w:sz w:val="32"/>
          <w:szCs w:val="32"/>
          <w:lang w:eastAsia="zh-CN"/>
        </w:rPr>
        <w:t>（类）行政事业单位养老支出（款）机关事业单位基本养老保险缴费支出（项）：</w:t>
      </w:r>
      <w:r>
        <w:rPr>
          <w:rStyle w:val="19"/>
          <w:rFonts w:hint="default" w:ascii="Times New Roman" w:hAnsi="Times New Roman" w:eastAsia="仿宋_GB2312" w:cs="Times New Roman"/>
          <w:b w:val="0"/>
          <w:bCs w:val="0"/>
          <w:color w:val="000000"/>
          <w:sz w:val="32"/>
          <w:szCs w:val="32"/>
        </w:rPr>
        <w:t>支出决算为</w:t>
      </w:r>
      <w:r>
        <w:rPr>
          <w:rStyle w:val="19"/>
          <w:rFonts w:hint="default" w:ascii="Times New Roman" w:hAnsi="Times New Roman" w:eastAsia="仿宋_GB2312" w:cs="Times New Roman"/>
          <w:b w:val="0"/>
          <w:bCs w:val="0"/>
          <w:color w:val="000000"/>
          <w:sz w:val="32"/>
          <w:szCs w:val="32"/>
          <w:lang w:val="en-US" w:eastAsia="zh-CN"/>
        </w:rPr>
        <w:t>8.71</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3525F995">
      <w:pPr>
        <w:keepNext w:val="0"/>
        <w:keepLines w:val="0"/>
        <w:pageBreakBefore w:val="0"/>
        <w:widowControl w:val="0"/>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000000"/>
          <w:sz w:val="32"/>
          <w:szCs w:val="32"/>
          <w:lang w:val="en-US" w:eastAsia="zh-CN"/>
        </w:rPr>
        <w:t>5.</w:t>
      </w:r>
      <w:r>
        <w:rPr>
          <w:rStyle w:val="19"/>
          <w:rFonts w:hint="default" w:ascii="Times New Roman" w:hAnsi="Times New Roman" w:eastAsia="仿宋_GB2312" w:cs="Times New Roman"/>
          <w:b w:val="0"/>
          <w:bCs w:val="0"/>
          <w:color w:val="000000"/>
          <w:sz w:val="32"/>
          <w:szCs w:val="32"/>
        </w:rPr>
        <w:t xml:space="preserve"> 社会保障和就业支出</w:t>
      </w:r>
      <w:r>
        <w:rPr>
          <w:rStyle w:val="19"/>
          <w:rFonts w:hint="default" w:ascii="Times New Roman" w:hAnsi="Times New Roman" w:eastAsia="仿宋_GB2312" w:cs="Times New Roman"/>
          <w:b w:val="0"/>
          <w:bCs w:val="0"/>
          <w:color w:val="000000"/>
          <w:sz w:val="32"/>
          <w:szCs w:val="32"/>
          <w:lang w:eastAsia="zh-CN"/>
        </w:rPr>
        <w:t>（类）其他社会保障和就业支出（款）其他社会保障和就业支出（项）：</w:t>
      </w:r>
      <w:r>
        <w:rPr>
          <w:rStyle w:val="19"/>
          <w:rFonts w:hint="default" w:ascii="Times New Roman" w:hAnsi="Times New Roman" w:eastAsia="仿宋_GB2312" w:cs="Times New Roman"/>
          <w:b w:val="0"/>
          <w:bCs w:val="0"/>
          <w:color w:val="000000"/>
          <w:sz w:val="32"/>
          <w:szCs w:val="32"/>
        </w:rPr>
        <w:t>支出决算为</w:t>
      </w:r>
      <w:r>
        <w:rPr>
          <w:rStyle w:val="19"/>
          <w:rFonts w:hint="default" w:ascii="Times New Roman" w:hAnsi="Times New Roman" w:eastAsia="仿宋_GB2312" w:cs="Times New Roman"/>
          <w:b w:val="0"/>
          <w:bCs w:val="0"/>
          <w:color w:val="000000"/>
          <w:sz w:val="32"/>
          <w:szCs w:val="32"/>
          <w:lang w:val="en-US" w:eastAsia="zh-CN"/>
        </w:rPr>
        <w:t>0.23</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5FC25E6D">
      <w:pPr>
        <w:keepNext w:val="0"/>
        <w:keepLines w:val="0"/>
        <w:pageBreakBefore w:val="0"/>
        <w:widowControl w:val="0"/>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000000"/>
          <w:sz w:val="32"/>
          <w:szCs w:val="32"/>
          <w:lang w:val="en-US" w:eastAsia="zh-CN"/>
        </w:rPr>
        <w:t>6.</w:t>
      </w:r>
      <w:r>
        <w:rPr>
          <w:rStyle w:val="19"/>
          <w:rFonts w:hint="default" w:ascii="Times New Roman" w:hAnsi="Times New Roman" w:eastAsia="仿宋_GB2312" w:cs="Times New Roman"/>
          <w:b w:val="0"/>
          <w:bCs w:val="0"/>
          <w:color w:val="000000"/>
          <w:sz w:val="32"/>
          <w:szCs w:val="32"/>
        </w:rPr>
        <w:t>卫生健康支出</w:t>
      </w:r>
      <w:r>
        <w:rPr>
          <w:rStyle w:val="19"/>
          <w:rFonts w:hint="default" w:ascii="Times New Roman" w:hAnsi="Times New Roman" w:eastAsia="仿宋_GB2312" w:cs="Times New Roman"/>
          <w:b w:val="0"/>
          <w:bCs w:val="0"/>
          <w:color w:val="000000"/>
          <w:sz w:val="32"/>
          <w:szCs w:val="32"/>
          <w:lang w:eastAsia="zh-CN"/>
        </w:rPr>
        <w:t>（类）公共卫生（款） 其他计划生育事务支出（项）</w:t>
      </w:r>
      <w:r>
        <w:rPr>
          <w:rStyle w:val="19"/>
          <w:rFonts w:hint="default" w:ascii="Times New Roman" w:hAnsi="Times New Roman" w:eastAsia="仿宋_GB2312" w:cs="Times New Roman"/>
          <w:b w:val="0"/>
          <w:bCs w:val="0"/>
          <w:color w:val="000000"/>
          <w:sz w:val="32"/>
          <w:szCs w:val="32"/>
          <w:lang w:val="en-US" w:eastAsia="zh-CN"/>
        </w:rPr>
        <w:t>:</w:t>
      </w:r>
      <w:r>
        <w:rPr>
          <w:rStyle w:val="19"/>
          <w:rFonts w:hint="default" w:ascii="Times New Roman" w:hAnsi="Times New Roman" w:eastAsia="仿宋_GB2312" w:cs="Times New Roman"/>
          <w:b w:val="0"/>
          <w:bCs w:val="0"/>
          <w:color w:val="000000"/>
          <w:sz w:val="32"/>
          <w:szCs w:val="32"/>
        </w:rPr>
        <w:t>支出决算为</w:t>
      </w:r>
      <w:r>
        <w:rPr>
          <w:rStyle w:val="19"/>
          <w:rFonts w:hint="default" w:ascii="Times New Roman" w:hAnsi="Times New Roman" w:eastAsia="仿宋_GB2312" w:cs="Times New Roman"/>
          <w:b w:val="0"/>
          <w:bCs w:val="0"/>
          <w:color w:val="000000"/>
          <w:sz w:val="32"/>
          <w:szCs w:val="32"/>
          <w:lang w:val="en-US" w:eastAsia="zh-CN"/>
        </w:rPr>
        <w:t>15.01</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637201E0">
      <w:pPr>
        <w:keepNext w:val="0"/>
        <w:keepLines w:val="0"/>
        <w:pageBreakBefore w:val="0"/>
        <w:widowControl w:val="0"/>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000000"/>
          <w:sz w:val="32"/>
          <w:szCs w:val="32"/>
          <w:lang w:val="en-US" w:eastAsia="zh-CN"/>
        </w:rPr>
        <w:t>7.</w:t>
      </w:r>
      <w:r>
        <w:rPr>
          <w:rStyle w:val="19"/>
          <w:rFonts w:hint="default" w:ascii="Times New Roman" w:hAnsi="Times New Roman" w:eastAsia="仿宋_GB2312" w:cs="Times New Roman"/>
          <w:b w:val="0"/>
          <w:bCs w:val="0"/>
          <w:color w:val="000000"/>
          <w:sz w:val="32"/>
          <w:szCs w:val="32"/>
          <w:lang w:eastAsia="zh-CN"/>
        </w:rPr>
        <w:t xml:space="preserve"> </w:t>
      </w:r>
      <w:r>
        <w:rPr>
          <w:rStyle w:val="19"/>
          <w:rFonts w:hint="default" w:ascii="Times New Roman" w:hAnsi="Times New Roman" w:eastAsia="仿宋_GB2312" w:cs="Times New Roman"/>
          <w:b w:val="0"/>
          <w:bCs w:val="0"/>
          <w:color w:val="000000"/>
          <w:sz w:val="32"/>
          <w:szCs w:val="32"/>
        </w:rPr>
        <w:t>卫生健康支出</w:t>
      </w:r>
      <w:r>
        <w:rPr>
          <w:rStyle w:val="19"/>
          <w:rFonts w:hint="default" w:ascii="Times New Roman" w:hAnsi="Times New Roman" w:eastAsia="仿宋_GB2312" w:cs="Times New Roman"/>
          <w:b w:val="0"/>
          <w:bCs w:val="0"/>
          <w:color w:val="000000"/>
          <w:sz w:val="32"/>
          <w:szCs w:val="32"/>
          <w:lang w:eastAsia="zh-CN"/>
        </w:rPr>
        <w:t>（类）行政事业单位医疗（款）  行政单位医疗（项）</w:t>
      </w:r>
      <w:r>
        <w:rPr>
          <w:rStyle w:val="19"/>
          <w:rFonts w:hint="default" w:ascii="Times New Roman" w:hAnsi="Times New Roman" w:eastAsia="仿宋_GB2312" w:cs="Times New Roman"/>
          <w:b w:val="0"/>
          <w:bCs w:val="0"/>
          <w:color w:val="000000"/>
          <w:sz w:val="32"/>
          <w:szCs w:val="32"/>
          <w:lang w:val="en-US" w:eastAsia="zh-CN"/>
        </w:rPr>
        <w:t>:</w:t>
      </w:r>
      <w:r>
        <w:rPr>
          <w:rStyle w:val="19"/>
          <w:rFonts w:hint="default" w:ascii="Times New Roman" w:hAnsi="Times New Roman" w:eastAsia="仿宋_GB2312" w:cs="Times New Roman"/>
          <w:b w:val="0"/>
          <w:bCs w:val="0"/>
          <w:color w:val="000000"/>
          <w:sz w:val="32"/>
          <w:szCs w:val="32"/>
        </w:rPr>
        <w:t>支出决算为</w:t>
      </w:r>
      <w:r>
        <w:rPr>
          <w:rStyle w:val="19"/>
          <w:rFonts w:hint="default" w:ascii="Times New Roman" w:hAnsi="Times New Roman" w:eastAsia="仿宋_GB2312" w:cs="Times New Roman"/>
          <w:b w:val="0"/>
          <w:bCs w:val="0"/>
          <w:color w:val="000000"/>
          <w:sz w:val="32"/>
          <w:szCs w:val="32"/>
          <w:lang w:val="en-US" w:eastAsia="zh-CN"/>
        </w:rPr>
        <w:t>3.09</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23933040">
      <w:pPr>
        <w:keepNext w:val="0"/>
        <w:keepLines w:val="0"/>
        <w:pageBreakBefore w:val="0"/>
        <w:widowControl w:val="0"/>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000000"/>
          <w:sz w:val="32"/>
          <w:szCs w:val="32"/>
          <w:lang w:val="en-US" w:eastAsia="zh-CN"/>
        </w:rPr>
        <w:t>8</w:t>
      </w:r>
      <w:r>
        <w:rPr>
          <w:rStyle w:val="19"/>
          <w:rFonts w:hint="default" w:ascii="Times New Roman" w:hAnsi="Times New Roman" w:eastAsia="仿宋_GB2312" w:cs="Times New Roman"/>
          <w:b w:val="0"/>
          <w:bCs w:val="0"/>
          <w:color w:val="000000"/>
          <w:sz w:val="32"/>
          <w:szCs w:val="32"/>
        </w:rPr>
        <w:t>.卫生健康支出</w:t>
      </w:r>
      <w:r>
        <w:rPr>
          <w:rStyle w:val="19"/>
          <w:rFonts w:hint="default" w:ascii="Times New Roman" w:hAnsi="Times New Roman" w:eastAsia="仿宋_GB2312" w:cs="Times New Roman"/>
          <w:b w:val="0"/>
          <w:bCs w:val="0"/>
          <w:color w:val="000000"/>
          <w:sz w:val="32"/>
          <w:szCs w:val="32"/>
          <w:lang w:eastAsia="zh-CN"/>
        </w:rPr>
        <w:t>（类）行政事业单位医疗（款）  事业单位医疗（项）</w:t>
      </w:r>
      <w:r>
        <w:rPr>
          <w:rStyle w:val="19"/>
          <w:rFonts w:hint="default" w:ascii="Times New Roman" w:hAnsi="Times New Roman" w:eastAsia="仿宋_GB2312" w:cs="Times New Roman"/>
          <w:b w:val="0"/>
          <w:bCs w:val="0"/>
          <w:color w:val="000000"/>
          <w:sz w:val="32"/>
          <w:szCs w:val="32"/>
          <w:lang w:val="en-US" w:eastAsia="zh-CN"/>
        </w:rPr>
        <w:t>:</w:t>
      </w:r>
      <w:r>
        <w:rPr>
          <w:rStyle w:val="19"/>
          <w:rFonts w:hint="default" w:ascii="Times New Roman" w:hAnsi="Times New Roman" w:eastAsia="仿宋_GB2312" w:cs="Times New Roman"/>
          <w:b w:val="0"/>
          <w:bCs w:val="0"/>
          <w:color w:val="000000"/>
          <w:sz w:val="32"/>
          <w:szCs w:val="32"/>
        </w:rPr>
        <w:t>支出决算为</w:t>
      </w:r>
      <w:r>
        <w:rPr>
          <w:rStyle w:val="19"/>
          <w:rFonts w:hint="default" w:ascii="Times New Roman" w:hAnsi="Times New Roman" w:eastAsia="仿宋_GB2312" w:cs="Times New Roman"/>
          <w:b w:val="0"/>
          <w:bCs w:val="0"/>
          <w:color w:val="000000"/>
          <w:sz w:val="32"/>
          <w:szCs w:val="32"/>
          <w:lang w:val="en-US" w:eastAsia="zh-CN"/>
        </w:rPr>
        <w:t>0.66</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22DE92AE">
      <w:pPr>
        <w:keepNext w:val="0"/>
        <w:keepLines w:val="0"/>
        <w:pageBreakBefore w:val="0"/>
        <w:widowControl w:val="0"/>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lang w:val="en-US" w:eastAsia="zh-CN"/>
        </w:rPr>
      </w:pPr>
      <w:r>
        <w:rPr>
          <w:rStyle w:val="19"/>
          <w:rFonts w:hint="default" w:ascii="Times New Roman" w:hAnsi="Times New Roman" w:eastAsia="仿宋_GB2312" w:cs="Times New Roman"/>
          <w:b w:val="0"/>
          <w:bCs w:val="0"/>
          <w:color w:val="000000"/>
          <w:sz w:val="32"/>
          <w:szCs w:val="32"/>
          <w:lang w:val="en-US" w:eastAsia="zh-CN"/>
        </w:rPr>
        <w:t>9.</w:t>
      </w:r>
      <w:r>
        <w:rPr>
          <w:rStyle w:val="19"/>
          <w:rFonts w:hint="default" w:ascii="Times New Roman" w:hAnsi="Times New Roman" w:eastAsia="仿宋_GB2312" w:cs="Times New Roman"/>
          <w:b w:val="0"/>
          <w:bCs w:val="0"/>
          <w:color w:val="000000"/>
          <w:sz w:val="32"/>
          <w:szCs w:val="32"/>
          <w:lang w:eastAsia="zh-CN"/>
        </w:rPr>
        <w:t xml:space="preserve"> </w:t>
      </w:r>
      <w:r>
        <w:rPr>
          <w:rStyle w:val="19"/>
          <w:rFonts w:hint="default" w:ascii="Times New Roman" w:hAnsi="Times New Roman" w:eastAsia="仿宋_GB2312" w:cs="Times New Roman"/>
          <w:b w:val="0"/>
          <w:bCs w:val="0"/>
          <w:color w:val="000000"/>
          <w:sz w:val="32"/>
          <w:szCs w:val="32"/>
        </w:rPr>
        <w:t>卫生健康支出</w:t>
      </w:r>
      <w:r>
        <w:rPr>
          <w:rStyle w:val="19"/>
          <w:rFonts w:hint="default" w:ascii="Times New Roman" w:hAnsi="Times New Roman" w:eastAsia="仿宋_GB2312" w:cs="Times New Roman"/>
          <w:b w:val="0"/>
          <w:bCs w:val="0"/>
          <w:color w:val="000000"/>
          <w:sz w:val="32"/>
          <w:szCs w:val="32"/>
          <w:lang w:eastAsia="zh-CN"/>
        </w:rPr>
        <w:t>（类）行政事业单位医疗（款）  公务员医疗补助（项）</w:t>
      </w:r>
      <w:r>
        <w:rPr>
          <w:rStyle w:val="19"/>
          <w:rFonts w:hint="default" w:ascii="Times New Roman" w:hAnsi="Times New Roman" w:eastAsia="仿宋_GB2312" w:cs="Times New Roman"/>
          <w:b w:val="0"/>
          <w:bCs w:val="0"/>
          <w:color w:val="000000"/>
          <w:sz w:val="32"/>
          <w:szCs w:val="32"/>
          <w:lang w:val="en-US" w:eastAsia="zh-CN"/>
        </w:rPr>
        <w:t>:</w:t>
      </w:r>
      <w:r>
        <w:rPr>
          <w:rStyle w:val="19"/>
          <w:rFonts w:hint="default" w:ascii="Times New Roman" w:hAnsi="Times New Roman" w:eastAsia="仿宋_GB2312" w:cs="Times New Roman"/>
          <w:b w:val="0"/>
          <w:bCs w:val="0"/>
          <w:color w:val="000000"/>
          <w:sz w:val="32"/>
          <w:szCs w:val="32"/>
        </w:rPr>
        <w:t>支出决算为</w:t>
      </w:r>
      <w:r>
        <w:rPr>
          <w:rStyle w:val="19"/>
          <w:rFonts w:hint="default" w:ascii="Times New Roman" w:hAnsi="Times New Roman" w:eastAsia="仿宋_GB2312" w:cs="Times New Roman"/>
          <w:b w:val="0"/>
          <w:bCs w:val="0"/>
          <w:color w:val="000000"/>
          <w:sz w:val="32"/>
          <w:szCs w:val="32"/>
          <w:lang w:val="en-US" w:eastAsia="zh-CN"/>
        </w:rPr>
        <w:t>0.98</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76CF5BA6">
      <w:pPr>
        <w:keepNext w:val="0"/>
        <w:keepLines w:val="0"/>
        <w:pageBreakBefore w:val="0"/>
        <w:widowControl w:val="0"/>
        <w:kinsoku/>
        <w:wordWrap/>
        <w:overflowPunct/>
        <w:topLinePunct w:val="0"/>
        <w:bidi w:val="0"/>
        <w:spacing w:line="560" w:lineRule="exact"/>
        <w:ind w:left="0" w:leftChars="0" w:right="0" w:firstLine="632" w:firstLineChars="200"/>
        <w:jc w:val="both"/>
        <w:rPr>
          <w:rStyle w:val="19"/>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000000"/>
          <w:sz w:val="32"/>
          <w:szCs w:val="32"/>
          <w:lang w:val="en-US" w:eastAsia="zh-CN"/>
        </w:rPr>
        <w:t>10</w:t>
      </w:r>
      <w:r>
        <w:rPr>
          <w:rStyle w:val="19"/>
          <w:rFonts w:hint="default" w:ascii="Times New Roman" w:hAnsi="Times New Roman" w:eastAsia="仿宋_GB2312" w:cs="Times New Roman"/>
          <w:b w:val="0"/>
          <w:bCs w:val="0"/>
          <w:color w:val="000000"/>
          <w:sz w:val="32"/>
          <w:szCs w:val="32"/>
        </w:rPr>
        <w:t>.</w:t>
      </w:r>
      <w:r>
        <w:rPr>
          <w:rStyle w:val="19"/>
          <w:rFonts w:hint="default" w:ascii="Times New Roman" w:hAnsi="Times New Roman" w:eastAsia="仿宋_GB2312" w:cs="Times New Roman"/>
          <w:b w:val="0"/>
          <w:bCs w:val="0"/>
          <w:color w:val="000000"/>
          <w:sz w:val="32"/>
          <w:szCs w:val="32"/>
          <w:lang w:eastAsia="zh-CN"/>
        </w:rPr>
        <w:t>住房保障支出</w:t>
      </w:r>
      <w:r>
        <w:rPr>
          <w:rStyle w:val="19"/>
          <w:rFonts w:hint="default" w:ascii="Times New Roman" w:hAnsi="Times New Roman" w:eastAsia="仿宋_GB2312" w:cs="Times New Roman"/>
          <w:b w:val="0"/>
          <w:bCs w:val="0"/>
          <w:color w:val="000000"/>
          <w:sz w:val="32"/>
          <w:szCs w:val="32"/>
        </w:rPr>
        <w:t>（类）</w:t>
      </w:r>
      <w:r>
        <w:rPr>
          <w:rStyle w:val="19"/>
          <w:rFonts w:hint="default" w:ascii="Times New Roman" w:hAnsi="Times New Roman" w:eastAsia="仿宋_GB2312" w:cs="Times New Roman"/>
          <w:b w:val="0"/>
          <w:bCs w:val="0"/>
          <w:color w:val="000000"/>
          <w:sz w:val="32"/>
          <w:szCs w:val="32"/>
          <w:lang w:eastAsia="zh-CN"/>
        </w:rPr>
        <w:t>住房改革支出</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eastAsia="zh-CN"/>
        </w:rPr>
        <w:t xml:space="preserve"> 住房公积金</w:t>
      </w:r>
      <w:r>
        <w:rPr>
          <w:rStyle w:val="19"/>
          <w:rFonts w:hint="default" w:ascii="Times New Roman" w:hAnsi="Times New Roman" w:eastAsia="仿宋_GB2312" w:cs="Times New Roman"/>
          <w:b w:val="0"/>
          <w:bCs w:val="0"/>
          <w:color w:val="000000"/>
          <w:sz w:val="32"/>
          <w:szCs w:val="32"/>
        </w:rPr>
        <w:t>（项）: 支出决算为</w:t>
      </w:r>
      <w:r>
        <w:rPr>
          <w:rStyle w:val="19"/>
          <w:rFonts w:hint="default" w:ascii="Times New Roman" w:hAnsi="Times New Roman" w:eastAsia="仿宋_GB2312" w:cs="Times New Roman"/>
          <w:b w:val="0"/>
          <w:bCs w:val="0"/>
          <w:color w:val="000000"/>
          <w:sz w:val="32"/>
          <w:szCs w:val="32"/>
          <w:lang w:val="en-US" w:eastAsia="zh-CN"/>
        </w:rPr>
        <w:t>6.47</w:t>
      </w:r>
      <w:r>
        <w:rPr>
          <w:rStyle w:val="19"/>
          <w:rFonts w:hint="default" w:ascii="Times New Roman" w:hAnsi="Times New Roman" w:eastAsia="仿宋_GB2312" w:cs="Times New Roman"/>
          <w:b w:val="0"/>
          <w:bCs w:val="0"/>
          <w:color w:val="000000"/>
          <w:sz w:val="32"/>
          <w:szCs w:val="32"/>
        </w:rPr>
        <w:t>万元，完成预算</w:t>
      </w:r>
      <w:r>
        <w:rPr>
          <w:rStyle w:val="19"/>
          <w:rFonts w:hint="default" w:ascii="Times New Roman" w:hAnsi="Times New Roman" w:eastAsia="仿宋_GB2312" w:cs="Times New Roman"/>
          <w:b w:val="0"/>
          <w:bCs w:val="0"/>
          <w:color w:val="000000"/>
          <w:sz w:val="32"/>
          <w:szCs w:val="32"/>
          <w:lang w:val="en-US" w:eastAsia="zh-CN"/>
        </w:rPr>
        <w:t>100</w:t>
      </w:r>
      <w:r>
        <w:rPr>
          <w:rStyle w:val="19"/>
          <w:rFonts w:hint="default" w:ascii="Times New Roman" w:hAnsi="Times New Roman" w:eastAsia="仿宋_GB2312" w:cs="Times New Roman"/>
          <w:b w:val="0"/>
          <w:bCs w:val="0"/>
          <w:color w:val="000000"/>
          <w:sz w:val="32"/>
          <w:szCs w:val="32"/>
        </w:rPr>
        <w:t>%，决算数</w:t>
      </w:r>
      <w:r>
        <w:rPr>
          <w:rStyle w:val="19"/>
          <w:rFonts w:hint="default" w:ascii="Times New Roman" w:hAnsi="Times New Roman" w:eastAsia="仿宋_GB2312" w:cs="Times New Roman"/>
          <w:b w:val="0"/>
          <w:bCs w:val="0"/>
          <w:color w:val="000000"/>
          <w:sz w:val="32"/>
          <w:szCs w:val="32"/>
          <w:lang w:eastAsia="zh-CN"/>
        </w:rPr>
        <w:t>与</w:t>
      </w:r>
      <w:r>
        <w:rPr>
          <w:rStyle w:val="19"/>
          <w:rFonts w:hint="default" w:ascii="Times New Roman" w:hAnsi="Times New Roman" w:eastAsia="仿宋_GB2312" w:cs="Times New Roman"/>
          <w:b w:val="0"/>
          <w:bCs w:val="0"/>
          <w:color w:val="000000"/>
          <w:sz w:val="32"/>
          <w:szCs w:val="32"/>
        </w:rPr>
        <w:t>预算数</w:t>
      </w:r>
      <w:r>
        <w:rPr>
          <w:rStyle w:val="19"/>
          <w:rFonts w:hint="default" w:ascii="Times New Roman" w:hAnsi="Times New Roman" w:eastAsia="仿宋_GB2312" w:cs="Times New Roman"/>
          <w:b w:val="0"/>
          <w:bCs w:val="0"/>
          <w:color w:val="000000"/>
          <w:sz w:val="32"/>
          <w:szCs w:val="32"/>
          <w:lang w:eastAsia="zh-CN"/>
        </w:rPr>
        <w:t>持平</w:t>
      </w:r>
      <w:r>
        <w:rPr>
          <w:rStyle w:val="19"/>
          <w:rFonts w:hint="default" w:ascii="Times New Roman" w:hAnsi="Times New Roman" w:eastAsia="仿宋_GB2312" w:cs="Times New Roman"/>
          <w:b w:val="0"/>
          <w:bCs w:val="0"/>
          <w:color w:val="000000"/>
          <w:sz w:val="32"/>
          <w:szCs w:val="32"/>
        </w:rPr>
        <w:t>。</w:t>
      </w:r>
    </w:p>
    <w:p w14:paraId="4D0E2DAA">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六、一般公共预算财政拨款基本支出决算情况说明</w:t>
      </w:r>
    </w:p>
    <w:p w14:paraId="33329DA1">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区妇联</w:t>
      </w: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度一般公共预算财政拨款基本支出</w:t>
      </w:r>
      <w:r>
        <w:rPr>
          <w:rFonts w:hint="default" w:ascii="Times New Roman" w:hAnsi="Times New Roman" w:eastAsia="仿宋_GB2312" w:cs="Times New Roman"/>
          <w:color w:val="000000"/>
          <w:sz w:val="32"/>
          <w:szCs w:val="32"/>
          <w:lang w:val="en-US" w:eastAsia="zh-CN"/>
        </w:rPr>
        <w:t>106.28</w:t>
      </w:r>
      <w:r>
        <w:rPr>
          <w:rFonts w:hint="default" w:ascii="Times New Roman" w:hAnsi="Times New Roman" w:eastAsia="仿宋_GB2312" w:cs="Times New Roman"/>
          <w:color w:val="000000"/>
          <w:sz w:val="32"/>
          <w:szCs w:val="32"/>
        </w:rPr>
        <w:t>万元，其中：</w:t>
      </w:r>
    </w:p>
    <w:p w14:paraId="2B5147FC">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人员经费</w:t>
      </w:r>
      <w:r>
        <w:rPr>
          <w:rFonts w:hint="default" w:ascii="Times New Roman" w:hAnsi="Times New Roman" w:eastAsia="仿宋_GB2312" w:cs="Times New Roman"/>
          <w:color w:val="000000"/>
          <w:sz w:val="32"/>
          <w:szCs w:val="32"/>
          <w:lang w:val="en-US" w:eastAsia="zh-CN"/>
        </w:rPr>
        <w:t>95.21</w:t>
      </w:r>
      <w:r>
        <w:rPr>
          <w:rFonts w:hint="default" w:ascii="Times New Roman" w:hAnsi="Times New Roman" w:eastAsia="仿宋_GB2312" w:cs="Times New Roman"/>
          <w:color w:val="000000"/>
          <w:sz w:val="32"/>
          <w:szCs w:val="32"/>
        </w:rPr>
        <w:t>万元，主要包括：基本工资</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津贴补</w:t>
      </w:r>
      <w:r>
        <w:rPr>
          <w:rFonts w:hint="default" w:ascii="Times New Roman" w:hAnsi="Times New Roman" w:eastAsia="仿宋_GB2312" w:cs="Times New Roman"/>
          <w:color w:val="000000"/>
          <w:sz w:val="32"/>
          <w:szCs w:val="32"/>
          <w:lang w:eastAsia="zh-CN"/>
        </w:rPr>
        <w:t>贴</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奖金、绩效工资、机关事业单位基本养老保险缴费、</w:t>
      </w:r>
      <w:r>
        <w:rPr>
          <w:rFonts w:hint="default" w:ascii="Times New Roman" w:hAnsi="Times New Roman" w:eastAsia="仿宋_GB2312" w:cs="Times New Roman"/>
          <w:color w:val="000000"/>
          <w:sz w:val="32"/>
          <w:szCs w:val="32"/>
          <w:lang w:eastAsia="zh-CN"/>
        </w:rPr>
        <w:t>职工基本医疗保险</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公务员医疗保险补助缴费</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其他社会保障缴费、其他工资福利支出、生活补助、住房公积金</w:t>
      </w:r>
      <w:r>
        <w:rPr>
          <w:rFonts w:hint="eastAsia"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rPr>
        <w:t>。</w:t>
      </w:r>
    </w:p>
    <w:p w14:paraId="5D45F6C1">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公用经费</w:t>
      </w:r>
      <w:r>
        <w:rPr>
          <w:rFonts w:hint="default" w:ascii="Times New Roman" w:hAnsi="Times New Roman" w:eastAsia="仿宋_GB2312" w:cs="Times New Roman"/>
          <w:color w:val="auto"/>
          <w:sz w:val="32"/>
          <w:szCs w:val="32"/>
          <w:lang w:val="en-US" w:eastAsia="zh-CN"/>
        </w:rPr>
        <w:t>11.07</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color w:val="000000"/>
          <w:sz w:val="32"/>
          <w:szCs w:val="32"/>
        </w:rPr>
        <w:t>，主要包括：办公费、差旅费、公务接待费、工会经费、福利费、其他交通费、其他商品和服务支出</w:t>
      </w:r>
      <w:r>
        <w:rPr>
          <w:rFonts w:hint="eastAsia"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rPr>
        <w:t>。</w:t>
      </w:r>
    </w:p>
    <w:p w14:paraId="5DC21298">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七、“三公”经费财政拨款支出决算情况说明</w:t>
      </w:r>
    </w:p>
    <w:p w14:paraId="522D71A4">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（一）“三公”经费财政拨款支出决算总体情况说明</w:t>
      </w:r>
    </w:p>
    <w:p w14:paraId="0DDA7139">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“三公”经费财政拨款支出</w:t>
      </w:r>
      <w:r>
        <w:rPr>
          <w:rFonts w:hint="default" w:ascii="Times New Roman" w:hAnsi="Times New Roman" w:eastAsia="仿宋_GB2312" w:cs="Times New Roman"/>
          <w:color w:val="000000"/>
          <w:sz w:val="32"/>
          <w:szCs w:val="32"/>
          <w:lang w:val="en-US" w:eastAsia="zh-CN"/>
        </w:rPr>
        <w:t>为0.5万元</w:t>
      </w:r>
      <w:r>
        <w:rPr>
          <w:rFonts w:hint="default" w:ascii="Times New Roman" w:hAnsi="Times New Roman" w:eastAsia="仿宋_GB2312" w:cs="Times New Roman"/>
          <w:color w:val="000000"/>
          <w:sz w:val="32"/>
          <w:szCs w:val="32"/>
        </w:rPr>
        <w:t>，完成预算</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i w:val="0"/>
          <w:iCs w:val="0"/>
          <w:color w:val="auto"/>
          <w:sz w:val="32"/>
          <w:szCs w:val="32"/>
          <w:highlight w:val="none"/>
          <w:lang w:eastAsia="zh-CN"/>
        </w:rPr>
        <w:t>较上年度</w:t>
      </w:r>
      <w:r>
        <w:rPr>
          <w:rFonts w:hint="default" w:ascii="Times New Roman" w:hAnsi="Times New Roman" w:eastAsia="仿宋_GB2312" w:cs="Times New Roman"/>
          <w:b w:val="0"/>
          <w:bCs w:val="0"/>
          <w:i w:val="0"/>
          <w:iCs w:val="0"/>
          <w:color w:val="auto"/>
          <w:sz w:val="32"/>
          <w:szCs w:val="32"/>
          <w:highlight w:val="none"/>
          <w:lang w:val="en-US" w:eastAsia="zh-CN"/>
        </w:rPr>
        <w:t>增加0.05万元，增长11.11%，</w:t>
      </w:r>
      <w:r>
        <w:rPr>
          <w:rFonts w:hint="default" w:ascii="Times New Roman" w:hAnsi="Times New Roman" w:eastAsia="仿宋_GB2312" w:cs="Times New Roman"/>
          <w:b w:val="0"/>
          <w:bCs w:val="0"/>
          <w:i w:val="0"/>
          <w:iCs w:val="0"/>
          <w:color w:val="auto"/>
          <w:sz w:val="32"/>
          <w:szCs w:val="32"/>
          <w:highlight w:val="none"/>
        </w:rPr>
        <w:t>主要原因是</w:t>
      </w:r>
      <w:r>
        <w:rPr>
          <w:rFonts w:hint="default" w:ascii="Times New Roman" w:hAnsi="Times New Roman" w:eastAsia="仿宋_GB2312" w:cs="Times New Roman"/>
          <w:color w:val="000000"/>
          <w:sz w:val="32"/>
          <w:szCs w:val="32"/>
          <w:lang w:val="en-US" w:eastAsia="zh-CN"/>
        </w:rPr>
        <w:t>2024年</w:t>
      </w:r>
      <w:r>
        <w:rPr>
          <w:rFonts w:hint="eastAsia" w:ascii="Times New Roman" w:hAnsi="Times New Roman" w:eastAsia="仿宋_GB2312" w:cs="Times New Roman"/>
          <w:color w:val="000000"/>
          <w:sz w:val="32"/>
          <w:szCs w:val="32"/>
          <w:lang w:val="en-US" w:eastAsia="zh-CN"/>
        </w:rPr>
        <w:t>妇联换届选举及儿童之家创建接待增加</w:t>
      </w:r>
      <w:r>
        <w:rPr>
          <w:rFonts w:hint="default" w:ascii="Times New Roman" w:hAnsi="Times New Roman" w:eastAsia="仿宋_GB2312" w:cs="Times New Roman"/>
          <w:color w:val="000000"/>
          <w:sz w:val="32"/>
          <w:szCs w:val="32"/>
          <w:lang w:val="en-US" w:eastAsia="zh-CN"/>
        </w:rPr>
        <w:t>经费相应增</w:t>
      </w:r>
      <w:r>
        <w:rPr>
          <w:rFonts w:hint="eastAsia" w:ascii="Times New Roman" w:hAnsi="Times New Roman" w:eastAsia="仿宋_GB2312" w:cs="Times New Roman"/>
          <w:color w:val="000000"/>
          <w:sz w:val="32"/>
          <w:szCs w:val="32"/>
          <w:lang w:val="en-US" w:eastAsia="zh-CN"/>
        </w:rPr>
        <w:t>长</w:t>
      </w:r>
      <w:r>
        <w:rPr>
          <w:rFonts w:hint="default" w:ascii="Times New Roman" w:hAnsi="Times New Roman" w:eastAsia="仿宋_GB2312" w:cs="Times New Roman"/>
          <w:color w:val="000000"/>
          <w:sz w:val="32"/>
          <w:szCs w:val="32"/>
          <w:lang w:val="en-US" w:eastAsia="zh-CN"/>
        </w:rPr>
        <w:t>。</w:t>
      </w:r>
    </w:p>
    <w:p w14:paraId="081F9838">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（二）“三公”经费财政拨款支出决算具体情况说明</w:t>
      </w:r>
    </w:p>
    <w:p w14:paraId="2FA4E0C3">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度“三公”经费财政拨款支出决算中，因公出国（境）费支出决算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%；公务用车购置及运行维护费支出决算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%；公务接待费支出决算</w:t>
      </w:r>
      <w:r>
        <w:rPr>
          <w:rFonts w:hint="default" w:ascii="Times New Roman" w:hAnsi="Times New Roman" w:eastAsia="仿宋_GB2312" w:cs="Times New Roman"/>
          <w:color w:val="000000"/>
          <w:sz w:val="32"/>
          <w:szCs w:val="32"/>
          <w:lang w:val="en-US" w:eastAsia="zh-CN"/>
        </w:rPr>
        <w:t>0.5万元</w:t>
      </w:r>
      <w:r>
        <w:rPr>
          <w:rFonts w:hint="default" w:ascii="Times New Roman" w:hAnsi="Times New Roman" w:eastAsia="仿宋_GB2312" w:cs="Times New Roman"/>
          <w:color w:val="000000"/>
          <w:sz w:val="32"/>
          <w:szCs w:val="32"/>
        </w:rPr>
        <w:t>，占</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%。具体情况如下：</w:t>
      </w:r>
    </w:p>
    <w:p w14:paraId="459B9041">
      <w:pPr>
        <w:pStyle w:val="20"/>
        <w:rPr>
          <w:rFonts w:hint="default" w:ascii="Times New Roman" w:hAnsi="Times New Roman" w:cs="Times New Roman"/>
          <w:lang w:val="en-US" w:eastAsia="zh-CN"/>
        </w:rPr>
      </w:pPr>
    </w:p>
    <w:p w14:paraId="0ED5488D">
      <w:pPr>
        <w:pStyle w:val="1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080000" cy="3020695"/>
            <wp:effectExtent l="4445" t="4445" r="20955" b="22860"/>
            <wp:docPr id="7" name="图表 7" descr="7b0a202020202263686172745265734964223a2022323034373535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82EE99">
      <w:pPr>
        <w:jc w:val="center"/>
        <w:rPr>
          <w:rFonts w:hint="default" w:ascii="Times New Roman" w:hAnsi="Times New Roman" w:eastAsia="楷体_GB2312" w:cs="Times New Roman"/>
          <w:b/>
          <w:bCs/>
          <w:sz w:val="30"/>
          <w:szCs w:val="30"/>
          <w:lang w:val="en-US" w:eastAsia="zh-CN"/>
        </w:rPr>
      </w:pPr>
      <w:r>
        <w:rPr>
          <w:rFonts w:hint="default" w:ascii="Times New Roman" w:hAnsi="Times New Roman" w:eastAsia="楷体_GB2312" w:cs="Times New Roman"/>
          <w:b/>
          <w:bCs/>
          <w:color w:val="auto"/>
          <w:kern w:val="2"/>
          <w:sz w:val="30"/>
          <w:szCs w:val="30"/>
          <w:highlight w:val="none"/>
          <w:lang w:val="en-US" w:eastAsia="zh-CN" w:bidi="ar-SA"/>
        </w:rPr>
        <w:t>（图7：“三公”经费财政拨款支出结构）</w:t>
      </w:r>
    </w:p>
    <w:p w14:paraId="547EC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1.因公出国（境）经费支出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9"/>
          <w:rFonts w:hint="default" w:ascii="Times New Roman" w:hAnsi="Times New Roman" w:eastAsia="仿宋_GB2312" w:cs="Times New Roman"/>
          <w:b w:val="0"/>
          <w:bCs/>
          <w:color w:val="000000"/>
          <w:sz w:val="32"/>
          <w:szCs w:val="32"/>
        </w:rPr>
        <w:t>完成预算</w:t>
      </w:r>
      <w:r>
        <w:rPr>
          <w:rStyle w:val="19"/>
          <w:rFonts w:hint="default" w:ascii="Times New Roman" w:hAnsi="Times New Roman" w:eastAsia="仿宋_GB2312" w:cs="Times New Roman"/>
          <w:b w:val="0"/>
          <w:bCs/>
          <w:color w:val="000000"/>
          <w:sz w:val="32"/>
          <w:szCs w:val="32"/>
          <w:lang w:val="en-US" w:eastAsia="zh-CN"/>
        </w:rPr>
        <w:t>100</w:t>
      </w:r>
      <w:r>
        <w:rPr>
          <w:rStyle w:val="19"/>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全年安排因公出国（境）团组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因公出国（境）支出决算比</w:t>
      </w:r>
      <w:r>
        <w:rPr>
          <w:rFonts w:hint="default" w:ascii="Times New Roman" w:hAnsi="Times New Roman" w:eastAsia="仿宋_GB2312" w:cs="Times New Roman"/>
          <w:color w:val="000000"/>
          <w:sz w:val="32"/>
          <w:szCs w:val="32"/>
          <w:lang w:eastAsia="zh-CN"/>
        </w:rPr>
        <w:t>2023年</w:t>
      </w:r>
      <w:r>
        <w:rPr>
          <w:rFonts w:hint="default" w:ascii="Times New Roman" w:hAnsi="Times New Roman" w:eastAsia="仿宋_GB2312" w:cs="Times New Roman"/>
          <w:color w:val="000000"/>
          <w:sz w:val="32"/>
          <w:szCs w:val="32"/>
        </w:rPr>
        <w:t>增加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与上年持平</w:t>
      </w:r>
      <w:r>
        <w:rPr>
          <w:rFonts w:hint="default" w:ascii="Times New Roman" w:hAnsi="Times New Roman" w:eastAsia="仿宋_GB2312" w:cs="Times New Roman"/>
          <w:color w:val="000000"/>
          <w:sz w:val="32"/>
          <w:szCs w:val="32"/>
        </w:rPr>
        <w:t>。</w:t>
      </w:r>
    </w:p>
    <w:p w14:paraId="06A859A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9"/>
          <w:rFonts w:hint="default" w:ascii="Times New Roman" w:hAnsi="Times New Roman" w:eastAsia="仿宋_GB2312" w:cs="Times New Roman"/>
          <w:b w:val="0"/>
          <w:bCs w:val="0"/>
          <w:i w:val="0"/>
          <w:iCs w:val="0"/>
          <w:color w:val="auto"/>
          <w:sz w:val="32"/>
          <w:szCs w:val="32"/>
          <w:highlight w:val="none"/>
        </w:rPr>
        <w:t>成预算</w:t>
      </w:r>
      <w:r>
        <w:rPr>
          <w:rStyle w:val="19"/>
          <w:rFonts w:hint="default"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default" w:ascii="Times New Roman" w:hAnsi="Times New Roman" w:eastAsia="仿宋_GB2312" w:cs="Times New Roman"/>
          <w:b w:val="0"/>
          <w:bCs w:val="0"/>
          <w:i w:val="0"/>
          <w:iCs w:val="0"/>
          <w:color w:val="auto"/>
          <w:sz w:val="32"/>
          <w:szCs w:val="32"/>
          <w:highlight w:val="none"/>
          <w:lang w:val="en-US" w:eastAsia="zh-CN"/>
        </w:rPr>
        <w:t>与</w:t>
      </w:r>
      <w:r>
        <w:rPr>
          <w:rFonts w:hint="default" w:ascii="Times New Roman" w:hAnsi="Times New Roman" w:eastAsia="仿宋_GB2312" w:cs="Times New Roman"/>
          <w:b w:val="0"/>
          <w:bCs w:val="0"/>
          <w:i w:val="0"/>
          <w:iCs w:val="0"/>
          <w:color w:val="auto"/>
          <w:sz w:val="32"/>
          <w:szCs w:val="32"/>
          <w:highlight w:val="none"/>
          <w:lang w:eastAsia="zh-CN"/>
        </w:rPr>
        <w:t>2023年度</w:t>
      </w:r>
      <w:r>
        <w:rPr>
          <w:rFonts w:hint="default" w:ascii="Times New Roman" w:hAnsi="Times New Roman" w:eastAsia="仿宋_GB2312" w:cs="Times New Roman"/>
          <w:b w:val="0"/>
          <w:bCs w:val="0"/>
          <w:i w:val="0"/>
          <w:iCs w:val="0"/>
          <w:color w:val="auto"/>
          <w:sz w:val="32"/>
          <w:szCs w:val="32"/>
          <w:highlight w:val="none"/>
          <w:lang w:val="en-US" w:eastAsia="zh-CN"/>
        </w:rPr>
        <w:t>持平</w:t>
      </w:r>
      <w:r>
        <w:rPr>
          <w:rFonts w:hint="default" w:ascii="Times New Roman" w:hAnsi="Times New Roman" w:eastAsia="仿宋_GB2312" w:cs="Times New Roman"/>
          <w:color w:val="000000"/>
          <w:sz w:val="32"/>
          <w:szCs w:val="32"/>
          <w:lang w:eastAsia="zh-CN"/>
        </w:rPr>
        <w:t>。</w:t>
      </w:r>
    </w:p>
    <w:p w14:paraId="0790AC81">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其中：公务用车购置支出</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万元。全年按规定更新购置公务用车</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万元，越野车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万元，载客汽车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截至</w:t>
      </w:r>
      <w:r>
        <w:rPr>
          <w:rFonts w:hint="default" w:ascii="Times New Roman" w:hAnsi="Times New Roman" w:eastAsia="仿宋_GB2312" w:cs="Times New Roman"/>
          <w:b w:val="0"/>
          <w:bCs w:val="0"/>
          <w:i w:val="0"/>
          <w:iCs w:val="0"/>
          <w:color w:val="auto"/>
          <w:sz w:val="32"/>
          <w:szCs w:val="32"/>
          <w:highlight w:val="none"/>
          <w:lang w:eastAsia="zh-CN"/>
        </w:rPr>
        <w:t>2024年</w:t>
      </w:r>
      <w:r>
        <w:rPr>
          <w:rFonts w:hint="default" w:ascii="Times New Roman" w:hAnsi="Times New Roman" w:eastAsia="仿宋_GB2312" w:cs="Times New Roman"/>
          <w:b w:val="0"/>
          <w:bCs w:val="0"/>
          <w:i w:val="0"/>
          <w:iCs w:val="0"/>
          <w:color w:val="auto"/>
          <w:sz w:val="32"/>
          <w:szCs w:val="32"/>
          <w:highlight w:val="none"/>
        </w:rPr>
        <w:t>12月</w:t>
      </w:r>
      <w:r>
        <w:rPr>
          <w:rFonts w:hint="default" w:ascii="Times New Roman" w:hAnsi="Times New Roman" w:eastAsia="仿宋_GB2312" w:cs="Times New Roman"/>
          <w:b w:val="0"/>
          <w:bCs w:val="0"/>
          <w:i w:val="0"/>
          <w:iCs w:val="0"/>
          <w:color w:val="auto"/>
          <w:sz w:val="32"/>
          <w:szCs w:val="32"/>
          <w:highlight w:val="none"/>
          <w:lang w:val="en-US" w:eastAsia="zh-CN"/>
        </w:rPr>
        <w:t>31日</w:t>
      </w:r>
      <w:r>
        <w:rPr>
          <w:rFonts w:hint="default" w:ascii="Times New Roman" w:hAnsi="Times New Roman" w:eastAsia="仿宋_GB2312" w:cs="Times New Roman"/>
          <w:b w:val="0"/>
          <w:bCs w:val="0"/>
          <w:i w:val="0"/>
          <w:iCs w:val="0"/>
          <w:color w:val="auto"/>
          <w:sz w:val="32"/>
          <w:szCs w:val="32"/>
          <w:highlight w:val="none"/>
        </w:rPr>
        <w:t>，单位共有公务用车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辆、越野车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辆、载客汽车</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辆。</w:t>
      </w:r>
    </w:p>
    <w:p w14:paraId="5806FAC1">
      <w:pPr>
        <w:pStyle w:val="14"/>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cs="Times New Roman"/>
          <w:lang w:eastAsia="zh-CN"/>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default"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万元。主要用于公务用车燃料费、维修费、过路过桥费、保险费等支出。</w:t>
      </w:r>
    </w:p>
    <w:p w14:paraId="6C4471D2">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lang w:val="en-US" w:eastAsia="zh-CN"/>
        </w:rPr>
        <w:t>0.5万元，</w:t>
      </w:r>
      <w:r>
        <w:rPr>
          <w:rStyle w:val="19"/>
          <w:rFonts w:hint="default" w:ascii="Times New Roman" w:hAnsi="Times New Roman" w:eastAsia="仿宋_GB2312" w:cs="Times New Roman"/>
          <w:b w:val="0"/>
          <w:bCs/>
          <w:color w:val="000000"/>
          <w:sz w:val="32"/>
          <w:szCs w:val="32"/>
        </w:rPr>
        <w:t>完成预算</w:t>
      </w:r>
      <w:r>
        <w:rPr>
          <w:rStyle w:val="19"/>
          <w:rFonts w:hint="default" w:ascii="Times New Roman" w:hAnsi="Times New Roman" w:eastAsia="仿宋_GB2312" w:cs="Times New Roman"/>
          <w:b w:val="0"/>
          <w:bCs/>
          <w:color w:val="000000"/>
          <w:sz w:val="32"/>
          <w:szCs w:val="32"/>
          <w:lang w:val="en-US" w:eastAsia="zh-CN"/>
        </w:rPr>
        <w:t>100</w:t>
      </w:r>
      <w:r>
        <w:rPr>
          <w:rStyle w:val="19"/>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val="0"/>
          <w:i w:val="0"/>
          <w:iCs w:val="0"/>
          <w:color w:val="auto"/>
          <w:sz w:val="32"/>
          <w:szCs w:val="32"/>
          <w:highlight w:val="none"/>
          <w:lang w:eastAsia="zh-CN"/>
        </w:rPr>
        <w:t>较上年度</w:t>
      </w:r>
      <w:r>
        <w:rPr>
          <w:rFonts w:hint="default" w:ascii="Times New Roman" w:hAnsi="Times New Roman" w:eastAsia="仿宋_GB2312" w:cs="Times New Roman"/>
          <w:b w:val="0"/>
          <w:bCs w:val="0"/>
          <w:i w:val="0"/>
          <w:iCs w:val="0"/>
          <w:color w:val="auto"/>
          <w:sz w:val="32"/>
          <w:szCs w:val="32"/>
          <w:highlight w:val="none"/>
          <w:lang w:val="en-US" w:eastAsia="zh-CN"/>
        </w:rPr>
        <w:t>增加0.05万元，增长11.11%，</w:t>
      </w:r>
      <w:r>
        <w:rPr>
          <w:rFonts w:hint="default" w:ascii="Times New Roman" w:hAnsi="Times New Roman" w:eastAsia="仿宋_GB2312" w:cs="Times New Roman"/>
          <w:b w:val="0"/>
          <w:bCs w:val="0"/>
          <w:i w:val="0"/>
          <w:iCs w:val="0"/>
          <w:color w:val="auto"/>
          <w:sz w:val="32"/>
          <w:szCs w:val="32"/>
          <w:highlight w:val="none"/>
        </w:rPr>
        <w:t>主要原因是</w:t>
      </w:r>
      <w:r>
        <w:rPr>
          <w:rFonts w:hint="default" w:ascii="Times New Roman" w:hAnsi="Times New Roman" w:eastAsia="仿宋_GB2312" w:cs="Times New Roman"/>
          <w:color w:val="000000"/>
          <w:sz w:val="32"/>
          <w:szCs w:val="32"/>
          <w:lang w:val="en-US" w:eastAsia="zh-CN"/>
        </w:rPr>
        <w:t>2024年</w:t>
      </w:r>
      <w:r>
        <w:rPr>
          <w:rFonts w:hint="eastAsia" w:ascii="Times New Roman" w:hAnsi="Times New Roman" w:eastAsia="仿宋_GB2312" w:cs="Times New Roman"/>
          <w:color w:val="000000"/>
          <w:sz w:val="32"/>
          <w:szCs w:val="32"/>
          <w:lang w:val="en-US" w:eastAsia="zh-CN"/>
        </w:rPr>
        <w:t>妇联换届选举及儿童之家创建接待增加</w:t>
      </w:r>
      <w:r>
        <w:rPr>
          <w:rFonts w:hint="default" w:ascii="Times New Roman" w:hAnsi="Times New Roman" w:eastAsia="仿宋_GB2312" w:cs="Times New Roman"/>
          <w:color w:val="000000"/>
          <w:sz w:val="32"/>
          <w:szCs w:val="32"/>
          <w:lang w:val="en-US" w:eastAsia="zh-CN"/>
        </w:rPr>
        <w:t>经费相应增</w:t>
      </w:r>
      <w:r>
        <w:rPr>
          <w:rFonts w:hint="eastAsia" w:ascii="Times New Roman" w:hAnsi="Times New Roman" w:eastAsia="仿宋_GB2312" w:cs="Times New Roman"/>
          <w:color w:val="000000"/>
          <w:sz w:val="32"/>
          <w:szCs w:val="32"/>
          <w:lang w:val="en-US" w:eastAsia="zh-CN"/>
        </w:rPr>
        <w:t>长</w:t>
      </w:r>
      <w:r>
        <w:rPr>
          <w:rFonts w:hint="default" w:ascii="Times New Roman" w:hAnsi="Times New Roman" w:eastAsia="仿宋_GB2312" w:cs="Times New Roman"/>
          <w:color w:val="000000"/>
          <w:sz w:val="32"/>
          <w:szCs w:val="32"/>
          <w:lang w:val="en-US" w:eastAsia="zh-CN"/>
        </w:rPr>
        <w:t>。其中：</w:t>
      </w:r>
    </w:p>
    <w:p w14:paraId="497178C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color w:val="000000"/>
          <w:sz w:val="32"/>
          <w:szCs w:val="32"/>
        </w:rPr>
        <w:t>国内公务接待支出</w:t>
      </w:r>
      <w:r>
        <w:rPr>
          <w:rFonts w:hint="default" w:ascii="Times New Roman" w:hAnsi="Times New Roman" w:eastAsia="仿宋_GB2312" w:cs="Times New Roman"/>
          <w:b w:val="0"/>
          <w:bCs/>
          <w:color w:val="000000"/>
          <w:sz w:val="32"/>
          <w:szCs w:val="32"/>
          <w:lang w:val="en-US" w:eastAsia="zh-CN"/>
        </w:rPr>
        <w:t>0.5</w:t>
      </w:r>
      <w:r>
        <w:rPr>
          <w:rFonts w:hint="default" w:ascii="Times New Roman" w:hAnsi="Times New Roman" w:eastAsia="仿宋_GB2312" w:cs="Times New Roman"/>
          <w:b w:val="0"/>
          <w:bCs/>
          <w:color w:val="000000"/>
          <w:sz w:val="32"/>
          <w:szCs w:val="32"/>
        </w:rPr>
        <w:t>万元</w:t>
      </w:r>
      <w:r>
        <w:rPr>
          <w:rFonts w:hint="default" w:ascii="Times New Roman" w:hAnsi="Times New Roman" w:eastAsia="仿宋_GB2312" w:cs="Times New Roman"/>
          <w:color w:val="000000"/>
          <w:sz w:val="32"/>
          <w:szCs w:val="32"/>
        </w:rPr>
        <w:t>，主要用于执行公务、开展业务活动开支的交通费、住宿费、用餐费等。国内公务接待</w:t>
      </w:r>
      <w:r>
        <w:rPr>
          <w:rFonts w:hint="default" w:ascii="Times New Roman" w:hAnsi="Times New Roman"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68</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万元，具体内容包括：</w:t>
      </w:r>
      <w:r>
        <w:rPr>
          <w:rFonts w:hint="default" w:ascii="Times New Roman" w:hAnsi="Times New Roman" w:eastAsia="仿宋_GB2312" w:cs="Times New Roman"/>
          <w:color w:val="000000"/>
          <w:sz w:val="32"/>
          <w:szCs w:val="32"/>
          <w:lang w:val="en-US" w:eastAsia="zh-CN"/>
        </w:rPr>
        <w:t>接待上级单位到来</w:t>
      </w:r>
      <w:r>
        <w:rPr>
          <w:rFonts w:hint="default" w:ascii="Times New Roman" w:hAnsi="Times New Roman" w:eastAsia="仿宋_GB2312" w:cs="Times New Roman"/>
          <w:color w:val="000000"/>
          <w:sz w:val="32"/>
          <w:szCs w:val="32"/>
        </w:rPr>
        <w:t>开展业务活动开支的用餐费</w:t>
      </w:r>
      <w:r>
        <w:rPr>
          <w:rFonts w:hint="default" w:ascii="Times New Roman" w:hAnsi="Times New Roman" w:eastAsia="仿宋_GB2312" w:cs="Times New Roman"/>
          <w:color w:val="000000"/>
          <w:sz w:val="32"/>
          <w:szCs w:val="32"/>
          <w:lang w:val="en-US" w:eastAsia="zh-CN"/>
        </w:rPr>
        <w:t>0.5万元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 xml:space="preserve"> </w:t>
      </w:r>
    </w:p>
    <w:p w14:paraId="6983640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val="0"/>
          <w:bCs w:val="0"/>
          <w:i w:val="0"/>
          <w:iCs w:val="0"/>
          <w:color w:val="auto"/>
          <w:sz w:val="32"/>
          <w:szCs w:val="32"/>
          <w:highlight w:val="none"/>
        </w:rPr>
        <w:t>外事接待支出</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color w:val="000000"/>
          <w:sz w:val="32"/>
          <w:szCs w:val="32"/>
          <w:lang w:val="en-US" w:eastAsia="zh-CN"/>
        </w:rPr>
        <w:t>。</w:t>
      </w:r>
    </w:p>
    <w:p w14:paraId="43E57EC0">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八、政府性基金预算支出决算情况说明</w:t>
      </w:r>
    </w:p>
    <w:p w14:paraId="62F82353">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度政府性基金预算拨款支出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与</w:t>
      </w:r>
      <w:r>
        <w:rPr>
          <w:rFonts w:hint="default" w:ascii="Times New Roman" w:hAnsi="Times New Roman" w:eastAsia="仿宋_GB2312" w:cs="Times New Roman"/>
          <w:color w:val="000000"/>
          <w:sz w:val="32"/>
          <w:szCs w:val="32"/>
          <w:lang w:val="en-US" w:eastAsia="zh-CN"/>
        </w:rPr>
        <w:t>2023年相比，政府性基金预算财政拨款支出减少9万元，下降100%。主要原因是2024年减少了妇女换届项目的支出。</w:t>
      </w:r>
    </w:p>
    <w:p w14:paraId="2709B2B9">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九、国有资本经营预算支出决算情况说明</w:t>
      </w:r>
    </w:p>
    <w:p w14:paraId="5B9F25B1">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度国有资本经营预算拨款支出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0D6B2A2B">
      <w:pPr>
        <w:pStyle w:val="14"/>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十、其他重要事项的情况说明</w:t>
      </w:r>
    </w:p>
    <w:p w14:paraId="4CAA420B">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（一）机关运行经费支出情况</w:t>
      </w:r>
    </w:p>
    <w:p w14:paraId="298EC79F">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度，</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lang w:eastAsia="zh-CN"/>
        </w:rPr>
        <w:t>妇联</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11.07</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2023年，区</w:t>
      </w:r>
      <w:r>
        <w:rPr>
          <w:rFonts w:hint="default" w:ascii="Times New Roman" w:hAnsi="Times New Roman" w:eastAsia="仿宋_GB2312" w:cs="Times New Roman"/>
          <w:color w:val="000000"/>
          <w:sz w:val="32"/>
          <w:szCs w:val="32"/>
          <w:lang w:eastAsia="zh-CN"/>
        </w:rPr>
        <w:t>妇联</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7.41</w:t>
      </w:r>
      <w:r>
        <w:rPr>
          <w:rFonts w:hint="default" w:ascii="Times New Roman" w:hAnsi="Times New Roman" w:eastAsia="仿宋_GB2312" w:cs="Times New Roman"/>
          <w:color w:val="000000"/>
          <w:sz w:val="32"/>
          <w:szCs w:val="32"/>
        </w:rPr>
        <w:t>万元，比</w:t>
      </w:r>
      <w:r>
        <w:rPr>
          <w:rFonts w:hint="default" w:ascii="Times New Roman" w:hAnsi="Times New Roman" w:eastAsia="仿宋_GB2312" w:cs="Times New Roman"/>
          <w:color w:val="000000"/>
          <w:sz w:val="32"/>
          <w:szCs w:val="32"/>
          <w:lang w:eastAsia="zh-CN"/>
        </w:rPr>
        <w:t>2023年增加</w:t>
      </w:r>
      <w:r>
        <w:rPr>
          <w:rFonts w:hint="default" w:ascii="Times New Roman" w:hAnsi="Times New Roman" w:eastAsia="仿宋_GB2312" w:cs="Times New Roman"/>
          <w:color w:val="000000"/>
          <w:sz w:val="32"/>
          <w:szCs w:val="32"/>
          <w:lang w:val="en-US" w:eastAsia="zh-CN"/>
        </w:rPr>
        <w:t>3.66</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增长</w:t>
      </w:r>
      <w:r>
        <w:rPr>
          <w:rFonts w:hint="default" w:ascii="Times New Roman" w:hAnsi="Times New Roman" w:eastAsia="仿宋_GB2312" w:cs="Times New Roman"/>
          <w:color w:val="000000"/>
          <w:sz w:val="32"/>
          <w:szCs w:val="32"/>
          <w:lang w:val="en-US" w:eastAsia="zh-CN"/>
        </w:rPr>
        <w:t>49.39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;主要是由于2024年</w:t>
      </w:r>
      <w:r>
        <w:rPr>
          <w:rFonts w:hint="eastAsia" w:ascii="Times New Roman" w:hAnsi="Times New Roman" w:eastAsia="仿宋_GB2312" w:cs="Times New Roman"/>
          <w:color w:val="000000"/>
          <w:sz w:val="32"/>
          <w:szCs w:val="32"/>
          <w:lang w:val="en-US" w:eastAsia="zh-CN"/>
        </w:rPr>
        <w:t>妇联换届选举及儿童之家创建接待增加</w:t>
      </w:r>
      <w:r>
        <w:rPr>
          <w:rFonts w:hint="default" w:ascii="Times New Roman" w:hAnsi="Times New Roman" w:eastAsia="仿宋_GB2312" w:cs="Times New Roman"/>
          <w:color w:val="000000"/>
          <w:sz w:val="32"/>
          <w:szCs w:val="32"/>
          <w:lang w:val="en-US" w:eastAsia="zh-CN"/>
        </w:rPr>
        <w:t>经费增</w:t>
      </w:r>
      <w:r>
        <w:rPr>
          <w:rFonts w:hint="eastAsia" w:ascii="Times New Roman" w:hAnsi="Times New Roman" w:eastAsia="仿宋_GB2312" w:cs="Times New Roman"/>
          <w:color w:val="000000"/>
          <w:sz w:val="32"/>
          <w:szCs w:val="32"/>
          <w:lang w:val="en-US" w:eastAsia="zh-CN"/>
        </w:rPr>
        <w:t>长</w:t>
      </w:r>
      <w:r>
        <w:rPr>
          <w:rFonts w:hint="default" w:ascii="Times New Roman" w:hAnsi="Times New Roman" w:eastAsia="仿宋_GB2312" w:cs="Times New Roman"/>
          <w:color w:val="000000"/>
          <w:sz w:val="32"/>
          <w:szCs w:val="32"/>
          <w:lang w:val="en-US" w:eastAsia="zh-CN"/>
        </w:rPr>
        <w:t>。</w:t>
      </w:r>
    </w:p>
    <w:p w14:paraId="47B779F0">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（二）政府采购支出情况</w:t>
      </w:r>
    </w:p>
    <w:p w14:paraId="5BC294F5">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度，</w:t>
      </w:r>
      <w:r>
        <w:rPr>
          <w:rFonts w:hint="default" w:ascii="Times New Roman" w:hAnsi="Times New Roman" w:eastAsia="仿宋_GB2312" w:cs="Times New Roman"/>
          <w:color w:val="000000"/>
          <w:sz w:val="32"/>
          <w:szCs w:val="32"/>
          <w:lang w:eastAsia="zh-CN"/>
        </w:rPr>
        <w:t>妇联</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0.6</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0.6</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仿宋_GB2312"/>
          <w:color w:val="auto"/>
          <w:kern w:val="2"/>
          <w:sz w:val="32"/>
          <w:szCs w:val="32"/>
          <w:highlight w:val="none"/>
          <w:lang w:val="en-US" w:eastAsia="zh-CN" w:bidi="ar-SA"/>
        </w:rPr>
        <w:t>主要用于</w:t>
      </w:r>
      <w:r>
        <w:rPr>
          <w:rFonts w:ascii="仿宋_GB2312" w:hAnsi="仿宋" w:eastAsia="仿宋_GB2312" w:cs="仿宋"/>
          <w:bCs/>
          <w:color w:val="auto"/>
          <w:sz w:val="32"/>
          <w:szCs w:val="32"/>
        </w:rPr>
        <w:t>2024年信创替代专项资金</w:t>
      </w:r>
      <w:r>
        <w:rPr>
          <w:rFonts w:hint="eastAsia" w:ascii="仿宋_GB2312" w:hAnsi="仿宋" w:eastAsia="仿宋_GB2312" w:cs="仿宋"/>
          <w:bCs/>
          <w:color w:val="auto"/>
          <w:sz w:val="32"/>
          <w:szCs w:val="32"/>
        </w:rPr>
        <w:t>，采购具体内容为台式计算机</w:t>
      </w:r>
      <w:r>
        <w:rPr>
          <w:rFonts w:hint="eastAsia" w:ascii="仿宋_GB2312" w:hAnsi="仿宋" w:eastAsia="仿宋_GB2312" w:cs="仿宋"/>
          <w:bCs/>
          <w:color w:val="auto"/>
          <w:sz w:val="32"/>
          <w:szCs w:val="32"/>
          <w:lang w:val="en-US" w:eastAsia="zh-CN"/>
        </w:rPr>
        <w:t>1</w:t>
      </w:r>
      <w:r>
        <w:rPr>
          <w:rFonts w:hint="eastAsia" w:ascii="仿宋_GB2312" w:hAnsi="仿宋" w:eastAsia="仿宋_GB2312" w:cs="仿宋"/>
          <w:bCs/>
          <w:color w:val="auto"/>
          <w:sz w:val="32"/>
          <w:szCs w:val="32"/>
        </w:rPr>
        <w:t>台，</w:t>
      </w:r>
      <w:r>
        <w:rPr>
          <w:rFonts w:hint="eastAsia" w:ascii="仿宋_GB2312" w:hAnsi="仿宋" w:eastAsia="仿宋_GB2312" w:cs="仿宋"/>
          <w:bCs/>
          <w:color w:val="auto"/>
          <w:sz w:val="32"/>
          <w:szCs w:val="32"/>
          <w:lang w:val="en-US" w:eastAsia="zh-CN"/>
        </w:rPr>
        <w:t>0.6万</w:t>
      </w:r>
      <w:r>
        <w:rPr>
          <w:rFonts w:hint="eastAsia" w:ascii="仿宋_GB2312" w:hAnsi="仿宋" w:eastAsia="仿宋_GB2312" w:cs="仿宋"/>
          <w:bCs/>
          <w:color w:val="auto"/>
          <w:sz w:val="32"/>
          <w:szCs w:val="32"/>
        </w:rPr>
        <w:t>元。采购类型为货物，采购方式为公开招标，付款方式为一次性付清。</w:t>
      </w:r>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72D65D1B">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（三）国有资产占有使用情况</w:t>
      </w:r>
    </w:p>
    <w:p w14:paraId="6BB39600">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3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截至</w:t>
      </w:r>
      <w:r>
        <w:rPr>
          <w:rFonts w:hint="default" w:ascii="Times New Roman" w:hAnsi="Times New Roman" w:eastAsia="仿宋_GB2312" w:cs="Times New Roman"/>
          <w:color w:val="000000"/>
          <w:sz w:val="32"/>
          <w:szCs w:val="32"/>
          <w:lang w:eastAsia="zh-CN"/>
        </w:rPr>
        <w:t>2024年</w:t>
      </w:r>
      <w:r>
        <w:rPr>
          <w:rFonts w:hint="default" w:ascii="Times New Roman" w:hAnsi="Times New Roman" w:eastAsia="仿宋_GB2312" w:cs="Times New Roman"/>
          <w:color w:val="000000"/>
          <w:sz w:val="32"/>
          <w:szCs w:val="32"/>
        </w:rPr>
        <w:t>12月31日，</w:t>
      </w:r>
      <w:r>
        <w:rPr>
          <w:rFonts w:hint="default" w:ascii="Times New Roman" w:hAnsi="Times New Roman" w:eastAsia="仿宋_GB2312" w:cs="Times New Roman"/>
          <w:color w:val="000000"/>
          <w:sz w:val="32"/>
          <w:szCs w:val="32"/>
          <w:lang w:eastAsia="zh-CN"/>
        </w:rPr>
        <w:t>妇联</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辆，其中：部级领导干部用车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辆、一般公务用车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辆、一般执法执勤用车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辆、特种专业技术用车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辆；单价50万元以上通用设备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台（套），单价100万元以上专用设备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p>
    <w:p w14:paraId="414FCC18">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楷体_GB2312" w:cs="Times New Roman"/>
          <w:b/>
          <w:color w:val="000000"/>
          <w:sz w:val="32"/>
          <w:szCs w:val="32"/>
          <w:lang w:val="en-US" w:eastAsia="zh-CN"/>
        </w:rPr>
      </w:pPr>
      <w:r>
        <w:rPr>
          <w:rFonts w:hint="default" w:ascii="Times New Roman" w:hAnsi="Times New Roman" w:eastAsia="楷体_GB2312" w:cs="Times New Roman"/>
          <w:b/>
          <w:color w:val="000000"/>
          <w:sz w:val="32"/>
          <w:szCs w:val="32"/>
          <w:lang w:val="en-US" w:eastAsia="zh-CN"/>
        </w:rPr>
        <w:t>（四）预算绩效管理工作开展情况。</w:t>
      </w:r>
    </w:p>
    <w:p w14:paraId="2849D90D">
      <w:pPr>
        <w:keepNext w:val="0"/>
        <w:keepLines w:val="0"/>
        <w:pageBreakBefore w:val="0"/>
        <w:widowControl w:val="0"/>
        <w:kinsoku/>
        <w:wordWrap/>
        <w:overflowPunct/>
        <w:topLinePunct w:val="0"/>
        <w:bidi w:val="0"/>
        <w:spacing w:line="560" w:lineRule="exact"/>
        <w:ind w:left="0" w:leftChars="0" w:right="0" w:firstLine="632"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000000"/>
          <w:kern w:val="0"/>
          <w:sz w:val="32"/>
          <w:szCs w:val="32"/>
          <w:lang w:val="en-US" w:eastAsia="zh-CN" w:bidi="ar-SA"/>
        </w:rPr>
        <w:t>根据预算绩效管理要求，本部门（单位）在年初预算编制阶段，</w:t>
      </w:r>
      <w:r>
        <w:rPr>
          <w:rFonts w:hint="eastAsia" w:ascii="Times New Roman" w:hAnsi="Times New Roman" w:eastAsia="仿宋_GB2312" w:cs="仿宋_GB2312"/>
          <w:color w:val="auto"/>
          <w:kern w:val="2"/>
          <w:sz w:val="32"/>
          <w:szCs w:val="32"/>
          <w:highlight w:val="none"/>
          <w:lang w:val="en-US" w:eastAsia="zh-CN" w:bidi="ar-SA"/>
        </w:rPr>
        <w:t>组织对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EFF9603">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组织对</w:t>
      </w:r>
      <w:r>
        <w:rPr>
          <w:rFonts w:hint="eastAsia" w:ascii="Times New Roman" w:hAnsi="Times New Roman" w:eastAsia="仿宋_GB2312" w:cs="仿宋_GB2312"/>
          <w:color w:val="auto"/>
          <w:kern w:val="2"/>
          <w:sz w:val="32"/>
          <w:szCs w:val="32"/>
          <w:highlight w:val="none"/>
          <w:lang w:val="en-US" w:eastAsia="zh-CN" w:bidi="ar-SA"/>
        </w:rPr>
        <w:t>2024年度一般公共预算、政府性基金预算、国有资本经营预算、社会保险基金预算以及资本资产、债券资金等全面开展绩效自评，形成了遂宁市安居区妇女联合会（含部门预算项目）绩效自评报告、</w:t>
      </w:r>
      <w:r>
        <w:rPr>
          <w:rFonts w:hint="default" w:ascii="Times New Roman" w:hAnsi="Times New Roman" w:eastAsia="仿宋_GB2312" w:cs="Times New Roman"/>
          <w:color w:val="000000"/>
          <w:kern w:val="0"/>
          <w:sz w:val="32"/>
          <w:szCs w:val="32"/>
          <w:lang w:val="en-US" w:eastAsia="zh-CN" w:bidi="ar-SA"/>
        </w:rPr>
        <w:t>“两癌”救助及保险经费</w:t>
      </w:r>
      <w:r>
        <w:rPr>
          <w:rFonts w:hint="eastAsia" w:ascii="Times New Roman" w:hAnsi="Times New Roman" w:eastAsia="仿宋_GB2312" w:cs="Times New Roman"/>
          <w:color w:val="000000"/>
          <w:kern w:val="0"/>
          <w:sz w:val="32"/>
          <w:szCs w:val="32"/>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专项预算项目绩效自评报告</w:t>
      </w:r>
      <w:r>
        <w:rPr>
          <w:rFonts w:hint="default" w:ascii="Times New Roman" w:hAnsi="Times New Roman" w:eastAsia="仿宋_GB2312" w:cs="Times New Roman"/>
          <w:color w:val="000000"/>
          <w:kern w:val="0"/>
          <w:sz w:val="32"/>
          <w:szCs w:val="32"/>
          <w:lang w:val="en-US" w:eastAsia="zh-CN" w:bidi="ar-SA"/>
        </w:rPr>
        <w:t>。</w:t>
      </w:r>
    </w:p>
    <w:p w14:paraId="7D7850F2">
      <w:pPr>
        <w:keepNext w:val="0"/>
        <w:keepLines w:val="0"/>
        <w:pageBreakBefore w:val="0"/>
        <w:widowControl w:val="0"/>
        <w:kinsoku/>
        <w:wordWrap/>
        <w:overflowPunct/>
        <w:topLinePunct w:val="0"/>
        <w:bidi w:val="0"/>
        <w:spacing w:line="560" w:lineRule="exact"/>
        <w:ind w:left="0" w:leftChars="0" w:right="0" w:firstLine="632"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本部门按要求对2024年部门整体支出开展绩效自评，从评价情况来看，2024年，根据年初工作规划和重点性工作，围绕区政府全面建成小康社会的发展蓝图，积极履职，强化管理，较</w:t>
      </w:r>
      <w:r>
        <w:rPr>
          <w:rFonts w:hint="eastAsia" w:ascii="Times New Roman" w:hAnsi="Times New Roman" w:eastAsia="仿宋_GB2312" w:cs="Times New Roman"/>
          <w:color w:val="000000"/>
          <w:kern w:val="0"/>
          <w:sz w:val="32"/>
          <w:szCs w:val="32"/>
          <w:lang w:val="en-US" w:eastAsia="zh-CN" w:bidi="ar-SA"/>
        </w:rPr>
        <w:t>好地完成</w:t>
      </w:r>
      <w:r>
        <w:rPr>
          <w:rFonts w:hint="default" w:ascii="Times New Roman" w:hAnsi="Times New Roman" w:eastAsia="仿宋_GB2312" w:cs="Times New Roman"/>
          <w:color w:val="000000"/>
          <w:kern w:val="0"/>
          <w:sz w:val="32"/>
          <w:szCs w:val="32"/>
          <w:lang w:val="en-US" w:eastAsia="zh-CN" w:bidi="ar-SA"/>
        </w:rPr>
        <w:t>了年度工作目标。通过加强预算收支管理，不断建立健全内部管理制度，梳理内部管理流程，部门整体支出管理情况得到提升。本部门还自行组织了3个</w:t>
      </w:r>
      <w:r>
        <w:rPr>
          <w:rFonts w:hint="eastAsia" w:ascii="Times New Roman" w:hAnsi="Times New Roman" w:eastAsia="仿宋_GB2312" w:cs="Times New Roman"/>
          <w:color w:val="000000"/>
          <w:kern w:val="0"/>
          <w:sz w:val="32"/>
          <w:szCs w:val="32"/>
          <w:lang w:val="en-US" w:eastAsia="zh-CN" w:bidi="ar-SA"/>
        </w:rPr>
        <w:t>专项</w:t>
      </w:r>
      <w:r>
        <w:rPr>
          <w:rFonts w:hint="default" w:ascii="Times New Roman" w:hAnsi="Times New Roman" w:eastAsia="仿宋_GB2312" w:cs="Times New Roman"/>
          <w:color w:val="000000"/>
          <w:kern w:val="0"/>
          <w:sz w:val="32"/>
          <w:szCs w:val="32"/>
          <w:lang w:val="en-US" w:eastAsia="zh-CN" w:bidi="ar-SA"/>
        </w:rPr>
        <w:t>项目</w:t>
      </w:r>
      <w:r>
        <w:rPr>
          <w:rFonts w:hint="eastAsia" w:ascii="Times New Roman" w:hAnsi="Times New Roman" w:eastAsia="仿宋_GB2312" w:cs="Times New Roman"/>
          <w:color w:val="000000"/>
          <w:kern w:val="0"/>
          <w:sz w:val="32"/>
          <w:szCs w:val="32"/>
          <w:lang w:val="en-US" w:eastAsia="zh-CN" w:bidi="ar-SA"/>
        </w:rPr>
        <w:t>进行</w:t>
      </w:r>
      <w:r>
        <w:rPr>
          <w:rFonts w:hint="default" w:ascii="Times New Roman" w:hAnsi="Times New Roman" w:eastAsia="仿宋_GB2312" w:cs="Times New Roman"/>
          <w:color w:val="000000"/>
          <w:kern w:val="0"/>
          <w:sz w:val="32"/>
          <w:szCs w:val="32"/>
          <w:lang w:val="en-US" w:eastAsia="zh-CN" w:bidi="ar-SA"/>
        </w:rPr>
        <w:t>绩效评价，从评价情况来看项目都按时按质完成，达到期初制定的目标；具体自评综述如下：</w:t>
      </w:r>
    </w:p>
    <w:p w14:paraId="72F8C6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bidi="ar-SA"/>
        </w:rPr>
        <w:t>（1）“两癌”救助及保险经费项目绩效目标完成情况综述。项目全年预算数61.92万元，执行数为61.92万元，完成预算的100%；经单位自评得分为100分。通过项目实施，产出数量和质量达到预期目标；在社会效益方面成效显著，有效减轻了低收入 “两癌” 患病妇女家庭经济负担，提高了妇女群众的健康意识和自我保健能力，得到了服务对象的高度认可。下一步改进措施：1.持续加大宣传力度创新宣传方式和手段，结合实际案例，深入宣传 “两癌” 的危害、防治方法以及两癌保险和救助政策的实惠，提高妇女群众的健康风险意识和参保积极性。2.拓宽资金筹集渠道；积极争取政府加大财政投入的同时，鼓励引导企业、社会组织和个人参与妇女健康公益事业，通过设立专项基金、开展公益活动等方式，拓宽资金筹集渠道。3.加强项目管理和监督；进一步完善项目管理制度，规范项目操作流程，加强对项目实施全过程的监督检查，确保资金安全、高效使用。同时，加强对服务对象的回访和满意度调查，根据反馈意见改进工作，提高服务质量。。</w:t>
      </w:r>
    </w:p>
    <w:p w14:paraId="6AC6C2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人均一元钱”项目绩效目标完成情况综述。项目全年预算数12万元，执行数为12万元，完成预算的100%；经单位自评得分为100分。项目决策科学合理，立项依据充分，绩效目标明确；过程管理规范，资金使用安全合规，项目管理制度健全；产出成果丰硕，各项产出指标均达到或超过预期目标；效益显著，在促进妇女就业创业、维护家庭和谐稳定、提升妇女儿童幸福感等方面取得了良好的社会效益，服务对象满意度高。发现的主要问题：1、资金规模有限：人均1元钱的工作经费标准相对较低，难以满足日益增长的妇女儿童服务需求。2、专业人才缺乏：在开展创业就业培训、家庭教育指导服务、婚姻家庭纠纷调解等工作中，缺乏专业的师资和工作人员。3、服务覆盖不够均衡：项目服务在不同区域、不同群体之间存在一定的差距，一些偏远地区和特殊困难群体受益相对较少。下一步改进措施：1.加大资金投入力度；积极争取财政部门增加对妇女儿童工作经费的投入，提高人均工作经费标准。2.加强专业人才队伍建设</w:t>
      </w:r>
    </w:p>
    <w:p w14:paraId="73B43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建立健全专业人才培养和引进机制，加强对妇联工作人员和志愿者的业务培训，提高其专业素质和服务能力。3.优化服务资源配置；加强对偏远地区和特殊困难群体的关注和支持，合理安排项目资源，加大对这些地区和群体的服务力度。</w:t>
      </w:r>
    </w:p>
    <w:p w14:paraId="5FC1B2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SA"/>
        </w:rPr>
        <w:t>（3）临聘人员经费项目绩效目标完成情况综述。项目全年预算数4.5万元，执行数为4.5万元，完成预算的100%；经单位自评得分为100分。通过项目实施，改善了部门的人员需求部门，提升部门办事效率，发现的主要问题：加强人员素质能力提升，</w:t>
      </w:r>
      <w:r>
        <w:rPr>
          <w:rFonts w:hint="eastAsia" w:ascii="Times New Roman" w:hAnsi="Times New Roman" w:eastAsia="仿宋_GB2312" w:cs="Times New Roman"/>
          <w:color w:val="000000"/>
          <w:kern w:val="0"/>
          <w:sz w:val="32"/>
          <w:szCs w:val="32"/>
          <w:lang w:val="en-US" w:eastAsia="zh-CN" w:bidi="ar-SA"/>
        </w:rPr>
        <w:t>为其他多元化</w:t>
      </w:r>
      <w:r>
        <w:rPr>
          <w:rFonts w:hint="default" w:ascii="Times New Roman" w:hAnsi="Times New Roman" w:eastAsia="仿宋_GB2312" w:cs="Times New Roman"/>
          <w:color w:val="000000"/>
          <w:kern w:val="0"/>
          <w:sz w:val="32"/>
          <w:szCs w:val="32"/>
          <w:lang w:val="en-US" w:eastAsia="zh-CN" w:bidi="ar-SA"/>
        </w:rPr>
        <w:t>的工作打下坚实的基础。下一步改进措施：组织系列的技能培训加强自身业务能力的提升。</w:t>
      </w:r>
    </w:p>
    <w:p w14:paraId="02A28E84">
      <w:pPr>
        <w:rPr>
          <w:rFonts w:hint="default" w:ascii="Times New Roman" w:hAnsi="Times New Roman" w:eastAsia="仿宋_GB2312" w:cs="Times New Roman"/>
          <w:color w:val="000000"/>
          <w:sz w:val="32"/>
          <w:szCs w:val="32"/>
          <w:lang w:eastAsia="zh-CN"/>
        </w:rPr>
      </w:pPr>
      <w:bookmarkStart w:id="23" w:name="_Toc11558"/>
      <w:bookmarkStart w:id="24" w:name="_Toc15396614"/>
      <w:r>
        <w:rPr>
          <w:rFonts w:hint="default" w:ascii="Times New Roman" w:hAnsi="Times New Roman" w:eastAsia="仿宋_GB2312" w:cs="Times New Roman"/>
          <w:color w:val="000000"/>
          <w:sz w:val="32"/>
          <w:szCs w:val="32"/>
          <w:lang w:eastAsia="zh-CN"/>
        </w:rPr>
        <w:br w:type="page"/>
      </w:r>
    </w:p>
    <w:p w14:paraId="6C9D7B8F">
      <w:pPr>
        <w:keepNext w:val="0"/>
        <w:keepLines w:val="0"/>
        <w:pageBreakBefore w:val="0"/>
        <w:widowControl w:val="0"/>
        <w:numPr>
          <w:ilvl w:val="0"/>
          <w:numId w:val="0"/>
        </w:numPr>
        <w:kinsoku/>
        <w:wordWrap/>
        <w:overflowPunct/>
        <w:topLinePunct w:val="0"/>
        <w:bidi w:val="0"/>
        <w:spacing w:line="560" w:lineRule="exact"/>
        <w:ind w:right="0"/>
        <w:jc w:val="center"/>
        <w:textAlignment w:val="auto"/>
        <w:outlineLvl w:val="0"/>
        <w:rPr>
          <w:rStyle w:val="33"/>
          <w:rFonts w:hint="default" w:ascii="Times New Roman" w:hAnsi="Times New Roman" w:eastAsia="方正小标宋简体" w:cs="Times New Roman"/>
          <w:b w:val="0"/>
          <w:sz w:val="44"/>
          <w:szCs w:val="44"/>
        </w:rPr>
      </w:pPr>
      <w:r>
        <w:rPr>
          <w:rFonts w:hint="default" w:ascii="Times New Roman" w:hAnsi="Times New Roman" w:eastAsia="方正小标宋简体" w:cs="Times New Roman"/>
          <w:color w:val="000000"/>
          <w:sz w:val="44"/>
          <w:szCs w:val="44"/>
          <w:lang w:eastAsia="zh-CN"/>
        </w:rPr>
        <w:t>第三部分</w:t>
      </w:r>
      <w:r>
        <w:rPr>
          <w:rFonts w:hint="default"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名</w:t>
      </w:r>
      <w:r>
        <w:rPr>
          <w:rStyle w:val="33"/>
          <w:rFonts w:hint="default" w:ascii="Times New Roman" w:hAnsi="Times New Roman" w:eastAsia="方正小标宋简体" w:cs="Times New Roman"/>
          <w:b w:val="0"/>
          <w:sz w:val="44"/>
          <w:szCs w:val="44"/>
        </w:rPr>
        <w:t>词解释</w:t>
      </w:r>
      <w:bookmarkEnd w:id="23"/>
    </w:p>
    <w:p w14:paraId="48CE3D65">
      <w:pPr>
        <w:pStyle w:val="27"/>
        <w:keepNext w:val="0"/>
        <w:keepLines w:val="0"/>
        <w:pageBreakBefore w:val="0"/>
        <w:widowControl w:val="0"/>
        <w:kinsoku/>
        <w:wordWrap/>
        <w:overflowPunct/>
        <w:topLinePunct w:val="0"/>
        <w:bidi w:val="0"/>
        <w:snapToGrid/>
        <w:spacing w:line="560" w:lineRule="exact"/>
        <w:ind w:left="0" w:leftChars="0" w:right="0" w:firstLine="632" w:firstLineChars="200"/>
        <w:jc w:val="both"/>
        <w:textAlignment w:val="auto"/>
        <w:outlineLvl w:val="1"/>
        <w:rPr>
          <w:rFonts w:hint="default" w:ascii="Times New Roman" w:hAnsi="Times New Roman" w:eastAsia="仿宋_GB2312" w:cs="Times New Roman"/>
          <w:color w:val="000000"/>
          <w:kern w:val="0"/>
          <w:sz w:val="32"/>
          <w:szCs w:val="32"/>
          <w:lang w:val="en-US" w:eastAsia="zh-CN" w:bidi="ar-SA"/>
        </w:rPr>
      </w:pPr>
      <w:bookmarkStart w:id="25" w:name="_Toc29305"/>
      <w:bookmarkStart w:id="26" w:name="_Toc5582"/>
    </w:p>
    <w:p w14:paraId="7FE64C97">
      <w:pPr>
        <w:pStyle w:val="27"/>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outlineLvl w:val="1"/>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1.财政拨款收入：指单位从同级财政部门取得的财政预算资金。</w:t>
      </w:r>
      <w:bookmarkEnd w:id="25"/>
      <w:bookmarkEnd w:id="26"/>
    </w:p>
    <w:p w14:paraId="457212B4">
      <w:pPr>
        <w:pStyle w:val="27"/>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2.事业收入：指事业单位开展专业业务活动及辅助活动取得的收入。</w:t>
      </w:r>
    </w:p>
    <w:p w14:paraId="6819E29A">
      <w:pPr>
        <w:pStyle w:val="27"/>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3.经营收入：指事业单位在专业业务活动及其辅助活动之外开展非独立核算经营活动取得的收入。</w:t>
      </w:r>
    </w:p>
    <w:p w14:paraId="3769A945">
      <w:pPr>
        <w:pStyle w:val="27"/>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outlineLvl w:val="1"/>
        <w:rPr>
          <w:rFonts w:hint="default" w:ascii="Times New Roman" w:hAnsi="Times New Roman" w:eastAsia="仿宋_GB2312" w:cs="Times New Roman"/>
          <w:color w:val="000000"/>
          <w:kern w:val="0"/>
          <w:sz w:val="32"/>
          <w:szCs w:val="32"/>
          <w:lang w:val="en-US" w:eastAsia="zh-CN" w:bidi="ar-SA"/>
        </w:rPr>
      </w:pPr>
      <w:bookmarkStart w:id="27" w:name="_Toc16096"/>
      <w:bookmarkStart w:id="28" w:name="_Toc14131"/>
      <w:r>
        <w:rPr>
          <w:rFonts w:hint="default" w:ascii="Times New Roman" w:hAnsi="Times New Roman" w:eastAsia="仿宋_GB2312" w:cs="Times New Roman"/>
          <w:color w:val="000000"/>
          <w:kern w:val="0"/>
          <w:sz w:val="32"/>
          <w:szCs w:val="32"/>
          <w:lang w:val="en-US" w:eastAsia="zh-CN" w:bidi="ar-SA"/>
        </w:rPr>
        <w:t>4.其他收入：指单位取得的除上述收入以外的各项收入。</w:t>
      </w:r>
      <w:bookmarkEnd w:id="27"/>
      <w:bookmarkEnd w:id="28"/>
      <w:r>
        <w:rPr>
          <w:rFonts w:hint="default" w:ascii="Times New Roman" w:hAnsi="Times New Roman" w:eastAsia="仿宋_GB2312" w:cs="Times New Roman"/>
          <w:color w:val="000000"/>
          <w:kern w:val="0"/>
          <w:sz w:val="32"/>
          <w:szCs w:val="32"/>
          <w:lang w:val="en-US" w:eastAsia="zh-CN" w:bidi="ar-SA"/>
        </w:rPr>
        <w:t xml:space="preserve"> </w:t>
      </w:r>
    </w:p>
    <w:p w14:paraId="68CDEC58">
      <w:pPr>
        <w:pStyle w:val="27"/>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eastAsia="仿宋_GB2312" w:cs="Times New Roman"/>
          <w:color w:val="000000"/>
          <w:kern w:val="0"/>
          <w:sz w:val="32"/>
          <w:szCs w:val="32"/>
          <w:lang w:val="en-US" w:eastAsia="zh-CN" w:bidi="ar-SA"/>
        </w:rPr>
        <w:t>5</w:t>
      </w:r>
      <w:r>
        <w:rPr>
          <w:rFonts w:hint="default" w:ascii="Times New Roman" w:hAnsi="Times New Roman" w:eastAsia="仿宋_GB2312" w:cs="Times New Roman"/>
          <w:color w:val="000000"/>
          <w:kern w:val="0"/>
          <w:sz w:val="32"/>
          <w:szCs w:val="32"/>
          <w:lang w:val="en-US" w:eastAsia="zh-CN" w:bidi="ar-SA"/>
        </w:rPr>
        <w:t xml:space="preserve">.年初结转和结余：指以前年度尚未完成、结转到本年按有关规定继续使用的资金。 </w:t>
      </w:r>
    </w:p>
    <w:p w14:paraId="677B2423">
      <w:pPr>
        <w:pStyle w:val="27"/>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eastAsia="仿宋_GB2312" w:cs="Times New Roman"/>
          <w:color w:val="000000"/>
          <w:kern w:val="0"/>
          <w:sz w:val="32"/>
          <w:szCs w:val="32"/>
          <w:lang w:val="en-US" w:eastAsia="zh-CN" w:bidi="ar-SA"/>
        </w:rPr>
        <w:t>6</w:t>
      </w:r>
      <w:r>
        <w:rPr>
          <w:rFonts w:hint="default" w:ascii="Times New Roman" w:hAnsi="Times New Roman" w:eastAsia="仿宋_GB2312" w:cs="Times New Roman"/>
          <w:color w:val="000000"/>
          <w:kern w:val="0"/>
          <w:sz w:val="32"/>
          <w:szCs w:val="32"/>
          <w:lang w:val="en-US" w:eastAsia="zh-CN" w:bidi="ar-SA"/>
        </w:rPr>
        <w:t>.结余分配：指事业单位按照事业单位会计制度的规定从非财政补助结余中分配的事业基金和职工福利基金等。</w:t>
      </w:r>
    </w:p>
    <w:p w14:paraId="7F493467">
      <w:pPr>
        <w:pStyle w:val="27"/>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eastAsia="仿宋_GB2312" w:cs="Times New Roman"/>
          <w:color w:val="000000"/>
          <w:kern w:val="0"/>
          <w:sz w:val="32"/>
          <w:szCs w:val="32"/>
          <w:lang w:val="en-US" w:eastAsia="zh-CN" w:bidi="ar-SA"/>
        </w:rPr>
        <w:t>7</w:t>
      </w:r>
      <w:r>
        <w:rPr>
          <w:rFonts w:hint="default" w:ascii="Times New Roman" w:hAnsi="Times New Roman" w:eastAsia="仿宋_GB2312" w:cs="Times New Roman"/>
          <w:color w:val="000000"/>
          <w:kern w:val="0"/>
          <w:sz w:val="32"/>
          <w:szCs w:val="32"/>
          <w:lang w:val="en-US" w:eastAsia="zh-CN" w:bidi="ar-SA"/>
        </w:rPr>
        <w:t>、年末结转和结余：指单位按有关规定结转到下年或以后年度继续使用的资金。</w:t>
      </w:r>
    </w:p>
    <w:p w14:paraId="1D2D306E">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w:t>
      </w:r>
      <w:r>
        <w:rPr>
          <w:rFonts w:hint="default" w:ascii="Times New Roman" w:hAnsi="Times New Roman" w:eastAsia="仿宋_GB2312" w:cs="Times New Roman"/>
          <w:color w:val="000000"/>
          <w:kern w:val="0"/>
          <w:sz w:val="32"/>
          <w:szCs w:val="32"/>
          <w:lang w:val="en-US" w:eastAsia="zh-CN" w:bidi="ar-SA"/>
        </w:rPr>
        <w:t>.一般公共服务支出（类）群众团体事务（款）行政运行（项），主要用于：人员基本工资、津贴补贴、绩效目标、福利费、办公费、手续费、差旅费、电费、邮电费等。</w:t>
      </w:r>
    </w:p>
    <w:p w14:paraId="3A73A012">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9.</w:t>
      </w:r>
      <w:r>
        <w:rPr>
          <w:rFonts w:hint="default" w:ascii="Times New Roman" w:hAnsi="Times New Roman" w:eastAsia="仿宋_GB2312" w:cs="Times New Roman"/>
          <w:color w:val="000000"/>
          <w:kern w:val="0"/>
          <w:sz w:val="32"/>
          <w:szCs w:val="32"/>
          <w:lang w:val="en-US" w:eastAsia="zh-CN" w:bidi="ar-SA"/>
        </w:rPr>
        <w:t>一般公共服务支出（类）人大事务（款）其 其他群众团体事务支出（项），主要用于：妇联其它工作经费及临时人员工资补助等。</w:t>
      </w:r>
    </w:p>
    <w:p w14:paraId="4170A171">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0</w:t>
      </w:r>
      <w:r>
        <w:rPr>
          <w:rFonts w:hint="default" w:ascii="Times New Roman" w:hAnsi="Times New Roman" w:eastAsia="仿宋_GB2312" w:cs="Times New Roman"/>
          <w:color w:val="000000"/>
          <w:kern w:val="0"/>
          <w:sz w:val="32"/>
          <w:szCs w:val="32"/>
          <w:lang w:val="en-US" w:eastAsia="zh-CN" w:bidi="ar-SA"/>
        </w:rPr>
        <w:t>.社会保障和就业支出（类）行政事业单位离退休（款）机关事业单位基本养老保险缴费支出（项），主要用于：机关事业单位基本养老保险缴费。</w:t>
      </w:r>
    </w:p>
    <w:p w14:paraId="0CF704BC">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1</w:t>
      </w:r>
      <w:r>
        <w:rPr>
          <w:rFonts w:hint="default" w:ascii="Times New Roman" w:hAnsi="Times New Roman" w:eastAsia="仿宋_GB2312" w:cs="Times New Roman"/>
          <w:color w:val="000000"/>
          <w:kern w:val="0"/>
          <w:sz w:val="32"/>
          <w:szCs w:val="32"/>
          <w:lang w:val="en-US" w:eastAsia="zh-CN" w:bidi="ar-SA"/>
        </w:rPr>
        <w:t>.社会保障和就业支出（类）就业补助（款）其他就业补助支出（项），主要用于：妇女居家灵活就业培训孵化基地建设项目。</w:t>
      </w:r>
    </w:p>
    <w:p w14:paraId="0DC3925B">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w:t>
      </w:r>
      <w:r>
        <w:rPr>
          <w:rFonts w:hint="default" w:ascii="Times New Roman" w:hAnsi="Times New Roman" w:eastAsia="仿宋_GB2312" w:cs="Times New Roman"/>
          <w:color w:val="000000"/>
          <w:kern w:val="0"/>
          <w:sz w:val="32"/>
          <w:szCs w:val="32"/>
          <w:lang w:val="en-US" w:eastAsia="zh-CN" w:bidi="ar-SA"/>
        </w:rPr>
        <w:t>.卫生健康支出（类）公共卫生（款） 重大公共卫生服务（项），主要用于：“两癌”救助。</w:t>
      </w:r>
    </w:p>
    <w:p w14:paraId="1A91405C">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3</w:t>
      </w:r>
      <w:r>
        <w:rPr>
          <w:rFonts w:hint="default" w:ascii="Times New Roman" w:hAnsi="Times New Roman" w:eastAsia="仿宋_GB2312" w:cs="Times New Roman"/>
          <w:color w:val="000000"/>
          <w:kern w:val="0"/>
          <w:sz w:val="32"/>
          <w:szCs w:val="32"/>
          <w:lang w:val="en-US" w:eastAsia="zh-CN" w:bidi="ar-SA"/>
        </w:rPr>
        <w:t>.卫生健康支出（类）计划生育事务（款） 其他计划生育事务支出（项），主要用于：市级“两癌”救助。</w:t>
      </w:r>
    </w:p>
    <w:p w14:paraId="591A05FE">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4</w:t>
      </w:r>
      <w:r>
        <w:rPr>
          <w:rFonts w:hint="default" w:ascii="Times New Roman" w:hAnsi="Times New Roman" w:eastAsia="仿宋_GB2312" w:cs="Times New Roman"/>
          <w:color w:val="000000"/>
          <w:kern w:val="0"/>
          <w:sz w:val="32"/>
          <w:szCs w:val="32"/>
          <w:lang w:val="en-US" w:eastAsia="zh-CN" w:bidi="ar-SA"/>
        </w:rPr>
        <w:t>.医疗卫生与计划生育支出（类）行政事业单位医疗（款）事业单位医疗（项），主要用于：基本医疗保险缴费、其他社会保障缴费。</w:t>
      </w:r>
    </w:p>
    <w:p w14:paraId="5CC4F634">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5</w:t>
      </w:r>
      <w:r>
        <w:rPr>
          <w:rFonts w:hint="default" w:ascii="Times New Roman" w:hAnsi="Times New Roman" w:eastAsia="仿宋_GB2312" w:cs="Times New Roman"/>
          <w:color w:val="000000"/>
          <w:kern w:val="0"/>
          <w:sz w:val="32"/>
          <w:szCs w:val="32"/>
          <w:lang w:val="en-US" w:eastAsia="zh-CN" w:bidi="ar-SA"/>
        </w:rPr>
        <w:t>.医疗卫生与计划生育支出（类）行政事业单位医疗（款）公务员医疗补助（项），主要用于：公务员医疗补助缴费。</w:t>
      </w:r>
    </w:p>
    <w:p w14:paraId="384B1BDE">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6</w:t>
      </w:r>
      <w:r>
        <w:rPr>
          <w:rFonts w:hint="default" w:ascii="Times New Roman" w:hAnsi="Times New Roman" w:eastAsia="仿宋_GB2312" w:cs="Times New Roman"/>
          <w:color w:val="000000"/>
          <w:kern w:val="0"/>
          <w:sz w:val="32"/>
          <w:szCs w:val="32"/>
          <w:lang w:val="en-US" w:eastAsia="zh-CN" w:bidi="ar-SA"/>
        </w:rPr>
        <w:t>.医疗卫生与计划生育支出（类）行政事业单位医疗（款）其他行政事业单位医疗支出（项），主要用于：基本医疗保险缴费、其他社会保障缴费。</w:t>
      </w:r>
    </w:p>
    <w:p w14:paraId="0FC79CA1">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7</w:t>
      </w:r>
      <w:r>
        <w:rPr>
          <w:rFonts w:hint="default" w:ascii="Times New Roman" w:hAnsi="Times New Roman" w:eastAsia="仿宋_GB2312" w:cs="Times New Roman"/>
          <w:color w:val="000000"/>
          <w:kern w:val="0"/>
          <w:sz w:val="32"/>
          <w:szCs w:val="32"/>
          <w:lang w:val="en-US" w:eastAsia="zh-CN" w:bidi="ar-SA"/>
        </w:rPr>
        <w:t>.城乡社区支出（类）国有土地使用权出让收入安排的支出（款）其他国有土地使用权出让收入安排的支出（项），主要用于：妇女儿童业绩考核工作经费。</w:t>
      </w:r>
    </w:p>
    <w:p w14:paraId="1A3FD65D">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18</w:t>
      </w:r>
      <w:r>
        <w:rPr>
          <w:rFonts w:hint="default" w:ascii="Times New Roman" w:hAnsi="Times New Roman" w:eastAsia="仿宋_GB2312" w:cs="Times New Roman"/>
          <w:color w:val="000000"/>
          <w:kern w:val="0"/>
          <w:sz w:val="32"/>
          <w:szCs w:val="32"/>
          <w:lang w:val="en-US" w:eastAsia="zh-CN" w:bidi="ar-SA"/>
        </w:rPr>
        <w:t>.住房保障支出（类）住房改革支出（款）住房公积金（项），主要用于：缴纳住房公积金。</w:t>
      </w:r>
    </w:p>
    <w:p w14:paraId="0C912285">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19</w:t>
      </w:r>
      <w:r>
        <w:rPr>
          <w:rFonts w:hint="default" w:ascii="Times New Roman" w:hAnsi="Times New Roman" w:eastAsia="仿宋_GB2312" w:cs="Times New Roman"/>
          <w:color w:val="000000"/>
          <w:kern w:val="0"/>
          <w:sz w:val="32"/>
          <w:szCs w:val="32"/>
          <w:lang w:val="en-US" w:eastAsia="zh-CN" w:bidi="ar-SA"/>
        </w:rPr>
        <w:t>.基本支出：指为保障机构正常运转、完成日常工作任务而发生的人员支出和公用支出。</w:t>
      </w:r>
    </w:p>
    <w:p w14:paraId="649E5EF9">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0</w:t>
      </w:r>
      <w:r>
        <w:rPr>
          <w:rFonts w:hint="default" w:ascii="Times New Roman" w:hAnsi="Times New Roman" w:eastAsia="仿宋_GB2312" w:cs="Times New Roman"/>
          <w:color w:val="000000"/>
          <w:kern w:val="0"/>
          <w:sz w:val="32"/>
          <w:szCs w:val="32"/>
          <w:lang w:val="en-US" w:eastAsia="zh-CN" w:bidi="ar-SA"/>
        </w:rPr>
        <w:t xml:space="preserve">.项目支出：指在基本支出之外为完成特定行政任务和事业发展目标所发生的支出。 </w:t>
      </w:r>
    </w:p>
    <w:p w14:paraId="40A7CF86">
      <w:pPr>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1</w:t>
      </w:r>
      <w:r>
        <w:rPr>
          <w:rFonts w:hint="default" w:ascii="Times New Roman" w:hAnsi="Times New Roman" w:eastAsia="仿宋_GB2312" w:cs="Times New Roman"/>
          <w:color w:val="000000"/>
          <w:kern w:val="0"/>
          <w:sz w:val="32"/>
          <w:szCs w:val="32"/>
          <w:lang w:val="en-US" w:eastAsia="zh-CN" w:bidi="ar-SA"/>
        </w:rPr>
        <w:t>.经营支出：指事业单位在专业业务活动</w:t>
      </w:r>
      <w:r>
        <w:rPr>
          <w:rFonts w:hint="default" w:ascii="Times New Roman" w:hAnsi="Times New Roman" w:eastAsia="仿宋_GB2312" w:cs="Times New Roman"/>
          <w:color w:val="000000"/>
          <w:sz w:val="32"/>
          <w:szCs w:val="32"/>
        </w:rPr>
        <w:t>及其辅助活动之外开展非独立核算经营活动发生的支出。</w:t>
      </w:r>
    </w:p>
    <w:p w14:paraId="789EA31E">
      <w:pPr>
        <w:pStyle w:val="27"/>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eastAsia="仿宋_GB2312" w:cs="Times New Roman"/>
          <w:sz w:val="32"/>
          <w:szCs w:val="32"/>
          <w:lang w:val="en-US" w:eastAsia="zh-CN"/>
        </w:rPr>
        <w:t>2</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49CBC1">
      <w:pPr>
        <w:pStyle w:val="27"/>
        <w:keepNext w:val="0"/>
        <w:keepLines w:val="0"/>
        <w:pageBreakBefore w:val="0"/>
        <w:widowControl w:val="0"/>
        <w:kinsoku/>
        <w:wordWrap/>
        <w:overflowPunct/>
        <w:topLinePunct w:val="0"/>
        <w:bidi w:val="0"/>
        <w:snapToGrid/>
        <w:spacing w:line="540" w:lineRule="exact"/>
        <w:ind w:left="0" w:leftChars="0" w:righ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eastAsia="仿宋_GB2312" w:cs="Times New Roman"/>
          <w:sz w:val="32"/>
          <w:szCs w:val="32"/>
          <w:lang w:val="en-US" w:eastAsia="zh-CN"/>
        </w:rPr>
        <w:t>3</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办公用房水电费、办公用房取暖费、办公用房物业管理费、公务用车运行维护费以及其他费用。</w:t>
      </w:r>
    </w:p>
    <w:bookmarkEnd w:id="24"/>
    <w:p w14:paraId="512A2373">
      <w:pPr>
        <w:rPr>
          <w:rStyle w:val="33"/>
          <w:rFonts w:hint="default" w:ascii="Times New Roman" w:hAnsi="Times New Roman" w:eastAsia="方正小标宋简体" w:cs="Times New Roman"/>
          <w:b w:val="0"/>
          <w:bCs/>
          <w:sz w:val="44"/>
          <w:szCs w:val="44"/>
          <w:lang w:eastAsia="zh-CN"/>
        </w:rPr>
      </w:pPr>
      <w:bookmarkStart w:id="29" w:name="_Toc8376"/>
      <w:bookmarkStart w:id="30" w:name="_Toc15396615"/>
      <w:r>
        <w:rPr>
          <w:rStyle w:val="33"/>
          <w:rFonts w:hint="default" w:ascii="Times New Roman" w:hAnsi="Times New Roman" w:eastAsia="仿宋_GB2312" w:cs="Times New Roman"/>
          <w:b w:val="0"/>
          <w:bCs/>
          <w:sz w:val="32"/>
          <w:szCs w:val="32"/>
          <w:lang w:eastAsia="zh-CN"/>
        </w:rPr>
        <w:br w:type="page"/>
      </w:r>
    </w:p>
    <w:p w14:paraId="3958AD99">
      <w:pPr>
        <w:pStyle w:val="3"/>
        <w:keepNext w:val="0"/>
        <w:keepLines w:val="0"/>
        <w:pageBreakBefore w:val="0"/>
        <w:widowControl w:val="0"/>
        <w:kinsoku/>
        <w:wordWrap/>
        <w:overflowPunct/>
        <w:topLinePunct w:val="0"/>
        <w:bidi w:val="0"/>
        <w:spacing w:before="0" w:after="0" w:line="560" w:lineRule="exact"/>
        <w:ind w:right="0"/>
        <w:jc w:val="center"/>
        <w:rPr>
          <w:rStyle w:val="33"/>
          <w:rFonts w:hint="default" w:ascii="Times New Roman" w:hAnsi="Times New Roman" w:eastAsia="方正小标宋简体" w:cs="Times New Roman"/>
          <w:b w:val="0"/>
          <w:bCs/>
          <w:sz w:val="44"/>
          <w:szCs w:val="44"/>
          <w:lang w:val="en-US" w:eastAsia="zh-CN"/>
        </w:rPr>
      </w:pPr>
      <w:r>
        <w:rPr>
          <w:rStyle w:val="33"/>
          <w:rFonts w:hint="default" w:ascii="Times New Roman" w:hAnsi="Times New Roman" w:eastAsia="方正小标宋简体" w:cs="Times New Roman"/>
          <w:b w:val="0"/>
          <w:bCs/>
          <w:sz w:val="44"/>
          <w:szCs w:val="44"/>
          <w:lang w:eastAsia="zh-CN"/>
        </w:rPr>
        <w:t>第四部分</w:t>
      </w:r>
      <w:r>
        <w:rPr>
          <w:rStyle w:val="33"/>
          <w:rFonts w:hint="default" w:ascii="Times New Roman" w:hAnsi="Times New Roman" w:eastAsia="方正小标宋简体" w:cs="Times New Roman"/>
          <w:b w:val="0"/>
          <w:bCs/>
          <w:sz w:val="44"/>
          <w:szCs w:val="44"/>
          <w:lang w:val="en-US" w:eastAsia="zh-CN"/>
        </w:rPr>
        <w:t xml:space="preserve"> </w:t>
      </w:r>
    </w:p>
    <w:p w14:paraId="45E33820">
      <w:pPr>
        <w:pStyle w:val="3"/>
        <w:keepNext w:val="0"/>
        <w:keepLines w:val="0"/>
        <w:pageBreakBefore w:val="0"/>
        <w:widowControl w:val="0"/>
        <w:kinsoku/>
        <w:wordWrap/>
        <w:overflowPunct/>
        <w:topLinePunct w:val="0"/>
        <w:bidi w:val="0"/>
        <w:spacing w:before="0" w:after="0" w:line="560" w:lineRule="exact"/>
        <w:ind w:right="0"/>
        <w:jc w:val="both"/>
        <w:rPr>
          <w:rFonts w:hint="default" w:ascii="Times New Roman" w:hAnsi="Times New Roman" w:eastAsia="仿宋_GB2312" w:cs="Times New Roman"/>
          <w:sz w:val="36"/>
          <w:szCs w:val="36"/>
          <w:lang w:eastAsia="zh-CN"/>
        </w:rPr>
      </w:pPr>
      <w:r>
        <w:rPr>
          <w:rStyle w:val="33"/>
          <w:rFonts w:hint="eastAsia" w:ascii="Times New Roman" w:hAnsi="Times New Roman" w:eastAsia="方正小标宋简体" w:cs="Times New Roman"/>
          <w:b w:val="0"/>
          <w:bCs/>
          <w:sz w:val="36"/>
          <w:szCs w:val="36"/>
          <w:lang w:val="en-US" w:eastAsia="zh-CN"/>
        </w:rPr>
        <w:t>附件1</w:t>
      </w:r>
      <w:r>
        <w:rPr>
          <w:rStyle w:val="33"/>
          <w:rFonts w:hint="default" w:ascii="Times New Roman" w:hAnsi="Times New Roman" w:eastAsia="方正小标宋简体" w:cs="Times New Roman"/>
          <w:b w:val="0"/>
          <w:bCs/>
          <w:sz w:val="36"/>
          <w:szCs w:val="36"/>
          <w:lang w:val="en-US" w:eastAsia="zh-CN"/>
        </w:rPr>
        <w:t xml:space="preserve"> </w:t>
      </w:r>
      <w:bookmarkEnd w:id="29"/>
      <w:bookmarkStart w:id="31" w:name="_Toc4472"/>
    </w:p>
    <w:p w14:paraId="5516F2AF">
      <w:pPr>
        <w:pStyle w:val="2"/>
        <w:bidi w:val="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lang w:eastAsia="zh-CN"/>
        </w:rPr>
        <w:t>遂宁市安居区妇联2024年</w:t>
      </w:r>
      <w:r>
        <w:rPr>
          <w:rFonts w:hint="default" w:ascii="Times New Roman" w:hAnsi="Times New Roman" w:eastAsia="方正小标宋简体" w:cs="Times New Roman"/>
          <w:b w:val="0"/>
          <w:bCs w:val="0"/>
        </w:rPr>
        <w:t>部门整体支出绩效评价报告</w:t>
      </w:r>
      <w:bookmarkEnd w:id="31"/>
    </w:p>
    <w:p w14:paraId="51F495FB">
      <w:pPr>
        <w:pStyle w:val="14"/>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一、部门（单位）基本情况</w:t>
      </w:r>
    </w:p>
    <w:p w14:paraId="6C74A3EA">
      <w:pPr>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（一）机构组成。</w:t>
      </w:r>
    </w:p>
    <w:p w14:paraId="50D0F59D">
      <w:pPr>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安居区妇联属行政机关，</w:t>
      </w:r>
      <w:r>
        <w:rPr>
          <w:rFonts w:hint="default" w:ascii="Times New Roman" w:hAnsi="Times New Roman" w:eastAsia="仿宋_GB2312" w:cs="Times New Roman"/>
          <w:color w:val="auto"/>
          <w:sz w:val="32"/>
          <w:szCs w:val="32"/>
          <w:lang w:val="en-US" w:eastAsia="zh-CN"/>
        </w:rPr>
        <w:t>内设</w:t>
      </w:r>
      <w:r>
        <w:rPr>
          <w:rFonts w:hint="eastAsia" w:ascii="Times New Roman" w:hAnsi="Times New Roman" w:eastAsia="仿宋_GB2312" w:cs="Times New Roman"/>
          <w:color w:val="auto"/>
          <w:sz w:val="32"/>
          <w:szCs w:val="32"/>
          <w:lang w:val="en-US" w:eastAsia="zh-CN"/>
        </w:rPr>
        <w:t>办公室及妇女儿童</w:t>
      </w:r>
      <w:r>
        <w:rPr>
          <w:rFonts w:hint="default" w:ascii="Times New Roman" w:hAnsi="Times New Roman" w:eastAsia="仿宋_GB2312" w:cs="Times New Roman"/>
          <w:color w:val="auto"/>
          <w:sz w:val="32"/>
          <w:szCs w:val="32"/>
          <w:lang w:val="en-US" w:eastAsia="zh-CN"/>
        </w:rPr>
        <w:t>事业发展中心；</w:t>
      </w:r>
      <w:r>
        <w:rPr>
          <w:rFonts w:hint="default" w:ascii="Times New Roman" w:hAnsi="Times New Roman" w:eastAsia="仿宋_GB2312" w:cs="Times New Roman"/>
          <w:color w:val="auto"/>
          <w:sz w:val="32"/>
          <w:szCs w:val="32"/>
          <w:lang w:eastAsia="zh-CN"/>
        </w:rPr>
        <w:t>下属二级决算单位</w:t>
      </w:r>
      <w:r>
        <w:rPr>
          <w:rFonts w:hint="default" w:ascii="Times New Roman" w:hAnsi="Times New Roman" w:eastAsia="仿宋_GB2312" w:cs="Times New Roman"/>
          <w:color w:val="auto"/>
          <w:sz w:val="32"/>
          <w:szCs w:val="32"/>
          <w:lang w:val="en-US" w:eastAsia="zh-CN"/>
        </w:rPr>
        <w:t>0个，其中行政单位0个，参照公务员法管理的事业单位0个，其他事业单位0个。</w:t>
      </w:r>
    </w:p>
    <w:p w14:paraId="115442B9">
      <w:pPr>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lang w:val="en-US" w:eastAsia="zh-CN"/>
        </w:rPr>
        <w:t>（二）</w:t>
      </w:r>
      <w:r>
        <w:rPr>
          <w:rFonts w:hint="default" w:ascii="Times New Roman" w:hAnsi="Times New Roman" w:eastAsia="楷体_GB2312" w:cs="Times New Roman"/>
          <w:b/>
          <w:color w:val="000000"/>
          <w:sz w:val="32"/>
          <w:szCs w:val="32"/>
        </w:rPr>
        <w:t>机构职能。</w:t>
      </w:r>
    </w:p>
    <w:p w14:paraId="732A17AE">
      <w:pPr>
        <w:pStyle w:val="16"/>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安居区妇联是区委领导下的全区各族各界妇女的群众团体，是党和政府联系妇女的桥梁和纽带，是国家政权的重要社会支柱之一。主要职责是：</w:t>
      </w:r>
    </w:p>
    <w:p w14:paraId="1B008211">
      <w:pPr>
        <w:pStyle w:val="16"/>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对全区广大妇女进行自尊、自信、自立、自强的教育；围绕党的中心工作，动员和组织广大妇女投身社会主义两个文明建设；在农村妇女中深入、持久、有效地开展“双学双赛”活动；在城镇妇女中广泛开展“巾帼建功”活动；在妇女中分层次、多渠道地开展妇干培训、职业培训、实用技术培训，努力提高妇女素质。</w:t>
      </w:r>
    </w:p>
    <w:p w14:paraId="6C1B47A9">
      <w:pPr>
        <w:pStyle w:val="16"/>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代表广大妇女参与国家和社会事务的民主管理、监督，参与有关妇女儿童法律、法规、条例、规定的制定，代表妇女的利益，反映妇女的呼声。大力培养、选拔优秀妇女人才，促进女性参政议政水平的提高。</w:t>
      </w:r>
    </w:p>
    <w:p w14:paraId="5DE749CA">
      <w:pPr>
        <w:pStyle w:val="16"/>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（3）根据</w:t>
      </w:r>
      <w:r>
        <w:rPr>
          <w:rFonts w:hint="eastAsia" w:ascii="Times New Roman" w:hAnsi="Times New Roman" w:eastAsia="仿宋_GB2312" w:cs="Times New Roman"/>
          <w:color w:val="000000"/>
          <w:sz w:val="32"/>
          <w:szCs w:val="32"/>
          <w:lang w:eastAsia="zh-CN"/>
        </w:rPr>
        <w:t>《中华人民共和国宪法》</w:t>
      </w:r>
      <w:r>
        <w:rPr>
          <w:rFonts w:hint="default" w:ascii="Times New Roman" w:hAnsi="Times New Roman" w:eastAsia="仿宋_GB2312" w:cs="Times New Roman"/>
          <w:color w:val="000000"/>
          <w:sz w:val="32"/>
          <w:szCs w:val="32"/>
        </w:rPr>
        <w:t>赋予妇女与男子“五平等”的权利，对全区妇女参政、就业、受教育、社会地位及婚姻家庭等方面的问题进行调查，及时向区委、区政府反映情况，提出建议，依法维护妇女儿童权益。</w:t>
      </w:r>
    </w:p>
    <w:p w14:paraId="71A6E5AC">
      <w:pPr>
        <w:pStyle w:val="16"/>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（4）为广大妇女服务，为基层服务，加强调研，指导乡镇妇联开展妇女儿童工作。对基层妇女组织和女工委员会工作给予指导；加强同社会各界的联系，宣传马克思主义妇女观，加快妇女工作社会化进程。</w:t>
      </w:r>
    </w:p>
    <w:p w14:paraId="2D777170">
      <w:pPr>
        <w:pStyle w:val="16"/>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（5）团结、教育全区各族各界妇女以及各类妇女组织，坚持正确的政治方向；促进全区各族各界妇女的大团结，为维护祖国统一和台湾回归作贡献。</w:t>
      </w:r>
    </w:p>
    <w:p w14:paraId="21159243">
      <w:pPr>
        <w:pStyle w:val="16"/>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（6）承担区政府妇女儿童工作委员会的日常工作。</w:t>
      </w:r>
    </w:p>
    <w:p w14:paraId="4DDC9F2B">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left="0" w:leftChars="0" w:right="0" w:firstLine="632" w:firstLineChars="200"/>
        <w:jc w:val="both"/>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（7）承办区委、区政府及上级主管部门交办</w:t>
      </w:r>
      <w:r>
        <w:rPr>
          <w:rFonts w:hint="eastAsia" w:ascii="Times New Roman" w:hAnsi="Times New Roman" w:cs="Times New Roman"/>
          <w:color w:val="000000"/>
          <w:sz w:val="32"/>
          <w:szCs w:val="32"/>
          <w:lang w:eastAsia="zh-CN"/>
        </w:rPr>
        <w:t>的其他事项</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 xml:space="preserve"> </w:t>
      </w:r>
    </w:p>
    <w:p w14:paraId="56B6CB9D">
      <w:pPr>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（三）人员概况。</w:t>
      </w:r>
    </w:p>
    <w:p w14:paraId="1F593550">
      <w:pPr>
        <w:pStyle w:val="14"/>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2024年安居区妇女联合会核定行政编制5名、事业编制1名；实有在编在岗行政编制4名，事业人员1名。2024年度决算人数5人，其中：行政人员4名，事业人员1名。</w:t>
      </w:r>
    </w:p>
    <w:p w14:paraId="55500DC8">
      <w:pPr>
        <w:pStyle w:val="14"/>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二、部门财政资金收支情况</w:t>
      </w:r>
    </w:p>
    <w:p w14:paraId="1E3FF133">
      <w:pPr>
        <w:pStyle w:val="2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kern w:val="2"/>
          <w:sz w:val="32"/>
          <w:szCs w:val="32"/>
          <w:lang w:val="en-US" w:eastAsia="zh-CN" w:bidi="ar-SA"/>
        </w:rPr>
        <w:t>（一）</w:t>
      </w:r>
      <w:r>
        <w:rPr>
          <w:rFonts w:hint="default" w:ascii="Times New Roman" w:hAnsi="Times New Roman" w:eastAsia="楷体_GB2312" w:cs="Times New Roman"/>
          <w:b/>
          <w:color w:val="000000"/>
          <w:kern w:val="2"/>
          <w:sz w:val="32"/>
          <w:szCs w:val="32"/>
          <w:lang w:val="zh-CN" w:eastAsia="zh-CN" w:bidi="ar-SA"/>
        </w:rPr>
        <w:t>收入情况：</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妇女联合会</w:t>
      </w:r>
      <w:r>
        <w:rPr>
          <w:rFonts w:hint="default" w:ascii="Times New Roman" w:hAnsi="Times New Roman" w:cs="Times New Roman"/>
          <w:sz w:val="32"/>
          <w:szCs w:val="32"/>
          <w:lang w:eastAsia="zh-CN"/>
        </w:rPr>
        <w:t>2024年</w:t>
      </w:r>
      <w:r>
        <w:rPr>
          <w:rFonts w:hint="default" w:ascii="Times New Roman" w:hAnsi="Times New Roman" w:eastAsia="仿宋_GB2312" w:cs="Times New Roman"/>
          <w:sz w:val="32"/>
          <w:szCs w:val="32"/>
        </w:rPr>
        <w:t>收入预算</w:t>
      </w:r>
      <w:r>
        <w:rPr>
          <w:rFonts w:hint="default" w:ascii="Times New Roman" w:hAnsi="Times New Roman" w:cs="Times New Roman"/>
          <w:sz w:val="32"/>
          <w:szCs w:val="32"/>
          <w:lang w:val="en-US" w:eastAsia="zh-CN"/>
        </w:rPr>
        <w:t>223.19万元</w:t>
      </w:r>
      <w:r>
        <w:rPr>
          <w:rFonts w:hint="default" w:ascii="Times New Roman" w:hAnsi="Times New Roman" w:eastAsia="仿宋_GB2312" w:cs="Times New Roman"/>
          <w:sz w:val="32"/>
          <w:szCs w:val="32"/>
        </w:rPr>
        <w:t>，其中：一般公共预算拨款收入</w:t>
      </w:r>
      <w:r>
        <w:rPr>
          <w:rFonts w:hint="default" w:ascii="Times New Roman" w:hAnsi="Times New Roman" w:cs="Times New Roman"/>
          <w:sz w:val="32"/>
          <w:szCs w:val="32"/>
          <w:lang w:val="en-US" w:eastAsia="zh-CN"/>
        </w:rPr>
        <w:t>223.19万元</w:t>
      </w:r>
      <w:r>
        <w:rPr>
          <w:rFonts w:hint="default" w:ascii="Times New Roman" w:hAnsi="Times New Roman" w:eastAsia="仿宋_GB2312" w:cs="Times New Roman"/>
          <w:sz w:val="32"/>
          <w:szCs w:val="32"/>
        </w:rPr>
        <w:t>，占100%。</w:t>
      </w:r>
    </w:p>
    <w:p w14:paraId="340B77BE">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sz w:val="32"/>
          <w:szCs w:val="32"/>
          <w:lang w:val="en-US" w:eastAsia="zh-CN"/>
        </w:rPr>
        <w:t>（二）支出</w:t>
      </w:r>
      <w:r>
        <w:rPr>
          <w:rFonts w:hint="default" w:ascii="Times New Roman" w:hAnsi="Times New Roman" w:eastAsia="楷体_GB2312" w:cs="Times New Roman"/>
          <w:b/>
          <w:color w:val="000000"/>
          <w:sz w:val="32"/>
          <w:szCs w:val="32"/>
          <w:lang w:val="zh-CN" w:eastAsia="zh-CN"/>
        </w:rPr>
        <w:t>情况</w:t>
      </w:r>
      <w:r>
        <w:rPr>
          <w:rFonts w:hint="default" w:ascii="Times New Roman" w:hAnsi="Times New Roman" w:eastAsia="楷体_GB2312" w:cs="Times New Roman"/>
          <w:b/>
          <w:color w:val="000000"/>
          <w:sz w:val="32"/>
          <w:szCs w:val="32"/>
          <w:lang w:val="zh-CN"/>
        </w:rPr>
        <w:t>：</w:t>
      </w:r>
      <w:r>
        <w:rPr>
          <w:rFonts w:hint="default" w:ascii="Times New Roman" w:hAnsi="Times New Roman" w:eastAsia="仿宋_GB2312" w:cs="Times New Roman"/>
          <w:sz w:val="32"/>
          <w:szCs w:val="32"/>
          <w:lang w:val="en-US" w:eastAsia="zh-CN"/>
        </w:rPr>
        <w:t>区妇女联合会</w:t>
      </w: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本年支出合计</w:t>
      </w:r>
      <w:r>
        <w:rPr>
          <w:rFonts w:hint="default" w:ascii="Times New Roman" w:hAnsi="Times New Roman" w:eastAsia="仿宋_GB2312" w:cs="Times New Roman"/>
          <w:sz w:val="32"/>
          <w:szCs w:val="32"/>
          <w:lang w:val="en-US" w:eastAsia="zh-CN"/>
        </w:rPr>
        <w:t>223.19万元</w:t>
      </w:r>
      <w:r>
        <w:rPr>
          <w:rFonts w:hint="default" w:ascii="Times New Roman" w:hAnsi="Times New Roman" w:eastAsia="仿宋_GB2312" w:cs="Times New Roman"/>
          <w:sz w:val="32"/>
          <w:szCs w:val="32"/>
        </w:rPr>
        <w:t>，其中：基本支出</w:t>
      </w:r>
      <w:r>
        <w:rPr>
          <w:rFonts w:hint="default" w:ascii="Times New Roman" w:hAnsi="Times New Roman" w:eastAsia="仿宋_GB2312" w:cs="Times New Roman"/>
          <w:sz w:val="32"/>
          <w:szCs w:val="32"/>
          <w:lang w:val="en-US" w:eastAsia="zh-CN"/>
        </w:rPr>
        <w:t>106.27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47.61</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116.91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52.39</w:t>
      </w:r>
      <w:r>
        <w:rPr>
          <w:rFonts w:hint="default" w:ascii="Times New Roman" w:hAnsi="Times New Roman" w:eastAsia="仿宋_GB2312" w:cs="Times New Roman"/>
          <w:sz w:val="32"/>
          <w:szCs w:val="32"/>
        </w:rPr>
        <w:t>%。</w:t>
      </w:r>
    </w:p>
    <w:p w14:paraId="587C4F5A">
      <w:pPr>
        <w:pStyle w:val="20"/>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color w:val="000000"/>
          <w:kern w:val="2"/>
          <w:sz w:val="32"/>
          <w:szCs w:val="32"/>
          <w:lang w:val="zh-CN" w:eastAsia="zh-CN" w:bidi="ar-SA"/>
        </w:rPr>
        <w:t>（三）</w:t>
      </w:r>
      <w:r>
        <w:rPr>
          <w:rFonts w:hint="default" w:ascii="Times New Roman" w:hAnsi="Times New Roman" w:eastAsia="楷体_GB2312" w:cs="Times New Roman"/>
          <w:b/>
          <w:color w:val="000000"/>
          <w:kern w:val="2"/>
          <w:sz w:val="32"/>
          <w:szCs w:val="32"/>
          <w:lang w:val="en-US" w:eastAsia="zh-CN" w:bidi="ar-SA"/>
        </w:rPr>
        <w:t>结余分配和结转结余情况。</w:t>
      </w:r>
      <w:r>
        <w:rPr>
          <w:rFonts w:hint="default" w:ascii="Times New Roman" w:hAnsi="Times New Roman" w:eastAsia="仿宋_GB2312" w:cs="Times New Roman"/>
          <w:kern w:val="2"/>
          <w:sz w:val="32"/>
          <w:szCs w:val="32"/>
          <w:lang w:val="en-US" w:eastAsia="zh-CN" w:bidi="ar-SA"/>
        </w:rPr>
        <w:t>区妇女联合会2024年决算没有结转结余。</w:t>
      </w:r>
    </w:p>
    <w:p w14:paraId="2513EE57">
      <w:pPr>
        <w:pStyle w:val="14"/>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黑体" w:cs="Times New Roman"/>
          <w:b w:val="0"/>
          <w:color w:val="000000"/>
          <w:sz w:val="32"/>
          <w:szCs w:val="32"/>
          <w:lang w:val="zh-CN" w:eastAsia="zh-CN"/>
        </w:rPr>
      </w:pPr>
      <w:r>
        <w:rPr>
          <w:rFonts w:hint="default" w:ascii="Times New Roman" w:hAnsi="Times New Roman" w:eastAsia="黑体" w:cs="Times New Roman"/>
          <w:b w:val="0"/>
          <w:color w:val="000000"/>
          <w:sz w:val="32"/>
          <w:szCs w:val="32"/>
          <w:lang w:val="en-US" w:eastAsia="zh-CN"/>
        </w:rPr>
        <w:t>三、</w:t>
      </w:r>
      <w:r>
        <w:rPr>
          <w:rFonts w:hint="default" w:ascii="Times New Roman" w:hAnsi="Times New Roman" w:eastAsia="黑体" w:cs="Times New Roman"/>
          <w:b w:val="0"/>
          <w:color w:val="000000"/>
          <w:sz w:val="32"/>
          <w:szCs w:val="32"/>
          <w:lang w:val="zh-CN" w:eastAsia="zh-CN"/>
        </w:rPr>
        <w:t>部门预算绩效分析</w:t>
      </w:r>
    </w:p>
    <w:p w14:paraId="1B56E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2" w:firstLineChars="200"/>
        <w:contextualSpacing/>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（一）部门预算总体绩效分析。</w:t>
      </w:r>
      <w:r>
        <w:rPr>
          <w:rFonts w:hint="default" w:ascii="Times New Roman" w:hAnsi="Times New Roman" w:eastAsia="仿宋_GB2312" w:cs="Times New Roman"/>
          <w:sz w:val="32"/>
          <w:szCs w:val="32"/>
          <w:lang w:val="en-US" w:eastAsia="zh-CN"/>
        </w:rPr>
        <w:t>区妇女联合会</w:t>
      </w:r>
      <w:r>
        <w:rPr>
          <w:rFonts w:hint="default" w:ascii="Times New Roman" w:hAnsi="Times New Roman" w:eastAsia="仿宋_GB2312" w:cs="Times New Roman"/>
          <w:sz w:val="32"/>
          <w:szCs w:val="32"/>
          <w:lang w:val="zh-CN"/>
        </w:rPr>
        <w:t>根据部门整体支出绩效自评打分表，依次</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zh-CN"/>
        </w:rPr>
        <w:t>履职效能、预算管理、资产管理、采购管理</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rPr>
        <w:t>财务管理等情况</w:t>
      </w:r>
      <w:r>
        <w:rPr>
          <w:rFonts w:hint="default" w:ascii="Times New Roman" w:hAnsi="Times New Roman" w:eastAsia="仿宋_GB2312" w:cs="Times New Roman"/>
          <w:sz w:val="32"/>
          <w:szCs w:val="32"/>
          <w:lang w:val="en-US" w:eastAsia="zh-CN"/>
        </w:rPr>
        <w:t>进行分析如下：</w:t>
      </w:r>
    </w:p>
    <w:p w14:paraId="789C300B">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履职效能</w:t>
      </w:r>
    </w:p>
    <w:p w14:paraId="29DFBD81">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选定维护妇女权益、促进妇女发展、家庭建设服务、组织妇女参与社会管理4 个核心职能目标。</w:t>
      </w:r>
      <w:r>
        <w:rPr>
          <w:rFonts w:hint="default" w:ascii="Times New Roman" w:hAnsi="Times New Roman" w:eastAsia="仿宋_GB2312" w:cs="Times New Roman"/>
          <w:sz w:val="32"/>
          <w:szCs w:val="32"/>
          <w:lang w:val="en-US" w:eastAsia="zh-CN"/>
        </w:rPr>
        <w:t>2024年两癌救助1.5万余人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保障乡镇</w:t>
      </w:r>
      <w:r>
        <w:rPr>
          <w:rFonts w:hint="default" w:ascii="Times New Roman" w:hAnsi="Times New Roman" w:eastAsia="仿宋_GB2312" w:cs="Times New Roman"/>
          <w:sz w:val="32"/>
          <w:szCs w:val="32"/>
          <w:lang w:val="en-US" w:eastAsia="zh-CN"/>
        </w:rPr>
        <w:t>86个儿童之家有效运行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发放两癌救助资金</w:t>
      </w:r>
      <w:r>
        <w:rPr>
          <w:rFonts w:hint="default" w:ascii="Times New Roman" w:hAnsi="Times New Roman" w:eastAsia="仿宋_GB2312" w:cs="Times New Roman"/>
          <w:sz w:val="32"/>
          <w:szCs w:val="32"/>
          <w:lang w:val="en-US" w:eastAsia="zh-CN"/>
        </w:rPr>
        <w:t>10余万元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组织妇联换届工作的顺利完成</w:t>
      </w:r>
      <w:r>
        <w:rPr>
          <w:rFonts w:hint="default" w:ascii="Times New Roman" w:hAnsi="Times New Roman" w:eastAsia="仿宋_GB2312" w:cs="Times New Roman"/>
          <w:sz w:val="32"/>
          <w:szCs w:val="32"/>
        </w:rPr>
        <w:t>。
</w:t>
      </w:r>
    </w:p>
    <w:p w14:paraId="152BA1AA">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预算管理</w:t>
      </w:r>
    </w:p>
    <w:p w14:paraId="1C6BB52A">
      <w:pPr>
        <w:pStyle w:val="27"/>
        <w:spacing w:line="560" w:lineRule="exact"/>
        <w:ind w:firstLine="632"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zh-CN" w:eastAsia="zh-CN"/>
        </w:rPr>
        <w:t>预算编制质量：</w:t>
      </w:r>
      <w:r>
        <w:rPr>
          <w:rFonts w:hint="eastAsia" w:ascii="仿宋_GB2312" w:eastAsia="仿宋_GB2312"/>
          <w:color w:val="auto"/>
          <w:sz w:val="32"/>
          <w:szCs w:val="32"/>
          <w:lang w:val="en-US" w:eastAsia="zh-CN"/>
        </w:rPr>
        <w:t>2024年本单位严格按要求编制年初部门预算，注重数据的科学性、准确性和合理性。预算执行数与全年预算数一致。</w:t>
      </w:r>
    </w:p>
    <w:p w14:paraId="5488A473">
      <w:pPr>
        <w:pStyle w:val="27"/>
        <w:spacing w:line="560" w:lineRule="exact"/>
        <w:ind w:firstLine="632" w:firstLineChars="200"/>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支出执行进度</w:t>
      </w:r>
      <w:r>
        <w:rPr>
          <w:rFonts w:hint="eastAsia" w:ascii="仿宋_GB2312" w:eastAsia="仿宋_GB2312"/>
          <w:color w:val="auto"/>
          <w:sz w:val="32"/>
          <w:szCs w:val="32"/>
          <w:lang w:val="en-US" w:eastAsia="zh-CN"/>
        </w:rPr>
        <w:t>：2024年本单位1至12月预算执行数与实际支出数一致，执行进度100%。</w:t>
      </w:r>
    </w:p>
    <w:p w14:paraId="27CB71BE">
      <w:pPr>
        <w:pStyle w:val="27"/>
        <w:spacing w:line="560" w:lineRule="exact"/>
        <w:ind w:firstLine="632" w:firstLineChars="200"/>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预算年终结余</w:t>
      </w:r>
      <w:r>
        <w:rPr>
          <w:rFonts w:hint="eastAsia" w:ascii="仿宋_GB2312" w:eastAsia="仿宋_GB2312"/>
          <w:color w:val="auto"/>
          <w:sz w:val="32"/>
          <w:szCs w:val="32"/>
          <w:lang w:val="en-US" w:eastAsia="zh-CN"/>
        </w:rPr>
        <w:t>：2024年本单位无结转结余。</w:t>
      </w:r>
    </w:p>
    <w:p w14:paraId="3131A328">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仿宋_GB2312" w:eastAsia="仿宋_GB2312"/>
          <w:color w:val="auto"/>
          <w:sz w:val="32"/>
          <w:szCs w:val="32"/>
          <w:lang w:val="en-US" w:eastAsia="zh-CN"/>
        </w:rPr>
        <w:t>严控一般性支出：2024年本单位一般性支出财政拨款年初预算数较2023年减少60.25万元，预算执行数较2023年减少64.67万元，主要原因是2024年儿童之家的运维项目减少。</w:t>
      </w:r>
      <w:r>
        <w:rPr>
          <w:rFonts w:hint="default" w:ascii="Times New Roman" w:hAnsi="Times New Roman" w:eastAsia="仿宋_GB2312" w:cs="Times New Roman"/>
          <w:sz w:val="32"/>
          <w:szCs w:val="32"/>
        </w:rPr>
        <w:t>
</w:t>
      </w:r>
    </w:p>
    <w:p w14:paraId="5CAC35BA">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财务管理</w:t>
      </w:r>
    </w:p>
    <w:p w14:paraId="2FC6617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kern w:val="2"/>
          <w:sz w:val="32"/>
          <w:szCs w:val="32"/>
          <w:lang w:val="zh-CN" w:eastAsia="zh-CN" w:bidi="ar-SA"/>
        </w:rPr>
        <w:t>建立健全财务管理制度，明确财务岗位设置及职责分工；资金使用严格按照规定流程审批，确保规范安全，但在财务档案管理的规范性上还需进一步加强。
</w:t>
      </w:r>
    </w:p>
    <w:p w14:paraId="5A5FBD44">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资产管理</w:t>
      </w:r>
    </w:p>
    <w:p w14:paraId="537DE744">
      <w:pPr>
        <w:pStyle w:val="27"/>
        <w:spacing w:line="560" w:lineRule="exact"/>
        <w:ind w:firstLine="632"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人均资产变化率：</w:t>
      </w:r>
      <w:r>
        <w:rPr>
          <w:rFonts w:hint="eastAsia" w:ascii="仿宋_GB2312" w:eastAsia="仿宋_GB2312"/>
          <w:color w:val="auto"/>
          <w:sz w:val="32"/>
          <w:szCs w:val="32"/>
          <w:lang w:val="en-US" w:eastAsia="zh-CN"/>
        </w:rPr>
        <w:t>2024年区妇联部门人均资产变化率小于2024年市直行政事业单位人均资产变化率平均值。</w:t>
      </w:r>
    </w:p>
    <w:p w14:paraId="1D1F6AE9">
      <w:pPr>
        <w:pStyle w:val="27"/>
        <w:spacing w:line="560" w:lineRule="exact"/>
        <w:ind w:firstLine="632"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资产利用率：</w:t>
      </w:r>
      <w:r>
        <w:rPr>
          <w:rFonts w:hint="eastAsia" w:ascii="仿宋_GB2312" w:eastAsia="仿宋_GB2312"/>
          <w:color w:val="auto"/>
          <w:sz w:val="32"/>
          <w:szCs w:val="32"/>
          <w:lang w:val="en-US" w:eastAsia="zh-CN"/>
        </w:rPr>
        <w:t>2024年区妇联办公家具资产利用率小于省平均值的0.5倍，办公设备资产利用率大于省平均值的0.8倍。</w:t>
      </w:r>
    </w:p>
    <w:p w14:paraId="0FDCE7FC">
      <w:pPr>
        <w:pStyle w:val="27"/>
        <w:spacing w:line="560" w:lineRule="exact"/>
        <w:ind w:firstLine="632"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资产盘活率：</w:t>
      </w:r>
      <w:r>
        <w:rPr>
          <w:rFonts w:hint="eastAsia" w:ascii="仿宋_GB2312" w:eastAsia="仿宋_GB2312"/>
          <w:color w:val="auto"/>
          <w:sz w:val="32"/>
          <w:szCs w:val="32"/>
          <w:lang w:val="en-US" w:eastAsia="zh-CN"/>
        </w:rPr>
        <w:t>2024年区妇联无闲置资产。</w:t>
      </w:r>
    </w:p>
    <w:p w14:paraId="52B8EEB7">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5</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采购管理</w:t>
      </w:r>
    </w:p>
    <w:p w14:paraId="7514B819">
      <w:pPr>
        <w:pStyle w:val="27"/>
        <w:spacing w:line="560" w:lineRule="exact"/>
        <w:ind w:firstLine="632"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支持中小企业发展：2024年本单位面向中小企业采购电脑1台，用于替换政府保密文件传送。</w:t>
      </w:r>
    </w:p>
    <w:p w14:paraId="0ED9F796">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仿宋_GB2312" w:eastAsia="仿宋_GB2312"/>
          <w:color w:val="auto"/>
          <w:sz w:val="32"/>
          <w:szCs w:val="32"/>
          <w:lang w:val="en-US" w:eastAsia="zh-CN"/>
        </w:rPr>
        <w:t>采购执行率</w:t>
      </w:r>
      <w:r>
        <w:rPr>
          <w:rFonts w:hint="eastAsia" w:ascii="仿宋_GB2312" w:eastAsia="仿宋_GB2312"/>
          <w:color w:val="auto"/>
          <w:sz w:val="32"/>
          <w:szCs w:val="32"/>
          <w:lang w:val="en-US" w:eastAsia="zh-CN"/>
        </w:rPr>
        <w:t>：2024年本单位政府采购实际支付金额与预算金额一致</w:t>
      </w:r>
      <w:r>
        <w:rPr>
          <w:rFonts w:hint="default" w:ascii="Times New Roman" w:hAnsi="Times New Roman" w:eastAsia="仿宋_GB2312" w:cs="Times New Roman"/>
          <w:sz w:val="32"/>
          <w:szCs w:val="32"/>
        </w:rPr>
        <w:t>。
</w:t>
      </w:r>
    </w:p>
    <w:p w14:paraId="5A8133AC">
      <w:pPr>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lang w:val="en-US" w:eastAsia="zh-CN"/>
        </w:rPr>
        <w:t>三</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rPr>
        <w:t>部门预算项目绩效分析
</w:t>
      </w:r>
    </w:p>
    <w:p w14:paraId="4159D1DD">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3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常年项目绩效分析</w:t>
      </w:r>
    </w:p>
    <w:p w14:paraId="73DC660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常年项目绩效分析</w:t>
      </w:r>
    </w:p>
    <w:p w14:paraId="32CDD91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 xml:space="preserve">常年项目总数为 </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zh-CN"/>
        </w:rPr>
        <w:t>个，涉及预算总金额</w:t>
      </w:r>
      <w:r>
        <w:rPr>
          <w:rFonts w:hint="default" w:ascii="Times New Roman" w:hAnsi="Times New Roman" w:cs="Times New Roman"/>
          <w:sz w:val="32"/>
          <w:szCs w:val="32"/>
          <w:lang w:val="en-US" w:eastAsia="zh-CN"/>
        </w:rPr>
        <w:t>116.92</w:t>
      </w:r>
      <w:r>
        <w:rPr>
          <w:rFonts w:hint="default" w:ascii="Times New Roman" w:hAnsi="Times New Roman" w:eastAsia="仿宋_GB2312" w:cs="Times New Roman"/>
          <w:sz w:val="32"/>
          <w:szCs w:val="32"/>
          <w:lang w:val="zh-CN"/>
        </w:rPr>
        <w:t xml:space="preserve">万元，1 - 12 月预算执行总体进度为 </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 xml:space="preserve">%。其中，预算结余率大于 10% 的项目共计 </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个。
</w:t>
      </w:r>
    </w:p>
    <w:p w14:paraId="456254E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阶段（一次性）项目绩效分析</w:t>
      </w:r>
      <w:r>
        <w:rPr>
          <w:rFonts w:hint="default" w:ascii="Times New Roman" w:hAnsi="Times New Roman" w:eastAsia="仿宋_GB2312" w:cs="Times New Roman"/>
          <w:sz w:val="32"/>
          <w:szCs w:val="32"/>
        </w:rPr>
        <w:t>应该</w:t>
      </w:r>
      <w:r>
        <w:rPr>
          <w:rFonts w:hint="default" w:ascii="Times New Roman" w:hAnsi="Times New Roman" w:eastAsia="仿宋_GB2312" w:cs="Times New Roman"/>
          <w:sz w:val="32"/>
          <w:szCs w:val="32"/>
          <w:lang w:val="zh-CN"/>
        </w:rPr>
        <w:t>项目总数为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个，涉及预算总金额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 xml:space="preserve">万元，1 - 12 月预算执行总体进度为 </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%。其中，预算结余率大于 10% 的项目共计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 xml:space="preserve"> 个。
</w:t>
      </w:r>
    </w:p>
    <w:p w14:paraId="61CE1E6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zh-CN"/>
        </w:rPr>
      </w:pPr>
      <w:r>
        <w:rPr>
          <w:rFonts w:hint="eastAsia" w:ascii="Times New Roman" w:hAnsi="Times New Roman" w:cs="Times New Roman"/>
          <w:sz w:val="32"/>
          <w:szCs w:val="32"/>
          <w:lang w:val="en-US" w:eastAsia="zh-CN"/>
        </w:rPr>
        <w:t>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zh-CN"/>
        </w:rPr>
        <w:t>项目决策</w:t>
      </w:r>
    </w:p>
    <w:p w14:paraId="61E4A0FC">
      <w:pPr>
        <w:pStyle w:val="27"/>
        <w:spacing w:line="560" w:lineRule="exact"/>
        <w:ind w:firstLine="632"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决策程序：</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部门预算项目设立均按规定履行评估论证、申报程序</w:t>
      </w:r>
      <w:r>
        <w:rPr>
          <w:rFonts w:hint="eastAsia" w:ascii="仿宋_GB2312" w:eastAsia="仿宋_GB2312"/>
          <w:color w:val="auto"/>
          <w:sz w:val="32"/>
          <w:szCs w:val="32"/>
          <w:lang w:val="en-US" w:eastAsia="zh-CN"/>
        </w:rPr>
        <w:t>。</w:t>
      </w:r>
    </w:p>
    <w:p w14:paraId="1A6A44E1">
      <w:pPr>
        <w:pStyle w:val="27"/>
        <w:spacing w:line="560" w:lineRule="exact"/>
        <w:ind w:firstLine="632"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目标设置：</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部门预算项目绩效目标与计划期内的任务量、预算安排的资金量相匹配，绩效目标设置科学合理、规范完整、量化细化、预算匹配</w:t>
      </w:r>
      <w:r>
        <w:rPr>
          <w:rFonts w:hint="eastAsia" w:ascii="仿宋_GB2312" w:eastAsia="仿宋_GB2312"/>
          <w:color w:val="auto"/>
          <w:sz w:val="32"/>
          <w:szCs w:val="32"/>
          <w:lang w:val="en-US" w:eastAsia="zh-CN"/>
        </w:rPr>
        <w:t>。</w:t>
      </w:r>
    </w:p>
    <w:p w14:paraId="6CD0A20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zh-CN" w:eastAsia="zh-CN"/>
        </w:rPr>
        <w:t>项目入库：</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部门预算项目均在规定时间内完成项目入库</w:t>
      </w:r>
      <w:r>
        <w:rPr>
          <w:rFonts w:hint="eastAsia" w:ascii="仿宋_GB2312" w:eastAsia="仿宋_GB2312"/>
          <w:color w:val="auto"/>
          <w:sz w:val="32"/>
          <w:szCs w:val="32"/>
          <w:lang w:val="en-US" w:eastAsia="zh-CN"/>
        </w:rPr>
        <w:t>。</w:t>
      </w:r>
    </w:p>
    <w:p w14:paraId="1EFB469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zh-CN"/>
        </w:rPr>
      </w:pPr>
      <w:r>
        <w:rPr>
          <w:rFonts w:hint="eastAsia" w:ascii="Times New Roman" w:hAnsi="Times New Roman" w:cs="Times New Roman"/>
          <w:sz w:val="32"/>
          <w:szCs w:val="32"/>
          <w:lang w:val="en-US" w:eastAsia="zh-CN"/>
        </w:rPr>
        <w:t>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zh-CN"/>
        </w:rPr>
        <w:t>项目执行</w:t>
      </w:r>
    </w:p>
    <w:p w14:paraId="09EEE7AE">
      <w:pPr>
        <w:pStyle w:val="27"/>
        <w:spacing w:line="560" w:lineRule="exact"/>
        <w:ind w:firstLine="632"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决策程序：</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部门预算项目设立均按规定履行评估论证、申报程序</w:t>
      </w:r>
      <w:r>
        <w:rPr>
          <w:rFonts w:hint="eastAsia" w:ascii="仿宋_GB2312" w:eastAsia="仿宋_GB2312"/>
          <w:color w:val="auto"/>
          <w:sz w:val="32"/>
          <w:szCs w:val="32"/>
          <w:lang w:val="en-US" w:eastAsia="zh-CN"/>
        </w:rPr>
        <w:t>。</w:t>
      </w:r>
    </w:p>
    <w:p w14:paraId="70B61D39">
      <w:pPr>
        <w:pStyle w:val="27"/>
        <w:spacing w:line="560" w:lineRule="exact"/>
        <w:ind w:firstLine="632"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目标设置：</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部门预算项目绩效目标与计划期内的任务量、预算安排的资金量相匹配，绩效目标设置科学合理、规范完整、量化细化、预算匹配</w:t>
      </w:r>
      <w:r>
        <w:rPr>
          <w:rFonts w:hint="eastAsia" w:ascii="仿宋_GB2312" w:eastAsia="仿宋_GB2312"/>
          <w:color w:val="auto"/>
          <w:sz w:val="32"/>
          <w:szCs w:val="32"/>
          <w:lang w:val="en-US" w:eastAsia="zh-CN"/>
        </w:rPr>
        <w:t>。</w:t>
      </w:r>
    </w:p>
    <w:p w14:paraId="07D0143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zh-CN"/>
        </w:rPr>
      </w:pPr>
      <w:r>
        <w:rPr>
          <w:rFonts w:hint="eastAsia" w:ascii="仿宋_GB2312" w:eastAsia="仿宋_GB2312"/>
          <w:color w:val="auto"/>
          <w:sz w:val="32"/>
          <w:szCs w:val="32"/>
          <w:lang w:val="zh-CN" w:eastAsia="zh-CN"/>
        </w:rPr>
        <w:t>项目入库：</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部门预算项目均在规定时间内完成项目入库</w:t>
      </w:r>
      <w:r>
        <w:rPr>
          <w:rFonts w:hint="eastAsia" w:ascii="仿宋_GB2312" w:eastAsia="仿宋_GB2312"/>
          <w:color w:val="auto"/>
          <w:sz w:val="32"/>
          <w:szCs w:val="32"/>
          <w:lang w:val="en-US" w:eastAsia="zh-CN"/>
        </w:rPr>
        <w:t>。</w:t>
      </w:r>
    </w:p>
    <w:p w14:paraId="4937855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zh-CN"/>
        </w:rPr>
      </w:pP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zh-CN"/>
        </w:rPr>
        <w:t>目标实现</w:t>
      </w:r>
    </w:p>
    <w:p w14:paraId="015285C5">
      <w:pPr>
        <w:pStyle w:val="27"/>
        <w:spacing w:line="560" w:lineRule="exact"/>
        <w:ind w:firstLine="632"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目标完成：</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部门预算项目绩效目标数量指标均已完成</w:t>
      </w:r>
      <w:r>
        <w:rPr>
          <w:rFonts w:hint="eastAsia" w:ascii="仿宋_GB2312" w:eastAsia="仿宋_GB2312"/>
          <w:color w:val="auto"/>
          <w:sz w:val="32"/>
          <w:szCs w:val="32"/>
          <w:lang w:val="en-US" w:eastAsia="zh-CN"/>
        </w:rPr>
        <w:t>。</w:t>
      </w:r>
    </w:p>
    <w:p w14:paraId="483B3657">
      <w:pPr>
        <w:pStyle w:val="27"/>
        <w:spacing w:line="560" w:lineRule="exact"/>
        <w:ind w:firstLine="632"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目标偏离：</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部门预算项目均较好地完成了预期指标值</w:t>
      </w:r>
      <w:r>
        <w:rPr>
          <w:rFonts w:hint="eastAsia" w:ascii="仿宋_GB2312" w:eastAsia="仿宋_GB2312"/>
          <w:color w:val="auto"/>
          <w:sz w:val="32"/>
          <w:szCs w:val="32"/>
          <w:lang w:val="en-US" w:eastAsia="zh-CN"/>
        </w:rPr>
        <w:t>未出现偏离度。</w:t>
      </w:r>
    </w:p>
    <w:p w14:paraId="3C188812">
      <w:pPr>
        <w:pStyle w:val="27"/>
        <w:spacing w:line="560" w:lineRule="exact"/>
        <w:ind w:firstLine="632"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实现效果：</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部门预算项目均较好地完成了绩效目标效益指标，自评得分</w:t>
      </w:r>
      <w:r>
        <w:rPr>
          <w:rFonts w:hint="eastAsia" w:ascii="仿宋_GB2312" w:eastAsia="仿宋_GB2312"/>
          <w:color w:val="auto"/>
          <w:sz w:val="32"/>
          <w:szCs w:val="32"/>
          <w:lang w:val="en-US" w:eastAsia="zh-CN"/>
        </w:rPr>
        <w:t>5分。</w:t>
      </w:r>
    </w:p>
    <w:p w14:paraId="4EDB2BB5">
      <w:pPr>
        <w:pStyle w:val="27"/>
        <w:spacing w:line="560" w:lineRule="exact"/>
        <w:ind w:firstLine="632" w:firstLineChars="200"/>
        <w:rPr>
          <w:rFonts w:hint="default" w:ascii="Times New Roman" w:hAnsi="Times New Roman" w:eastAsia="仿宋_GB2312" w:cs="Times New Roman"/>
          <w:sz w:val="32"/>
          <w:szCs w:val="32"/>
          <w:lang w:val="zh-CN"/>
        </w:rPr>
      </w:pPr>
      <w:r>
        <w:rPr>
          <w:rFonts w:hint="eastAsia" w:ascii="仿宋_GB2312" w:eastAsia="仿宋_GB2312"/>
          <w:color w:val="auto"/>
          <w:sz w:val="32"/>
          <w:szCs w:val="32"/>
          <w:lang w:val="en-US" w:eastAsia="zh-CN"/>
        </w:rPr>
        <w:t>2024年度</w:t>
      </w:r>
      <w:r>
        <w:rPr>
          <w:rFonts w:hint="eastAsia" w:ascii="仿宋_GB2312" w:eastAsia="仿宋_GB2312"/>
          <w:color w:val="auto"/>
          <w:sz w:val="32"/>
          <w:szCs w:val="32"/>
          <w:lang w:val="zh-CN" w:eastAsia="zh-CN"/>
        </w:rPr>
        <w:t>本单位不</w:t>
      </w:r>
      <w:r>
        <w:rPr>
          <w:rFonts w:hint="default" w:ascii="仿宋_GB2312" w:eastAsia="仿宋_GB2312"/>
          <w:color w:val="auto"/>
          <w:sz w:val="32"/>
          <w:szCs w:val="32"/>
          <w:lang w:val="zh-CN" w:eastAsia="zh-CN"/>
        </w:rPr>
        <w:t>涉及国有资本经营预算、社会保险基金预算</w:t>
      </w:r>
      <w:r>
        <w:rPr>
          <w:rFonts w:hint="eastAsia" w:ascii="仿宋_GB2312" w:eastAsia="仿宋_GB2312"/>
          <w:color w:val="auto"/>
          <w:sz w:val="32"/>
          <w:szCs w:val="32"/>
          <w:lang w:val="en-US" w:eastAsia="zh-CN"/>
        </w:rPr>
        <w:t>；</w:t>
      </w:r>
      <w:r>
        <w:rPr>
          <w:rFonts w:hint="default" w:ascii="Times New Roman" w:hAnsi="Times New Roman" w:eastAsia="仿宋_GB2312" w:cs="Times New Roman"/>
          <w:sz w:val="32"/>
          <w:szCs w:val="32"/>
          <w:lang w:val="zh-CN"/>
        </w:rPr>
        <w:t>2024年度涉及政府采购项目</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rPr>
        <w:t>个，采购总金额</w:t>
      </w:r>
      <w:r>
        <w:rPr>
          <w:rFonts w:hint="default" w:ascii="Times New Roman" w:hAnsi="Times New Roman" w:eastAsia="仿宋_GB2312" w:cs="Times New Roman"/>
          <w:sz w:val="32"/>
          <w:szCs w:val="32"/>
          <w:lang w:val="en-US" w:eastAsia="zh-CN"/>
        </w:rPr>
        <w:t>6000</w:t>
      </w:r>
      <w:r>
        <w:rPr>
          <w:rFonts w:hint="default" w:ascii="Times New Roman" w:hAnsi="Times New Roman" w:eastAsia="仿宋_GB2312" w:cs="Times New Roman"/>
          <w:sz w:val="32"/>
          <w:szCs w:val="32"/>
          <w:lang w:val="zh-CN"/>
        </w:rPr>
        <w:t>元，严格按照采购流程执行，未出现违规采购行为；政府购买服务项目</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rPr>
        <w:t>个，购买服务金额</w:t>
      </w:r>
      <w:r>
        <w:rPr>
          <w:rFonts w:hint="default" w:ascii="Times New Roman" w:hAnsi="Times New Roman" w:eastAsia="仿宋_GB2312" w:cs="Times New Roman"/>
          <w:sz w:val="32"/>
          <w:szCs w:val="32"/>
          <w:lang w:val="en-US" w:eastAsia="zh-CN"/>
        </w:rPr>
        <w:t>6000</w:t>
      </w:r>
      <w:r>
        <w:rPr>
          <w:rFonts w:hint="default" w:ascii="Times New Roman" w:hAnsi="Times New Roman" w:eastAsia="仿宋_GB2312" w:cs="Times New Roman"/>
          <w:sz w:val="32"/>
          <w:szCs w:val="32"/>
          <w:lang w:val="zh-CN"/>
        </w:rPr>
        <w:t>元，服务质量达到预期标准，有效提升了</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lang w:val="zh-CN"/>
        </w:rPr>
        <w:t>公共服务水平。
</w:t>
      </w:r>
    </w:p>
    <w:p w14:paraId="2486313D">
      <w:pPr>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楷体_GB2312" w:cs="Times New Roman"/>
          <w:b/>
          <w:color w:val="000000"/>
          <w:sz w:val="32"/>
          <w:szCs w:val="32"/>
          <w:lang w:val="zh-CN"/>
        </w:rPr>
      </w:pPr>
      <w:r>
        <w:rPr>
          <w:rFonts w:hint="default" w:ascii="Times New Roman" w:hAnsi="Times New Roman" w:eastAsia="楷体_GB2312" w:cs="Times New Roman"/>
          <w:b/>
          <w:color w:val="000000"/>
          <w:sz w:val="32"/>
          <w:szCs w:val="32"/>
          <w:lang w:val="zh-CN"/>
        </w:rPr>
        <w:t>（</w:t>
      </w:r>
      <w:r>
        <w:rPr>
          <w:rFonts w:hint="eastAsia" w:ascii="Times New Roman" w:hAnsi="Times New Roman" w:eastAsia="楷体_GB2312" w:cs="Times New Roman"/>
          <w:b/>
          <w:color w:val="000000"/>
          <w:sz w:val="32"/>
          <w:szCs w:val="32"/>
          <w:lang w:val="en-US" w:eastAsia="zh-CN"/>
        </w:rPr>
        <w:t>三</w:t>
      </w:r>
      <w:r>
        <w:rPr>
          <w:rFonts w:hint="default" w:ascii="Times New Roman" w:hAnsi="Times New Roman" w:eastAsia="楷体_GB2312" w:cs="Times New Roman"/>
          <w:b/>
          <w:color w:val="000000"/>
          <w:sz w:val="32"/>
          <w:szCs w:val="32"/>
          <w:lang w:val="zh-CN"/>
        </w:rPr>
        <w:t>）结果应用情况</w:t>
      </w:r>
    </w:p>
    <w:p w14:paraId="639B1176">
      <w:pPr>
        <w:pStyle w:val="27"/>
        <w:spacing w:line="560" w:lineRule="exact"/>
        <w:ind w:firstLine="632" w:firstLineChars="200"/>
        <w:rPr>
          <w:rFonts w:hint="default" w:ascii="仿宋_GB2312" w:eastAsia="仿宋_GB2312"/>
          <w:color w:val="auto"/>
          <w:sz w:val="32"/>
          <w:szCs w:val="32"/>
          <w:lang w:val="zh-CN" w:eastAsia="zh-CN"/>
        </w:rPr>
      </w:pPr>
      <w:r>
        <w:rPr>
          <w:rFonts w:hint="eastAsia" w:ascii="仿宋_GB2312" w:eastAsia="仿宋_GB2312"/>
          <w:color w:val="auto"/>
          <w:sz w:val="32"/>
          <w:szCs w:val="32"/>
          <w:lang w:val="zh-CN" w:eastAsia="zh-CN"/>
        </w:rPr>
        <w:t>本单位</w:t>
      </w:r>
      <w:r>
        <w:rPr>
          <w:rFonts w:hint="default" w:ascii="仿宋_GB2312" w:eastAsia="仿宋_GB2312"/>
          <w:color w:val="auto"/>
          <w:sz w:val="32"/>
          <w:szCs w:val="32"/>
          <w:lang w:val="zh-CN" w:eastAsia="zh-CN"/>
        </w:rPr>
        <w:t>严格按照财政信息公开要求，在政府官网</w:t>
      </w:r>
      <w:r>
        <w:rPr>
          <w:rFonts w:hint="eastAsia" w:ascii="仿宋_GB2312" w:eastAsia="仿宋_GB2312"/>
          <w:color w:val="auto"/>
          <w:sz w:val="32"/>
          <w:szCs w:val="32"/>
          <w:lang w:val="zh-CN" w:eastAsia="zh-CN"/>
        </w:rPr>
        <w:t>预、决算公开专栏随决算公开</w:t>
      </w:r>
      <w:r>
        <w:rPr>
          <w:rFonts w:hint="default" w:ascii="仿宋_GB2312" w:eastAsia="仿宋_GB2312"/>
          <w:color w:val="auto"/>
          <w:sz w:val="32"/>
          <w:szCs w:val="32"/>
          <w:lang w:val="zh-CN" w:eastAsia="zh-CN"/>
        </w:rPr>
        <w:t>完整披露部门整体支出绩效评价报告、绩效目标申报表、绩效指标完成情况等内容。将绩效评价结果与次年预算编制紧密挂钩，针对绩效评价中资金使用效率低的领域，压缩预算；对绩效突出的民生保障项目追加预算。</w:t>
      </w:r>
      <w:r>
        <w:rPr>
          <w:rFonts w:hint="eastAsia" w:ascii="仿宋_GB2312" w:eastAsia="仿宋_GB2312"/>
          <w:color w:val="auto"/>
          <w:sz w:val="32"/>
          <w:szCs w:val="32"/>
          <w:lang w:val="zh-CN" w:eastAsia="zh-CN"/>
        </w:rPr>
        <w:t>对绩效评价中发现的问题进行整理和分析，作为改进预算绩效管理工作的重要依据，持续完善“预算编制有目标、执行有监控、完成有评价、结果有应用”的全链条绩效管理体系。</w:t>
      </w:r>
    </w:p>
    <w:p w14:paraId="37869539">
      <w:pPr>
        <w:pStyle w:val="14"/>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四、评价结论及建议</w:t>
      </w:r>
    </w:p>
    <w:p w14:paraId="13C8115A">
      <w:pPr>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（一）评价结论</w:t>
      </w:r>
    </w:p>
    <w:p w14:paraId="4D5EA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2024年</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val="en-US" w:eastAsia="zh-CN"/>
        </w:rPr>
        <w:t>会</w:t>
      </w:r>
      <w:r>
        <w:rPr>
          <w:rFonts w:hint="default" w:ascii="Times New Roman" w:hAnsi="Times New Roman" w:eastAsia="仿宋_GB2312" w:cs="Times New Roman"/>
          <w:sz w:val="32"/>
          <w:szCs w:val="32"/>
        </w:rPr>
        <w:t>通过加强预算收支管理，不断建立健全内部管理制度，梳理内部管理流程，部门整体支出管理情况得到提升，较</w:t>
      </w:r>
      <w:r>
        <w:rPr>
          <w:rFonts w:hint="eastAsia" w:ascii="Times New Roman" w:hAnsi="Times New Roman" w:eastAsia="仿宋_GB2312" w:cs="Times New Roman"/>
          <w:sz w:val="32"/>
          <w:szCs w:val="32"/>
          <w:lang w:eastAsia="zh-CN"/>
        </w:rPr>
        <w:t>好地完成</w:t>
      </w:r>
      <w:r>
        <w:rPr>
          <w:rFonts w:hint="default" w:ascii="Times New Roman" w:hAnsi="Times New Roman" w:eastAsia="仿宋_GB2312" w:cs="Times New Roman"/>
          <w:sz w:val="32"/>
          <w:szCs w:val="32"/>
        </w:rPr>
        <w:t>了年度工作目标。根据《</w:t>
      </w:r>
      <w:r>
        <w:rPr>
          <w:rFonts w:hint="default"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default" w:ascii="Times New Roman" w:hAnsi="Times New Roman" w:cs="Times New Roman"/>
          <w:sz w:val="32"/>
          <w:szCs w:val="32"/>
          <w:lang w:eastAsia="zh-CN"/>
        </w:rPr>
        <w:t>年</w:t>
      </w:r>
      <w:r>
        <w:rPr>
          <w:rFonts w:hint="default" w:ascii="Times New Roman" w:hAnsi="Times New Roman" w:eastAsia="仿宋_GB2312" w:cs="Times New Roman"/>
          <w:sz w:val="32"/>
          <w:szCs w:val="32"/>
        </w:rPr>
        <w:t>区级部门整体支出绩效评价指标体系》我</w:t>
      </w:r>
      <w:r>
        <w:rPr>
          <w:rFonts w:hint="default" w:ascii="Times New Roman" w:hAnsi="Times New Roman" w:eastAsia="仿宋_GB2312" w:cs="Times New Roman"/>
          <w:sz w:val="32"/>
          <w:szCs w:val="32"/>
          <w:lang w:val="en-US" w:eastAsia="zh-CN"/>
        </w:rPr>
        <w:t>会</w:t>
      </w:r>
      <w:r>
        <w:rPr>
          <w:rFonts w:hint="default" w:ascii="Times New Roman" w:hAnsi="Times New Roman" w:eastAsia="仿宋_GB2312" w:cs="Times New Roman"/>
          <w:sz w:val="32"/>
          <w:szCs w:val="32"/>
        </w:rPr>
        <w:t>对</w:t>
      </w:r>
      <w:r>
        <w:rPr>
          <w:rFonts w:hint="default" w:ascii="Times New Roman" w:hAnsi="Times New Roman" w:cs="Times New Roman"/>
          <w:sz w:val="32"/>
          <w:szCs w:val="32"/>
          <w:lang w:eastAsia="zh-CN"/>
        </w:rPr>
        <w:t>2024年</w:t>
      </w:r>
      <w:r>
        <w:rPr>
          <w:rFonts w:hint="default" w:ascii="Times New Roman" w:hAnsi="Times New Roman" w:eastAsia="仿宋_GB2312" w:cs="Times New Roman"/>
          <w:sz w:val="32"/>
          <w:szCs w:val="32"/>
        </w:rPr>
        <w:t>整体支出开展绩效自评。</w:t>
      </w:r>
    </w:p>
    <w:p w14:paraId="75B7826E">
      <w:pPr>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lang w:eastAsia="zh-CN"/>
        </w:rPr>
        <w:t>（</w:t>
      </w:r>
      <w:r>
        <w:rPr>
          <w:rFonts w:hint="eastAsia" w:ascii="Times New Roman" w:hAnsi="Times New Roman" w:eastAsia="楷体_GB2312" w:cs="Times New Roman"/>
          <w:b/>
          <w:color w:val="000000"/>
          <w:sz w:val="32"/>
          <w:szCs w:val="32"/>
          <w:lang w:val="en-US" w:eastAsia="zh-CN"/>
        </w:rPr>
        <w:t>二</w:t>
      </w:r>
      <w:r>
        <w:rPr>
          <w:rFonts w:hint="eastAsia"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rPr>
        <w:t>存在问题</w:t>
      </w:r>
    </w:p>
    <w:p w14:paraId="254A413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在看到成绩的同时，我们也清醒地意识到，在与人民群众的要求相比，还存在一些不足和问题，主要体现在以下几个方面：</w:t>
      </w:r>
    </w:p>
    <w:p w14:paraId="67B52CA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1，对民</w:t>
      </w:r>
      <w:r>
        <w:rPr>
          <w:rFonts w:hint="eastAsia" w:ascii="Times New Roman" w:hAnsi="Times New Roman" w:eastAsia="仿宋_GB2312" w:cs="Times New Roman"/>
          <w:kern w:val="2"/>
          <w:sz w:val="32"/>
          <w:szCs w:val="32"/>
          <w:lang w:val="en-US" w:eastAsia="zh-CN" w:bidi="ar-SA"/>
        </w:rPr>
        <w:t>生</w:t>
      </w:r>
      <w:r>
        <w:rPr>
          <w:rFonts w:hint="default" w:ascii="Times New Roman" w:hAnsi="Times New Roman" w:eastAsia="仿宋_GB2312" w:cs="Times New Roman"/>
          <w:kern w:val="2"/>
          <w:sz w:val="32"/>
          <w:szCs w:val="32"/>
          <w:lang w:val="en-US" w:eastAsia="zh-CN" w:bidi="ar-SA"/>
        </w:rPr>
        <w:t>投入和服务不够，缺乏资金和技术支持;</w:t>
      </w:r>
    </w:p>
    <w:p w14:paraId="311FA9D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2，由于人员短缺对我会组织的联络与政策支持方面有一些短板;</w:t>
      </w:r>
    </w:p>
    <w:p w14:paraId="0C4810E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3，财务制度方面不够规范、人员分工不明等原因造成的财务工作的拖延和滞后。</w:t>
      </w:r>
    </w:p>
    <w:p w14:paraId="55790C43">
      <w:pPr>
        <w:keepNext w:val="0"/>
        <w:keepLines w:val="0"/>
        <w:pageBreakBefore w:val="0"/>
        <w:widowControl w:val="0"/>
        <w:kinsoku/>
        <w:wordWrap/>
        <w:overflowPunct/>
        <w:topLinePunct w:val="0"/>
        <w:autoSpaceDE/>
        <w:autoSpaceDN/>
        <w:bidi w:val="0"/>
        <w:spacing w:line="560" w:lineRule="exact"/>
        <w:ind w:left="0" w:leftChars="0" w:right="0" w:firstLine="632" w:firstLineChars="200"/>
        <w:jc w:val="both"/>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（三）改进建议</w:t>
      </w:r>
    </w:p>
    <w:p w14:paraId="418267F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1、科学合理编制预算，严格执行预算。进一步提高预算编制到位率，做准做全基本支出预算，做全项目支出预算，加强预算支出的审核、跟踪及预算执行情况分析，提高预算编制严谨性和可控性。</w:t>
      </w:r>
    </w:p>
    <w:p w14:paraId="5DB0FAC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2、进一步加强项目资金管理。严格实行项目管理程序化，实现项目申报、实施、拨付、评价全流程监督与控制，规范专项资金管理，提高专项资金的使用效益。</w:t>
      </w:r>
    </w:p>
    <w:p w14:paraId="7DAE5E8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3、进一步完善内部管理制度，提升管理效能，更好地履行财政办职能</w:t>
      </w:r>
    </w:p>
    <w:p w14:paraId="2694F19B">
      <w:pPr>
        <w:pStyle w:val="8"/>
        <w:keepNext w:val="0"/>
        <w:keepLines w:val="0"/>
        <w:pageBreakBefore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kern w:val="2"/>
          <w:sz w:val="32"/>
          <w:szCs w:val="32"/>
          <w:u w:val="none"/>
          <w:lang w:val="en-US" w:eastAsia="zh-CN" w:bidi="ar"/>
        </w:rPr>
        <w:sectPr>
          <w:footerReference r:id="rId5" w:type="default"/>
          <w:pgSz w:w="11906" w:h="16838"/>
          <w:pgMar w:top="2098" w:right="1474" w:bottom="1984" w:left="1588" w:header="851" w:footer="1701" w:gutter="0"/>
          <w:pgNumType w:fmt="decimal"/>
          <w:cols w:space="720" w:num="1"/>
          <w:docGrid w:type="linesAndChars" w:linePitch="579" w:charSpace="-849"/>
        </w:sect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1.部门整体支出绩效自评</w:t>
      </w:r>
    </w:p>
    <w:p w14:paraId="07B5963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黑体" w:cs="Times New Roman"/>
          <w:sz w:val="32"/>
          <w:szCs w:val="32"/>
          <w:lang w:val="en-US" w:eastAsia="zh-CN"/>
        </w:rPr>
      </w:pPr>
    </w:p>
    <w:p w14:paraId="22C70ED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黑体" w:cs="Times New Roman"/>
          <w:sz w:val="32"/>
          <w:szCs w:val="32"/>
          <w:lang w:val="en-US" w:eastAsia="zh-CN"/>
        </w:rPr>
      </w:pPr>
    </w:p>
    <w:tbl>
      <w:tblPr>
        <w:tblStyle w:val="17"/>
        <w:tblW w:w="85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9"/>
        <w:gridCol w:w="847"/>
        <w:gridCol w:w="873"/>
        <w:gridCol w:w="2235"/>
        <w:gridCol w:w="664"/>
        <w:gridCol w:w="1092"/>
        <w:gridCol w:w="589"/>
        <w:gridCol w:w="433"/>
        <w:gridCol w:w="1117"/>
      </w:tblGrid>
      <w:tr w14:paraId="5B26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2" w:hRule="atLeast"/>
        </w:trPr>
        <w:tc>
          <w:tcPr>
            <w:tcW w:w="7482" w:type="dxa"/>
            <w:gridSpan w:val="8"/>
            <w:shd w:val="clear" w:color="auto" w:fill="auto"/>
            <w:vAlign w:val="center"/>
          </w:tcPr>
          <w:p w14:paraId="223722A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部门整体支出绩效自评表</w:t>
            </w:r>
          </w:p>
        </w:tc>
        <w:tc>
          <w:tcPr>
            <w:tcW w:w="1117" w:type="dxa"/>
            <w:shd w:val="clear" w:color="auto" w:fill="auto"/>
            <w:noWrap/>
            <w:vAlign w:val="center"/>
          </w:tcPr>
          <w:p w14:paraId="731EC282">
            <w:pPr>
              <w:rPr>
                <w:rFonts w:hint="eastAsia" w:ascii="宋体" w:hAnsi="宋体" w:eastAsia="宋体" w:cs="宋体"/>
                <w:i w:val="0"/>
                <w:iCs w:val="0"/>
                <w:color w:val="000000"/>
                <w:sz w:val="22"/>
                <w:szCs w:val="22"/>
                <w:u w:val="none"/>
              </w:rPr>
            </w:pPr>
          </w:p>
        </w:tc>
      </w:tr>
      <w:tr w14:paraId="089C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482" w:type="dxa"/>
            <w:gridSpan w:val="8"/>
            <w:shd w:val="clear" w:color="auto" w:fill="auto"/>
            <w:vAlign w:val="center"/>
          </w:tcPr>
          <w:p w14:paraId="52287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c>
          <w:tcPr>
            <w:tcW w:w="0" w:type="auto"/>
            <w:shd w:val="clear" w:color="auto" w:fill="auto"/>
            <w:noWrap/>
            <w:vAlign w:val="center"/>
          </w:tcPr>
          <w:p w14:paraId="68A47DB9">
            <w:pPr>
              <w:rPr>
                <w:rFonts w:hint="eastAsia" w:ascii="宋体" w:hAnsi="宋体" w:eastAsia="宋体" w:cs="宋体"/>
                <w:i w:val="0"/>
                <w:iCs w:val="0"/>
                <w:color w:val="000000"/>
                <w:sz w:val="22"/>
                <w:szCs w:val="22"/>
                <w:u w:val="none"/>
              </w:rPr>
            </w:pPr>
          </w:p>
        </w:tc>
      </w:tr>
      <w:tr w14:paraId="0A27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482" w:type="dxa"/>
            <w:gridSpan w:val="8"/>
            <w:shd w:val="clear" w:color="auto" w:fill="auto"/>
            <w:vAlign w:val="center"/>
          </w:tcPr>
          <w:p w14:paraId="2193B0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c>
          <w:tcPr>
            <w:tcW w:w="0" w:type="auto"/>
            <w:shd w:val="clear" w:color="auto" w:fill="auto"/>
            <w:noWrap/>
            <w:vAlign w:val="center"/>
          </w:tcPr>
          <w:p w14:paraId="168186EF">
            <w:pPr>
              <w:rPr>
                <w:rFonts w:hint="eastAsia" w:ascii="宋体" w:hAnsi="宋体" w:eastAsia="宋体" w:cs="宋体"/>
                <w:i w:val="0"/>
                <w:iCs w:val="0"/>
                <w:color w:val="000000"/>
                <w:sz w:val="22"/>
                <w:szCs w:val="22"/>
                <w:u w:val="none"/>
              </w:rPr>
            </w:pPr>
          </w:p>
        </w:tc>
      </w:tr>
      <w:tr w14:paraId="0A88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69" w:type="dxa"/>
            <w:gridSpan w:val="3"/>
            <w:shd w:val="clear" w:color="auto" w:fill="auto"/>
            <w:vAlign w:val="center"/>
          </w:tcPr>
          <w:p w14:paraId="281FC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130" w:type="dxa"/>
            <w:gridSpan w:val="6"/>
            <w:shd w:val="clear" w:color="auto" w:fill="auto"/>
            <w:vAlign w:val="center"/>
          </w:tcPr>
          <w:p w14:paraId="507BA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遂宁市安居区妇女联合会部门</w:t>
            </w:r>
          </w:p>
        </w:tc>
      </w:tr>
      <w:tr w14:paraId="6C6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49" w:type="dxa"/>
            <w:vMerge w:val="restart"/>
            <w:shd w:val="clear" w:color="auto" w:fill="auto"/>
            <w:vAlign w:val="center"/>
          </w:tcPr>
          <w:p w14:paraId="785ED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1720" w:type="dxa"/>
            <w:gridSpan w:val="2"/>
            <w:shd w:val="clear" w:color="auto" w:fill="auto"/>
            <w:vAlign w:val="center"/>
          </w:tcPr>
          <w:p w14:paraId="5B6ED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899" w:type="dxa"/>
            <w:gridSpan w:val="2"/>
            <w:shd w:val="clear" w:color="auto" w:fill="auto"/>
            <w:vAlign w:val="center"/>
          </w:tcPr>
          <w:p w14:paraId="1F60E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231" w:type="dxa"/>
            <w:gridSpan w:val="4"/>
            <w:shd w:val="clear" w:color="auto" w:fill="auto"/>
            <w:vAlign w:val="center"/>
          </w:tcPr>
          <w:p w14:paraId="5963F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2D4B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49" w:type="dxa"/>
            <w:vMerge w:val="continue"/>
            <w:shd w:val="clear" w:color="auto" w:fill="auto"/>
            <w:vAlign w:val="center"/>
          </w:tcPr>
          <w:p w14:paraId="443CBCA6">
            <w:pPr>
              <w:jc w:val="center"/>
              <w:rPr>
                <w:rFonts w:hint="eastAsia" w:ascii="宋体" w:hAnsi="宋体" w:eastAsia="宋体" w:cs="宋体"/>
                <w:i w:val="0"/>
                <w:iCs w:val="0"/>
                <w:color w:val="000000"/>
                <w:sz w:val="18"/>
                <w:szCs w:val="18"/>
                <w:u w:val="none"/>
              </w:rPr>
            </w:pPr>
          </w:p>
        </w:tc>
        <w:tc>
          <w:tcPr>
            <w:tcW w:w="1720" w:type="dxa"/>
            <w:gridSpan w:val="2"/>
            <w:shd w:val="clear" w:color="auto" w:fill="auto"/>
            <w:vAlign w:val="center"/>
          </w:tcPr>
          <w:p w14:paraId="3CFD015E">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223.19</w:t>
            </w:r>
          </w:p>
        </w:tc>
        <w:tc>
          <w:tcPr>
            <w:tcW w:w="2899" w:type="dxa"/>
            <w:gridSpan w:val="2"/>
            <w:shd w:val="clear" w:color="auto" w:fill="auto"/>
            <w:vAlign w:val="center"/>
          </w:tcPr>
          <w:p w14:paraId="20F8D2B5">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223.19</w:t>
            </w:r>
          </w:p>
        </w:tc>
        <w:tc>
          <w:tcPr>
            <w:tcW w:w="3231" w:type="dxa"/>
            <w:gridSpan w:val="4"/>
            <w:shd w:val="clear" w:color="auto" w:fill="auto"/>
            <w:vAlign w:val="center"/>
          </w:tcPr>
          <w:p w14:paraId="78FAED55">
            <w:pPr>
              <w:jc w:val="center"/>
              <w:rPr>
                <w:rFonts w:hint="eastAsia" w:ascii="宋体" w:hAnsi="宋体" w:eastAsia="宋体" w:cs="宋体"/>
                <w:i w:val="0"/>
                <w:iCs w:val="0"/>
                <w:color w:val="000000"/>
                <w:sz w:val="18"/>
                <w:szCs w:val="18"/>
                <w:u w:val="none"/>
              </w:rPr>
            </w:pPr>
          </w:p>
        </w:tc>
      </w:tr>
      <w:tr w14:paraId="4F63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49" w:type="dxa"/>
            <w:shd w:val="clear" w:color="auto" w:fill="auto"/>
            <w:vAlign w:val="center"/>
          </w:tcPr>
          <w:p w14:paraId="2B6EE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850" w:type="dxa"/>
            <w:gridSpan w:val="8"/>
            <w:shd w:val="clear" w:color="auto" w:fill="auto"/>
            <w:vAlign w:val="center"/>
          </w:tcPr>
          <w:p w14:paraId="7D657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维护妇女儿童合法权益，</w:t>
            </w:r>
            <w:r>
              <w:rPr>
                <w:rFonts w:hint="eastAsia" w:ascii="宋体" w:hAnsi="宋体" w:cs="宋体"/>
                <w:i w:val="0"/>
                <w:iCs w:val="0"/>
                <w:color w:val="000000"/>
                <w:kern w:val="0"/>
                <w:sz w:val="18"/>
                <w:szCs w:val="18"/>
                <w:u w:val="none"/>
                <w:lang w:val="en-US" w:eastAsia="zh-CN" w:bidi="ar"/>
              </w:rPr>
              <w:t>反映妇女</w:t>
            </w:r>
            <w:r>
              <w:rPr>
                <w:rFonts w:ascii="宋体" w:hAnsi="宋体" w:eastAsia="宋体" w:cs="宋体"/>
                <w:i w:val="0"/>
                <w:iCs w:val="0"/>
                <w:color w:val="000000"/>
                <w:kern w:val="0"/>
                <w:sz w:val="18"/>
                <w:szCs w:val="18"/>
                <w:u w:val="none"/>
                <w:lang w:val="en-US" w:eastAsia="zh-CN" w:bidi="ar"/>
              </w:rPr>
              <w:t>诉求，为妇女儿童提供帮助，教育引导妇女树立自尊、自信、自立、自强。提高综合素质实现全面发展，建立与各界妇女的联系，巩固妇女团结，增进友谊，加强合作，完成区委区政府交办的其他工作任务。</w:t>
            </w:r>
          </w:p>
        </w:tc>
      </w:tr>
      <w:tr w14:paraId="626B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restart"/>
            <w:shd w:val="clear" w:color="auto" w:fill="auto"/>
            <w:vAlign w:val="center"/>
          </w:tcPr>
          <w:p w14:paraId="296C0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1720" w:type="dxa"/>
            <w:gridSpan w:val="2"/>
            <w:shd w:val="clear" w:color="auto" w:fill="auto"/>
            <w:vAlign w:val="center"/>
          </w:tcPr>
          <w:p w14:paraId="3FCE8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6130" w:type="dxa"/>
            <w:gridSpan w:val="6"/>
            <w:shd w:val="clear" w:color="auto" w:fill="auto"/>
            <w:vAlign w:val="center"/>
          </w:tcPr>
          <w:p w14:paraId="5D193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15CB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9" w:type="dxa"/>
            <w:vMerge w:val="continue"/>
            <w:shd w:val="clear" w:color="auto" w:fill="auto"/>
            <w:vAlign w:val="center"/>
          </w:tcPr>
          <w:p w14:paraId="4F20A1E8">
            <w:pPr>
              <w:jc w:val="center"/>
              <w:rPr>
                <w:rFonts w:hint="eastAsia" w:ascii="宋体" w:hAnsi="宋体" w:eastAsia="宋体" w:cs="宋体"/>
                <w:i w:val="0"/>
                <w:iCs w:val="0"/>
                <w:color w:val="000000"/>
                <w:sz w:val="18"/>
                <w:szCs w:val="18"/>
                <w:u w:val="none"/>
              </w:rPr>
            </w:pPr>
          </w:p>
        </w:tc>
        <w:tc>
          <w:tcPr>
            <w:tcW w:w="1720" w:type="dxa"/>
            <w:gridSpan w:val="2"/>
            <w:shd w:val="clear" w:color="auto" w:fill="auto"/>
            <w:vAlign w:val="center"/>
          </w:tcPr>
          <w:p w14:paraId="5B8F20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区妇联2024年儿童之家运维资金</w:t>
            </w:r>
          </w:p>
        </w:tc>
        <w:tc>
          <w:tcPr>
            <w:tcW w:w="6130" w:type="dxa"/>
            <w:gridSpan w:val="6"/>
            <w:shd w:val="clear" w:color="auto" w:fill="auto"/>
            <w:vAlign w:val="center"/>
          </w:tcPr>
          <w:p w14:paraId="6E74C2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保障2024年儿童之家的顺利运行</w:t>
            </w:r>
          </w:p>
        </w:tc>
      </w:tr>
      <w:tr w14:paraId="2021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9" w:type="dxa"/>
            <w:vMerge w:val="continue"/>
            <w:shd w:val="clear" w:color="auto" w:fill="auto"/>
            <w:vAlign w:val="center"/>
          </w:tcPr>
          <w:p w14:paraId="374A3736">
            <w:pPr>
              <w:jc w:val="center"/>
              <w:rPr>
                <w:rFonts w:hint="eastAsia" w:ascii="宋体" w:hAnsi="宋体" w:eastAsia="宋体" w:cs="宋体"/>
                <w:i w:val="0"/>
                <w:iCs w:val="0"/>
                <w:color w:val="000000"/>
                <w:sz w:val="18"/>
                <w:szCs w:val="18"/>
                <w:u w:val="none"/>
              </w:rPr>
            </w:pPr>
          </w:p>
        </w:tc>
        <w:tc>
          <w:tcPr>
            <w:tcW w:w="1720" w:type="dxa"/>
            <w:gridSpan w:val="2"/>
            <w:shd w:val="clear" w:color="auto" w:fill="auto"/>
            <w:vAlign w:val="center"/>
          </w:tcPr>
          <w:p w14:paraId="2CA0C8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公用支出</w:t>
            </w:r>
          </w:p>
        </w:tc>
        <w:tc>
          <w:tcPr>
            <w:tcW w:w="6130" w:type="dxa"/>
            <w:gridSpan w:val="6"/>
            <w:shd w:val="clear" w:color="auto" w:fill="auto"/>
            <w:vAlign w:val="center"/>
          </w:tcPr>
          <w:p w14:paraId="357560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通过预算执行，保证妇联在职人员正常办公费、水电、印刷费、差旅费、劳务费、邮电费等支出</w:t>
            </w:r>
          </w:p>
        </w:tc>
      </w:tr>
      <w:tr w14:paraId="2DEA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7E72C56B">
            <w:pPr>
              <w:jc w:val="center"/>
              <w:rPr>
                <w:rFonts w:hint="eastAsia" w:ascii="宋体" w:hAnsi="宋体" w:eastAsia="宋体" w:cs="宋体"/>
                <w:i w:val="0"/>
                <w:iCs w:val="0"/>
                <w:color w:val="000000"/>
                <w:sz w:val="18"/>
                <w:szCs w:val="18"/>
                <w:u w:val="none"/>
              </w:rPr>
            </w:pPr>
          </w:p>
        </w:tc>
        <w:tc>
          <w:tcPr>
            <w:tcW w:w="1720" w:type="dxa"/>
            <w:gridSpan w:val="2"/>
            <w:shd w:val="clear" w:color="auto" w:fill="auto"/>
            <w:vAlign w:val="center"/>
          </w:tcPr>
          <w:p w14:paraId="534CB2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人员支出</w:t>
            </w:r>
          </w:p>
        </w:tc>
        <w:tc>
          <w:tcPr>
            <w:tcW w:w="6130" w:type="dxa"/>
            <w:gridSpan w:val="6"/>
            <w:shd w:val="clear" w:color="auto" w:fill="auto"/>
            <w:vAlign w:val="center"/>
          </w:tcPr>
          <w:p w14:paraId="3B8F05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保障在职人员4人的工资、津贴、医疗保险、失业工伤保险、养老保险及住房公积金等支出</w:t>
            </w:r>
          </w:p>
        </w:tc>
      </w:tr>
      <w:tr w14:paraId="65F8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9" w:type="dxa"/>
            <w:vMerge w:val="continue"/>
            <w:shd w:val="clear" w:color="auto" w:fill="auto"/>
            <w:vAlign w:val="center"/>
          </w:tcPr>
          <w:p w14:paraId="3AA81A4C">
            <w:pPr>
              <w:jc w:val="center"/>
              <w:rPr>
                <w:rFonts w:hint="eastAsia" w:ascii="宋体" w:hAnsi="宋体" w:eastAsia="宋体" w:cs="宋体"/>
                <w:i w:val="0"/>
                <w:iCs w:val="0"/>
                <w:color w:val="000000"/>
                <w:sz w:val="18"/>
                <w:szCs w:val="18"/>
                <w:u w:val="none"/>
              </w:rPr>
            </w:pPr>
          </w:p>
        </w:tc>
        <w:tc>
          <w:tcPr>
            <w:tcW w:w="1720" w:type="dxa"/>
            <w:gridSpan w:val="2"/>
            <w:shd w:val="clear" w:color="auto" w:fill="auto"/>
            <w:vAlign w:val="center"/>
          </w:tcPr>
          <w:p w14:paraId="5D6BE6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2024年两癌保险及救助工作</w:t>
            </w:r>
          </w:p>
        </w:tc>
        <w:tc>
          <w:tcPr>
            <w:tcW w:w="6130" w:type="dxa"/>
            <w:gridSpan w:val="6"/>
            <w:shd w:val="clear" w:color="auto" w:fill="auto"/>
            <w:vAlign w:val="center"/>
          </w:tcPr>
          <w:p w14:paraId="2A3369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保障2024年妇联两癌工作的顺利开展</w:t>
            </w:r>
          </w:p>
        </w:tc>
      </w:tr>
      <w:tr w14:paraId="70F2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9" w:type="dxa"/>
            <w:vMerge w:val="continue"/>
            <w:shd w:val="clear" w:color="auto" w:fill="auto"/>
            <w:vAlign w:val="center"/>
          </w:tcPr>
          <w:p w14:paraId="0D794A60">
            <w:pPr>
              <w:jc w:val="center"/>
              <w:rPr>
                <w:rFonts w:hint="eastAsia" w:ascii="宋体" w:hAnsi="宋体" w:eastAsia="宋体" w:cs="宋体"/>
                <w:i w:val="0"/>
                <w:iCs w:val="0"/>
                <w:color w:val="000000"/>
                <w:sz w:val="18"/>
                <w:szCs w:val="18"/>
                <w:u w:val="none"/>
              </w:rPr>
            </w:pPr>
          </w:p>
        </w:tc>
        <w:tc>
          <w:tcPr>
            <w:tcW w:w="1720" w:type="dxa"/>
            <w:gridSpan w:val="2"/>
            <w:shd w:val="clear" w:color="auto" w:fill="auto"/>
            <w:vAlign w:val="center"/>
          </w:tcPr>
          <w:p w14:paraId="5AA4C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区妇女2024年人均一元钱工作</w:t>
            </w:r>
          </w:p>
        </w:tc>
        <w:tc>
          <w:tcPr>
            <w:tcW w:w="6130" w:type="dxa"/>
            <w:gridSpan w:val="6"/>
            <w:shd w:val="clear" w:color="auto" w:fill="auto"/>
            <w:vAlign w:val="center"/>
          </w:tcPr>
          <w:p w14:paraId="6AEE95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保障妇联2024年儿童之家运维资金工作专项工作的顺利开展</w:t>
            </w:r>
          </w:p>
        </w:tc>
      </w:tr>
      <w:tr w14:paraId="66D3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49" w:type="dxa"/>
            <w:vMerge w:val="restart"/>
            <w:shd w:val="clear" w:color="auto" w:fill="auto"/>
            <w:vAlign w:val="center"/>
          </w:tcPr>
          <w:p w14:paraId="10C67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847" w:type="dxa"/>
            <w:shd w:val="clear" w:color="auto" w:fill="auto"/>
            <w:vAlign w:val="center"/>
          </w:tcPr>
          <w:p w14:paraId="0BFEE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3" w:type="dxa"/>
            <w:shd w:val="clear" w:color="auto" w:fill="auto"/>
            <w:vAlign w:val="center"/>
          </w:tcPr>
          <w:p w14:paraId="6D057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35" w:type="dxa"/>
            <w:shd w:val="clear" w:color="auto" w:fill="auto"/>
            <w:vAlign w:val="center"/>
          </w:tcPr>
          <w:p w14:paraId="580BC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64" w:type="dxa"/>
            <w:shd w:val="clear" w:color="auto" w:fill="auto"/>
            <w:vAlign w:val="center"/>
          </w:tcPr>
          <w:p w14:paraId="5B977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092" w:type="dxa"/>
            <w:shd w:val="clear" w:color="auto" w:fill="auto"/>
            <w:vAlign w:val="center"/>
          </w:tcPr>
          <w:p w14:paraId="2D26F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589" w:type="dxa"/>
            <w:shd w:val="clear" w:color="auto" w:fill="auto"/>
            <w:vAlign w:val="center"/>
          </w:tcPr>
          <w:p w14:paraId="20A65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433" w:type="dxa"/>
            <w:shd w:val="clear" w:color="auto" w:fill="auto"/>
            <w:vAlign w:val="center"/>
          </w:tcPr>
          <w:p w14:paraId="1DD90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shd w:val="clear" w:color="auto" w:fill="auto"/>
            <w:noWrap/>
            <w:vAlign w:val="center"/>
          </w:tcPr>
          <w:p w14:paraId="370B0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r>
      <w:tr w14:paraId="5006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575EEC3A">
            <w:pPr>
              <w:jc w:val="center"/>
              <w:rPr>
                <w:rFonts w:hint="eastAsia" w:ascii="宋体" w:hAnsi="宋体" w:eastAsia="宋体" w:cs="宋体"/>
                <w:i w:val="0"/>
                <w:iCs w:val="0"/>
                <w:color w:val="000000"/>
                <w:sz w:val="18"/>
                <w:szCs w:val="18"/>
                <w:u w:val="none"/>
              </w:rPr>
            </w:pPr>
          </w:p>
        </w:tc>
        <w:tc>
          <w:tcPr>
            <w:tcW w:w="847" w:type="dxa"/>
            <w:vMerge w:val="restart"/>
            <w:shd w:val="clear" w:color="auto" w:fill="auto"/>
            <w:vAlign w:val="center"/>
          </w:tcPr>
          <w:p w14:paraId="200E5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73" w:type="dxa"/>
            <w:vMerge w:val="restart"/>
            <w:shd w:val="clear" w:color="auto" w:fill="auto"/>
            <w:vAlign w:val="center"/>
          </w:tcPr>
          <w:p w14:paraId="624F2B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35" w:type="dxa"/>
            <w:shd w:val="clear" w:color="auto" w:fill="auto"/>
            <w:vAlign w:val="center"/>
          </w:tcPr>
          <w:p w14:paraId="566532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2024年补助乡镇儿童之家数量</w:t>
            </w:r>
          </w:p>
        </w:tc>
        <w:tc>
          <w:tcPr>
            <w:tcW w:w="664" w:type="dxa"/>
            <w:shd w:val="clear" w:color="auto" w:fill="auto"/>
            <w:vAlign w:val="center"/>
          </w:tcPr>
          <w:p w14:paraId="2E7DB9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565B8B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589" w:type="dxa"/>
            <w:shd w:val="clear" w:color="auto" w:fill="auto"/>
            <w:vAlign w:val="center"/>
          </w:tcPr>
          <w:p w14:paraId="083C4F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33" w:type="dxa"/>
            <w:shd w:val="clear" w:color="auto" w:fill="auto"/>
            <w:vAlign w:val="center"/>
          </w:tcPr>
          <w:p w14:paraId="79946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5EA6A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r>
      <w:tr w14:paraId="0E8B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0D3BA8D9">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79CF809A">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1EC24E11">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30A48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2024年举办两次全区妇女会议</w:t>
            </w:r>
          </w:p>
        </w:tc>
        <w:tc>
          <w:tcPr>
            <w:tcW w:w="664" w:type="dxa"/>
            <w:shd w:val="clear" w:color="auto" w:fill="auto"/>
            <w:vAlign w:val="center"/>
          </w:tcPr>
          <w:p w14:paraId="3B362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4C290B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89" w:type="dxa"/>
            <w:shd w:val="clear" w:color="auto" w:fill="auto"/>
            <w:vAlign w:val="center"/>
          </w:tcPr>
          <w:p w14:paraId="7769D0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33" w:type="dxa"/>
            <w:shd w:val="clear" w:color="auto" w:fill="auto"/>
            <w:vAlign w:val="center"/>
          </w:tcPr>
          <w:p w14:paraId="6C2948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37287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0386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52B3B66F">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3C1D46A8">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791E0B87">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6E448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两癌救助及两癌保险人数</w:t>
            </w:r>
          </w:p>
        </w:tc>
        <w:tc>
          <w:tcPr>
            <w:tcW w:w="664" w:type="dxa"/>
            <w:shd w:val="clear" w:color="auto" w:fill="auto"/>
            <w:vAlign w:val="center"/>
          </w:tcPr>
          <w:p w14:paraId="2BE359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38BCFF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17157</w:t>
            </w:r>
          </w:p>
        </w:tc>
        <w:tc>
          <w:tcPr>
            <w:tcW w:w="589" w:type="dxa"/>
            <w:shd w:val="clear" w:color="auto" w:fill="auto"/>
            <w:vAlign w:val="center"/>
          </w:tcPr>
          <w:p w14:paraId="35BE2A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33" w:type="dxa"/>
            <w:shd w:val="clear" w:color="auto" w:fill="auto"/>
            <w:vAlign w:val="center"/>
          </w:tcPr>
          <w:p w14:paraId="2B8DA0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6ABDF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17157</w:t>
            </w:r>
          </w:p>
        </w:tc>
      </w:tr>
      <w:tr w14:paraId="4F89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26700560">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57CC4B7A">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28FA1886">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10E72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财力保障人数</w:t>
            </w:r>
          </w:p>
        </w:tc>
        <w:tc>
          <w:tcPr>
            <w:tcW w:w="664" w:type="dxa"/>
            <w:shd w:val="clear" w:color="auto" w:fill="auto"/>
            <w:vAlign w:val="center"/>
          </w:tcPr>
          <w:p w14:paraId="452975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328943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9" w:type="dxa"/>
            <w:shd w:val="clear" w:color="auto" w:fill="auto"/>
            <w:vAlign w:val="center"/>
          </w:tcPr>
          <w:p w14:paraId="546407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33" w:type="dxa"/>
            <w:shd w:val="clear" w:color="auto" w:fill="auto"/>
            <w:vAlign w:val="center"/>
          </w:tcPr>
          <w:p w14:paraId="79C26D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78F02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r>
      <w:tr w14:paraId="00B3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65C56447">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72588615">
            <w:pPr>
              <w:jc w:val="left"/>
              <w:rPr>
                <w:rFonts w:hint="eastAsia" w:ascii="宋体" w:hAnsi="宋体" w:eastAsia="宋体" w:cs="宋体"/>
                <w:i w:val="0"/>
                <w:iCs w:val="0"/>
                <w:color w:val="000000"/>
                <w:sz w:val="18"/>
                <w:szCs w:val="18"/>
                <w:u w:val="none"/>
              </w:rPr>
            </w:pPr>
          </w:p>
        </w:tc>
        <w:tc>
          <w:tcPr>
            <w:tcW w:w="873" w:type="dxa"/>
            <w:vMerge w:val="restart"/>
            <w:shd w:val="clear" w:color="auto" w:fill="auto"/>
            <w:vAlign w:val="center"/>
          </w:tcPr>
          <w:p w14:paraId="3C897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35" w:type="dxa"/>
            <w:shd w:val="clear" w:color="auto" w:fill="auto"/>
            <w:vAlign w:val="center"/>
          </w:tcPr>
          <w:p w14:paraId="1764FD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儿童之家维护预算完成率</w:t>
            </w:r>
          </w:p>
        </w:tc>
        <w:tc>
          <w:tcPr>
            <w:tcW w:w="664" w:type="dxa"/>
            <w:shd w:val="clear" w:color="auto" w:fill="auto"/>
            <w:vAlign w:val="center"/>
          </w:tcPr>
          <w:p w14:paraId="15108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2580E3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9" w:type="dxa"/>
            <w:shd w:val="clear" w:color="auto" w:fill="auto"/>
            <w:vAlign w:val="center"/>
          </w:tcPr>
          <w:p w14:paraId="7BB5D6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dxa"/>
            <w:shd w:val="clear" w:color="auto" w:fill="auto"/>
            <w:vAlign w:val="center"/>
          </w:tcPr>
          <w:p w14:paraId="583E05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275F5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5D44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5A70638D">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29F6CFE4">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3F350FE6">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2A04F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妇女各项工作全面完成率</w:t>
            </w:r>
          </w:p>
        </w:tc>
        <w:tc>
          <w:tcPr>
            <w:tcW w:w="664" w:type="dxa"/>
            <w:shd w:val="clear" w:color="auto" w:fill="auto"/>
            <w:vAlign w:val="center"/>
          </w:tcPr>
          <w:p w14:paraId="350859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3395B6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9" w:type="dxa"/>
            <w:shd w:val="clear" w:color="auto" w:fill="auto"/>
            <w:vAlign w:val="center"/>
          </w:tcPr>
          <w:p w14:paraId="48C5A8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dxa"/>
            <w:shd w:val="clear" w:color="auto" w:fill="auto"/>
            <w:vAlign w:val="center"/>
          </w:tcPr>
          <w:p w14:paraId="526803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5295F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49A7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44AC7984">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4E13B6E7">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3FB0168D">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2E52B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两癌救助工作预期完成目标</w:t>
            </w:r>
          </w:p>
        </w:tc>
        <w:tc>
          <w:tcPr>
            <w:tcW w:w="664" w:type="dxa"/>
            <w:shd w:val="clear" w:color="auto" w:fill="auto"/>
            <w:vAlign w:val="center"/>
          </w:tcPr>
          <w:p w14:paraId="736475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577230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9" w:type="dxa"/>
            <w:shd w:val="clear" w:color="auto" w:fill="auto"/>
            <w:vAlign w:val="center"/>
          </w:tcPr>
          <w:p w14:paraId="2E92A1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dxa"/>
            <w:shd w:val="clear" w:color="auto" w:fill="auto"/>
            <w:vAlign w:val="center"/>
          </w:tcPr>
          <w:p w14:paraId="5F816F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76F4A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702C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4270B2A1">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4F89E1A4">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4EF278EA">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3BC308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通过执行预算保障工作开展率</w:t>
            </w:r>
          </w:p>
        </w:tc>
        <w:tc>
          <w:tcPr>
            <w:tcW w:w="664" w:type="dxa"/>
            <w:shd w:val="clear" w:color="auto" w:fill="auto"/>
            <w:vAlign w:val="center"/>
          </w:tcPr>
          <w:p w14:paraId="544942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79414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9" w:type="dxa"/>
            <w:shd w:val="clear" w:color="auto" w:fill="auto"/>
            <w:vAlign w:val="center"/>
          </w:tcPr>
          <w:p w14:paraId="5F5A61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dxa"/>
            <w:shd w:val="clear" w:color="auto" w:fill="auto"/>
            <w:vAlign w:val="center"/>
          </w:tcPr>
          <w:p w14:paraId="4CE15D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734B7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14:paraId="6A45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9" w:type="dxa"/>
            <w:vMerge w:val="continue"/>
            <w:shd w:val="clear" w:color="auto" w:fill="auto"/>
            <w:vAlign w:val="center"/>
          </w:tcPr>
          <w:p w14:paraId="29CA2335">
            <w:pPr>
              <w:jc w:val="center"/>
              <w:rPr>
                <w:rFonts w:hint="eastAsia" w:ascii="宋体" w:hAnsi="宋体" w:eastAsia="宋体" w:cs="宋体"/>
                <w:i w:val="0"/>
                <w:iCs w:val="0"/>
                <w:color w:val="000000"/>
                <w:sz w:val="18"/>
                <w:szCs w:val="18"/>
                <w:u w:val="none"/>
              </w:rPr>
            </w:pPr>
          </w:p>
        </w:tc>
        <w:tc>
          <w:tcPr>
            <w:tcW w:w="847" w:type="dxa"/>
            <w:vMerge w:val="restart"/>
            <w:shd w:val="clear" w:color="auto" w:fill="auto"/>
            <w:vAlign w:val="center"/>
          </w:tcPr>
          <w:p w14:paraId="57CEE0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73" w:type="dxa"/>
            <w:vMerge w:val="restart"/>
            <w:shd w:val="clear" w:color="auto" w:fill="auto"/>
            <w:vAlign w:val="center"/>
          </w:tcPr>
          <w:p w14:paraId="61D49C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35" w:type="dxa"/>
            <w:shd w:val="clear" w:color="auto" w:fill="auto"/>
            <w:vAlign w:val="center"/>
          </w:tcPr>
          <w:p w14:paraId="0D7E06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两癌救助对政府公信力的提升率</w:t>
            </w:r>
          </w:p>
        </w:tc>
        <w:tc>
          <w:tcPr>
            <w:tcW w:w="664" w:type="dxa"/>
            <w:shd w:val="clear" w:color="auto" w:fill="auto"/>
            <w:vAlign w:val="center"/>
          </w:tcPr>
          <w:p w14:paraId="531A04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680F43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89" w:type="dxa"/>
            <w:shd w:val="clear" w:color="auto" w:fill="auto"/>
            <w:vAlign w:val="center"/>
          </w:tcPr>
          <w:p w14:paraId="6C987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dxa"/>
            <w:shd w:val="clear" w:color="auto" w:fill="auto"/>
            <w:vAlign w:val="center"/>
          </w:tcPr>
          <w:p w14:paraId="4AD8F0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66175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r>
      <w:tr w14:paraId="549E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4AC96905">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4927EBD2">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70D94796">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440C4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全区妇女工作的完成率</w:t>
            </w:r>
          </w:p>
        </w:tc>
        <w:tc>
          <w:tcPr>
            <w:tcW w:w="664" w:type="dxa"/>
            <w:shd w:val="clear" w:color="auto" w:fill="auto"/>
            <w:vAlign w:val="center"/>
          </w:tcPr>
          <w:p w14:paraId="75E2C3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1043E0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9" w:type="dxa"/>
            <w:shd w:val="clear" w:color="auto" w:fill="auto"/>
            <w:vAlign w:val="center"/>
          </w:tcPr>
          <w:p w14:paraId="4B01E6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dxa"/>
            <w:shd w:val="clear" w:color="auto" w:fill="auto"/>
            <w:vAlign w:val="center"/>
          </w:tcPr>
          <w:p w14:paraId="69BF1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614F1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6724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9" w:type="dxa"/>
            <w:vMerge w:val="continue"/>
            <w:shd w:val="clear" w:color="auto" w:fill="auto"/>
            <w:vAlign w:val="center"/>
          </w:tcPr>
          <w:p w14:paraId="6D5B134C">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42E92E8D">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3B5A439A">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515B52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实施项目确保社会幸福率</w:t>
            </w:r>
          </w:p>
        </w:tc>
        <w:tc>
          <w:tcPr>
            <w:tcW w:w="664" w:type="dxa"/>
            <w:shd w:val="clear" w:color="auto" w:fill="auto"/>
            <w:vAlign w:val="center"/>
          </w:tcPr>
          <w:p w14:paraId="7CCFA6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168C46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9" w:type="dxa"/>
            <w:shd w:val="clear" w:color="auto" w:fill="auto"/>
            <w:vAlign w:val="center"/>
          </w:tcPr>
          <w:p w14:paraId="3439C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dxa"/>
            <w:shd w:val="clear" w:color="auto" w:fill="auto"/>
            <w:vAlign w:val="center"/>
          </w:tcPr>
          <w:p w14:paraId="3FF960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3DA4C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14:paraId="20C4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749" w:type="dxa"/>
            <w:vMerge w:val="continue"/>
            <w:shd w:val="clear" w:color="auto" w:fill="auto"/>
            <w:vAlign w:val="center"/>
          </w:tcPr>
          <w:p w14:paraId="2D592C2F">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7BB7FAA2">
            <w:pPr>
              <w:jc w:val="left"/>
              <w:rPr>
                <w:rFonts w:hint="eastAsia" w:ascii="宋体" w:hAnsi="宋体" w:eastAsia="宋体" w:cs="宋体"/>
                <w:i w:val="0"/>
                <w:iCs w:val="0"/>
                <w:color w:val="000000"/>
                <w:sz w:val="18"/>
                <w:szCs w:val="18"/>
                <w:u w:val="none"/>
              </w:rPr>
            </w:pPr>
          </w:p>
        </w:tc>
        <w:tc>
          <w:tcPr>
            <w:tcW w:w="873" w:type="dxa"/>
            <w:shd w:val="clear" w:color="auto" w:fill="auto"/>
            <w:vAlign w:val="center"/>
          </w:tcPr>
          <w:p w14:paraId="0CA19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35" w:type="dxa"/>
            <w:shd w:val="clear" w:color="auto" w:fill="auto"/>
            <w:vAlign w:val="center"/>
          </w:tcPr>
          <w:p w14:paraId="1C5D5F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确保妇女儿童工作正常开展，对经济有直接或者间接的影响。</w:t>
            </w:r>
          </w:p>
        </w:tc>
        <w:tc>
          <w:tcPr>
            <w:tcW w:w="664" w:type="dxa"/>
            <w:shd w:val="clear" w:color="auto" w:fill="auto"/>
            <w:vAlign w:val="center"/>
          </w:tcPr>
          <w:p w14:paraId="31A937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92" w:type="dxa"/>
            <w:shd w:val="clear" w:color="auto" w:fill="auto"/>
            <w:vAlign w:val="center"/>
          </w:tcPr>
          <w:p w14:paraId="48C68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使妇女儿童成为受益者，有效促进农村经济发展</w:t>
            </w:r>
          </w:p>
        </w:tc>
        <w:tc>
          <w:tcPr>
            <w:tcW w:w="589" w:type="dxa"/>
            <w:shd w:val="clear" w:color="auto" w:fill="auto"/>
            <w:vAlign w:val="center"/>
          </w:tcPr>
          <w:p w14:paraId="35766DE4">
            <w:pPr>
              <w:jc w:val="left"/>
              <w:rPr>
                <w:rFonts w:hint="eastAsia" w:ascii="宋体" w:hAnsi="宋体" w:eastAsia="宋体" w:cs="宋体"/>
                <w:i w:val="0"/>
                <w:iCs w:val="0"/>
                <w:color w:val="000000"/>
                <w:sz w:val="18"/>
                <w:szCs w:val="18"/>
                <w:u w:val="none"/>
              </w:rPr>
            </w:pPr>
          </w:p>
        </w:tc>
        <w:tc>
          <w:tcPr>
            <w:tcW w:w="433" w:type="dxa"/>
            <w:shd w:val="clear" w:color="auto" w:fill="auto"/>
            <w:vAlign w:val="center"/>
          </w:tcPr>
          <w:p w14:paraId="5FC036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1F0BA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使妇女儿童成为受益者，有效促进农村经济发展</w:t>
            </w:r>
          </w:p>
        </w:tc>
      </w:tr>
      <w:tr w14:paraId="727E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49" w:type="dxa"/>
            <w:vMerge w:val="continue"/>
            <w:shd w:val="clear" w:color="auto" w:fill="auto"/>
            <w:vAlign w:val="center"/>
          </w:tcPr>
          <w:p w14:paraId="76D7A7D4">
            <w:pPr>
              <w:jc w:val="center"/>
              <w:rPr>
                <w:rFonts w:hint="eastAsia" w:ascii="宋体" w:hAnsi="宋体" w:eastAsia="宋体" w:cs="宋体"/>
                <w:i w:val="0"/>
                <w:iCs w:val="0"/>
                <w:color w:val="000000"/>
                <w:sz w:val="18"/>
                <w:szCs w:val="18"/>
                <w:u w:val="none"/>
              </w:rPr>
            </w:pPr>
          </w:p>
        </w:tc>
        <w:tc>
          <w:tcPr>
            <w:tcW w:w="847" w:type="dxa"/>
            <w:vMerge w:val="restart"/>
            <w:shd w:val="clear" w:color="auto" w:fill="auto"/>
            <w:vAlign w:val="center"/>
          </w:tcPr>
          <w:p w14:paraId="1F5AB0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73" w:type="dxa"/>
            <w:shd w:val="clear" w:color="auto" w:fill="auto"/>
            <w:vAlign w:val="center"/>
          </w:tcPr>
          <w:p w14:paraId="64AC9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35" w:type="dxa"/>
            <w:shd w:val="clear" w:color="auto" w:fill="auto"/>
            <w:vAlign w:val="center"/>
          </w:tcPr>
          <w:p w14:paraId="07C60E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社会群众满意度</w:t>
            </w:r>
          </w:p>
        </w:tc>
        <w:tc>
          <w:tcPr>
            <w:tcW w:w="664" w:type="dxa"/>
            <w:shd w:val="clear" w:color="auto" w:fill="auto"/>
            <w:vAlign w:val="center"/>
          </w:tcPr>
          <w:p w14:paraId="373196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2CED48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589" w:type="dxa"/>
            <w:shd w:val="clear" w:color="auto" w:fill="auto"/>
            <w:vAlign w:val="center"/>
          </w:tcPr>
          <w:p w14:paraId="67BF76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dxa"/>
            <w:shd w:val="clear" w:color="auto" w:fill="auto"/>
            <w:vAlign w:val="center"/>
          </w:tcPr>
          <w:p w14:paraId="69D31F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1A9D9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r>
      <w:tr w14:paraId="0171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9" w:type="dxa"/>
            <w:vMerge w:val="continue"/>
            <w:shd w:val="clear" w:color="auto" w:fill="auto"/>
            <w:vAlign w:val="center"/>
          </w:tcPr>
          <w:p w14:paraId="0D728834">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47904C1F">
            <w:pPr>
              <w:jc w:val="left"/>
              <w:rPr>
                <w:rFonts w:hint="eastAsia" w:ascii="宋体" w:hAnsi="宋体" w:eastAsia="宋体" w:cs="宋体"/>
                <w:i w:val="0"/>
                <w:iCs w:val="0"/>
                <w:color w:val="000000"/>
                <w:sz w:val="18"/>
                <w:szCs w:val="18"/>
                <w:u w:val="none"/>
              </w:rPr>
            </w:pPr>
          </w:p>
        </w:tc>
        <w:tc>
          <w:tcPr>
            <w:tcW w:w="873" w:type="dxa"/>
            <w:shd w:val="clear" w:color="auto" w:fill="auto"/>
            <w:vAlign w:val="center"/>
          </w:tcPr>
          <w:p w14:paraId="56620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35" w:type="dxa"/>
            <w:shd w:val="clear" w:color="auto" w:fill="auto"/>
            <w:vAlign w:val="center"/>
          </w:tcPr>
          <w:p w14:paraId="3FDE51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664" w:type="dxa"/>
            <w:shd w:val="clear" w:color="auto" w:fill="auto"/>
            <w:vAlign w:val="center"/>
          </w:tcPr>
          <w:p w14:paraId="068ABB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342AC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9" w:type="dxa"/>
            <w:shd w:val="clear" w:color="auto" w:fill="auto"/>
            <w:vAlign w:val="center"/>
          </w:tcPr>
          <w:p w14:paraId="618618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dxa"/>
            <w:shd w:val="clear" w:color="auto" w:fill="auto"/>
            <w:vAlign w:val="center"/>
          </w:tcPr>
          <w:p w14:paraId="442F8D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17" w:type="dxa"/>
            <w:shd w:val="clear" w:color="auto" w:fill="auto"/>
            <w:vAlign w:val="center"/>
          </w:tcPr>
          <w:p w14:paraId="41C49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7D36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9" w:type="dxa"/>
            <w:vMerge w:val="continue"/>
            <w:shd w:val="clear" w:color="auto" w:fill="auto"/>
            <w:vAlign w:val="center"/>
          </w:tcPr>
          <w:p w14:paraId="1868704D">
            <w:pPr>
              <w:jc w:val="center"/>
              <w:rPr>
                <w:rFonts w:hint="eastAsia" w:ascii="宋体" w:hAnsi="宋体" w:eastAsia="宋体" w:cs="宋体"/>
                <w:i w:val="0"/>
                <w:iCs w:val="0"/>
                <w:color w:val="000000"/>
                <w:sz w:val="18"/>
                <w:szCs w:val="18"/>
                <w:u w:val="none"/>
              </w:rPr>
            </w:pPr>
          </w:p>
        </w:tc>
        <w:tc>
          <w:tcPr>
            <w:tcW w:w="847" w:type="dxa"/>
            <w:vMerge w:val="restart"/>
            <w:shd w:val="clear" w:color="auto" w:fill="auto"/>
            <w:vAlign w:val="center"/>
          </w:tcPr>
          <w:p w14:paraId="729D86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73" w:type="dxa"/>
            <w:vMerge w:val="restart"/>
            <w:shd w:val="clear" w:color="auto" w:fill="auto"/>
            <w:vAlign w:val="center"/>
          </w:tcPr>
          <w:p w14:paraId="02AC13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35" w:type="dxa"/>
            <w:shd w:val="clear" w:color="auto" w:fill="auto"/>
            <w:vAlign w:val="center"/>
          </w:tcPr>
          <w:p w14:paraId="7A9A1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2024年两癌保险及救助工作经费</w:t>
            </w:r>
          </w:p>
        </w:tc>
        <w:tc>
          <w:tcPr>
            <w:tcW w:w="664" w:type="dxa"/>
            <w:shd w:val="clear" w:color="auto" w:fill="auto"/>
            <w:vAlign w:val="center"/>
          </w:tcPr>
          <w:p w14:paraId="1650C5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1FA69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62.04</w:t>
            </w:r>
          </w:p>
        </w:tc>
        <w:tc>
          <w:tcPr>
            <w:tcW w:w="589" w:type="dxa"/>
            <w:shd w:val="clear" w:color="auto" w:fill="auto"/>
            <w:vAlign w:val="center"/>
          </w:tcPr>
          <w:p w14:paraId="44BCFA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33" w:type="dxa"/>
            <w:shd w:val="clear" w:color="auto" w:fill="auto"/>
            <w:vAlign w:val="center"/>
          </w:tcPr>
          <w:p w14:paraId="549AC4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shd w:val="clear" w:color="auto" w:fill="auto"/>
            <w:noWrap/>
            <w:vAlign w:val="center"/>
          </w:tcPr>
          <w:p w14:paraId="74C72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61.92</w:t>
            </w:r>
          </w:p>
        </w:tc>
      </w:tr>
      <w:tr w14:paraId="5EF6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9" w:type="dxa"/>
            <w:vMerge w:val="continue"/>
            <w:shd w:val="clear" w:color="auto" w:fill="auto"/>
            <w:vAlign w:val="center"/>
          </w:tcPr>
          <w:p w14:paraId="6459C04C">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67940DF5">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757EDEC8">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3697AF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区妇联2024年儿童之家运维经费</w:t>
            </w:r>
          </w:p>
        </w:tc>
        <w:tc>
          <w:tcPr>
            <w:tcW w:w="664" w:type="dxa"/>
            <w:shd w:val="clear" w:color="auto" w:fill="auto"/>
            <w:vAlign w:val="center"/>
          </w:tcPr>
          <w:p w14:paraId="72DDD1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469B6D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w:t>
            </w:r>
          </w:p>
        </w:tc>
        <w:tc>
          <w:tcPr>
            <w:tcW w:w="589" w:type="dxa"/>
            <w:shd w:val="clear" w:color="auto" w:fill="auto"/>
            <w:vAlign w:val="center"/>
          </w:tcPr>
          <w:p w14:paraId="19B871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33" w:type="dxa"/>
            <w:shd w:val="clear" w:color="auto" w:fill="auto"/>
            <w:vAlign w:val="center"/>
          </w:tcPr>
          <w:p w14:paraId="757F2F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shd w:val="clear" w:color="auto" w:fill="auto"/>
            <w:noWrap/>
            <w:vAlign w:val="center"/>
          </w:tcPr>
          <w:p w14:paraId="7C0F3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r>
      <w:tr w14:paraId="3B12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9" w:type="dxa"/>
            <w:vMerge w:val="continue"/>
            <w:shd w:val="clear" w:color="auto" w:fill="auto"/>
            <w:vAlign w:val="center"/>
          </w:tcPr>
          <w:p w14:paraId="4CADB9B0">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57D3CA26">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526A5A88">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166D17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区妇女2024年人均一元钱工作、妇联换届经费及信创项目</w:t>
            </w:r>
          </w:p>
        </w:tc>
        <w:tc>
          <w:tcPr>
            <w:tcW w:w="664" w:type="dxa"/>
            <w:shd w:val="clear" w:color="auto" w:fill="auto"/>
            <w:vAlign w:val="center"/>
          </w:tcPr>
          <w:p w14:paraId="294E81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486EBB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w:t>
            </w:r>
          </w:p>
        </w:tc>
        <w:tc>
          <w:tcPr>
            <w:tcW w:w="589" w:type="dxa"/>
            <w:shd w:val="clear" w:color="auto" w:fill="auto"/>
            <w:vAlign w:val="center"/>
          </w:tcPr>
          <w:p w14:paraId="4AA524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33" w:type="dxa"/>
            <w:shd w:val="clear" w:color="auto" w:fill="auto"/>
            <w:vAlign w:val="center"/>
          </w:tcPr>
          <w:p w14:paraId="1D4F76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shd w:val="clear" w:color="auto" w:fill="auto"/>
            <w:noWrap/>
            <w:vAlign w:val="center"/>
          </w:tcPr>
          <w:p w14:paraId="30C80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r>
      <w:tr w14:paraId="2D31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49" w:type="dxa"/>
            <w:vMerge w:val="continue"/>
            <w:shd w:val="clear" w:color="auto" w:fill="auto"/>
            <w:vAlign w:val="center"/>
          </w:tcPr>
          <w:p w14:paraId="3F2AE576">
            <w:pPr>
              <w:jc w:val="center"/>
              <w:rPr>
                <w:rFonts w:hint="eastAsia" w:ascii="宋体" w:hAnsi="宋体" w:eastAsia="宋体" w:cs="宋体"/>
                <w:i w:val="0"/>
                <w:iCs w:val="0"/>
                <w:color w:val="000000"/>
                <w:sz w:val="18"/>
                <w:szCs w:val="18"/>
                <w:u w:val="none"/>
              </w:rPr>
            </w:pPr>
          </w:p>
        </w:tc>
        <w:tc>
          <w:tcPr>
            <w:tcW w:w="847" w:type="dxa"/>
            <w:vMerge w:val="continue"/>
            <w:shd w:val="clear" w:color="auto" w:fill="auto"/>
            <w:vAlign w:val="center"/>
          </w:tcPr>
          <w:p w14:paraId="084D521E">
            <w:pPr>
              <w:jc w:val="left"/>
              <w:rPr>
                <w:rFonts w:hint="eastAsia" w:ascii="宋体" w:hAnsi="宋体" w:eastAsia="宋体" w:cs="宋体"/>
                <w:i w:val="0"/>
                <w:iCs w:val="0"/>
                <w:color w:val="000000"/>
                <w:sz w:val="18"/>
                <w:szCs w:val="18"/>
                <w:u w:val="none"/>
              </w:rPr>
            </w:pPr>
          </w:p>
        </w:tc>
        <w:tc>
          <w:tcPr>
            <w:tcW w:w="873" w:type="dxa"/>
            <w:vMerge w:val="continue"/>
            <w:shd w:val="clear" w:color="auto" w:fill="auto"/>
            <w:vAlign w:val="center"/>
          </w:tcPr>
          <w:p w14:paraId="61490821">
            <w:pPr>
              <w:jc w:val="left"/>
              <w:rPr>
                <w:rFonts w:hint="eastAsia" w:ascii="宋体" w:hAnsi="宋体" w:eastAsia="宋体" w:cs="宋体"/>
                <w:i w:val="0"/>
                <w:iCs w:val="0"/>
                <w:color w:val="000000"/>
                <w:sz w:val="18"/>
                <w:szCs w:val="18"/>
                <w:u w:val="none"/>
              </w:rPr>
            </w:pPr>
          </w:p>
        </w:tc>
        <w:tc>
          <w:tcPr>
            <w:tcW w:w="2235" w:type="dxa"/>
            <w:shd w:val="clear" w:color="auto" w:fill="auto"/>
            <w:vAlign w:val="center"/>
          </w:tcPr>
          <w:p w14:paraId="63509C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行政公用人员经费</w:t>
            </w:r>
          </w:p>
        </w:tc>
        <w:tc>
          <w:tcPr>
            <w:tcW w:w="664" w:type="dxa"/>
            <w:shd w:val="clear" w:color="auto" w:fill="auto"/>
            <w:vAlign w:val="center"/>
          </w:tcPr>
          <w:p w14:paraId="3666F2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shd w:val="clear" w:color="auto" w:fill="auto"/>
            <w:vAlign w:val="center"/>
          </w:tcPr>
          <w:p w14:paraId="6628C6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72.83</w:t>
            </w:r>
          </w:p>
        </w:tc>
        <w:tc>
          <w:tcPr>
            <w:tcW w:w="589" w:type="dxa"/>
            <w:shd w:val="clear" w:color="auto" w:fill="auto"/>
            <w:vAlign w:val="center"/>
          </w:tcPr>
          <w:p w14:paraId="5359DF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33" w:type="dxa"/>
            <w:shd w:val="clear" w:color="auto" w:fill="auto"/>
            <w:vAlign w:val="center"/>
          </w:tcPr>
          <w:p w14:paraId="2D6D1A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shd w:val="clear" w:color="auto" w:fill="auto"/>
            <w:noWrap/>
            <w:vAlign w:val="center"/>
          </w:tcPr>
          <w:p w14:paraId="29ECBB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106.2</w:t>
            </w:r>
            <w:r>
              <w:rPr>
                <w:rFonts w:hint="eastAsia" w:ascii="宋体" w:hAnsi="宋体" w:cs="宋体"/>
                <w:i w:val="0"/>
                <w:iCs w:val="0"/>
                <w:color w:val="000000"/>
                <w:kern w:val="0"/>
                <w:sz w:val="22"/>
                <w:szCs w:val="22"/>
                <w:u w:val="none"/>
                <w:lang w:val="en-US" w:eastAsia="zh-CN" w:bidi="ar"/>
              </w:rPr>
              <w:t>7</w:t>
            </w:r>
          </w:p>
        </w:tc>
      </w:tr>
    </w:tbl>
    <w:p w14:paraId="068835F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黑体" w:cs="Times New Roman"/>
          <w:sz w:val="32"/>
          <w:szCs w:val="32"/>
          <w:lang w:val="en-US" w:eastAsia="zh-CN"/>
        </w:rPr>
      </w:pPr>
    </w:p>
    <w:p w14:paraId="218A52D4">
      <w:pPr>
        <w:rPr>
          <w:rStyle w:val="25"/>
          <w:rFonts w:hint="default" w:ascii="Times New Roman" w:hAnsi="Times New Roman" w:eastAsia="黑体" w:cs="Times New Roman"/>
          <w:b w:val="0"/>
          <w:bCs w:val="0"/>
          <w:sz w:val="32"/>
          <w:szCs w:val="32"/>
          <w:lang w:val="en-US" w:eastAsia="zh-CN"/>
        </w:rPr>
      </w:pPr>
      <w:bookmarkStart w:id="32" w:name="_Toc13323"/>
      <w:r>
        <w:rPr>
          <w:rStyle w:val="25"/>
          <w:rFonts w:hint="default" w:ascii="Times New Roman" w:hAnsi="Times New Roman" w:eastAsia="黑体" w:cs="Times New Roman"/>
          <w:b w:val="0"/>
          <w:bCs w:val="0"/>
          <w:color w:val="FF0000"/>
          <w:sz w:val="32"/>
          <w:szCs w:val="32"/>
        </w:rPr>
        <w:br w:type="page"/>
      </w:r>
      <w:bookmarkEnd w:id="30"/>
      <w:bookmarkEnd w:id="32"/>
    </w:p>
    <w:p w14:paraId="679087E0">
      <w:pPr>
        <w:rPr>
          <w:rFonts w:hint="default" w:ascii="Times New Roman" w:hAnsi="Times New Roman" w:cs="Times New Roman"/>
          <w:b w:val="0"/>
          <w:bCs w:val="0"/>
          <w:lang w:val="en-US" w:eastAsia="zh-CN"/>
        </w:rPr>
      </w:pPr>
    </w:p>
    <w:p w14:paraId="023A7147">
      <w:pPr>
        <w:pStyle w:val="2"/>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bCs w:val="0"/>
          <w:sz w:val="44"/>
          <w:szCs w:val="44"/>
        </w:rPr>
      </w:pPr>
      <w:bookmarkStart w:id="33" w:name="_Toc1743"/>
      <w:bookmarkStart w:id="34" w:name="_Toc15396616"/>
      <w:r>
        <w:rPr>
          <w:rFonts w:hint="default" w:ascii="Times New Roman" w:hAnsi="Times New Roman" w:eastAsia="方正小标宋简体" w:cs="Times New Roman"/>
          <w:b w:val="0"/>
          <w:bCs w:val="0"/>
          <w:sz w:val="44"/>
          <w:szCs w:val="44"/>
          <w:lang w:eastAsia="zh-CN"/>
        </w:rPr>
        <w:t>区妇联“两癌”救助及保险经费</w:t>
      </w:r>
      <w:r>
        <w:rPr>
          <w:rFonts w:hint="default" w:ascii="Times New Roman" w:hAnsi="Times New Roman" w:eastAsia="方正小标宋简体" w:cs="Times New Roman"/>
          <w:b w:val="0"/>
          <w:bCs w:val="0"/>
          <w:sz w:val="44"/>
          <w:szCs w:val="44"/>
        </w:rPr>
        <w:t>项目</w:t>
      </w:r>
    </w:p>
    <w:p w14:paraId="3DD73112">
      <w:pPr>
        <w:pStyle w:val="2"/>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支出绩效评价报告</w:t>
      </w:r>
      <w:bookmarkEnd w:id="33"/>
    </w:p>
    <w:p w14:paraId="08234B56">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p>
    <w:p w14:paraId="2618FC0F">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一、评价工作开展及项目情况</w:t>
      </w:r>
    </w:p>
    <w:p w14:paraId="5433B618">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关于绩效评价选点要求，选取了</w:t>
      </w:r>
      <w:r>
        <w:rPr>
          <w:rFonts w:hint="default" w:ascii="Times New Roman" w:hAnsi="Times New Roman" w:eastAsia="仿宋_GB2312" w:cs="Times New Roman"/>
          <w:sz w:val="32"/>
          <w:szCs w:val="32"/>
          <w:lang w:eastAsia="zh-CN"/>
        </w:rPr>
        <w:t>2024年“两癌”救助及保险经费</w:t>
      </w:r>
      <w:r>
        <w:rPr>
          <w:rFonts w:hint="default" w:ascii="Times New Roman" w:hAnsi="Times New Roman" w:eastAsia="仿宋_GB2312" w:cs="Times New Roman"/>
          <w:sz w:val="32"/>
          <w:szCs w:val="32"/>
        </w:rPr>
        <w:t>进行评价。</w:t>
      </w:r>
    </w:p>
    <w:p w14:paraId="7E3FEDA4">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二、评价结论及绩效分析</w:t>
      </w:r>
    </w:p>
    <w:p w14:paraId="783C0FBF">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（一）评价结论</w:t>
      </w:r>
    </w:p>
    <w:p w14:paraId="12D54A3C">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总体上看，项目目标明确、资金到位率高、组织监管体系完善。</w:t>
      </w:r>
      <w:r>
        <w:rPr>
          <w:rFonts w:hint="default" w:ascii="Times New Roman" w:hAnsi="Times New Roman" w:eastAsia="仿宋_GB2312" w:cs="Times New Roman"/>
          <w:sz w:val="32"/>
          <w:szCs w:val="32"/>
          <w:lang w:eastAsia="zh-CN"/>
        </w:rPr>
        <w:t>“两癌”救助及保险经费</w:t>
      </w:r>
      <w:r>
        <w:rPr>
          <w:rFonts w:hint="default" w:ascii="Times New Roman" w:hAnsi="Times New Roman" w:eastAsia="仿宋_GB2312" w:cs="Times New Roman"/>
          <w:sz w:val="32"/>
          <w:szCs w:val="32"/>
        </w:rPr>
        <w:t>较好地实现了绩效目标。</w:t>
      </w:r>
    </w:p>
    <w:p w14:paraId="020F2DB7">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（二）绩效分析</w:t>
      </w:r>
    </w:p>
    <w:p w14:paraId="078F0008">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1、项目决策</w:t>
      </w:r>
    </w:p>
    <w:p w14:paraId="15727F0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（1）绩效目标情况</w:t>
      </w:r>
    </w:p>
    <w:p w14:paraId="1856B7E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2024年“两癌”救助及保险经费</w:t>
      </w:r>
      <w:r>
        <w:rPr>
          <w:rFonts w:hint="default" w:ascii="Times New Roman" w:hAnsi="Times New Roman" w:eastAsia="仿宋_GB2312" w:cs="Times New Roman"/>
          <w:kern w:val="2"/>
          <w:sz w:val="32"/>
          <w:szCs w:val="32"/>
          <w:lang w:val="en-US" w:eastAsia="zh-CN" w:bidi="ar-SA"/>
        </w:rPr>
        <w:t>项目涉及区妇女权利相关事宜。</w:t>
      </w:r>
    </w:p>
    <w:p w14:paraId="657BB5C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2024年“两癌”救助及保险经费</w:t>
      </w:r>
      <w:r>
        <w:rPr>
          <w:rFonts w:hint="default" w:ascii="Times New Roman" w:hAnsi="Times New Roman" w:eastAsia="仿宋_GB2312" w:cs="Times New Roman"/>
          <w:kern w:val="2"/>
          <w:sz w:val="32"/>
          <w:szCs w:val="32"/>
          <w:lang w:val="en-US" w:eastAsia="zh-CN" w:bidi="ar-SA"/>
        </w:rPr>
        <w:t>项目具体项目内容为按照法律赋予的职权,在事关经济发展、社会稳定、民计民生等方面进行全面监督,开展调研、视察、检查等活动，有效地促进政府工作规范，以法行政、树立</w:t>
      </w:r>
      <w:r>
        <w:rPr>
          <w:rFonts w:hint="eastAsia" w:ascii="Times New Roman" w:hAnsi="Times New Roman" w:eastAsia="仿宋_GB2312" w:cs="Times New Roman"/>
          <w:kern w:val="2"/>
          <w:sz w:val="32"/>
          <w:szCs w:val="32"/>
          <w:lang w:val="en-US" w:eastAsia="zh-CN" w:bidi="ar-SA"/>
        </w:rPr>
        <w:t>良好形象</w:t>
      </w:r>
      <w:r>
        <w:rPr>
          <w:rFonts w:hint="default" w:ascii="Times New Roman" w:hAnsi="Times New Roman" w:eastAsia="仿宋_GB2312" w:cs="Times New Roman"/>
          <w:kern w:val="2"/>
          <w:sz w:val="32"/>
          <w:szCs w:val="32"/>
          <w:lang w:val="en-US" w:eastAsia="zh-CN" w:bidi="ar-SA"/>
        </w:rPr>
        <w:t>，同时也能较好地维护人民群众的合法利益,为减少矛盾,维护稳定,保障经济健康发展创造了良好的人居环境和生产环境。</w:t>
      </w:r>
    </w:p>
    <w:p w14:paraId="0FC07B8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（2）决策依据情况</w:t>
      </w:r>
    </w:p>
    <w:p w14:paraId="74EB493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“两癌”救助及保险经费</w:t>
      </w:r>
      <w:r>
        <w:rPr>
          <w:rFonts w:hint="default" w:ascii="Times New Roman" w:hAnsi="Times New Roman" w:eastAsia="仿宋_GB2312" w:cs="Times New Roman"/>
          <w:kern w:val="2"/>
          <w:sz w:val="32"/>
          <w:szCs w:val="32"/>
          <w:lang w:val="en-US" w:eastAsia="zh-CN" w:bidi="ar-SA"/>
        </w:rPr>
        <w:t>，是指政府、部门协作、公众参与，对政府在事关经济发展、社会稳定、民计民生等方面进行全面监督的活动。以《四川省行政综合管理条例》2011年7月29日四川省人民代表大会常务委员会发布的文件为决策依据；明确规定了单位负责辖区内</w:t>
      </w:r>
      <w:r>
        <w:rPr>
          <w:rFonts w:hint="default" w:ascii="Times New Roman" w:hAnsi="Times New Roman" w:eastAsia="仿宋_GB2312" w:cs="Times New Roman"/>
          <w:sz w:val="32"/>
          <w:szCs w:val="32"/>
          <w:lang w:eastAsia="zh-CN"/>
        </w:rPr>
        <w:t>“两癌”救助及保险</w:t>
      </w:r>
      <w:r>
        <w:rPr>
          <w:rFonts w:hint="default" w:ascii="Times New Roman" w:hAnsi="Times New Roman" w:eastAsia="仿宋_GB2312" w:cs="Times New Roman"/>
          <w:kern w:val="2"/>
          <w:sz w:val="32"/>
          <w:szCs w:val="32"/>
          <w:lang w:val="en-US" w:eastAsia="zh-CN" w:bidi="ar-SA"/>
        </w:rPr>
        <w:t>的具体工作，指导和督促居（村）民委员会、相关单位开展人</w:t>
      </w:r>
      <w:r>
        <w:rPr>
          <w:rFonts w:hint="default" w:ascii="Times New Roman" w:hAnsi="Times New Roman" w:eastAsia="仿宋_GB2312" w:cs="Times New Roman"/>
          <w:sz w:val="32"/>
          <w:szCs w:val="32"/>
          <w:lang w:eastAsia="zh-CN"/>
        </w:rPr>
        <w:t>“两癌”救助及保险</w:t>
      </w:r>
      <w:r>
        <w:rPr>
          <w:rFonts w:hint="default" w:ascii="Times New Roman" w:hAnsi="Times New Roman" w:eastAsia="仿宋_GB2312" w:cs="Times New Roman"/>
          <w:kern w:val="2"/>
          <w:sz w:val="32"/>
          <w:szCs w:val="32"/>
          <w:lang w:val="en-US" w:eastAsia="zh-CN" w:bidi="ar-SA"/>
        </w:rPr>
        <w:t>工作。</w:t>
      </w:r>
    </w:p>
    <w:p w14:paraId="6DBDFBB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（3）资金分配情况</w:t>
      </w:r>
    </w:p>
    <w:p w14:paraId="2622EC9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“两癌”救助及保险</w:t>
      </w:r>
      <w:r>
        <w:rPr>
          <w:rFonts w:hint="default" w:ascii="Times New Roman" w:hAnsi="Times New Roman" w:eastAsia="仿宋_GB2312" w:cs="Times New Roman"/>
          <w:kern w:val="2"/>
          <w:sz w:val="32"/>
          <w:szCs w:val="32"/>
          <w:lang w:val="en-US" w:eastAsia="zh-CN" w:bidi="ar-SA"/>
        </w:rPr>
        <w:t>项目资金分配按照预算申报财政资金61.92万元，进行分配，具体项目分配情况如下：</w:t>
      </w:r>
    </w:p>
    <w:p w14:paraId="6E70B93B">
      <w:pPr>
        <w:pStyle w:val="1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righ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“两癌”救助</w:t>
      </w:r>
      <w:r>
        <w:rPr>
          <w:rFonts w:hint="default" w:ascii="Times New Roman" w:hAnsi="Times New Roman" w:eastAsia="仿宋_GB2312" w:cs="Times New Roman"/>
          <w:kern w:val="2"/>
          <w:sz w:val="32"/>
          <w:szCs w:val="32"/>
          <w:lang w:val="en-US" w:eastAsia="zh-CN" w:bidi="ar-SA"/>
        </w:rPr>
        <w:t>支出9万元</w:t>
      </w:r>
    </w:p>
    <w:p w14:paraId="634A4A87">
      <w:pPr>
        <w:pStyle w:val="1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righ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2.购买2024年“两癌”保险支出52.92万元（主要用于购买低收入妇女相关权利保险支出）。</w:t>
      </w:r>
    </w:p>
    <w:p w14:paraId="6043EDFB">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val="0"/>
          <w:bCs w:val="0"/>
          <w:sz w:val="32"/>
          <w:szCs w:val="32"/>
        </w:rPr>
        <w:t>项目管理</w:t>
      </w:r>
    </w:p>
    <w:p w14:paraId="1BF7B79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（1）资金到位情况</w:t>
      </w:r>
    </w:p>
    <w:p w14:paraId="23E551F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该项目申报金额为61.92万元，根据区财政局2024年财政预算，该项目实际下达金额为61.92万元。</w:t>
      </w:r>
    </w:p>
    <w:p w14:paraId="3609958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2024年财政实际下拨61.92万元，项目实际支出为61.92万元，项目资金按照项目实施进度支付。</w:t>
      </w:r>
    </w:p>
    <w:p w14:paraId="21E7445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（2）资金管理情况</w:t>
      </w:r>
    </w:p>
    <w:p w14:paraId="14645A2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现场查账，项目经费专款专用，未发现支出依据不合规、虚列项目支出的情况，也未发现截留、挤占、挪用等情况，资金使用安全有效。</w:t>
      </w:r>
    </w:p>
    <w:p w14:paraId="7D3FF51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（3）财务管理情况</w:t>
      </w:r>
    </w:p>
    <w:p w14:paraId="01A51147">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4C56A60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（4）组织实施情况</w:t>
      </w:r>
    </w:p>
    <w:p w14:paraId="4C059F5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根据区妇联自评和现场抽样考核，项目未出现重大调整或无法实施的情况，项目实施方面按照《四川省行政综合管理条例》的相关规定严格执行。</w:t>
      </w:r>
    </w:p>
    <w:p w14:paraId="1DCF24CE">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项目绩效</w:t>
      </w:r>
    </w:p>
    <w:p w14:paraId="51AD99D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（1）目标完成</w:t>
      </w:r>
    </w:p>
    <w:p w14:paraId="7A3F309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1.目标任务量完成情况</w:t>
      </w:r>
    </w:p>
    <w:p w14:paraId="0FD6373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2024年通过</w:t>
      </w:r>
      <w:r>
        <w:rPr>
          <w:rFonts w:hint="default" w:ascii="Times New Roman" w:hAnsi="Times New Roman" w:eastAsia="仿宋_GB2312" w:cs="Times New Roman"/>
          <w:sz w:val="32"/>
          <w:szCs w:val="32"/>
          <w:lang w:eastAsia="zh-CN"/>
        </w:rPr>
        <w:t>“两癌”救助及保险经费</w:t>
      </w:r>
      <w:r>
        <w:rPr>
          <w:rFonts w:hint="default" w:ascii="Times New Roman" w:hAnsi="Times New Roman" w:eastAsia="仿宋_GB2312" w:cs="Times New Roman"/>
          <w:kern w:val="2"/>
          <w:sz w:val="32"/>
          <w:szCs w:val="32"/>
          <w:lang w:val="en-US" w:eastAsia="zh-CN" w:bidi="ar-SA"/>
        </w:rPr>
        <w:t>的计划基本完成，项目在区财政局的关心、单位党委高度重视以及各部门的大力配合下，顺利推进，圆满完成任务，区妇女工作得到了较大的提升。</w:t>
      </w:r>
    </w:p>
    <w:p w14:paraId="1E53411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项目完成质量</w:t>
      </w:r>
    </w:p>
    <w:p w14:paraId="652B8C4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w:t>
      </w:r>
      <w:r>
        <w:rPr>
          <w:rFonts w:hint="eastAsia" w:ascii="Times New Roman" w:hAnsi="Times New Roman" w:eastAsia="仿宋_GB2312" w:cs="Times New Roman"/>
          <w:kern w:val="2"/>
          <w:sz w:val="32"/>
          <w:szCs w:val="32"/>
          <w:lang w:val="en-US" w:eastAsia="zh-CN" w:bidi="ar-SA"/>
        </w:rPr>
        <w:t>我会</w:t>
      </w:r>
      <w:r>
        <w:rPr>
          <w:rFonts w:hint="default" w:ascii="Times New Roman" w:hAnsi="Times New Roman" w:eastAsia="仿宋_GB2312" w:cs="Times New Roman"/>
          <w:sz w:val="32"/>
          <w:szCs w:val="32"/>
          <w:lang w:eastAsia="zh-CN"/>
        </w:rPr>
        <w:t>“两癌”救助及保险经费</w:t>
      </w:r>
      <w:r>
        <w:rPr>
          <w:rFonts w:hint="default"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eastAsia="zh-CN" w:bidi="ar-SA"/>
        </w:rPr>
        <w:t>救助两癌患者15858人，发放“两癌”救助资金9万元；购买“两癌”救助保险资金52.92万元；在区委区政府及各部门的有效配合下圆满地完成了目标任务</w:t>
      </w:r>
      <w:r>
        <w:rPr>
          <w:rFonts w:hint="default" w:ascii="Times New Roman" w:hAnsi="Times New Roman" w:eastAsia="仿宋_GB2312" w:cs="Times New Roman"/>
          <w:kern w:val="2"/>
          <w:sz w:val="32"/>
          <w:szCs w:val="32"/>
          <w:lang w:val="en-US" w:eastAsia="zh-CN" w:bidi="ar-SA"/>
        </w:rPr>
        <w:t>。</w:t>
      </w:r>
    </w:p>
    <w:p w14:paraId="2511D537">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项目完成进度</w:t>
      </w:r>
    </w:p>
    <w:p w14:paraId="269147A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经现场检查财务资料，项目严格按项目进度支付，项目资金预算61.92万元，财政实际下达61.92万元已全部支付。</w:t>
      </w:r>
    </w:p>
    <w:p w14:paraId="73DE98A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（二）项目评价结果及得分</w:t>
      </w:r>
    </w:p>
    <w:p w14:paraId="03F932A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w:t>
      </w:r>
      <w:r>
        <w:rPr>
          <w:rFonts w:hint="default" w:ascii="Times New Roman" w:hAnsi="Times New Roman" w:eastAsia="仿宋_GB2312" w:cs="Times New Roman"/>
          <w:sz w:val="32"/>
          <w:szCs w:val="32"/>
          <w:lang w:eastAsia="zh-CN"/>
        </w:rPr>
        <w:t>“两癌”救助及保险</w:t>
      </w:r>
      <w:r>
        <w:rPr>
          <w:rFonts w:hint="default" w:ascii="Times New Roman" w:hAnsi="Times New Roman" w:eastAsia="仿宋_GB2312" w:cs="Times New Roman"/>
          <w:kern w:val="2"/>
          <w:sz w:val="32"/>
          <w:szCs w:val="32"/>
          <w:lang w:val="en-US" w:eastAsia="zh-CN" w:bidi="ar-SA"/>
        </w:rPr>
        <w:t>项目的实施改善了我单位行政作风环境，有效地促进政府工作规范，以法行政、树立良好形象，同时也能较好地维护人民群众的合法利益,为减少矛盾,维护稳定,保障经济健康发展创造了良好的人居环境和生产环境；经单位自评得分为100分（见附件-自评表）。</w:t>
      </w:r>
    </w:p>
    <w:p w14:paraId="4423451B">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三、存在主要问题</w:t>
      </w:r>
    </w:p>
    <w:p w14:paraId="242AFF3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0B7E91F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4B60A2FD">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四、相关措施建议</w:t>
      </w:r>
    </w:p>
    <w:p w14:paraId="7F22C3C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1992B129">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2、加强资金管理，规范各项支出。</w:t>
      </w:r>
    </w:p>
    <w:p w14:paraId="72429779">
      <w:pPr>
        <w:pStyle w:val="14"/>
        <w:rPr>
          <w:rFonts w:hint="default" w:ascii="Times New Roman" w:hAnsi="Times New Roman" w:cs="Times New Roman"/>
          <w:lang w:val="en-US" w:eastAsia="zh-CN"/>
        </w:rPr>
      </w:pPr>
    </w:p>
    <w:p w14:paraId="29C03380">
      <w:pP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br w:type="page"/>
      </w:r>
    </w:p>
    <w:p w14:paraId="59DBFEE2">
      <w:pPr>
        <w:keepNext w:val="0"/>
        <w:keepLines w:val="0"/>
        <w:pageBreakBefore w:val="0"/>
        <w:widowControl w:val="0"/>
        <w:kinsoku/>
        <w:wordWrap/>
        <w:overflowPunct/>
        <w:topLinePunct w:val="0"/>
        <w:bidi w:val="0"/>
        <w:spacing w:line="560" w:lineRule="exact"/>
        <w:ind w:right="0"/>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部门预算项目支出绩效自评表（2024年度）</w:t>
      </w:r>
    </w:p>
    <w:p w14:paraId="5A613EA3">
      <w:pPr>
        <w:pStyle w:val="14"/>
        <w:rPr>
          <w:rFonts w:hint="default" w:ascii="Times New Roman" w:hAnsi="Times New Roman" w:cs="Times New Roman"/>
          <w:lang w:val="en-US" w:eastAsia="zh-CN"/>
        </w:rPr>
      </w:pPr>
    </w:p>
    <w:tbl>
      <w:tblPr>
        <w:tblStyle w:val="17"/>
        <w:tblW w:w="86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76"/>
        <w:gridCol w:w="900"/>
        <w:gridCol w:w="1210"/>
        <w:gridCol w:w="510"/>
        <w:gridCol w:w="816"/>
        <w:gridCol w:w="510"/>
        <w:gridCol w:w="1088"/>
        <w:gridCol w:w="576"/>
        <w:gridCol w:w="576"/>
        <w:gridCol w:w="936"/>
      </w:tblGrid>
      <w:tr w14:paraId="065A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C8BC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项目名称</w:t>
            </w:r>
          </w:p>
        </w:tc>
        <w:tc>
          <w:tcPr>
            <w:tcW w:w="71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0CE205">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51090423T000007853108-2024年“两癌”保险及救助工作经费</w:t>
            </w:r>
          </w:p>
        </w:tc>
      </w:tr>
      <w:tr w14:paraId="0B08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3AA88">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主管部门</w:t>
            </w:r>
          </w:p>
        </w:tc>
        <w:tc>
          <w:tcPr>
            <w:tcW w:w="3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6DB66">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遂宁市安居区妇女联合会部门</w:t>
            </w:r>
          </w:p>
        </w:tc>
        <w:tc>
          <w:tcPr>
            <w:tcW w:w="1088" w:type="dxa"/>
            <w:tcBorders>
              <w:top w:val="nil"/>
              <w:left w:val="nil"/>
              <w:bottom w:val="nil"/>
              <w:right w:val="nil"/>
            </w:tcBorders>
            <w:shd w:val="clear" w:color="auto" w:fill="auto"/>
            <w:vAlign w:val="center"/>
          </w:tcPr>
          <w:p w14:paraId="41B049D7">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实施单位 （盖章）</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06E6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遂宁市安居区妇女联合会</w:t>
            </w:r>
          </w:p>
        </w:tc>
      </w:tr>
      <w:tr w14:paraId="2AF6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3355B">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项目基本情况</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3A83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1.项目年度目标完成情况</w:t>
            </w:r>
          </w:p>
        </w:tc>
        <w:tc>
          <w:tcPr>
            <w:tcW w:w="3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1DCE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项目年度目标</w:t>
            </w:r>
          </w:p>
        </w:tc>
        <w:tc>
          <w:tcPr>
            <w:tcW w:w="3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B41B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年度目标完成情况</w:t>
            </w:r>
          </w:p>
        </w:tc>
      </w:tr>
      <w:tr w14:paraId="073F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5F2E">
            <w:pPr>
              <w:rPr>
                <w:rFonts w:hint="default" w:ascii="Times New Roman" w:hAnsi="Times New Roman" w:eastAsia="仿宋_GB2312" w:cs="Times New Roman"/>
                <w:kern w:val="2"/>
                <w:sz w:val="21"/>
                <w:szCs w:val="21"/>
                <w:lang w:val="en-US" w:eastAsia="zh-CN" w:bidi="ar-SA"/>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92FF">
            <w:pPr>
              <w:rPr>
                <w:rFonts w:hint="default" w:ascii="Times New Roman" w:hAnsi="Times New Roman" w:eastAsia="仿宋_GB2312" w:cs="Times New Roman"/>
                <w:kern w:val="2"/>
                <w:sz w:val="21"/>
                <w:szCs w:val="21"/>
                <w:lang w:val="en-US" w:eastAsia="zh-CN" w:bidi="ar-SA"/>
              </w:rPr>
            </w:pPr>
          </w:p>
        </w:tc>
        <w:tc>
          <w:tcPr>
            <w:tcW w:w="3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E1EC8">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两癌工作，为全区低保适龄妇女购买两癌保险、为未接受过两癌救助的两癌患者发放遂宁市市级两癌救助金每位患者伍仟元整。</w:t>
            </w:r>
          </w:p>
        </w:tc>
        <w:tc>
          <w:tcPr>
            <w:tcW w:w="3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19FFB">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保障2024年两癌保险及救助工作的顺利开展。</w:t>
            </w:r>
          </w:p>
        </w:tc>
      </w:tr>
      <w:tr w14:paraId="1D30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D9025">
            <w:pPr>
              <w:rPr>
                <w:rFonts w:hint="default" w:ascii="Times New Roman" w:hAnsi="Times New Roman" w:eastAsia="仿宋_GB2312" w:cs="Times New Roman"/>
                <w:kern w:val="2"/>
                <w:sz w:val="21"/>
                <w:szCs w:val="21"/>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932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2.项目实施内容及过程概述</w:t>
            </w:r>
          </w:p>
        </w:tc>
        <w:tc>
          <w:tcPr>
            <w:tcW w:w="71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375CCA">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保障2024年两癌保险及救助工作的顺利开展。</w:t>
            </w:r>
          </w:p>
        </w:tc>
      </w:tr>
      <w:tr w14:paraId="2AFD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72B01">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预算执行情况（10分）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0FE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7408">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50F2">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调整后预算数</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0DC11">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预算执行数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7A05">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5275">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6B79">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4F5">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原因</w:t>
            </w:r>
          </w:p>
        </w:tc>
      </w:tr>
      <w:tr w14:paraId="473E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583BC">
            <w:pPr>
              <w:jc w:val="center"/>
              <w:rPr>
                <w:rFonts w:hint="default" w:ascii="Times New Roman" w:hAnsi="Times New Roman" w:eastAsia="仿宋_GB2312" w:cs="Times New Roman"/>
                <w:kern w:val="2"/>
                <w:sz w:val="21"/>
                <w:szCs w:val="21"/>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49E9">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BAB0">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58.00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D336">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61.92</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1804A">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61.92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DF3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3669">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0543">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B3F44">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区本级与市级追加为执行数</w:t>
            </w:r>
          </w:p>
        </w:tc>
      </w:tr>
      <w:tr w14:paraId="5CC0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FD6E">
            <w:pPr>
              <w:jc w:val="center"/>
              <w:rPr>
                <w:rFonts w:hint="default" w:ascii="Times New Roman" w:hAnsi="Times New Roman" w:eastAsia="仿宋_GB2312" w:cs="Times New Roman"/>
                <w:kern w:val="2"/>
                <w:sz w:val="21"/>
                <w:szCs w:val="21"/>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940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9B2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58.00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531">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61.92</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6BB7">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61.92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42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A4A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A092">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8F57">
            <w:pPr>
              <w:rPr>
                <w:rFonts w:hint="default" w:ascii="Times New Roman" w:hAnsi="Times New Roman" w:eastAsia="仿宋_GB2312" w:cs="Times New Roman"/>
                <w:kern w:val="2"/>
                <w:sz w:val="21"/>
                <w:szCs w:val="21"/>
                <w:lang w:val="en-US" w:eastAsia="zh-CN" w:bidi="ar-SA"/>
              </w:rPr>
            </w:pPr>
          </w:p>
        </w:tc>
      </w:tr>
      <w:tr w14:paraId="5CB4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D1B6">
            <w:pPr>
              <w:jc w:val="center"/>
              <w:rPr>
                <w:rFonts w:hint="default" w:ascii="Times New Roman" w:hAnsi="Times New Roman" w:eastAsia="仿宋_GB2312" w:cs="Times New Roman"/>
                <w:kern w:val="2"/>
                <w:sz w:val="21"/>
                <w:szCs w:val="21"/>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0F16">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209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6B51">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0.00</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F04C7">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08B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867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78C">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2FED">
            <w:pPr>
              <w:rPr>
                <w:rFonts w:hint="default" w:ascii="Times New Roman" w:hAnsi="Times New Roman" w:eastAsia="仿宋_GB2312" w:cs="Times New Roman"/>
                <w:kern w:val="2"/>
                <w:sz w:val="21"/>
                <w:szCs w:val="21"/>
                <w:lang w:val="en-US" w:eastAsia="zh-CN" w:bidi="ar-SA"/>
              </w:rPr>
            </w:pPr>
          </w:p>
        </w:tc>
      </w:tr>
      <w:tr w14:paraId="42EC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2C4E">
            <w:pPr>
              <w:jc w:val="center"/>
              <w:rPr>
                <w:rFonts w:hint="default" w:ascii="Times New Roman" w:hAnsi="Times New Roman" w:eastAsia="仿宋_GB2312" w:cs="Times New Roman"/>
                <w:kern w:val="2"/>
                <w:sz w:val="21"/>
                <w:szCs w:val="21"/>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B7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CDA">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920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0.00</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6726C">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76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0F3">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CD32">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154B">
            <w:pPr>
              <w:rPr>
                <w:rFonts w:hint="default" w:ascii="Times New Roman" w:hAnsi="Times New Roman" w:eastAsia="仿宋_GB2312" w:cs="Times New Roman"/>
                <w:kern w:val="2"/>
                <w:sz w:val="21"/>
                <w:szCs w:val="21"/>
                <w:lang w:val="en-US" w:eastAsia="zh-CN" w:bidi="ar-SA"/>
              </w:rPr>
            </w:pPr>
          </w:p>
        </w:tc>
      </w:tr>
      <w:tr w14:paraId="2159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E724">
            <w:pPr>
              <w:jc w:val="center"/>
              <w:rPr>
                <w:rFonts w:hint="default" w:ascii="Times New Roman" w:hAnsi="Times New Roman" w:eastAsia="仿宋_GB2312" w:cs="Times New Roman"/>
                <w:kern w:val="2"/>
                <w:sz w:val="21"/>
                <w:szCs w:val="21"/>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96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9DF7">
            <w:pPr>
              <w:jc w:val="center"/>
              <w:rPr>
                <w:rFonts w:hint="default" w:ascii="Times New Roman" w:hAnsi="Times New Roman" w:eastAsia="仿宋_GB2312" w:cs="Times New Roman"/>
                <w:kern w:val="2"/>
                <w:sz w:val="21"/>
                <w:szCs w:val="21"/>
                <w:lang w:val="en-US" w:eastAsia="zh-CN" w:bidi="ar-SA"/>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041">
            <w:pPr>
              <w:jc w:val="center"/>
              <w:rPr>
                <w:rFonts w:hint="default" w:ascii="Times New Roman" w:hAnsi="Times New Roman" w:eastAsia="仿宋_GB2312" w:cs="Times New Roman"/>
                <w:kern w:val="2"/>
                <w:sz w:val="21"/>
                <w:szCs w:val="21"/>
                <w:lang w:val="en-US" w:eastAsia="zh-CN" w:bidi="ar-SA"/>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6538">
            <w:pPr>
              <w:jc w:val="center"/>
              <w:rPr>
                <w:rFonts w:hint="default" w:ascii="Times New Roman" w:hAnsi="Times New Roman" w:eastAsia="仿宋_GB2312" w:cs="Times New Roman"/>
                <w:kern w:val="2"/>
                <w:sz w:val="21"/>
                <w:szCs w:val="21"/>
                <w:lang w:val="en-US" w:eastAsia="zh-CN" w:bidi="ar-S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E865">
            <w:pPr>
              <w:jc w:val="center"/>
              <w:rPr>
                <w:rFonts w:hint="default" w:ascii="Times New Roman" w:hAnsi="Times New Roman" w:eastAsia="仿宋_GB2312" w:cs="Times New Roman"/>
                <w:kern w:val="2"/>
                <w:sz w:val="21"/>
                <w:szCs w:val="21"/>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AE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7E86">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0BE7">
            <w:pPr>
              <w:rPr>
                <w:rFonts w:hint="default" w:ascii="Times New Roman" w:hAnsi="Times New Roman" w:eastAsia="仿宋_GB2312" w:cs="Times New Roman"/>
                <w:kern w:val="2"/>
                <w:sz w:val="21"/>
                <w:szCs w:val="21"/>
                <w:lang w:val="en-US" w:eastAsia="zh-CN" w:bidi="ar-SA"/>
              </w:rPr>
            </w:pPr>
          </w:p>
        </w:tc>
      </w:tr>
      <w:tr w14:paraId="20E6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EA31">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绩效指标（90分）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AFFC">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F388">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AF41">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三级指标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7A5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指标性质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0FB3">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指标值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D00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度量单位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10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6520">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16DA">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E849">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未完成原因分析</w:t>
            </w:r>
          </w:p>
        </w:tc>
      </w:tr>
      <w:tr w14:paraId="2BA7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6204">
            <w:pPr>
              <w:jc w:val="center"/>
              <w:rPr>
                <w:rFonts w:hint="default" w:ascii="Times New Roman" w:hAnsi="Times New Roman" w:eastAsia="仿宋_GB2312" w:cs="Times New Roman"/>
                <w:kern w:val="2"/>
                <w:sz w:val="21"/>
                <w:szCs w:val="21"/>
                <w:lang w:val="en-US" w:eastAsia="zh-CN" w:bidi="ar-SA"/>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A1FA9">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产出指标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47FE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数量指标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56C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两癌保险患者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2796">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5EB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15858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C3C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2657">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15858人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DA8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AAEC">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FCF4">
            <w:pPr>
              <w:jc w:val="center"/>
              <w:rPr>
                <w:rFonts w:hint="default" w:ascii="Times New Roman" w:hAnsi="Times New Roman" w:eastAsia="仿宋_GB2312" w:cs="Times New Roman"/>
                <w:kern w:val="2"/>
                <w:sz w:val="21"/>
                <w:szCs w:val="21"/>
                <w:lang w:val="en-US" w:eastAsia="zh-CN" w:bidi="ar-SA"/>
              </w:rPr>
            </w:pPr>
          </w:p>
        </w:tc>
      </w:tr>
      <w:tr w14:paraId="72AD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01BE">
            <w:pPr>
              <w:jc w:val="center"/>
              <w:rPr>
                <w:rFonts w:hint="default" w:ascii="Times New Roman" w:hAnsi="Times New Roman" w:eastAsia="仿宋_GB2312" w:cs="Times New Roman"/>
                <w:kern w:val="2"/>
                <w:sz w:val="21"/>
                <w:szCs w:val="21"/>
                <w:lang w:val="en-US" w:eastAsia="zh-CN" w:bidi="ar-SA"/>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A075">
            <w:pPr>
              <w:jc w:val="center"/>
              <w:rPr>
                <w:rFonts w:hint="default" w:ascii="Times New Roman" w:hAnsi="Times New Roman" w:eastAsia="仿宋_GB2312" w:cs="Times New Roman"/>
                <w:kern w:val="2"/>
                <w:sz w:val="21"/>
                <w:szCs w:val="21"/>
                <w:lang w:val="en-US" w:eastAsia="zh-CN" w:bidi="ar-SA"/>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E0AC">
            <w:pPr>
              <w:jc w:val="center"/>
              <w:rPr>
                <w:rFonts w:hint="default" w:ascii="Times New Roman" w:hAnsi="Times New Roman" w:eastAsia="仿宋_GB2312" w:cs="Times New Roman"/>
                <w:kern w:val="2"/>
                <w:sz w:val="21"/>
                <w:szCs w:val="21"/>
                <w:lang w:val="en-US" w:eastAsia="zh-CN" w:bidi="ar-SA"/>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B70C">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保障两癌救助人数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440">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F390">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7EA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77B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两癌救助18人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8ACA">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C156">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4EDB">
            <w:pPr>
              <w:jc w:val="center"/>
              <w:rPr>
                <w:rFonts w:hint="default" w:ascii="Times New Roman" w:hAnsi="Times New Roman" w:eastAsia="仿宋_GB2312" w:cs="Times New Roman"/>
                <w:kern w:val="2"/>
                <w:sz w:val="21"/>
                <w:szCs w:val="21"/>
                <w:lang w:val="en-US" w:eastAsia="zh-CN" w:bidi="ar-SA"/>
              </w:rPr>
            </w:pPr>
          </w:p>
        </w:tc>
      </w:tr>
      <w:tr w14:paraId="46C2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4B9B">
            <w:pPr>
              <w:jc w:val="center"/>
              <w:rPr>
                <w:rFonts w:hint="default" w:ascii="Times New Roman" w:hAnsi="Times New Roman" w:eastAsia="仿宋_GB2312" w:cs="Times New Roman"/>
                <w:kern w:val="2"/>
                <w:sz w:val="21"/>
                <w:szCs w:val="21"/>
                <w:lang w:val="en-US" w:eastAsia="zh-CN" w:bidi="ar-SA"/>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6CF2">
            <w:pPr>
              <w:jc w:val="center"/>
              <w:rPr>
                <w:rFonts w:hint="default" w:ascii="Times New Roman" w:hAnsi="Times New Roman" w:eastAsia="仿宋_GB2312" w:cs="Times New Roman"/>
                <w:kern w:val="2"/>
                <w:sz w:val="21"/>
                <w:szCs w:val="21"/>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4663">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质量指标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3016">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工作推进完成率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4E4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AB4A">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14E9">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0D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工作完成100%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3468">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F23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46AE">
            <w:pPr>
              <w:jc w:val="center"/>
              <w:rPr>
                <w:rFonts w:hint="default" w:ascii="Times New Roman" w:hAnsi="Times New Roman" w:eastAsia="仿宋_GB2312" w:cs="Times New Roman"/>
                <w:kern w:val="2"/>
                <w:sz w:val="21"/>
                <w:szCs w:val="21"/>
                <w:lang w:val="en-US" w:eastAsia="zh-CN" w:bidi="ar-SA"/>
              </w:rPr>
            </w:pPr>
          </w:p>
        </w:tc>
      </w:tr>
      <w:tr w14:paraId="6A30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E2EC">
            <w:pPr>
              <w:jc w:val="center"/>
              <w:rPr>
                <w:rFonts w:hint="default" w:ascii="Times New Roman" w:hAnsi="Times New Roman" w:eastAsia="仿宋_GB2312" w:cs="Times New Roman"/>
                <w:kern w:val="2"/>
                <w:sz w:val="21"/>
                <w:szCs w:val="21"/>
                <w:lang w:val="en-US" w:eastAsia="zh-CN" w:bidi="ar-SA"/>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E4235">
            <w:pPr>
              <w:jc w:val="center"/>
              <w:rPr>
                <w:rFonts w:hint="default" w:ascii="Times New Roman" w:hAnsi="Times New Roman" w:eastAsia="仿宋_GB2312" w:cs="Times New Roman"/>
                <w:kern w:val="2"/>
                <w:sz w:val="21"/>
                <w:szCs w:val="21"/>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CB2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时效指标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FA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2024年购买保险完成时间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63B9">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F1B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03D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月</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64B2">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9月底前完成</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AC15">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74A6">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DE56">
            <w:pPr>
              <w:jc w:val="center"/>
              <w:rPr>
                <w:rFonts w:hint="default" w:ascii="Times New Roman" w:hAnsi="Times New Roman" w:eastAsia="仿宋_GB2312" w:cs="Times New Roman"/>
                <w:kern w:val="2"/>
                <w:sz w:val="21"/>
                <w:szCs w:val="21"/>
                <w:lang w:val="en-US" w:eastAsia="zh-CN" w:bidi="ar-SA"/>
              </w:rPr>
            </w:pPr>
          </w:p>
        </w:tc>
      </w:tr>
      <w:tr w14:paraId="6F30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A6DC2">
            <w:pPr>
              <w:jc w:val="center"/>
              <w:rPr>
                <w:rFonts w:hint="default" w:ascii="Times New Roman" w:hAnsi="Times New Roman" w:eastAsia="仿宋_GB2312" w:cs="Times New Roman"/>
                <w:kern w:val="2"/>
                <w:sz w:val="21"/>
                <w:szCs w:val="21"/>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F41C">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BB2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经济效益指标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289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保障全区两癌患者的参保率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479">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23B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223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8271">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参保率100%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56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503">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61CF">
            <w:pPr>
              <w:jc w:val="center"/>
              <w:rPr>
                <w:rFonts w:hint="default" w:ascii="Times New Roman" w:hAnsi="Times New Roman" w:eastAsia="仿宋_GB2312" w:cs="Times New Roman"/>
                <w:kern w:val="2"/>
                <w:sz w:val="21"/>
                <w:szCs w:val="21"/>
                <w:lang w:val="en-US" w:eastAsia="zh-CN" w:bidi="ar-SA"/>
              </w:rPr>
            </w:pPr>
          </w:p>
        </w:tc>
      </w:tr>
      <w:tr w14:paraId="0777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0538">
            <w:pPr>
              <w:jc w:val="center"/>
              <w:rPr>
                <w:rFonts w:hint="default" w:ascii="Times New Roman" w:hAnsi="Times New Roman" w:eastAsia="仿宋_GB2312" w:cs="Times New Roman"/>
                <w:kern w:val="2"/>
                <w:sz w:val="21"/>
                <w:szCs w:val="21"/>
                <w:lang w:val="en-US" w:eastAsia="zh-CN" w:bidi="ar-SA"/>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370E0">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877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服务对象满意度指标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B35C">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全区妇女的社会认可度提升率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E7DA">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9685">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335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4C96">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妇女认可提升率95%%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0BA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5C10">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8BC4">
            <w:pPr>
              <w:jc w:val="center"/>
              <w:rPr>
                <w:rFonts w:hint="default" w:ascii="Times New Roman" w:hAnsi="Times New Roman" w:eastAsia="仿宋_GB2312" w:cs="Times New Roman"/>
                <w:kern w:val="2"/>
                <w:sz w:val="21"/>
                <w:szCs w:val="21"/>
                <w:lang w:val="en-US" w:eastAsia="zh-CN" w:bidi="ar-SA"/>
              </w:rPr>
            </w:pPr>
          </w:p>
        </w:tc>
      </w:tr>
      <w:tr w14:paraId="7C73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E55F">
            <w:pPr>
              <w:jc w:val="center"/>
              <w:rPr>
                <w:rFonts w:hint="default" w:ascii="Times New Roman" w:hAnsi="Times New Roman" w:eastAsia="仿宋_GB2312" w:cs="Times New Roman"/>
                <w:kern w:val="2"/>
                <w:sz w:val="21"/>
                <w:szCs w:val="21"/>
                <w:lang w:val="en-US" w:eastAsia="zh-CN" w:bidi="ar-SA"/>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10D3">
            <w:pPr>
              <w:jc w:val="center"/>
              <w:rPr>
                <w:rFonts w:hint="default" w:ascii="Times New Roman" w:hAnsi="Times New Roman" w:eastAsia="仿宋_GB2312" w:cs="Times New Roman"/>
                <w:kern w:val="2"/>
                <w:sz w:val="21"/>
                <w:szCs w:val="21"/>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2B3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0F57">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领导满意度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D12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ED0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C4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A7E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满意度95%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80D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C027">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7317">
            <w:pPr>
              <w:jc w:val="center"/>
              <w:rPr>
                <w:rFonts w:hint="default" w:ascii="Times New Roman" w:hAnsi="Times New Roman" w:eastAsia="仿宋_GB2312" w:cs="Times New Roman"/>
                <w:kern w:val="2"/>
                <w:sz w:val="21"/>
                <w:szCs w:val="21"/>
                <w:lang w:val="en-US" w:eastAsia="zh-CN" w:bidi="ar-SA"/>
              </w:rPr>
            </w:pPr>
          </w:p>
        </w:tc>
      </w:tr>
      <w:tr w14:paraId="47DE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B962">
            <w:pPr>
              <w:jc w:val="center"/>
              <w:rPr>
                <w:rFonts w:hint="default" w:ascii="Times New Roman" w:hAnsi="Times New Roman" w:eastAsia="仿宋_GB2312" w:cs="Times New Roman"/>
                <w:kern w:val="2"/>
                <w:sz w:val="21"/>
                <w:szCs w:val="21"/>
                <w:lang w:val="en-US" w:eastAsia="zh-CN" w:bidi="ar-SA"/>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64C32">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成本指标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F1D3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经济成本指标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BECD">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保险采购资金</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6963">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20FE">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52.92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F0C7">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8830">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保险采购52.92万元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9626">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2DEA">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AE1C">
            <w:pPr>
              <w:jc w:val="center"/>
              <w:rPr>
                <w:rFonts w:hint="default" w:ascii="Times New Roman" w:hAnsi="Times New Roman" w:eastAsia="仿宋_GB2312" w:cs="Times New Roman"/>
                <w:kern w:val="2"/>
                <w:sz w:val="21"/>
                <w:szCs w:val="21"/>
                <w:lang w:val="en-US" w:eastAsia="zh-CN" w:bidi="ar-SA"/>
              </w:rPr>
            </w:pPr>
          </w:p>
        </w:tc>
      </w:tr>
      <w:tr w14:paraId="0D8B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48A7">
            <w:pPr>
              <w:jc w:val="center"/>
              <w:rPr>
                <w:rFonts w:hint="default" w:ascii="Times New Roman" w:hAnsi="Times New Roman" w:eastAsia="仿宋_GB2312" w:cs="Times New Roman"/>
                <w:kern w:val="2"/>
                <w:sz w:val="21"/>
                <w:szCs w:val="21"/>
                <w:lang w:val="en-US" w:eastAsia="zh-CN" w:bidi="ar-SA"/>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33C0">
            <w:pPr>
              <w:jc w:val="center"/>
              <w:rPr>
                <w:rFonts w:hint="default" w:ascii="Times New Roman" w:hAnsi="Times New Roman" w:eastAsia="仿宋_GB2312" w:cs="Times New Roman"/>
                <w:kern w:val="2"/>
                <w:sz w:val="21"/>
                <w:szCs w:val="21"/>
                <w:lang w:val="en-US" w:eastAsia="zh-CN" w:bidi="ar-SA"/>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F15C">
            <w:pPr>
              <w:jc w:val="center"/>
              <w:rPr>
                <w:rFonts w:hint="default" w:ascii="Times New Roman" w:hAnsi="Times New Roman" w:eastAsia="仿宋_GB2312" w:cs="Times New Roman"/>
                <w:kern w:val="2"/>
                <w:sz w:val="21"/>
                <w:szCs w:val="21"/>
                <w:lang w:val="en-US" w:eastAsia="zh-CN" w:bidi="ar-SA"/>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45C">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两癌救助保障支出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666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033A">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5A2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5168">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两癌救助9万元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156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7125">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C8BE">
            <w:pPr>
              <w:jc w:val="center"/>
              <w:rPr>
                <w:rFonts w:hint="default" w:ascii="Times New Roman" w:hAnsi="Times New Roman" w:eastAsia="仿宋_GB2312" w:cs="Times New Roman"/>
                <w:kern w:val="2"/>
                <w:sz w:val="21"/>
                <w:szCs w:val="21"/>
                <w:lang w:val="en-US" w:eastAsia="zh-CN" w:bidi="ar-SA"/>
              </w:rPr>
            </w:pPr>
          </w:p>
        </w:tc>
      </w:tr>
      <w:tr w14:paraId="444A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D6B6F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284F">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6F4D">
            <w:pPr>
              <w:keepNext w:val="0"/>
              <w:keepLines w:val="0"/>
              <w:widowControl/>
              <w:suppressLineNumbers w:val="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9065">
            <w:pPr>
              <w:rPr>
                <w:rFonts w:hint="default" w:ascii="Times New Roman" w:hAnsi="Times New Roman" w:eastAsia="仿宋_GB2312" w:cs="Times New Roman"/>
                <w:kern w:val="2"/>
                <w:sz w:val="21"/>
                <w:szCs w:val="21"/>
                <w:lang w:val="en-US" w:eastAsia="zh-CN" w:bidi="ar-SA"/>
              </w:rPr>
            </w:pPr>
          </w:p>
        </w:tc>
      </w:tr>
      <w:tr w14:paraId="2568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37A4">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评价结论</w:t>
            </w:r>
          </w:p>
        </w:tc>
        <w:tc>
          <w:tcPr>
            <w:tcW w:w="79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C344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经综合评价，2024 年两癌保险及救助经费项目绩效评价得分100 分。项目决策科学合理，目标明确；资金管理规范，使用合规；项目实施过程有序，产出数量和质量达到预期目标；在社会效益方面成效显著，有效减轻了低收入 “两癌” 患病妇女家庭经济负担，提高了妇女群众的健康意识和自我保健能力，得到了服务对象的高度认可 。</w:t>
            </w:r>
          </w:p>
        </w:tc>
      </w:tr>
      <w:tr w14:paraId="2D1C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972">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存在问题</w:t>
            </w:r>
          </w:p>
        </w:tc>
        <w:tc>
          <w:tcPr>
            <w:tcW w:w="79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A02984">
            <w:pP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部分妇女参保意识仍有待提高：尽管开展了大量宣传工作，但仍有部分妇女对两癌保险的重要性认识不足，参保意愿不高。原因主要是部分妇女健康风险意识淡薄，对保险产品缺乏了解，同时受传统观念影响，存在侥幸心理。</w:t>
            </w:r>
          </w:p>
          <w:p w14:paraId="6F8815D3">
            <w:pP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项目资金筹集渠道相对单一：目前两癌保险及救助经费主要依赖财政资金，社会捐赠等其他渠道资金较少。这限制了项目的规模和覆盖面，难以满足更多妇女的需求。原因在于社会公益氛围不够浓厚，企业和个人对妇女健康公益事业的关注度和参与度有待提升，同时缺乏有效的资金筹集机制和激励措施。</w:t>
            </w:r>
          </w:p>
        </w:tc>
      </w:tr>
      <w:tr w14:paraId="6624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FB65">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改进措施</w:t>
            </w:r>
          </w:p>
        </w:tc>
        <w:tc>
          <w:tcPr>
            <w:tcW w:w="79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C2952">
            <w:pP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（一）持续加大宣传力度</w:t>
            </w:r>
          </w:p>
          <w:p w14:paraId="33C53A07">
            <w:pP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创新宣传方式和手段，结合实际案例，深入宣传 “两癌” 的危害、防治方法以及两癌保险和救助政策的实惠，提高妇女群众的健康风险意识和参保积极性。针对不同群体，采取个性化的宣传策略，如针对农村妇女，通过上门宣传、发放宣传资料等方式；针对年轻女性，利用社交媒体平台开展线上宣传。</w:t>
            </w:r>
          </w:p>
          <w:p w14:paraId="47F5189D">
            <w:pP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（二）拓宽资金筹集渠道</w:t>
            </w:r>
          </w:p>
          <w:p w14:paraId="3285D14A">
            <w:pP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积极争取政府加大财政投入的同时，鼓励引导企业、社会组织和个人参与妇女健康公益事业，通过设立专项基金、开展公益活动等方式，拓宽资金筹集渠道。建立健全社会捐赠激励机制，对捐赠企业和个人给予税收优惠、荣誉表彰等，提高社会各界参与的积极性。</w:t>
            </w:r>
          </w:p>
          <w:p w14:paraId="6624DC8D">
            <w:pP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（三）加强项目管理和监督</w:t>
            </w:r>
          </w:p>
          <w:p w14:paraId="48C8FC33">
            <w:pP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进一步完善项目管理制度，规范项目操作流程，加强对项目实施全过程的监督检查，确保资金安全、高效使用。建立项目绩效跟踪评价机制，及时发现和解决项目实施过程中出现的问题，不断提升项目实施效果。同时，加强对服务对象的回访和满意度调查，根据反馈意见改进工作，提高服务质量。</w:t>
            </w:r>
          </w:p>
        </w:tc>
      </w:tr>
      <w:tr w14:paraId="14D2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9631C">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项目负责人：贺敏</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96EE0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财务负责人：蹇亚玲</w:t>
            </w:r>
          </w:p>
        </w:tc>
      </w:tr>
      <w:bookmarkEnd w:id="34"/>
    </w:tbl>
    <w:p w14:paraId="4A305E94">
      <w:pPr>
        <w:keepNext w:val="0"/>
        <w:keepLines w:val="0"/>
        <w:pageBreakBefore w:val="0"/>
        <w:widowControl w:val="0"/>
        <w:kinsoku/>
        <w:wordWrap/>
        <w:overflowPunct/>
        <w:topLinePunct w:val="0"/>
        <w:bidi w:val="0"/>
        <w:spacing w:line="560" w:lineRule="exact"/>
        <w:ind w:right="0"/>
        <w:jc w:val="both"/>
        <w:rPr>
          <w:rStyle w:val="25"/>
          <w:rFonts w:hint="default" w:ascii="Times New Roman" w:hAnsi="Times New Roman" w:eastAsia="黑体" w:cs="Times New Roman"/>
          <w:b w:val="0"/>
          <w:bCs w:val="0"/>
          <w:sz w:val="32"/>
          <w:szCs w:val="32"/>
        </w:rPr>
      </w:pPr>
      <w:bookmarkStart w:id="35" w:name="_Toc21567"/>
      <w:bookmarkStart w:id="36" w:name="_Toc15396617"/>
    </w:p>
    <w:p w14:paraId="4F3BD5C9">
      <w:pPr>
        <w:rPr>
          <w:rStyle w:val="25"/>
          <w:rFonts w:hint="default" w:ascii="Times New Roman" w:hAnsi="Times New Roman" w:eastAsia="仿宋_GB2312" w:cs="Times New Roman"/>
          <w:b w:val="0"/>
          <w:bCs w:val="0"/>
          <w:sz w:val="32"/>
          <w:szCs w:val="32"/>
          <w:lang w:val="en-US" w:eastAsia="zh-CN"/>
        </w:rPr>
      </w:pPr>
      <w:r>
        <w:rPr>
          <w:rStyle w:val="25"/>
          <w:rFonts w:hint="default" w:ascii="Times New Roman" w:hAnsi="Times New Roman" w:eastAsia="黑体" w:cs="Times New Roman"/>
          <w:b w:val="0"/>
          <w:bCs w:val="0"/>
          <w:sz w:val="32"/>
          <w:szCs w:val="32"/>
        </w:rPr>
        <w:br w:type="page"/>
      </w:r>
      <w:bookmarkEnd w:id="35"/>
      <w:bookmarkEnd w:id="36"/>
      <w:bookmarkStart w:id="37" w:name="_Toc31525"/>
    </w:p>
    <w:p w14:paraId="7786B55B">
      <w:pPr>
        <w:pStyle w:val="14"/>
        <w:rPr>
          <w:rFonts w:hint="default" w:ascii="Times New Roman" w:hAnsi="Times New Roman" w:cs="Times New Roman"/>
          <w:lang w:val="en-US" w:eastAsia="zh-CN"/>
        </w:rPr>
      </w:pPr>
    </w:p>
    <w:p w14:paraId="2BA8327C">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lang w:eastAsia="zh-CN"/>
        </w:rPr>
        <w:t>区妇联“人均一元钱”经费</w:t>
      </w:r>
      <w:r>
        <w:rPr>
          <w:rFonts w:hint="default" w:ascii="Times New Roman" w:hAnsi="Times New Roman" w:eastAsia="方正小标宋简体" w:cs="Times New Roman"/>
          <w:b w:val="0"/>
          <w:bCs w:val="0"/>
        </w:rPr>
        <w:t>项目支出绩效</w:t>
      </w:r>
    </w:p>
    <w:p w14:paraId="43EA4667">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rPr>
        <w:t>评价报告</w:t>
      </w:r>
      <w:bookmarkEnd w:id="37"/>
    </w:p>
    <w:p w14:paraId="2CEA057E">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p>
    <w:p w14:paraId="5EAD375D">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一、评价工作开展及项目情况</w:t>
      </w:r>
    </w:p>
    <w:p w14:paraId="47ECDB4E">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关于绩效评价选点要求，选取了</w:t>
      </w:r>
      <w:r>
        <w:rPr>
          <w:rFonts w:hint="default" w:ascii="Times New Roman" w:hAnsi="Times New Roman" w:eastAsia="仿宋_GB2312" w:cs="Times New Roman"/>
          <w:sz w:val="32"/>
          <w:szCs w:val="32"/>
          <w:lang w:eastAsia="zh-CN"/>
        </w:rPr>
        <w:t>2024年“人均一元钱”经费</w:t>
      </w:r>
      <w:r>
        <w:rPr>
          <w:rFonts w:hint="default" w:ascii="Times New Roman" w:hAnsi="Times New Roman" w:eastAsia="仿宋_GB2312" w:cs="Times New Roman"/>
          <w:sz w:val="32"/>
          <w:szCs w:val="32"/>
        </w:rPr>
        <w:t>进行评价。</w:t>
      </w:r>
    </w:p>
    <w:p w14:paraId="5CF9E364">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二、评价结论及绩效分析</w:t>
      </w:r>
    </w:p>
    <w:p w14:paraId="72C91EE8">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（一）评价结论</w:t>
      </w:r>
    </w:p>
    <w:p w14:paraId="0821795A">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总体上看，项目目标明确、资金到位率高、组织监管体系完善。</w:t>
      </w:r>
      <w:r>
        <w:rPr>
          <w:rFonts w:hint="default" w:ascii="Times New Roman" w:hAnsi="Times New Roman" w:eastAsia="仿宋_GB2312" w:cs="Times New Roman"/>
          <w:sz w:val="32"/>
          <w:szCs w:val="32"/>
          <w:lang w:eastAsia="zh-CN"/>
        </w:rPr>
        <w:t>“人均一元钱”经费</w:t>
      </w:r>
      <w:r>
        <w:rPr>
          <w:rFonts w:hint="default" w:ascii="Times New Roman" w:hAnsi="Times New Roman" w:eastAsia="仿宋_GB2312" w:cs="Times New Roman"/>
          <w:sz w:val="32"/>
          <w:szCs w:val="32"/>
        </w:rPr>
        <w:t>较好地实现了绩效目标。</w:t>
      </w:r>
    </w:p>
    <w:p w14:paraId="6F36B222">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（二）绩效分析</w:t>
      </w:r>
    </w:p>
    <w:p w14:paraId="0600ECC2">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rPr>
        <w:t>项目决策</w:t>
      </w:r>
    </w:p>
    <w:p w14:paraId="3AF753A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（1）绩效目标情况</w:t>
      </w:r>
    </w:p>
    <w:p w14:paraId="514C595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2024年“人均一元钱”经费</w:t>
      </w:r>
      <w:r>
        <w:rPr>
          <w:rFonts w:hint="default" w:ascii="Times New Roman" w:hAnsi="Times New Roman" w:eastAsia="仿宋_GB2312" w:cs="Times New Roman"/>
          <w:kern w:val="2"/>
          <w:sz w:val="32"/>
          <w:szCs w:val="32"/>
          <w:lang w:val="en-US" w:eastAsia="zh-CN" w:bidi="ar-SA"/>
        </w:rPr>
        <w:t>项目涉及区妇联参与国家和社会事务相关事宜。</w:t>
      </w:r>
    </w:p>
    <w:p w14:paraId="47FDD4F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2024年“人均一元钱”经费</w:t>
      </w:r>
      <w:r>
        <w:rPr>
          <w:rFonts w:hint="default" w:ascii="Times New Roman" w:hAnsi="Times New Roman" w:eastAsia="仿宋_GB2312" w:cs="Times New Roman"/>
          <w:kern w:val="2"/>
          <w:sz w:val="32"/>
          <w:szCs w:val="32"/>
          <w:lang w:val="en-US" w:eastAsia="zh-CN" w:bidi="ar-SA"/>
        </w:rPr>
        <w:t>项目具体项目内容为</w:t>
      </w:r>
      <w:r>
        <w:rPr>
          <w:rFonts w:hint="default" w:ascii="Times New Roman" w:hAnsi="Times New Roman" w:eastAsia="仿宋_GB2312" w:cs="Times New Roman"/>
          <w:color w:val="000000"/>
          <w:sz w:val="32"/>
          <w:szCs w:val="32"/>
        </w:rPr>
        <w:t>妇女参与国家和社会事务的民主管理、监督，参与有关妇女儿童法律、法规、条例、规定的制定，代表妇女的利益，反映妇女的呼声。大力培养、选拔优秀妇女人才，促进女性参政议政水平的提高</w:t>
      </w:r>
      <w:r>
        <w:rPr>
          <w:rFonts w:hint="default" w:ascii="Times New Roman" w:hAnsi="Times New Roman" w:eastAsia="仿宋_GB2312" w:cs="Times New Roman"/>
          <w:kern w:val="2"/>
          <w:sz w:val="32"/>
          <w:szCs w:val="32"/>
          <w:lang w:val="en-US" w:eastAsia="zh-CN" w:bidi="ar-SA"/>
        </w:rPr>
        <w:t>。</w:t>
      </w:r>
    </w:p>
    <w:p w14:paraId="4957E08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（2）决策依据情况</w:t>
      </w:r>
    </w:p>
    <w:p w14:paraId="4056986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“人均一元钱”经费</w:t>
      </w:r>
      <w:r>
        <w:rPr>
          <w:rFonts w:hint="default" w:ascii="Times New Roman" w:hAnsi="Times New Roman" w:eastAsia="仿宋_GB2312" w:cs="Times New Roman"/>
          <w:kern w:val="2"/>
          <w:sz w:val="32"/>
          <w:szCs w:val="32"/>
          <w:lang w:val="en-US" w:eastAsia="zh-CN" w:bidi="ar-SA"/>
        </w:rPr>
        <w:t>，是指政府、部门协作、公众参与，对政府在事关经济发展、社会稳定、民计民生等方面进行全面监督的活动。以《四川省政府行政综合管理条例》2011年7月29日四川省人民代表大会常务委员会发布的文件为决策依据；明确规定了单位负责辖区内</w:t>
      </w: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的具体工作，指导和督促居（村）民委员会、相关单位开展人</w:t>
      </w: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工作。</w:t>
      </w:r>
    </w:p>
    <w:p w14:paraId="093A911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（3）资金分配情况</w:t>
      </w:r>
    </w:p>
    <w:p w14:paraId="4214D70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项目资金分配按照预算申报财政资金12万元，进行分配，具体项目分配情况如下：</w:t>
      </w:r>
    </w:p>
    <w:p w14:paraId="52220A1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补助支出4万元（由妇联相关工作支出）。</w:t>
      </w:r>
    </w:p>
    <w:p w14:paraId="19215A4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2.购买办公用品支出2万元（主要用于临时性会议支出）。</w:t>
      </w:r>
    </w:p>
    <w:p w14:paraId="5191CF7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3.交通差旅费支出2万元。（主要用于</w:t>
      </w:r>
      <w:r>
        <w:rPr>
          <w:rFonts w:hint="default" w:ascii="Times New Roman" w:hAnsi="Times New Roman" w:eastAsia="仿宋_GB2312" w:cs="Times New Roman"/>
          <w:sz w:val="32"/>
          <w:szCs w:val="32"/>
          <w:lang w:eastAsia="zh-CN"/>
        </w:rPr>
        <w:t>妇联工作的交通差旅支出</w:t>
      </w:r>
      <w:r>
        <w:rPr>
          <w:rFonts w:hint="default" w:ascii="Times New Roman" w:hAnsi="Times New Roman" w:eastAsia="仿宋_GB2312" w:cs="Times New Roman"/>
          <w:kern w:val="2"/>
          <w:sz w:val="32"/>
          <w:szCs w:val="32"/>
          <w:lang w:val="en-US" w:eastAsia="zh-CN" w:bidi="ar-SA"/>
        </w:rPr>
        <w:t>）</w:t>
      </w:r>
    </w:p>
    <w:p w14:paraId="5CF12F2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z w:val="32"/>
          <w:szCs w:val="32"/>
          <w:lang w:eastAsia="zh-CN"/>
        </w:rPr>
        <w:t>“人均一元钱”经</w:t>
      </w:r>
      <w:r>
        <w:rPr>
          <w:rFonts w:hint="default" w:ascii="Times New Roman" w:hAnsi="Times New Roman" w:eastAsia="仿宋_GB2312" w:cs="Times New Roman"/>
          <w:kern w:val="2"/>
          <w:sz w:val="32"/>
          <w:szCs w:val="32"/>
          <w:lang w:val="en-US" w:eastAsia="zh-CN" w:bidi="ar-SA"/>
        </w:rPr>
        <w:t>费支出4万元（主要用于</w:t>
      </w:r>
      <w:r>
        <w:rPr>
          <w:rFonts w:hint="default" w:ascii="Times New Roman" w:hAnsi="Times New Roman" w:eastAsia="仿宋_GB2312" w:cs="Times New Roman"/>
          <w:sz w:val="32"/>
          <w:szCs w:val="32"/>
          <w:lang w:eastAsia="zh-CN"/>
        </w:rPr>
        <w:t>“人均一元钱”妇女相关</w:t>
      </w:r>
      <w:r>
        <w:rPr>
          <w:rFonts w:hint="default" w:ascii="Times New Roman" w:hAnsi="Times New Roman" w:eastAsia="仿宋_GB2312" w:cs="Times New Roman"/>
          <w:kern w:val="2"/>
          <w:sz w:val="32"/>
          <w:szCs w:val="32"/>
          <w:lang w:val="en-US" w:eastAsia="zh-CN" w:bidi="ar-SA"/>
        </w:rPr>
        <w:t>其它广告制作费用支出）。</w:t>
      </w:r>
    </w:p>
    <w:p w14:paraId="6C99B071">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2、项目管理</w:t>
      </w:r>
    </w:p>
    <w:p w14:paraId="2550AD3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（1）资金到位情况</w:t>
      </w:r>
    </w:p>
    <w:p w14:paraId="4CC8E47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该项目申报金额为12万元，根据区财政局2024年财政预算，该项目实际下达金额为12万元。</w:t>
      </w:r>
    </w:p>
    <w:p w14:paraId="29C33C9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2024年财政实际下拨12万元，项目实际支出为12万元，项目资金按照项目实施进度支付。</w:t>
      </w:r>
    </w:p>
    <w:p w14:paraId="587C452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（2）资金管理情况</w:t>
      </w:r>
    </w:p>
    <w:p w14:paraId="0D8C2A2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现场查账，项目经费专款专用，未发现支出依据不合规、虚列项目支出的情况，也未发现截留、挤占、挪用等情况，资金使用安全有效。</w:t>
      </w:r>
    </w:p>
    <w:p w14:paraId="59319A8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（3）财务管理情况</w:t>
      </w:r>
    </w:p>
    <w:p w14:paraId="71359DF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4B88B38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（4）组织实施情况</w:t>
      </w:r>
    </w:p>
    <w:p w14:paraId="5111310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根据区妇联自评和现场抽样考核，项目未出现重大调整或无法实施的情况，项目实施方面按照《四川省政府行政综合管理条例》的相关规定严格执行。</w:t>
      </w:r>
    </w:p>
    <w:p w14:paraId="48151506">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项目绩效</w:t>
      </w:r>
    </w:p>
    <w:p w14:paraId="6602E2E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（一）目标完成</w:t>
      </w:r>
    </w:p>
    <w:p w14:paraId="5B9D018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1、目标任务量完成情况</w:t>
      </w:r>
    </w:p>
    <w:p w14:paraId="0F16211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2024年通过</w:t>
      </w:r>
      <w:r>
        <w:rPr>
          <w:rFonts w:hint="default" w:ascii="Times New Roman" w:hAnsi="Times New Roman" w:eastAsia="仿宋_GB2312" w:cs="Times New Roman"/>
          <w:sz w:val="32"/>
          <w:szCs w:val="32"/>
          <w:lang w:eastAsia="zh-CN"/>
        </w:rPr>
        <w:t>“人均一元钱”经费</w:t>
      </w:r>
      <w:r>
        <w:rPr>
          <w:rFonts w:hint="default" w:ascii="Times New Roman" w:hAnsi="Times New Roman" w:eastAsia="仿宋_GB2312" w:cs="Times New Roman"/>
          <w:kern w:val="2"/>
          <w:sz w:val="32"/>
          <w:szCs w:val="32"/>
          <w:lang w:val="en-US" w:eastAsia="zh-CN" w:bidi="ar-SA"/>
        </w:rPr>
        <w:t>的计划基本完成，项目在区财政局的关心、单位党委政府高度重视以及各村组的大力配合下，顺利推进，圆满完成任务，</w:t>
      </w:r>
      <w:r>
        <w:rPr>
          <w:rFonts w:hint="default" w:ascii="Times New Roman" w:hAnsi="Times New Roman" w:eastAsia="仿宋_GB2312" w:cs="Times New Roman"/>
          <w:sz w:val="32"/>
          <w:szCs w:val="32"/>
          <w:lang w:eastAsia="zh-CN"/>
        </w:rPr>
        <w:t>政协委员视察</w:t>
      </w:r>
      <w:r>
        <w:rPr>
          <w:rFonts w:hint="default" w:ascii="Times New Roman" w:hAnsi="Times New Roman" w:eastAsia="仿宋_GB2312" w:cs="Times New Roman"/>
          <w:kern w:val="2"/>
          <w:sz w:val="32"/>
          <w:szCs w:val="32"/>
          <w:lang w:val="en-US" w:eastAsia="zh-CN" w:bidi="ar-SA"/>
        </w:rPr>
        <w:t>工作等得到了较大的提升。</w:t>
      </w:r>
    </w:p>
    <w:p w14:paraId="551B39C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2、项目完成质量</w:t>
      </w:r>
    </w:p>
    <w:p w14:paraId="13F3B5F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根据现场查阅相关资料，单位</w:t>
      </w:r>
      <w:r>
        <w:rPr>
          <w:rFonts w:hint="default" w:ascii="Times New Roman" w:hAnsi="Times New Roman" w:eastAsia="仿宋_GB2312" w:cs="Times New Roman"/>
          <w:sz w:val="32"/>
          <w:szCs w:val="32"/>
          <w:lang w:eastAsia="zh-CN"/>
        </w:rPr>
        <w:t>“人均一元钱”经费</w:t>
      </w:r>
      <w:r>
        <w:rPr>
          <w:rFonts w:hint="default" w:ascii="Times New Roman" w:hAnsi="Times New Roman" w:eastAsia="仿宋_GB2312" w:cs="Times New Roman"/>
          <w:sz w:val="32"/>
          <w:szCs w:val="32"/>
          <w:lang w:val="en-US" w:eastAsia="zh-CN"/>
        </w:rPr>
        <w:t>项目决策科学合理，立项依据充分，绩效目标明确；过程管理规范，资金使用安全合规，项目管理制度健全；产出成果丰硕，各项产出指标均达到或超过预期目标；效益显著，在促进妇女就业创业、维护家庭和谐稳定、提升妇女儿童幸福感等方面取得了良好的社会效益，服务对象满意度高。</w:t>
      </w:r>
      <w:r>
        <w:rPr>
          <w:rFonts w:hint="eastAsia" w:ascii="Times New Roman" w:hAnsi="Times New Roman" w:eastAsia="仿宋_GB2312" w:cs="Times New Roman"/>
          <w:kern w:val="2"/>
          <w:sz w:val="32"/>
          <w:szCs w:val="32"/>
          <w:lang w:val="en-US" w:eastAsia="zh-CN" w:bidi="ar-SA"/>
        </w:rPr>
        <w:t>2024年我会圆满完既定目标任务</w:t>
      </w:r>
      <w:r>
        <w:rPr>
          <w:rFonts w:hint="default" w:ascii="Times New Roman" w:hAnsi="Times New Roman" w:eastAsia="仿宋_GB2312" w:cs="Times New Roman"/>
          <w:kern w:val="2"/>
          <w:sz w:val="32"/>
          <w:szCs w:val="32"/>
          <w:lang w:val="en-US" w:eastAsia="zh-CN" w:bidi="ar-SA"/>
        </w:rPr>
        <w:t>。</w:t>
      </w:r>
    </w:p>
    <w:p w14:paraId="2E584D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项目完成进度</w:t>
      </w:r>
    </w:p>
    <w:p w14:paraId="3642FB4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经现场检查财务资料，项目严格按项目进度支付，项目资金预算12万元，财政实际下达12万元已全部支付。</w:t>
      </w:r>
    </w:p>
    <w:p w14:paraId="1CD245D6">
      <w:pPr>
        <w:pStyle w:val="16"/>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项目评价结果及得分</w:t>
      </w:r>
    </w:p>
    <w:p w14:paraId="786FAD1D">
      <w:pPr>
        <w:pStyle w:val="1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w:t>
      </w:r>
      <w:r>
        <w:rPr>
          <w:rFonts w:hint="default" w:ascii="Times New Roman" w:hAnsi="Times New Roman" w:eastAsia="仿宋_GB2312" w:cs="Times New Roman"/>
          <w:sz w:val="32"/>
          <w:szCs w:val="32"/>
          <w:lang w:eastAsia="zh-CN"/>
        </w:rPr>
        <w:t>“人均一元钱”</w:t>
      </w:r>
      <w:r>
        <w:rPr>
          <w:rFonts w:hint="default" w:ascii="Times New Roman" w:hAnsi="Times New Roman" w:eastAsia="仿宋_GB2312" w:cs="Times New Roman"/>
          <w:kern w:val="2"/>
          <w:sz w:val="32"/>
          <w:szCs w:val="32"/>
          <w:lang w:val="en-US" w:eastAsia="zh-CN" w:bidi="ar-SA"/>
        </w:rPr>
        <w:t>项目的实施改善了我单位行政作风环境，有效地促进政府工作规范，以法行政、树立良好形象，同时也能较好地维护人民群众的合法利益,为减少矛盾,维护稳定,保障经济健康发展创造了良好的人居环境和生产环境；经单位自评得分为100分（见附件-自评表）。</w:t>
      </w:r>
    </w:p>
    <w:p w14:paraId="6E871B87">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三、存在主要问题</w:t>
      </w:r>
    </w:p>
    <w:p w14:paraId="3DE9EA57">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048F6E7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421AA880">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四、相关措施建议</w:t>
      </w:r>
    </w:p>
    <w:p w14:paraId="0ADE063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25E26B50">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2、加强资金管理，规范各项支出。</w:t>
      </w:r>
    </w:p>
    <w:p w14:paraId="54007B7E">
      <w:pPr>
        <w:jc w:val="center"/>
        <w:rPr>
          <w:rFonts w:hint="default" w:ascii="Times New Roman" w:hAnsi="Times New Roman" w:cs="Times New Roman"/>
        </w:rPr>
      </w:pPr>
      <w:bookmarkStart w:id="38" w:name="_Toc15396618"/>
      <w:r>
        <w:rPr>
          <w:rFonts w:hint="default" w:ascii="Times New Roman" w:hAnsi="Times New Roman" w:eastAsia="方正小标宋简体" w:cs="Times New Roman"/>
          <w:b w:val="0"/>
          <w:bCs w:val="0"/>
          <w:i w:val="0"/>
          <w:iCs w:val="0"/>
          <w:color w:val="000000"/>
          <w:kern w:val="0"/>
          <w:sz w:val="44"/>
          <w:szCs w:val="44"/>
          <w:u w:val="none"/>
          <w:lang w:val="en-US" w:eastAsia="zh-CN" w:bidi="ar"/>
        </w:rPr>
        <w:t>部门预算项目支出绩效自评表（2024年度）</w:t>
      </w:r>
    </w:p>
    <w:tbl>
      <w:tblPr>
        <w:tblStyle w:val="17"/>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92"/>
        <w:gridCol w:w="902"/>
        <w:gridCol w:w="1247"/>
        <w:gridCol w:w="514"/>
        <w:gridCol w:w="774"/>
        <w:gridCol w:w="514"/>
        <w:gridCol w:w="1199"/>
        <w:gridCol w:w="576"/>
        <w:gridCol w:w="576"/>
        <w:gridCol w:w="909"/>
      </w:tblGrid>
      <w:tr w14:paraId="67BB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9A1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项目名称</w:t>
            </w:r>
          </w:p>
        </w:tc>
        <w:tc>
          <w:tcPr>
            <w:tcW w:w="7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FA82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51090423T000007853174-2024年“人均一元钱”工作经费</w:t>
            </w:r>
          </w:p>
        </w:tc>
      </w:tr>
      <w:tr w14:paraId="7177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64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w:t>
            </w:r>
          </w:p>
        </w:tc>
        <w:tc>
          <w:tcPr>
            <w:tcW w:w="3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64A8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遂宁市安居区妇女联合会部门</w:t>
            </w:r>
          </w:p>
        </w:tc>
        <w:tc>
          <w:tcPr>
            <w:tcW w:w="1199" w:type="dxa"/>
            <w:tcBorders>
              <w:top w:val="nil"/>
              <w:left w:val="nil"/>
              <w:bottom w:val="nil"/>
              <w:right w:val="nil"/>
            </w:tcBorders>
            <w:shd w:val="clear" w:color="auto" w:fill="auto"/>
            <w:vAlign w:val="center"/>
          </w:tcPr>
          <w:p w14:paraId="6BA2BD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实施单位 （盖章）</w:t>
            </w:r>
          </w:p>
        </w:tc>
        <w:tc>
          <w:tcPr>
            <w:tcW w:w="2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7D2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w:t>
            </w:r>
          </w:p>
        </w:tc>
      </w:tr>
      <w:tr w14:paraId="3225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85D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项目基本情况</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BC3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1.项目年度目标完成情况</w:t>
            </w:r>
          </w:p>
        </w:tc>
        <w:tc>
          <w:tcPr>
            <w:tcW w:w="3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E36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项目年度目标</w:t>
            </w:r>
          </w:p>
        </w:tc>
        <w:tc>
          <w:tcPr>
            <w:tcW w:w="3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664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年度目标完成情况</w:t>
            </w:r>
          </w:p>
        </w:tc>
      </w:tr>
      <w:tr w14:paraId="511C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E060">
            <w:pPr>
              <w:rPr>
                <w:rFonts w:hint="default" w:ascii="Times New Roman" w:hAnsi="Times New Roman" w:eastAsia="仿宋_GB2312" w:cs="Times New Roman"/>
                <w:i w:val="0"/>
                <w:iCs w:val="0"/>
                <w:color w:val="000000"/>
                <w:sz w:val="21"/>
                <w:szCs w:val="21"/>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9F28">
            <w:pPr>
              <w:rPr>
                <w:rFonts w:hint="default" w:ascii="Times New Roman" w:hAnsi="Times New Roman" w:eastAsia="仿宋_GB2312" w:cs="Times New Roman"/>
                <w:i w:val="0"/>
                <w:iCs w:val="0"/>
                <w:color w:val="000000"/>
                <w:sz w:val="21"/>
                <w:szCs w:val="21"/>
                <w:u w:val="none"/>
              </w:rPr>
            </w:pPr>
          </w:p>
        </w:tc>
        <w:tc>
          <w:tcPr>
            <w:tcW w:w="3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FCA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用于2024年安居区妇联各项日常工作。</w:t>
            </w:r>
          </w:p>
        </w:tc>
        <w:tc>
          <w:tcPr>
            <w:tcW w:w="3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EBC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2024年保障单位“人均一元钱”工作顺利开展</w:t>
            </w:r>
          </w:p>
        </w:tc>
      </w:tr>
      <w:tr w14:paraId="4DC2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F7DC">
            <w:pPr>
              <w:rPr>
                <w:rFonts w:hint="default" w:ascii="Times New Roman" w:hAnsi="Times New Roman" w:eastAsia="仿宋_GB2312" w:cs="Times New Roman"/>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7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2.项目实施内容及过程概述</w:t>
            </w:r>
          </w:p>
        </w:tc>
        <w:tc>
          <w:tcPr>
            <w:tcW w:w="7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4F8B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2024年保障单位“人均一元钱”工作顺利开展</w:t>
            </w:r>
          </w:p>
        </w:tc>
      </w:tr>
      <w:tr w14:paraId="1CCF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B00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预算执行情况（10分）</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7B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年度预算数（万元）</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44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年初预算</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C2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调整后预算数</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AAC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83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F6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2F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D2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原因</w:t>
            </w:r>
          </w:p>
        </w:tc>
      </w:tr>
      <w:tr w14:paraId="32CB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AF0A">
            <w:pPr>
              <w:jc w:val="center"/>
              <w:rPr>
                <w:rFonts w:hint="default" w:ascii="Times New Roman" w:hAnsi="Times New Roman" w:eastAsia="仿宋_GB2312" w:cs="Times New Roman"/>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BE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总额</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4B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6D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690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51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2B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CB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793B0">
            <w:pPr>
              <w:rPr>
                <w:rFonts w:hint="default" w:ascii="Times New Roman" w:hAnsi="Times New Roman" w:eastAsia="仿宋_GB2312" w:cs="Times New Roman"/>
                <w:i/>
                <w:iCs/>
                <w:color w:val="000000"/>
                <w:sz w:val="21"/>
                <w:szCs w:val="21"/>
                <w:u w:val="none"/>
              </w:rPr>
            </w:pPr>
          </w:p>
        </w:tc>
      </w:tr>
      <w:tr w14:paraId="76CE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4394">
            <w:pPr>
              <w:jc w:val="center"/>
              <w:rPr>
                <w:rFonts w:hint="default" w:ascii="Times New Roman" w:hAnsi="Times New Roman" w:eastAsia="仿宋_GB2312" w:cs="Times New Roman"/>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5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其中：财政资金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0A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81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2B8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9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59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F8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B4D7">
            <w:pPr>
              <w:rPr>
                <w:rFonts w:hint="default" w:ascii="Times New Roman" w:hAnsi="Times New Roman" w:eastAsia="仿宋_GB2312" w:cs="Times New Roman"/>
                <w:i/>
                <w:iCs/>
                <w:color w:val="000000"/>
                <w:sz w:val="21"/>
                <w:szCs w:val="21"/>
                <w:u w:val="none"/>
              </w:rPr>
            </w:pPr>
          </w:p>
        </w:tc>
      </w:tr>
      <w:tr w14:paraId="1DC9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AA14">
            <w:pPr>
              <w:jc w:val="center"/>
              <w:rPr>
                <w:rFonts w:hint="default" w:ascii="Times New Roman" w:hAnsi="Times New Roman" w:eastAsia="仿宋_GB2312" w:cs="Times New Roman"/>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D9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财政专户管理资金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40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FC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064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7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98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4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3F71">
            <w:pPr>
              <w:rPr>
                <w:rFonts w:hint="default" w:ascii="Times New Roman" w:hAnsi="Times New Roman" w:eastAsia="仿宋_GB2312" w:cs="Times New Roman"/>
                <w:i/>
                <w:iCs/>
                <w:color w:val="000000"/>
                <w:sz w:val="21"/>
                <w:szCs w:val="21"/>
                <w:u w:val="none"/>
              </w:rPr>
            </w:pPr>
          </w:p>
        </w:tc>
      </w:tr>
      <w:tr w14:paraId="1B29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0EE4">
            <w:pPr>
              <w:jc w:val="center"/>
              <w:rPr>
                <w:rFonts w:hint="default" w:ascii="Times New Roman" w:hAnsi="Times New Roman" w:eastAsia="仿宋_GB2312" w:cs="Times New Roman"/>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0A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单位资金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4B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2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2E8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E7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E5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08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A20A">
            <w:pPr>
              <w:rPr>
                <w:rFonts w:hint="default" w:ascii="Times New Roman" w:hAnsi="Times New Roman" w:eastAsia="仿宋_GB2312" w:cs="Times New Roman"/>
                <w:i/>
                <w:iCs/>
                <w:color w:val="000000"/>
                <w:sz w:val="21"/>
                <w:szCs w:val="21"/>
                <w:u w:val="none"/>
              </w:rPr>
            </w:pPr>
          </w:p>
        </w:tc>
      </w:tr>
      <w:tr w14:paraId="38C1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F1DA">
            <w:pPr>
              <w:jc w:val="center"/>
              <w:rPr>
                <w:rFonts w:hint="default" w:ascii="Times New Roman" w:hAnsi="Times New Roman" w:eastAsia="仿宋_GB2312" w:cs="Times New Roman"/>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8D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其他资金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C4FB">
            <w:pPr>
              <w:jc w:val="center"/>
              <w:rPr>
                <w:rFonts w:hint="default" w:ascii="Times New Roman" w:hAnsi="Times New Roman" w:eastAsia="仿宋_GB2312" w:cs="Times New Roman"/>
                <w:i/>
                <w:iCs/>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7F98">
            <w:pPr>
              <w:jc w:val="center"/>
              <w:rPr>
                <w:rFonts w:hint="default" w:ascii="Times New Roman" w:hAnsi="Times New Roman" w:eastAsia="仿宋_GB2312" w:cs="Times New Roman"/>
                <w:i/>
                <w:iCs/>
                <w:color w:val="000000"/>
                <w:sz w:val="21"/>
                <w:szCs w:val="21"/>
                <w:u w:val="none"/>
              </w:rPr>
            </w:pP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36CF1">
            <w:pPr>
              <w:jc w:val="center"/>
              <w:rPr>
                <w:rFonts w:hint="default" w:ascii="Times New Roman" w:hAnsi="Times New Roman" w:eastAsia="仿宋_GB2312" w:cs="Times New Roman"/>
                <w:i/>
                <w:iCs/>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F5F">
            <w:pPr>
              <w:jc w:val="center"/>
              <w:rPr>
                <w:rFonts w:hint="default" w:ascii="Times New Roman" w:hAnsi="Times New Roman" w:eastAsia="仿宋_GB2312" w:cs="Times New Roman"/>
                <w:i/>
                <w:iCs/>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9D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BD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5C4F">
            <w:pPr>
              <w:rPr>
                <w:rFonts w:hint="default" w:ascii="Times New Roman" w:hAnsi="Times New Roman" w:eastAsia="仿宋_GB2312" w:cs="Times New Roman"/>
                <w:i/>
                <w:iCs/>
                <w:color w:val="000000"/>
                <w:sz w:val="21"/>
                <w:szCs w:val="21"/>
                <w:u w:val="none"/>
              </w:rPr>
            </w:pPr>
          </w:p>
        </w:tc>
      </w:tr>
      <w:tr w14:paraId="308C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7B6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绩效指标（90分）</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3E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A4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A6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DC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指标性质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0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1C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度量单位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68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44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94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C0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未完成原因分析</w:t>
            </w:r>
          </w:p>
        </w:tc>
      </w:tr>
      <w:tr w14:paraId="52D0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10F2">
            <w:pPr>
              <w:jc w:val="center"/>
              <w:rPr>
                <w:rFonts w:hint="default" w:ascii="Times New Roman" w:hAnsi="Times New Roman" w:eastAsia="仿宋_GB2312" w:cs="Times New Roman"/>
                <w:i w:val="0"/>
                <w:iCs w:val="0"/>
                <w:color w:val="000000"/>
                <w:sz w:val="21"/>
                <w:szCs w:val="21"/>
                <w:u w:val="none"/>
              </w:rPr>
            </w:pP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2C4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685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EA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两次全区妇女会议</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35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11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30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7A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妇女会议2次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C7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D8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3A80">
            <w:pPr>
              <w:jc w:val="center"/>
              <w:rPr>
                <w:rFonts w:hint="default" w:ascii="Times New Roman" w:hAnsi="Times New Roman" w:eastAsia="仿宋_GB2312" w:cs="Times New Roman"/>
                <w:i/>
                <w:iCs/>
                <w:color w:val="000000"/>
                <w:sz w:val="21"/>
                <w:szCs w:val="21"/>
                <w:u w:val="none"/>
              </w:rPr>
            </w:pPr>
          </w:p>
        </w:tc>
      </w:tr>
      <w:tr w14:paraId="2E27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5491">
            <w:pPr>
              <w:jc w:val="center"/>
              <w:rPr>
                <w:rFonts w:hint="default" w:ascii="Times New Roman" w:hAnsi="Times New Roman" w:eastAsia="仿宋_GB2312" w:cs="Times New Roman"/>
                <w:i w:val="0"/>
                <w:iCs w:val="0"/>
                <w:color w:val="000000"/>
                <w:sz w:val="21"/>
                <w:szCs w:val="21"/>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A43F">
            <w:pPr>
              <w:jc w:val="center"/>
              <w:rPr>
                <w:rFonts w:hint="default" w:ascii="Times New Roman" w:hAnsi="Times New Roman" w:eastAsia="仿宋_GB2312" w:cs="Times New Roman"/>
                <w:i w:val="0"/>
                <w:iCs w:val="0"/>
                <w:color w:val="000000"/>
                <w:sz w:val="21"/>
                <w:szCs w:val="21"/>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9DB96">
            <w:pPr>
              <w:jc w:val="center"/>
              <w:rPr>
                <w:rFonts w:hint="default" w:ascii="Times New Roman" w:hAnsi="Times New Roman" w:eastAsia="仿宋_GB2312" w:cs="Times New Roman"/>
                <w:i w:val="0"/>
                <w:iCs w:val="0"/>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7A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保障人员</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CA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26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3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万人</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C4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涉及2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8A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1F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33C">
            <w:pPr>
              <w:jc w:val="center"/>
              <w:rPr>
                <w:rFonts w:hint="default" w:ascii="Times New Roman" w:hAnsi="Times New Roman" w:eastAsia="仿宋_GB2312" w:cs="Times New Roman"/>
                <w:i/>
                <w:iCs/>
                <w:color w:val="000000"/>
                <w:sz w:val="21"/>
                <w:szCs w:val="21"/>
                <w:u w:val="none"/>
              </w:rPr>
            </w:pPr>
          </w:p>
        </w:tc>
      </w:tr>
      <w:tr w14:paraId="7AF0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C8B0C">
            <w:pPr>
              <w:jc w:val="center"/>
              <w:rPr>
                <w:rFonts w:hint="default" w:ascii="Times New Roman" w:hAnsi="Times New Roman" w:eastAsia="仿宋_GB2312" w:cs="Times New Roman"/>
                <w:i w:val="0"/>
                <w:iCs w:val="0"/>
                <w:color w:val="000000"/>
                <w:sz w:val="21"/>
                <w:szCs w:val="21"/>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0D6C">
            <w:pPr>
              <w:jc w:val="center"/>
              <w:rPr>
                <w:rFonts w:hint="default" w:ascii="Times New Roman" w:hAnsi="Times New Roman" w:eastAsia="仿宋_GB2312" w:cs="Times New Roman"/>
                <w:i w:val="0"/>
                <w:iCs w:val="0"/>
                <w:color w:val="000000"/>
                <w:sz w:val="21"/>
                <w:szCs w:val="21"/>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CE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B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全区妇女家庭获得感提升率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A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E5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A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98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提升30%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34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5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BF0B">
            <w:pPr>
              <w:jc w:val="center"/>
              <w:rPr>
                <w:rFonts w:hint="default" w:ascii="Times New Roman" w:hAnsi="Times New Roman" w:eastAsia="仿宋_GB2312" w:cs="Times New Roman"/>
                <w:i/>
                <w:iCs/>
                <w:color w:val="000000"/>
                <w:sz w:val="21"/>
                <w:szCs w:val="21"/>
                <w:u w:val="none"/>
              </w:rPr>
            </w:pPr>
          </w:p>
        </w:tc>
      </w:tr>
      <w:tr w14:paraId="6067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9A9C">
            <w:pPr>
              <w:jc w:val="center"/>
              <w:rPr>
                <w:rFonts w:hint="default" w:ascii="Times New Roman" w:hAnsi="Times New Roman" w:eastAsia="仿宋_GB2312" w:cs="Times New Roman"/>
                <w:i w:val="0"/>
                <w:iCs w:val="0"/>
                <w:color w:val="000000"/>
                <w:sz w:val="21"/>
                <w:szCs w:val="21"/>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2AED">
            <w:pPr>
              <w:jc w:val="center"/>
              <w:rPr>
                <w:rFonts w:hint="default" w:ascii="Times New Roman" w:hAnsi="Times New Roman" w:eastAsia="仿宋_GB2312" w:cs="Times New Roman"/>
                <w:i w:val="0"/>
                <w:iCs w:val="0"/>
                <w:color w:val="000000"/>
                <w:sz w:val="21"/>
                <w:szCs w:val="21"/>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39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88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保障时间</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E4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A2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204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03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85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11月底前完成</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60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9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B36B">
            <w:pPr>
              <w:jc w:val="center"/>
              <w:rPr>
                <w:rFonts w:hint="default" w:ascii="Times New Roman" w:hAnsi="Times New Roman" w:eastAsia="仿宋_GB2312" w:cs="Times New Roman"/>
                <w:i/>
                <w:iCs/>
                <w:color w:val="000000"/>
                <w:sz w:val="21"/>
                <w:szCs w:val="21"/>
                <w:u w:val="none"/>
              </w:rPr>
            </w:pPr>
          </w:p>
        </w:tc>
      </w:tr>
      <w:tr w14:paraId="16D7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89FE">
            <w:pPr>
              <w:jc w:val="center"/>
              <w:rPr>
                <w:rFonts w:hint="default" w:ascii="Times New Roman" w:hAnsi="Times New Roman" w:eastAsia="仿宋_GB2312" w:cs="Times New Roman"/>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CF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B3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社会效益指标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64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防止行政违规，营造良好环境</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7D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E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42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EE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FF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D9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F3E8">
            <w:pPr>
              <w:jc w:val="center"/>
              <w:rPr>
                <w:rFonts w:hint="default" w:ascii="Times New Roman" w:hAnsi="Times New Roman" w:eastAsia="仿宋_GB2312" w:cs="Times New Roman"/>
                <w:i/>
                <w:iCs/>
                <w:color w:val="000000"/>
                <w:sz w:val="21"/>
                <w:szCs w:val="21"/>
                <w:u w:val="none"/>
              </w:rPr>
            </w:pPr>
          </w:p>
        </w:tc>
      </w:tr>
      <w:tr w14:paraId="2BFE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AECB">
            <w:pPr>
              <w:jc w:val="center"/>
              <w:rPr>
                <w:rFonts w:hint="default" w:ascii="Times New Roman" w:hAnsi="Times New Roman" w:eastAsia="仿宋_GB2312" w:cs="Times New Roman"/>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91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3D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DE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E4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D3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36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16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2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4A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18B">
            <w:pPr>
              <w:jc w:val="center"/>
              <w:rPr>
                <w:rFonts w:hint="default" w:ascii="Times New Roman" w:hAnsi="Times New Roman" w:eastAsia="仿宋_GB2312" w:cs="Times New Roman"/>
                <w:i/>
                <w:iCs/>
                <w:color w:val="000000"/>
                <w:sz w:val="21"/>
                <w:szCs w:val="21"/>
                <w:u w:val="none"/>
              </w:rPr>
            </w:pPr>
          </w:p>
        </w:tc>
      </w:tr>
      <w:tr w14:paraId="1CDD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6BEA2">
            <w:pPr>
              <w:jc w:val="center"/>
              <w:rPr>
                <w:rFonts w:hint="default" w:ascii="Times New Roman" w:hAnsi="Times New Roman" w:eastAsia="仿宋_GB2312" w:cs="Times New Roman"/>
                <w:i w:val="0"/>
                <w:iCs w:val="0"/>
                <w:color w:val="000000"/>
                <w:sz w:val="21"/>
                <w:szCs w:val="21"/>
                <w:u w:val="none"/>
              </w:rPr>
            </w:pP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1C0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成本指标</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FBF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经济成本指标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82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项目劳务费</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79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33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29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66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劳务费4万元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56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0F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59BB">
            <w:pPr>
              <w:jc w:val="center"/>
              <w:rPr>
                <w:rFonts w:hint="default" w:ascii="Times New Roman" w:hAnsi="Times New Roman" w:eastAsia="仿宋_GB2312" w:cs="Times New Roman"/>
                <w:i/>
                <w:iCs/>
                <w:color w:val="000000"/>
                <w:sz w:val="21"/>
                <w:szCs w:val="21"/>
                <w:u w:val="none"/>
              </w:rPr>
            </w:pPr>
          </w:p>
        </w:tc>
      </w:tr>
      <w:tr w14:paraId="403D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5990">
            <w:pPr>
              <w:jc w:val="center"/>
              <w:rPr>
                <w:rFonts w:hint="default" w:ascii="Times New Roman" w:hAnsi="Times New Roman" w:eastAsia="仿宋_GB2312" w:cs="Times New Roman"/>
                <w:i w:val="0"/>
                <w:iCs w:val="0"/>
                <w:color w:val="000000"/>
                <w:sz w:val="21"/>
                <w:szCs w:val="21"/>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AB8D">
            <w:pPr>
              <w:jc w:val="center"/>
              <w:rPr>
                <w:rFonts w:hint="default" w:ascii="Times New Roman" w:hAnsi="Times New Roman" w:eastAsia="仿宋_GB2312" w:cs="Times New Roman"/>
                <w:i w:val="0"/>
                <w:iCs w:val="0"/>
                <w:color w:val="000000"/>
                <w:sz w:val="21"/>
                <w:szCs w:val="21"/>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7461">
            <w:pPr>
              <w:jc w:val="center"/>
              <w:rPr>
                <w:rFonts w:hint="default" w:ascii="Times New Roman" w:hAnsi="Times New Roman" w:eastAsia="仿宋_GB2312" w:cs="Times New Roman"/>
                <w:i w:val="0"/>
                <w:iCs w:val="0"/>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D2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项目宣传费</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12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A1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77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87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广告制作费4万元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2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56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43AD">
            <w:pPr>
              <w:jc w:val="center"/>
              <w:rPr>
                <w:rFonts w:hint="default" w:ascii="Times New Roman" w:hAnsi="Times New Roman" w:eastAsia="仿宋_GB2312" w:cs="Times New Roman"/>
                <w:i/>
                <w:iCs/>
                <w:color w:val="000000"/>
                <w:sz w:val="21"/>
                <w:szCs w:val="21"/>
                <w:u w:val="none"/>
              </w:rPr>
            </w:pPr>
          </w:p>
        </w:tc>
      </w:tr>
      <w:tr w14:paraId="7F4F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7D06">
            <w:pPr>
              <w:jc w:val="center"/>
              <w:rPr>
                <w:rFonts w:hint="default" w:ascii="Times New Roman" w:hAnsi="Times New Roman" w:eastAsia="仿宋_GB2312" w:cs="Times New Roman"/>
                <w:i w:val="0"/>
                <w:iCs w:val="0"/>
                <w:color w:val="000000"/>
                <w:sz w:val="21"/>
                <w:szCs w:val="21"/>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30705">
            <w:pPr>
              <w:jc w:val="center"/>
              <w:rPr>
                <w:rFonts w:hint="default" w:ascii="Times New Roman" w:hAnsi="Times New Roman" w:eastAsia="仿宋_GB2312" w:cs="Times New Roman"/>
                <w:i w:val="0"/>
                <w:iCs w:val="0"/>
                <w:color w:val="000000"/>
                <w:sz w:val="21"/>
                <w:szCs w:val="21"/>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58A2B">
            <w:pPr>
              <w:jc w:val="center"/>
              <w:rPr>
                <w:rFonts w:hint="default" w:ascii="Times New Roman" w:hAnsi="Times New Roman" w:eastAsia="仿宋_GB2312" w:cs="Times New Roman"/>
                <w:i w:val="0"/>
                <w:iCs w:val="0"/>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15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项目办公经费</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64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19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95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AF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办公经费2万元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1F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98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316">
            <w:pPr>
              <w:jc w:val="center"/>
              <w:rPr>
                <w:rFonts w:hint="default" w:ascii="Times New Roman" w:hAnsi="Times New Roman" w:eastAsia="仿宋_GB2312" w:cs="Times New Roman"/>
                <w:i/>
                <w:iCs/>
                <w:color w:val="000000"/>
                <w:sz w:val="21"/>
                <w:szCs w:val="21"/>
                <w:u w:val="none"/>
              </w:rPr>
            </w:pPr>
          </w:p>
        </w:tc>
      </w:tr>
      <w:tr w14:paraId="4B91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BE38">
            <w:pPr>
              <w:jc w:val="center"/>
              <w:rPr>
                <w:rFonts w:hint="default" w:ascii="Times New Roman" w:hAnsi="Times New Roman" w:eastAsia="仿宋_GB2312" w:cs="Times New Roman"/>
                <w:i w:val="0"/>
                <w:iCs w:val="0"/>
                <w:color w:val="000000"/>
                <w:sz w:val="21"/>
                <w:szCs w:val="21"/>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8EC5">
            <w:pPr>
              <w:jc w:val="center"/>
              <w:rPr>
                <w:rFonts w:hint="default" w:ascii="Times New Roman" w:hAnsi="Times New Roman" w:eastAsia="仿宋_GB2312" w:cs="Times New Roman"/>
                <w:i w:val="0"/>
                <w:iCs w:val="0"/>
                <w:color w:val="000000"/>
                <w:sz w:val="21"/>
                <w:szCs w:val="21"/>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85E22">
            <w:pPr>
              <w:jc w:val="center"/>
              <w:rPr>
                <w:rFonts w:hint="default" w:ascii="Times New Roman" w:hAnsi="Times New Roman" w:eastAsia="仿宋_GB2312" w:cs="Times New Roman"/>
                <w:i w:val="0"/>
                <w:iCs w:val="0"/>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4B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项目出差补助</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65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3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A3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AA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差旅费2万元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36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68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5BB4">
            <w:pPr>
              <w:jc w:val="center"/>
              <w:rPr>
                <w:rFonts w:hint="default" w:ascii="Times New Roman" w:hAnsi="Times New Roman" w:eastAsia="仿宋_GB2312" w:cs="Times New Roman"/>
                <w:i/>
                <w:iCs/>
                <w:color w:val="000000"/>
                <w:sz w:val="21"/>
                <w:szCs w:val="21"/>
                <w:u w:val="none"/>
              </w:rPr>
            </w:pPr>
          </w:p>
        </w:tc>
      </w:tr>
      <w:tr w14:paraId="3AD0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54EE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6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74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A1AB">
            <w:pPr>
              <w:jc w:val="center"/>
              <w:rPr>
                <w:rFonts w:hint="default" w:ascii="Times New Roman" w:hAnsi="Times New Roman" w:eastAsia="仿宋_GB2312" w:cs="Times New Roman"/>
                <w:i w:val="0"/>
                <w:iCs w:val="0"/>
                <w:color w:val="000000"/>
                <w:sz w:val="21"/>
                <w:szCs w:val="21"/>
                <w:u w:val="none"/>
              </w:rPr>
            </w:pPr>
          </w:p>
        </w:tc>
      </w:tr>
      <w:tr w14:paraId="3257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B8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评价结论</w:t>
            </w:r>
          </w:p>
        </w:tc>
        <w:tc>
          <w:tcPr>
            <w:tcW w:w="8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B269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经综合评价，2024 年人均一元钱工作经费项目绩效评价得分 100分。项目决策科学合理，立项依据充分，绩效目标明确；过程管理规范，资金使用安全合规，项目管理制度健全；产出成果丰硕，各项产出指标均达到或超过预期目标；效益显著，在促进妇女就业创业、维护家庭和谐稳定、提升妇女儿童幸福感等方面取得了良好的社会效益，服务对象满意度高。</w:t>
            </w:r>
          </w:p>
        </w:tc>
      </w:tr>
      <w:tr w14:paraId="0BA3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63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存在问题</w:t>
            </w:r>
          </w:p>
        </w:tc>
        <w:tc>
          <w:tcPr>
            <w:tcW w:w="8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C46E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1、资金规模有限：人均 1 元钱的工作经费标准相对较低，难以满足日益增长的妇女儿童服务需求。随着妇女儿童对美好生活的向往和需求不断提高，项目资金在开展大型活动、拓展服务领域等方面显得捉襟见肘。原因主要是财政投入相对不足，社会资金参与度不高，资金筹集渠道较为单一。</w:t>
            </w:r>
          </w:p>
          <w:p w14:paraId="366FB4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2、专业人才缺乏：在开展创业就业培训、家庭教育指导服务、婚姻家庭纠纷调解等工作中，缺乏专业的师资和工作人员。部分工作人员业务能力和服务水平有待提高，影响了项目实施的质量和效果。这主要是由于相关专业人才培养体系不完善，对专业人才的引进和激励机制不健全。</w:t>
            </w:r>
          </w:p>
          <w:p w14:paraId="1B7939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3、服务覆盖不够均衡：项目服务在不同区域、不同群体之间存在一定的差距，一些偏远地区和特殊困难群体受益相对较少。原因在于区域发展不平衡，偏远地区交通不便、信息相对闭塞，开展服务难度较大；同时，对特殊困难群体的精准识别和服务还不够到位。</w:t>
            </w:r>
          </w:p>
        </w:tc>
      </w:tr>
      <w:tr w14:paraId="750A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74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改进措施</w:t>
            </w:r>
          </w:p>
        </w:tc>
        <w:tc>
          <w:tcPr>
            <w:tcW w:w="8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9CD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（一）加大资金投入力度</w:t>
            </w:r>
          </w:p>
          <w:p w14:paraId="3A0142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积极争取财政部门增加对妇女儿童工作经费的投入，提高人均工作经费标准。同时，拓宽资金筹集渠道，鼓励引导社会组织、企业和个人捐赠，设立妇女儿童发展专项基金，为项目实施提供更充足的资金保障。</w:t>
            </w:r>
          </w:p>
          <w:p w14:paraId="1E31FB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（二）加强专业人才队伍建设</w:t>
            </w:r>
          </w:p>
          <w:p w14:paraId="544100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建立健全专业人才培养和引进机制，加强对妇联工作人员和志愿者的业务培训，提高其专业素质和服务能力。邀请专家学者进行授课和指导，定期组织业务交流和经验分享活动。通过提供优惠政策和待遇，吸引更多专业人才投身妇女儿童事业。</w:t>
            </w:r>
          </w:p>
          <w:p w14:paraId="080005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（三）优化服务资源配置</w:t>
            </w:r>
          </w:p>
          <w:p w14:paraId="699BD8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加强对偏远地区和特殊困难群体的关注和支持，合理安排项目资源，加大对这些地区和群体的服务力度。利用互联网、新媒体等技术手段，开展线上线下相结合的服务活动，扩大服务覆盖面。建立完善的服务对象信息库，精准识别特殊困难群体，提供个性化、差异化的服务。</w:t>
            </w:r>
          </w:p>
        </w:tc>
      </w:tr>
      <w:tr w14:paraId="7479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4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3D9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项目负责人：贺敏</w:t>
            </w:r>
          </w:p>
        </w:tc>
        <w:tc>
          <w:tcPr>
            <w:tcW w:w="45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6D9A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财务负责人：蹇亚玲</w:t>
            </w:r>
          </w:p>
        </w:tc>
      </w:tr>
    </w:tbl>
    <w:p w14:paraId="300A980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default" w:ascii="Times New Roman" w:hAnsi="Times New Roman" w:eastAsia="黑体" w:cs="Times New Roman"/>
          <w:kern w:val="2"/>
          <w:sz w:val="32"/>
          <w:szCs w:val="32"/>
          <w:lang w:val="en-US" w:eastAsia="zh-CN" w:bidi="ar-SA"/>
        </w:rPr>
      </w:pPr>
    </w:p>
    <w:p w14:paraId="3F27B2D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default" w:ascii="Times New Roman" w:hAnsi="Times New Roman" w:eastAsia="黑体" w:cs="Times New Roman"/>
          <w:kern w:val="2"/>
          <w:sz w:val="32"/>
          <w:szCs w:val="32"/>
          <w:lang w:val="en-US" w:eastAsia="zh-CN" w:bidi="ar-SA"/>
        </w:rPr>
      </w:pPr>
    </w:p>
    <w:p w14:paraId="09BFB53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default" w:ascii="Times New Roman" w:hAnsi="Times New Roman" w:eastAsia="黑体" w:cs="Times New Roman"/>
          <w:kern w:val="2"/>
          <w:sz w:val="32"/>
          <w:szCs w:val="32"/>
          <w:lang w:val="en-US" w:eastAsia="zh-CN" w:bidi="ar-SA"/>
        </w:rPr>
      </w:pPr>
    </w:p>
    <w:p w14:paraId="14A06CB2">
      <w:pPr>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br w:type="page"/>
      </w:r>
    </w:p>
    <w:p w14:paraId="0609534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default" w:ascii="Times New Roman" w:hAnsi="Times New Roman" w:eastAsia="仿宋_GB2312" w:cs="Times New Roman"/>
          <w:kern w:val="2"/>
          <w:sz w:val="32"/>
          <w:szCs w:val="32"/>
          <w:lang w:val="en-US" w:eastAsia="zh-CN" w:bidi="ar-SA"/>
        </w:rPr>
      </w:pPr>
    </w:p>
    <w:p w14:paraId="1CE7D5AB">
      <w:pPr>
        <w:pStyle w:val="2"/>
        <w:keepNext w:val="0"/>
        <w:keepLines w:val="0"/>
        <w:pageBreakBefore w:val="0"/>
        <w:widowControl w:val="0"/>
        <w:kinsoku/>
        <w:wordWrap/>
        <w:overflowPunct/>
        <w:topLinePunct w:val="0"/>
        <w:bidi w:val="0"/>
        <w:spacing w:before="0" w:after="0" w:line="560" w:lineRule="exact"/>
        <w:ind w:right="0"/>
        <w:jc w:val="center"/>
        <w:rPr>
          <w:rFonts w:hint="default" w:ascii="Times New Roman" w:hAnsi="Times New Roman" w:eastAsia="方正小标宋简体" w:cs="Times New Roman"/>
          <w:b w:val="0"/>
          <w:bCs w:val="0"/>
          <w:sz w:val="44"/>
          <w:szCs w:val="44"/>
        </w:rPr>
      </w:pPr>
      <w:bookmarkStart w:id="39" w:name="_Toc30588"/>
      <w:r>
        <w:rPr>
          <w:rFonts w:hint="default" w:ascii="Times New Roman" w:hAnsi="Times New Roman" w:eastAsia="方正小标宋简体" w:cs="Times New Roman"/>
          <w:b w:val="0"/>
          <w:bCs w:val="0"/>
          <w:sz w:val="44"/>
          <w:szCs w:val="44"/>
          <w:lang w:eastAsia="zh-CN"/>
        </w:rPr>
        <w:t>区妇联临聘人员经费</w:t>
      </w:r>
      <w:r>
        <w:rPr>
          <w:rFonts w:hint="default" w:ascii="Times New Roman" w:hAnsi="Times New Roman" w:eastAsia="方正小标宋简体" w:cs="Times New Roman"/>
          <w:b w:val="0"/>
          <w:bCs w:val="0"/>
          <w:sz w:val="44"/>
          <w:szCs w:val="44"/>
        </w:rPr>
        <w:t>项目支出绩效评价报告</w:t>
      </w:r>
      <w:bookmarkEnd w:id="39"/>
    </w:p>
    <w:p w14:paraId="5C0F46CE">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p>
    <w:p w14:paraId="57DC8176">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一、评价工作开展及项目情况</w:t>
      </w:r>
    </w:p>
    <w:p w14:paraId="1AFA6DEC">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关于绩效评价选点要求，选取了</w:t>
      </w:r>
      <w:r>
        <w:rPr>
          <w:rFonts w:hint="default" w:ascii="Times New Roman" w:hAnsi="Times New Roman" w:eastAsia="仿宋_GB2312" w:cs="Times New Roman"/>
          <w:sz w:val="32"/>
          <w:szCs w:val="32"/>
          <w:lang w:eastAsia="zh-CN"/>
        </w:rPr>
        <w:t>2024年临聘人员经费</w:t>
      </w:r>
      <w:r>
        <w:rPr>
          <w:rFonts w:hint="default" w:ascii="Times New Roman" w:hAnsi="Times New Roman" w:eastAsia="仿宋_GB2312" w:cs="Times New Roman"/>
          <w:sz w:val="32"/>
          <w:szCs w:val="32"/>
        </w:rPr>
        <w:t>进行评价。</w:t>
      </w:r>
    </w:p>
    <w:p w14:paraId="7A7F58F0">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color w:val="000000"/>
          <w:sz w:val="32"/>
          <w:szCs w:val="32"/>
          <w:lang w:val="en-US" w:eastAsia="zh-CN"/>
        </w:rPr>
      </w:pPr>
      <w:r>
        <w:rPr>
          <w:rFonts w:hint="default" w:ascii="Times New Roman" w:hAnsi="Times New Roman" w:eastAsia="黑体" w:cs="Times New Roman"/>
          <w:b w:val="0"/>
          <w:color w:val="000000"/>
          <w:sz w:val="32"/>
          <w:szCs w:val="32"/>
          <w:lang w:val="en-US" w:eastAsia="zh-CN"/>
        </w:rPr>
        <w:t>二、评价结论及绩效分析</w:t>
      </w:r>
    </w:p>
    <w:p w14:paraId="371EC464">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（一）评价结论</w:t>
      </w:r>
    </w:p>
    <w:p w14:paraId="01E43AEA">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总体上看，项目目标明确、资金到位率高、组织监管体系完善。</w:t>
      </w: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sz w:val="32"/>
          <w:szCs w:val="32"/>
        </w:rPr>
        <w:t>较好地实现了绩效目标。</w:t>
      </w:r>
    </w:p>
    <w:p w14:paraId="4198915B">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（二）绩效分析</w:t>
      </w:r>
    </w:p>
    <w:p w14:paraId="11F7C886">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项目决策</w:t>
      </w:r>
    </w:p>
    <w:p w14:paraId="0F147DC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（1）绩效目标情况</w:t>
      </w:r>
    </w:p>
    <w:p w14:paraId="328AEB1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2024年临聘人员经费</w:t>
      </w:r>
      <w:r>
        <w:rPr>
          <w:rFonts w:hint="default" w:ascii="Times New Roman" w:hAnsi="Times New Roman" w:eastAsia="仿宋_GB2312" w:cs="Times New Roman"/>
          <w:kern w:val="2"/>
          <w:sz w:val="32"/>
          <w:szCs w:val="32"/>
          <w:lang w:val="en-US" w:eastAsia="zh-CN" w:bidi="ar-SA"/>
        </w:rPr>
        <w:t>项目涉及区妇联</w:t>
      </w:r>
      <w:r>
        <w:rPr>
          <w:rFonts w:hint="default" w:ascii="Times New Roman" w:hAnsi="Times New Roman" w:eastAsia="仿宋_GB2312" w:cs="Times New Roman"/>
          <w:sz w:val="32"/>
          <w:szCs w:val="32"/>
          <w:lang w:eastAsia="zh-CN"/>
        </w:rPr>
        <w:t>参政议政</w:t>
      </w:r>
      <w:r>
        <w:rPr>
          <w:rFonts w:hint="default" w:ascii="Times New Roman" w:hAnsi="Times New Roman" w:eastAsia="仿宋_GB2312" w:cs="Times New Roman"/>
          <w:kern w:val="2"/>
          <w:sz w:val="32"/>
          <w:szCs w:val="32"/>
          <w:lang w:val="en-US" w:eastAsia="zh-CN" w:bidi="ar-SA"/>
        </w:rPr>
        <w:t>相关事宜。</w:t>
      </w:r>
    </w:p>
    <w:p w14:paraId="7A38F38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2024年临聘人员经费</w:t>
      </w:r>
      <w:r>
        <w:rPr>
          <w:rFonts w:hint="default" w:ascii="Times New Roman" w:hAnsi="Times New Roman" w:eastAsia="仿宋_GB2312" w:cs="Times New Roman"/>
          <w:kern w:val="2"/>
          <w:sz w:val="32"/>
          <w:szCs w:val="32"/>
          <w:lang w:val="en-US" w:eastAsia="zh-CN" w:bidi="ar-SA"/>
        </w:rPr>
        <w:t>项目具体项目内容为按照法律赋予的职权,在事关经济发展、社会稳定、民计民生等方面进行全面监督,开展调研、视察、检查等活动，有效地促进政府工作规范，以法行政、树立</w:t>
      </w:r>
      <w:r>
        <w:rPr>
          <w:rFonts w:hint="eastAsia" w:ascii="Times New Roman" w:hAnsi="Times New Roman" w:eastAsia="仿宋_GB2312" w:cs="Times New Roman"/>
          <w:kern w:val="2"/>
          <w:sz w:val="32"/>
          <w:szCs w:val="32"/>
          <w:lang w:val="en-US" w:eastAsia="zh-CN" w:bidi="ar-SA"/>
        </w:rPr>
        <w:t>良好形象</w:t>
      </w:r>
      <w:r>
        <w:rPr>
          <w:rFonts w:hint="default" w:ascii="Times New Roman" w:hAnsi="Times New Roman" w:eastAsia="仿宋_GB2312" w:cs="Times New Roman"/>
          <w:kern w:val="2"/>
          <w:sz w:val="32"/>
          <w:szCs w:val="32"/>
          <w:lang w:val="en-US" w:eastAsia="zh-CN" w:bidi="ar-SA"/>
        </w:rPr>
        <w:t>，同时也能较好地维护人民群众的合法利益,为减少矛盾,维护稳定,保障经济健康发展创造了良好的人居环境和生产环境。</w:t>
      </w:r>
    </w:p>
    <w:p w14:paraId="08DDD0C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（2）决策依据情况</w:t>
      </w:r>
    </w:p>
    <w:p w14:paraId="0B5AB01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kern w:val="2"/>
          <w:sz w:val="32"/>
          <w:szCs w:val="32"/>
          <w:lang w:val="en-US" w:eastAsia="zh-CN" w:bidi="ar-SA"/>
        </w:rPr>
        <w:t>，是指政府、部门协作、公众参与，对政府在事关经济发展、社会稳定、民计民生等方面进行全面监督的活动。以《四川省政府行政综合管理条例》2011年7月29日四川省人民代表大会常务委员会发布的文件为决策依据；明确规定了单位负责辖区内</w:t>
      </w: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的具体工作，指导和督促完成单位相关</w:t>
      </w:r>
      <w:r>
        <w:rPr>
          <w:rFonts w:hint="default" w:ascii="Times New Roman" w:hAnsi="Times New Roman" w:eastAsia="仿宋_GB2312" w:cs="Times New Roman"/>
          <w:sz w:val="32"/>
          <w:szCs w:val="32"/>
          <w:lang w:eastAsia="zh-CN"/>
        </w:rPr>
        <w:t>业务及其它</w:t>
      </w:r>
      <w:r>
        <w:rPr>
          <w:rFonts w:hint="default" w:ascii="Times New Roman" w:hAnsi="Times New Roman" w:eastAsia="仿宋_GB2312" w:cs="Times New Roman"/>
          <w:kern w:val="2"/>
          <w:sz w:val="32"/>
          <w:szCs w:val="32"/>
          <w:lang w:val="en-US" w:eastAsia="zh-CN" w:bidi="ar-SA"/>
        </w:rPr>
        <w:t>工作。</w:t>
      </w:r>
    </w:p>
    <w:p w14:paraId="7A05208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（3）资金分配情况</w:t>
      </w:r>
    </w:p>
    <w:p w14:paraId="6891A98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项目资金分配按照预算申报财政资金4.5万元，进行分配，具体项目分配情况如下：</w:t>
      </w:r>
    </w:p>
    <w:p w14:paraId="2CBFA88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补助支出4.5万元（由单位单位聘用相关人员后报销）。</w:t>
      </w:r>
    </w:p>
    <w:p w14:paraId="2D602B49">
      <w:pPr>
        <w:keepNext w:val="0"/>
        <w:keepLines w:val="0"/>
        <w:pageBreakBefore w:val="0"/>
        <w:widowControl w:val="0"/>
        <w:kinsoku/>
        <w:wordWrap/>
        <w:overflowPunct/>
        <w:topLinePunct w:val="0"/>
        <w:bidi w:val="0"/>
        <w:spacing w:line="560" w:lineRule="exact"/>
        <w:ind w:left="0" w:leftChars="0" w:right="0"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项目管理</w:t>
      </w:r>
    </w:p>
    <w:p w14:paraId="5C182E3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（1）资金到位情况</w:t>
      </w:r>
    </w:p>
    <w:p w14:paraId="028E059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该项目申报金额为4.5万元，根据区财政局2024年财政预算，该项目实际下达金额为4.5万元。</w:t>
      </w:r>
    </w:p>
    <w:p w14:paraId="43626967">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2024年财政实际下拨4.5万元，项目实际支出为4.5万元，项目资金按照项目实施进度支付。</w:t>
      </w:r>
    </w:p>
    <w:p w14:paraId="0779ACC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（2）资金管理情况</w:t>
      </w:r>
    </w:p>
    <w:p w14:paraId="4D3DA0C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现场查账，项目经费专款专用，未发现支出依据不合规、虚列项目支出的情况，也未发现截留、挤占、挪用等情况，资金使用安全有效。</w:t>
      </w:r>
    </w:p>
    <w:p w14:paraId="2D9CF05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（3）财务管理情况</w:t>
      </w:r>
    </w:p>
    <w:p w14:paraId="1D44012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3EF1AF30">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（4）组织实施情况</w:t>
      </w:r>
    </w:p>
    <w:p w14:paraId="688E590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根据区妇联自评和现场抽样考核，项目未出现重大调整或无法实施的情况，项目实施方面按照《四川省政府行政综合管理条例》的相关规定严格执行。</w:t>
      </w:r>
    </w:p>
    <w:p w14:paraId="746C4619">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3、项目绩效</w:t>
      </w:r>
    </w:p>
    <w:p w14:paraId="27576A1A">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（一）目标完成</w:t>
      </w:r>
    </w:p>
    <w:p w14:paraId="5455CC2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1、目标任务量完成情况</w:t>
      </w:r>
    </w:p>
    <w:p w14:paraId="6E1AD59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2024年通过</w:t>
      </w: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kern w:val="2"/>
          <w:sz w:val="32"/>
          <w:szCs w:val="32"/>
          <w:lang w:val="en-US" w:eastAsia="zh-CN" w:bidi="ar-SA"/>
        </w:rPr>
        <w:t>的计划基本完成，项目在区财政局的关心、单位党组高度重视以及各部门的大力配合下，顺利推进，圆满完成任务，临聘人员经费工作得到了较大的提升。</w:t>
      </w:r>
    </w:p>
    <w:p w14:paraId="4412B3C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2、项目完成质量</w:t>
      </w:r>
    </w:p>
    <w:p w14:paraId="5AD9D32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方正小标宋简体" w:cs="Times New Roman"/>
          <w:b w:val="0"/>
          <w:bCs w:val="0"/>
          <w:color w:val="000000"/>
          <w:kern w:val="0"/>
          <w:sz w:val="44"/>
          <w:szCs w:val="44"/>
          <w:lang w:val="en-US" w:eastAsia="zh-CN" w:bidi="ar-SA"/>
        </w:rPr>
      </w:pPr>
      <w:r>
        <w:rPr>
          <w:rFonts w:hint="default" w:ascii="Times New Roman" w:hAnsi="Times New Roman" w:eastAsia="仿宋_GB2312" w:cs="Times New Roman"/>
          <w:kern w:val="2"/>
          <w:sz w:val="32"/>
          <w:szCs w:val="32"/>
          <w:lang w:val="en-US" w:eastAsia="zh-CN" w:bidi="ar-SA"/>
        </w:rPr>
        <w:t>根据现场查阅相关资料，单位</w:t>
      </w:r>
      <w:r>
        <w:rPr>
          <w:rFonts w:hint="default" w:ascii="Times New Roman" w:hAnsi="Times New Roman" w:eastAsia="仿宋_GB2312" w:cs="Times New Roman"/>
          <w:sz w:val="32"/>
          <w:szCs w:val="32"/>
          <w:lang w:eastAsia="zh-CN"/>
        </w:rPr>
        <w:t>临聘人员经费</w:t>
      </w:r>
      <w:r>
        <w:rPr>
          <w:rFonts w:hint="default"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eastAsia="zh-CN" w:bidi="ar-SA"/>
        </w:rPr>
        <w:t>按照年初既定目标保障</w:t>
      </w:r>
      <w:r>
        <w:rPr>
          <w:rFonts w:hint="default" w:ascii="Times New Roman" w:hAnsi="Times New Roman" w:eastAsia="仿宋_GB2312" w:cs="Times New Roman"/>
          <w:sz w:val="32"/>
          <w:szCs w:val="32"/>
          <w:lang w:eastAsia="zh-CN"/>
        </w:rPr>
        <w:t>临聘人员</w:t>
      </w:r>
      <w:r>
        <w:rPr>
          <w:rFonts w:hint="eastAsia" w:ascii="Times New Roman" w:hAnsi="Times New Roman" w:eastAsia="仿宋_GB2312" w:cs="Times New Roman"/>
          <w:sz w:val="32"/>
          <w:szCs w:val="32"/>
          <w:lang w:val="en-US" w:eastAsia="zh-CN"/>
        </w:rPr>
        <w:t>的工资及保险待遇。</w:t>
      </w:r>
    </w:p>
    <w:p w14:paraId="2F9BEC8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3、项目完成进度</w:t>
      </w:r>
    </w:p>
    <w:p w14:paraId="655D1C8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经现场检查财务资料，项目严格按项目进度支付，项目资金预算4.5万元，财政实际下达4.5万元已全部支付。</w:t>
      </w:r>
    </w:p>
    <w:p w14:paraId="45A51049">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（三）项目结论评价及得分</w:t>
      </w:r>
    </w:p>
    <w:p w14:paraId="1DEB4FF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w:t>
      </w:r>
      <w:r>
        <w:rPr>
          <w:rFonts w:hint="default" w:ascii="Times New Roman" w:hAnsi="Times New Roman" w:eastAsia="仿宋_GB2312" w:cs="Times New Roman"/>
          <w:sz w:val="32"/>
          <w:szCs w:val="32"/>
          <w:lang w:eastAsia="zh-CN"/>
        </w:rPr>
        <w:t>临聘人员</w:t>
      </w:r>
      <w:r>
        <w:rPr>
          <w:rFonts w:hint="default" w:ascii="Times New Roman" w:hAnsi="Times New Roman" w:eastAsia="仿宋_GB2312" w:cs="Times New Roman"/>
          <w:kern w:val="2"/>
          <w:sz w:val="32"/>
          <w:szCs w:val="32"/>
          <w:lang w:val="en-US" w:eastAsia="zh-CN" w:bidi="ar-SA"/>
        </w:rPr>
        <w:t>项目的实施改善了我单位行政作风环境，有效地促进政府工作规范，以法行政、树立良好形象，同时也能较好地维护人民群众的合法利益,为减少矛盾,维护稳定,保障经济健康发展创造了良好的人居环境和生产环境；经单位自评得分为100分（见附件-自评表）。</w:t>
      </w:r>
    </w:p>
    <w:p w14:paraId="7D21CC4A">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三、存在主要问题</w:t>
      </w:r>
    </w:p>
    <w:p w14:paraId="39B603E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5CEE2FAC">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46220B4C">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四、相关措施建议</w:t>
      </w:r>
    </w:p>
    <w:p w14:paraId="0DA1FF72">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1D3E1B2F">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2、加强资金管理，规范各项支出。</w:t>
      </w:r>
    </w:p>
    <w:p w14:paraId="71496EF6">
      <w:pPr>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p>
    <w:p w14:paraId="6D2DC9DB">
      <w:pPr>
        <w:rPr>
          <w:rStyle w:val="33"/>
          <w:rFonts w:hint="default" w:ascii="Times New Roman" w:hAnsi="Times New Roman" w:eastAsia="仿宋_GB2312" w:cs="Times New Roman"/>
          <w:b w:val="0"/>
          <w:sz w:val="32"/>
          <w:szCs w:val="32"/>
        </w:rPr>
      </w:pPr>
      <w:bookmarkStart w:id="40" w:name="_Toc4943"/>
      <w:r>
        <w:rPr>
          <w:rStyle w:val="33"/>
          <w:rFonts w:hint="default" w:ascii="Times New Roman" w:hAnsi="Times New Roman" w:eastAsia="仿宋_GB2312" w:cs="Times New Roman"/>
          <w:b w:val="0"/>
          <w:sz w:val="32"/>
          <w:szCs w:val="32"/>
        </w:rPr>
        <w:br w:type="page"/>
      </w:r>
    </w:p>
    <w:p w14:paraId="681BA272">
      <w:pPr>
        <w:jc w:val="center"/>
        <w:rPr>
          <w:rFonts w:hint="default" w:ascii="Times New Roman" w:hAnsi="Times New Roman" w:cs="Times New Roman"/>
        </w:rPr>
      </w:pPr>
      <w:r>
        <w:rPr>
          <w:rFonts w:hint="default" w:ascii="Times New Roman" w:hAnsi="Times New Roman" w:eastAsia="方正小标宋简体" w:cs="Times New Roman"/>
          <w:b w:val="0"/>
          <w:bCs w:val="0"/>
          <w:sz w:val="44"/>
          <w:szCs w:val="44"/>
          <w:lang w:val="en-US" w:eastAsia="zh-CN"/>
        </w:rPr>
        <w:t>部门预算项目支出绩效自评表（2024年度）</w:t>
      </w:r>
    </w:p>
    <w:tbl>
      <w:tblPr>
        <w:tblStyle w:val="17"/>
        <w:tblW w:w="872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891"/>
        <w:gridCol w:w="904"/>
        <w:gridCol w:w="1237"/>
        <w:gridCol w:w="514"/>
        <w:gridCol w:w="771"/>
        <w:gridCol w:w="514"/>
        <w:gridCol w:w="1197"/>
        <w:gridCol w:w="576"/>
        <w:gridCol w:w="576"/>
        <w:gridCol w:w="848"/>
      </w:tblGrid>
      <w:tr w14:paraId="0B2C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587" w:type="dxa"/>
            <w:gridSpan w:val="2"/>
            <w:shd w:val="clear" w:color="auto" w:fill="auto"/>
            <w:vAlign w:val="center"/>
          </w:tcPr>
          <w:p w14:paraId="3CFC87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项目名称</w:t>
            </w:r>
          </w:p>
        </w:tc>
        <w:tc>
          <w:tcPr>
            <w:tcW w:w="7137" w:type="dxa"/>
            <w:gridSpan w:val="9"/>
            <w:shd w:val="clear" w:color="auto" w:fill="auto"/>
            <w:vAlign w:val="center"/>
          </w:tcPr>
          <w:p w14:paraId="7FF44A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51090421R000000042946-临聘人员经费</w:t>
            </w:r>
          </w:p>
        </w:tc>
      </w:tr>
      <w:tr w14:paraId="6408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587" w:type="dxa"/>
            <w:gridSpan w:val="2"/>
            <w:shd w:val="clear" w:color="auto" w:fill="auto"/>
            <w:vAlign w:val="center"/>
          </w:tcPr>
          <w:p w14:paraId="5302F7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w:t>
            </w:r>
          </w:p>
        </w:tc>
        <w:tc>
          <w:tcPr>
            <w:tcW w:w="3940" w:type="dxa"/>
            <w:gridSpan w:val="5"/>
            <w:shd w:val="clear" w:color="auto" w:fill="auto"/>
            <w:vAlign w:val="center"/>
          </w:tcPr>
          <w:p w14:paraId="19DC2A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遂宁市安居区妇女联合会部门</w:t>
            </w:r>
          </w:p>
        </w:tc>
        <w:tc>
          <w:tcPr>
            <w:tcW w:w="1197" w:type="dxa"/>
            <w:shd w:val="clear" w:color="auto" w:fill="auto"/>
            <w:vAlign w:val="center"/>
          </w:tcPr>
          <w:p w14:paraId="6BF4B8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实施单位 （盖章）</w:t>
            </w:r>
          </w:p>
        </w:tc>
        <w:tc>
          <w:tcPr>
            <w:tcW w:w="2000" w:type="dxa"/>
            <w:gridSpan w:val="3"/>
            <w:shd w:val="clear" w:color="auto" w:fill="auto"/>
            <w:vAlign w:val="center"/>
          </w:tcPr>
          <w:p w14:paraId="1B3B72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w:t>
            </w:r>
          </w:p>
        </w:tc>
      </w:tr>
      <w:tr w14:paraId="7234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6" w:type="dxa"/>
            <w:vMerge w:val="restart"/>
            <w:shd w:val="clear" w:color="auto" w:fill="auto"/>
            <w:vAlign w:val="center"/>
          </w:tcPr>
          <w:p w14:paraId="2522E9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项目基本情况</w:t>
            </w:r>
          </w:p>
        </w:tc>
        <w:tc>
          <w:tcPr>
            <w:tcW w:w="891" w:type="dxa"/>
            <w:vMerge w:val="restart"/>
            <w:shd w:val="clear" w:color="auto" w:fill="auto"/>
            <w:vAlign w:val="center"/>
          </w:tcPr>
          <w:p w14:paraId="7BD16C33">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1.项目年度目标完成情况</w:t>
            </w:r>
          </w:p>
        </w:tc>
        <w:tc>
          <w:tcPr>
            <w:tcW w:w="3940" w:type="dxa"/>
            <w:gridSpan w:val="5"/>
            <w:shd w:val="clear" w:color="auto" w:fill="auto"/>
            <w:vAlign w:val="center"/>
          </w:tcPr>
          <w:p w14:paraId="75941D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项目年度目标</w:t>
            </w:r>
          </w:p>
        </w:tc>
        <w:tc>
          <w:tcPr>
            <w:tcW w:w="3197" w:type="dxa"/>
            <w:gridSpan w:val="4"/>
            <w:shd w:val="clear" w:color="auto" w:fill="auto"/>
            <w:vAlign w:val="center"/>
          </w:tcPr>
          <w:p w14:paraId="655FC4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年度目标完成情况</w:t>
            </w:r>
          </w:p>
        </w:tc>
      </w:tr>
      <w:tr w14:paraId="705E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96" w:type="dxa"/>
            <w:vMerge w:val="continue"/>
            <w:shd w:val="clear" w:color="auto" w:fill="auto"/>
            <w:vAlign w:val="center"/>
          </w:tcPr>
          <w:p w14:paraId="3D376D85">
            <w:pPr>
              <w:rPr>
                <w:rFonts w:hint="default" w:ascii="Times New Roman" w:hAnsi="Times New Roman" w:eastAsia="仿宋_GB2312" w:cs="Times New Roman"/>
                <w:i w:val="0"/>
                <w:iCs w:val="0"/>
                <w:color w:val="000000"/>
                <w:sz w:val="21"/>
                <w:szCs w:val="21"/>
                <w:u w:val="none"/>
              </w:rPr>
            </w:pPr>
          </w:p>
        </w:tc>
        <w:tc>
          <w:tcPr>
            <w:tcW w:w="891" w:type="dxa"/>
            <w:vMerge w:val="continue"/>
            <w:shd w:val="clear" w:color="auto" w:fill="auto"/>
            <w:vAlign w:val="center"/>
          </w:tcPr>
          <w:p w14:paraId="76D80472">
            <w:pPr>
              <w:rPr>
                <w:rFonts w:hint="default" w:ascii="Times New Roman" w:hAnsi="Times New Roman" w:eastAsia="仿宋_GB2312" w:cs="Times New Roman"/>
                <w:i w:val="0"/>
                <w:iCs w:val="0"/>
                <w:color w:val="000000"/>
                <w:sz w:val="21"/>
                <w:szCs w:val="21"/>
                <w:u w:val="none"/>
              </w:rPr>
            </w:pPr>
          </w:p>
        </w:tc>
        <w:tc>
          <w:tcPr>
            <w:tcW w:w="3940" w:type="dxa"/>
            <w:gridSpan w:val="5"/>
            <w:shd w:val="clear" w:color="auto" w:fill="auto"/>
            <w:vAlign w:val="center"/>
          </w:tcPr>
          <w:p w14:paraId="6CE9E7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严格执行相关政策，保障工资及时、足额发放或社保及时、足额缴纳，预算编制科学合理，减少结余资金。</w:t>
            </w:r>
          </w:p>
        </w:tc>
        <w:tc>
          <w:tcPr>
            <w:tcW w:w="3197" w:type="dxa"/>
            <w:gridSpan w:val="4"/>
            <w:shd w:val="clear" w:color="auto" w:fill="auto"/>
            <w:vAlign w:val="center"/>
          </w:tcPr>
          <w:p w14:paraId="4AB159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单位按照区委区政府给予的用人指标聘用临时人员1名</w:t>
            </w:r>
          </w:p>
        </w:tc>
      </w:tr>
      <w:tr w14:paraId="32D1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96" w:type="dxa"/>
            <w:vMerge w:val="continue"/>
            <w:shd w:val="clear" w:color="auto" w:fill="auto"/>
            <w:vAlign w:val="center"/>
          </w:tcPr>
          <w:p w14:paraId="60675062">
            <w:pPr>
              <w:rPr>
                <w:rFonts w:hint="default" w:ascii="Times New Roman" w:hAnsi="Times New Roman" w:eastAsia="仿宋_GB2312" w:cs="Times New Roman"/>
                <w:i w:val="0"/>
                <w:iCs w:val="0"/>
                <w:color w:val="000000"/>
                <w:sz w:val="21"/>
                <w:szCs w:val="21"/>
                <w:u w:val="none"/>
              </w:rPr>
            </w:pPr>
          </w:p>
        </w:tc>
        <w:tc>
          <w:tcPr>
            <w:tcW w:w="891" w:type="dxa"/>
            <w:shd w:val="clear" w:color="auto" w:fill="auto"/>
            <w:vAlign w:val="center"/>
          </w:tcPr>
          <w:p w14:paraId="5A330A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2.项目实施内容及过程概述</w:t>
            </w:r>
          </w:p>
        </w:tc>
        <w:tc>
          <w:tcPr>
            <w:tcW w:w="7137" w:type="dxa"/>
            <w:gridSpan w:val="9"/>
            <w:shd w:val="clear" w:color="auto" w:fill="auto"/>
            <w:vAlign w:val="center"/>
          </w:tcPr>
          <w:p w14:paraId="7932EEB2">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保障单位聘用人员的工资保险足额交纳。</w:t>
            </w:r>
          </w:p>
        </w:tc>
      </w:tr>
      <w:tr w14:paraId="6CE8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6" w:type="dxa"/>
            <w:vMerge w:val="restart"/>
            <w:shd w:val="clear" w:color="auto" w:fill="auto"/>
            <w:vAlign w:val="center"/>
          </w:tcPr>
          <w:p w14:paraId="5AD2AC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预算执行情况（10分）</w:t>
            </w:r>
          </w:p>
        </w:tc>
        <w:tc>
          <w:tcPr>
            <w:tcW w:w="891" w:type="dxa"/>
            <w:shd w:val="clear" w:color="auto" w:fill="auto"/>
            <w:vAlign w:val="center"/>
          </w:tcPr>
          <w:p w14:paraId="3348FB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年度预算数（万元）</w:t>
            </w:r>
          </w:p>
        </w:tc>
        <w:tc>
          <w:tcPr>
            <w:tcW w:w="904" w:type="dxa"/>
            <w:shd w:val="clear" w:color="auto" w:fill="auto"/>
            <w:vAlign w:val="center"/>
          </w:tcPr>
          <w:p w14:paraId="1BE3CC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年初预算</w:t>
            </w:r>
          </w:p>
        </w:tc>
        <w:tc>
          <w:tcPr>
            <w:tcW w:w="1237" w:type="dxa"/>
            <w:shd w:val="clear" w:color="auto" w:fill="auto"/>
            <w:vAlign w:val="center"/>
          </w:tcPr>
          <w:p w14:paraId="39957E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调整后预算数</w:t>
            </w:r>
          </w:p>
        </w:tc>
        <w:tc>
          <w:tcPr>
            <w:tcW w:w="1799" w:type="dxa"/>
            <w:gridSpan w:val="3"/>
            <w:shd w:val="clear" w:color="auto" w:fill="auto"/>
            <w:vAlign w:val="center"/>
          </w:tcPr>
          <w:p w14:paraId="2EF5BE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预算执行数</w:t>
            </w:r>
          </w:p>
        </w:tc>
        <w:tc>
          <w:tcPr>
            <w:tcW w:w="1197" w:type="dxa"/>
            <w:shd w:val="clear" w:color="auto" w:fill="auto"/>
            <w:vAlign w:val="center"/>
          </w:tcPr>
          <w:p w14:paraId="7D540E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预算执行率</w:t>
            </w:r>
          </w:p>
        </w:tc>
        <w:tc>
          <w:tcPr>
            <w:tcW w:w="576" w:type="dxa"/>
            <w:shd w:val="clear" w:color="auto" w:fill="auto"/>
            <w:vAlign w:val="center"/>
          </w:tcPr>
          <w:p w14:paraId="438D3B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权重</w:t>
            </w:r>
          </w:p>
        </w:tc>
        <w:tc>
          <w:tcPr>
            <w:tcW w:w="576" w:type="dxa"/>
            <w:shd w:val="clear" w:color="auto" w:fill="auto"/>
            <w:vAlign w:val="center"/>
          </w:tcPr>
          <w:p w14:paraId="2DBB3C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848" w:type="dxa"/>
            <w:shd w:val="clear" w:color="auto" w:fill="auto"/>
            <w:vAlign w:val="center"/>
          </w:tcPr>
          <w:p w14:paraId="6CC75E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原因</w:t>
            </w:r>
          </w:p>
        </w:tc>
      </w:tr>
      <w:tr w14:paraId="6FB9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96" w:type="dxa"/>
            <w:vMerge w:val="continue"/>
            <w:shd w:val="clear" w:color="auto" w:fill="auto"/>
            <w:vAlign w:val="center"/>
          </w:tcPr>
          <w:p w14:paraId="399BA9C0">
            <w:pPr>
              <w:jc w:val="center"/>
              <w:rPr>
                <w:rFonts w:hint="default" w:ascii="Times New Roman" w:hAnsi="Times New Roman" w:eastAsia="仿宋_GB2312" w:cs="Times New Roman"/>
                <w:i w:val="0"/>
                <w:iCs w:val="0"/>
                <w:color w:val="000000"/>
                <w:sz w:val="21"/>
                <w:szCs w:val="21"/>
                <w:u w:val="none"/>
              </w:rPr>
            </w:pPr>
          </w:p>
        </w:tc>
        <w:tc>
          <w:tcPr>
            <w:tcW w:w="891" w:type="dxa"/>
            <w:shd w:val="clear" w:color="auto" w:fill="auto"/>
            <w:vAlign w:val="center"/>
          </w:tcPr>
          <w:p w14:paraId="6988FA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总额</w:t>
            </w:r>
          </w:p>
        </w:tc>
        <w:tc>
          <w:tcPr>
            <w:tcW w:w="904" w:type="dxa"/>
            <w:shd w:val="clear" w:color="auto" w:fill="auto"/>
            <w:vAlign w:val="center"/>
          </w:tcPr>
          <w:p w14:paraId="5FE7C4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1237" w:type="dxa"/>
            <w:shd w:val="clear" w:color="auto" w:fill="auto"/>
            <w:vAlign w:val="center"/>
          </w:tcPr>
          <w:p w14:paraId="6C6F8F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1799" w:type="dxa"/>
            <w:gridSpan w:val="3"/>
            <w:shd w:val="clear" w:color="auto" w:fill="auto"/>
            <w:vAlign w:val="center"/>
          </w:tcPr>
          <w:p w14:paraId="6C84F4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1197" w:type="dxa"/>
            <w:shd w:val="clear" w:color="auto" w:fill="auto"/>
            <w:vAlign w:val="center"/>
          </w:tcPr>
          <w:p w14:paraId="6CA5BF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576" w:type="dxa"/>
            <w:shd w:val="clear" w:color="auto" w:fill="auto"/>
            <w:vAlign w:val="center"/>
          </w:tcPr>
          <w:p w14:paraId="5F59B4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shd w:val="clear" w:color="auto" w:fill="auto"/>
            <w:vAlign w:val="center"/>
          </w:tcPr>
          <w:p w14:paraId="38516950">
            <w:pPr>
              <w:jc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10</w:t>
            </w:r>
          </w:p>
        </w:tc>
        <w:tc>
          <w:tcPr>
            <w:tcW w:w="848" w:type="dxa"/>
            <w:vMerge w:val="restart"/>
            <w:shd w:val="clear" w:color="auto" w:fill="auto"/>
            <w:vAlign w:val="center"/>
          </w:tcPr>
          <w:p w14:paraId="3E4976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p>
        </w:tc>
      </w:tr>
      <w:tr w14:paraId="024E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96" w:type="dxa"/>
            <w:vMerge w:val="continue"/>
            <w:shd w:val="clear" w:color="auto" w:fill="auto"/>
            <w:vAlign w:val="center"/>
          </w:tcPr>
          <w:p w14:paraId="46C0A04F">
            <w:pPr>
              <w:jc w:val="center"/>
              <w:rPr>
                <w:rFonts w:hint="default" w:ascii="Times New Roman" w:hAnsi="Times New Roman" w:eastAsia="仿宋_GB2312" w:cs="Times New Roman"/>
                <w:i w:val="0"/>
                <w:iCs w:val="0"/>
                <w:color w:val="000000"/>
                <w:sz w:val="21"/>
                <w:szCs w:val="21"/>
                <w:u w:val="none"/>
              </w:rPr>
            </w:pPr>
          </w:p>
        </w:tc>
        <w:tc>
          <w:tcPr>
            <w:tcW w:w="891" w:type="dxa"/>
            <w:shd w:val="clear" w:color="auto" w:fill="auto"/>
            <w:vAlign w:val="center"/>
          </w:tcPr>
          <w:p w14:paraId="785B42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其中：财政资金</w:t>
            </w:r>
          </w:p>
        </w:tc>
        <w:tc>
          <w:tcPr>
            <w:tcW w:w="904" w:type="dxa"/>
            <w:shd w:val="clear" w:color="auto" w:fill="auto"/>
            <w:vAlign w:val="center"/>
          </w:tcPr>
          <w:p w14:paraId="2DA032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1237" w:type="dxa"/>
            <w:shd w:val="clear" w:color="auto" w:fill="auto"/>
            <w:vAlign w:val="center"/>
          </w:tcPr>
          <w:p w14:paraId="3BD520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1799" w:type="dxa"/>
            <w:gridSpan w:val="3"/>
            <w:shd w:val="clear" w:color="auto" w:fill="auto"/>
            <w:vAlign w:val="center"/>
          </w:tcPr>
          <w:p w14:paraId="0F670B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1197" w:type="dxa"/>
            <w:shd w:val="clear" w:color="auto" w:fill="auto"/>
            <w:vAlign w:val="center"/>
          </w:tcPr>
          <w:p w14:paraId="1B852A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576" w:type="dxa"/>
            <w:shd w:val="clear" w:color="auto" w:fill="auto"/>
            <w:vAlign w:val="center"/>
          </w:tcPr>
          <w:p w14:paraId="1CB3AC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76" w:type="dxa"/>
            <w:shd w:val="clear" w:color="auto" w:fill="auto"/>
            <w:vAlign w:val="center"/>
          </w:tcPr>
          <w:p w14:paraId="5C18F4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848" w:type="dxa"/>
            <w:vMerge w:val="continue"/>
            <w:shd w:val="clear" w:color="auto" w:fill="auto"/>
            <w:vAlign w:val="center"/>
          </w:tcPr>
          <w:p w14:paraId="3B61F77D">
            <w:pPr>
              <w:rPr>
                <w:rFonts w:hint="default" w:ascii="Times New Roman" w:hAnsi="Times New Roman" w:eastAsia="仿宋_GB2312" w:cs="Times New Roman"/>
                <w:i w:val="0"/>
                <w:iCs w:val="0"/>
                <w:color w:val="000000"/>
                <w:sz w:val="21"/>
                <w:szCs w:val="21"/>
                <w:u w:val="none"/>
              </w:rPr>
            </w:pPr>
          </w:p>
        </w:tc>
      </w:tr>
      <w:tr w14:paraId="37B8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6" w:type="dxa"/>
            <w:vMerge w:val="continue"/>
            <w:shd w:val="clear" w:color="auto" w:fill="auto"/>
            <w:vAlign w:val="center"/>
          </w:tcPr>
          <w:p w14:paraId="66BE9300">
            <w:pPr>
              <w:jc w:val="center"/>
              <w:rPr>
                <w:rFonts w:hint="default" w:ascii="Times New Roman" w:hAnsi="Times New Roman" w:eastAsia="仿宋_GB2312" w:cs="Times New Roman"/>
                <w:i w:val="0"/>
                <w:iCs w:val="0"/>
                <w:color w:val="000000"/>
                <w:sz w:val="21"/>
                <w:szCs w:val="21"/>
                <w:u w:val="none"/>
              </w:rPr>
            </w:pPr>
          </w:p>
        </w:tc>
        <w:tc>
          <w:tcPr>
            <w:tcW w:w="891" w:type="dxa"/>
            <w:shd w:val="clear" w:color="auto" w:fill="auto"/>
            <w:vAlign w:val="center"/>
          </w:tcPr>
          <w:p w14:paraId="3C5120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财政专户管理资金</w:t>
            </w:r>
          </w:p>
        </w:tc>
        <w:tc>
          <w:tcPr>
            <w:tcW w:w="904" w:type="dxa"/>
            <w:shd w:val="clear" w:color="auto" w:fill="auto"/>
            <w:vAlign w:val="center"/>
          </w:tcPr>
          <w:p w14:paraId="381901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237" w:type="dxa"/>
            <w:shd w:val="clear" w:color="auto" w:fill="auto"/>
            <w:vAlign w:val="center"/>
          </w:tcPr>
          <w:p w14:paraId="00BA80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799" w:type="dxa"/>
            <w:gridSpan w:val="3"/>
            <w:shd w:val="clear" w:color="auto" w:fill="auto"/>
            <w:vAlign w:val="center"/>
          </w:tcPr>
          <w:p w14:paraId="489545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197" w:type="dxa"/>
            <w:shd w:val="clear" w:color="auto" w:fill="auto"/>
            <w:vAlign w:val="center"/>
          </w:tcPr>
          <w:p w14:paraId="3300E7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576" w:type="dxa"/>
            <w:shd w:val="clear" w:color="auto" w:fill="auto"/>
            <w:vAlign w:val="center"/>
          </w:tcPr>
          <w:p w14:paraId="6F0C74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76" w:type="dxa"/>
            <w:shd w:val="clear" w:color="auto" w:fill="auto"/>
            <w:vAlign w:val="center"/>
          </w:tcPr>
          <w:p w14:paraId="3B5038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848" w:type="dxa"/>
            <w:vMerge w:val="continue"/>
            <w:shd w:val="clear" w:color="auto" w:fill="auto"/>
            <w:vAlign w:val="center"/>
          </w:tcPr>
          <w:p w14:paraId="00B0E052">
            <w:pPr>
              <w:rPr>
                <w:rFonts w:hint="default" w:ascii="Times New Roman" w:hAnsi="Times New Roman" w:eastAsia="仿宋_GB2312" w:cs="Times New Roman"/>
                <w:i w:val="0"/>
                <w:iCs w:val="0"/>
                <w:color w:val="000000"/>
                <w:sz w:val="21"/>
                <w:szCs w:val="21"/>
                <w:u w:val="none"/>
              </w:rPr>
            </w:pPr>
          </w:p>
        </w:tc>
      </w:tr>
      <w:tr w14:paraId="39BC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96" w:type="dxa"/>
            <w:vMerge w:val="continue"/>
            <w:shd w:val="clear" w:color="auto" w:fill="auto"/>
            <w:vAlign w:val="center"/>
          </w:tcPr>
          <w:p w14:paraId="5438DACC">
            <w:pPr>
              <w:jc w:val="center"/>
              <w:rPr>
                <w:rFonts w:hint="default" w:ascii="Times New Roman" w:hAnsi="Times New Roman" w:eastAsia="仿宋_GB2312" w:cs="Times New Roman"/>
                <w:i w:val="0"/>
                <w:iCs w:val="0"/>
                <w:color w:val="000000"/>
                <w:sz w:val="21"/>
                <w:szCs w:val="21"/>
                <w:u w:val="none"/>
              </w:rPr>
            </w:pPr>
          </w:p>
        </w:tc>
        <w:tc>
          <w:tcPr>
            <w:tcW w:w="891" w:type="dxa"/>
            <w:shd w:val="clear" w:color="auto" w:fill="auto"/>
            <w:vAlign w:val="center"/>
          </w:tcPr>
          <w:p w14:paraId="2EFBBF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单位资金</w:t>
            </w:r>
          </w:p>
        </w:tc>
        <w:tc>
          <w:tcPr>
            <w:tcW w:w="904" w:type="dxa"/>
            <w:shd w:val="clear" w:color="auto" w:fill="auto"/>
            <w:vAlign w:val="center"/>
          </w:tcPr>
          <w:p w14:paraId="7BFB1F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237" w:type="dxa"/>
            <w:shd w:val="clear" w:color="auto" w:fill="auto"/>
            <w:vAlign w:val="center"/>
          </w:tcPr>
          <w:p w14:paraId="2C21FE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799" w:type="dxa"/>
            <w:gridSpan w:val="3"/>
            <w:shd w:val="clear" w:color="auto" w:fill="auto"/>
            <w:vAlign w:val="center"/>
          </w:tcPr>
          <w:p w14:paraId="4DD665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197" w:type="dxa"/>
            <w:shd w:val="clear" w:color="auto" w:fill="auto"/>
            <w:vAlign w:val="center"/>
          </w:tcPr>
          <w:p w14:paraId="141EFD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576" w:type="dxa"/>
            <w:shd w:val="clear" w:color="auto" w:fill="auto"/>
            <w:vAlign w:val="center"/>
          </w:tcPr>
          <w:p w14:paraId="6F1008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76" w:type="dxa"/>
            <w:shd w:val="clear" w:color="auto" w:fill="auto"/>
            <w:vAlign w:val="center"/>
          </w:tcPr>
          <w:p w14:paraId="51A825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848" w:type="dxa"/>
            <w:vMerge w:val="continue"/>
            <w:shd w:val="clear" w:color="auto" w:fill="auto"/>
            <w:vAlign w:val="center"/>
          </w:tcPr>
          <w:p w14:paraId="54A21AC9">
            <w:pPr>
              <w:rPr>
                <w:rFonts w:hint="default" w:ascii="Times New Roman" w:hAnsi="Times New Roman" w:eastAsia="仿宋_GB2312" w:cs="Times New Roman"/>
                <w:i w:val="0"/>
                <w:iCs w:val="0"/>
                <w:color w:val="000000"/>
                <w:sz w:val="21"/>
                <w:szCs w:val="21"/>
                <w:u w:val="none"/>
              </w:rPr>
            </w:pPr>
          </w:p>
        </w:tc>
      </w:tr>
      <w:tr w14:paraId="57D0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96" w:type="dxa"/>
            <w:vMerge w:val="continue"/>
            <w:shd w:val="clear" w:color="auto" w:fill="auto"/>
            <w:vAlign w:val="center"/>
          </w:tcPr>
          <w:p w14:paraId="1812BE81">
            <w:pPr>
              <w:jc w:val="center"/>
              <w:rPr>
                <w:rFonts w:hint="default" w:ascii="Times New Roman" w:hAnsi="Times New Roman" w:eastAsia="仿宋_GB2312" w:cs="Times New Roman"/>
                <w:i w:val="0"/>
                <w:iCs w:val="0"/>
                <w:color w:val="000000"/>
                <w:sz w:val="21"/>
                <w:szCs w:val="21"/>
                <w:u w:val="none"/>
              </w:rPr>
            </w:pPr>
          </w:p>
        </w:tc>
        <w:tc>
          <w:tcPr>
            <w:tcW w:w="891" w:type="dxa"/>
            <w:shd w:val="clear" w:color="auto" w:fill="auto"/>
            <w:vAlign w:val="center"/>
          </w:tcPr>
          <w:p w14:paraId="2BA7AA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其他资金</w:t>
            </w:r>
          </w:p>
        </w:tc>
        <w:tc>
          <w:tcPr>
            <w:tcW w:w="904" w:type="dxa"/>
            <w:shd w:val="clear" w:color="auto" w:fill="auto"/>
            <w:vAlign w:val="center"/>
          </w:tcPr>
          <w:p w14:paraId="77507F1C">
            <w:pPr>
              <w:jc w:val="center"/>
              <w:rPr>
                <w:rFonts w:hint="default" w:ascii="Times New Roman" w:hAnsi="Times New Roman" w:eastAsia="仿宋_GB2312" w:cs="Times New Roman"/>
                <w:i w:val="0"/>
                <w:iCs w:val="0"/>
                <w:color w:val="000000"/>
                <w:sz w:val="21"/>
                <w:szCs w:val="21"/>
                <w:u w:val="none"/>
              </w:rPr>
            </w:pPr>
          </w:p>
        </w:tc>
        <w:tc>
          <w:tcPr>
            <w:tcW w:w="1237" w:type="dxa"/>
            <w:shd w:val="clear" w:color="auto" w:fill="auto"/>
            <w:vAlign w:val="center"/>
          </w:tcPr>
          <w:p w14:paraId="6B1796C7">
            <w:pPr>
              <w:jc w:val="center"/>
              <w:rPr>
                <w:rFonts w:hint="default" w:ascii="Times New Roman" w:hAnsi="Times New Roman" w:eastAsia="仿宋_GB2312" w:cs="Times New Roman"/>
                <w:i w:val="0"/>
                <w:iCs w:val="0"/>
                <w:color w:val="000000"/>
                <w:sz w:val="21"/>
                <w:szCs w:val="21"/>
                <w:u w:val="none"/>
              </w:rPr>
            </w:pPr>
          </w:p>
        </w:tc>
        <w:tc>
          <w:tcPr>
            <w:tcW w:w="1799" w:type="dxa"/>
            <w:gridSpan w:val="3"/>
            <w:shd w:val="clear" w:color="auto" w:fill="auto"/>
            <w:vAlign w:val="center"/>
          </w:tcPr>
          <w:p w14:paraId="15FB7773">
            <w:pPr>
              <w:jc w:val="center"/>
              <w:rPr>
                <w:rFonts w:hint="default" w:ascii="Times New Roman" w:hAnsi="Times New Roman" w:eastAsia="仿宋_GB2312" w:cs="Times New Roman"/>
                <w:i w:val="0"/>
                <w:iCs w:val="0"/>
                <w:color w:val="000000"/>
                <w:sz w:val="21"/>
                <w:szCs w:val="21"/>
                <w:u w:val="none"/>
              </w:rPr>
            </w:pPr>
          </w:p>
        </w:tc>
        <w:tc>
          <w:tcPr>
            <w:tcW w:w="1197" w:type="dxa"/>
            <w:shd w:val="clear" w:color="auto" w:fill="auto"/>
            <w:vAlign w:val="center"/>
          </w:tcPr>
          <w:p w14:paraId="63792E08">
            <w:pPr>
              <w:jc w:val="center"/>
              <w:rPr>
                <w:rFonts w:hint="default" w:ascii="Times New Roman" w:hAnsi="Times New Roman" w:eastAsia="仿宋_GB2312" w:cs="Times New Roman"/>
                <w:i w:val="0"/>
                <w:iCs w:val="0"/>
                <w:color w:val="000000"/>
                <w:sz w:val="21"/>
                <w:szCs w:val="21"/>
                <w:u w:val="none"/>
              </w:rPr>
            </w:pPr>
          </w:p>
        </w:tc>
        <w:tc>
          <w:tcPr>
            <w:tcW w:w="576" w:type="dxa"/>
            <w:shd w:val="clear" w:color="auto" w:fill="auto"/>
            <w:vAlign w:val="center"/>
          </w:tcPr>
          <w:p w14:paraId="1897B2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76" w:type="dxa"/>
            <w:shd w:val="clear" w:color="auto" w:fill="auto"/>
            <w:vAlign w:val="center"/>
          </w:tcPr>
          <w:p w14:paraId="3A459A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848" w:type="dxa"/>
            <w:vMerge w:val="continue"/>
            <w:shd w:val="clear" w:color="auto" w:fill="auto"/>
            <w:vAlign w:val="center"/>
          </w:tcPr>
          <w:p w14:paraId="04331585">
            <w:pPr>
              <w:rPr>
                <w:rFonts w:hint="default" w:ascii="Times New Roman" w:hAnsi="Times New Roman" w:eastAsia="仿宋_GB2312" w:cs="Times New Roman"/>
                <w:i w:val="0"/>
                <w:iCs w:val="0"/>
                <w:color w:val="000000"/>
                <w:sz w:val="21"/>
                <w:szCs w:val="21"/>
                <w:u w:val="none"/>
              </w:rPr>
            </w:pPr>
          </w:p>
        </w:tc>
      </w:tr>
      <w:tr w14:paraId="4707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6" w:type="dxa"/>
            <w:vMerge w:val="restart"/>
            <w:shd w:val="clear" w:color="auto" w:fill="auto"/>
            <w:vAlign w:val="center"/>
          </w:tcPr>
          <w:p w14:paraId="4D8B93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绩效指标（90分）</w:t>
            </w:r>
          </w:p>
        </w:tc>
        <w:tc>
          <w:tcPr>
            <w:tcW w:w="891" w:type="dxa"/>
            <w:vMerge w:val="restart"/>
            <w:shd w:val="clear" w:color="auto" w:fill="auto"/>
            <w:vAlign w:val="center"/>
          </w:tcPr>
          <w:p w14:paraId="35FFA6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p>
        </w:tc>
        <w:tc>
          <w:tcPr>
            <w:tcW w:w="904" w:type="dxa"/>
            <w:vMerge w:val="restart"/>
            <w:shd w:val="clear" w:color="auto" w:fill="auto"/>
            <w:vAlign w:val="center"/>
          </w:tcPr>
          <w:p w14:paraId="57E684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w:t>
            </w:r>
          </w:p>
        </w:tc>
        <w:tc>
          <w:tcPr>
            <w:tcW w:w="1237" w:type="dxa"/>
            <w:shd w:val="clear" w:color="auto" w:fill="auto"/>
            <w:vAlign w:val="center"/>
          </w:tcPr>
          <w:p w14:paraId="25E688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聘用人员</w:t>
            </w:r>
          </w:p>
        </w:tc>
        <w:tc>
          <w:tcPr>
            <w:tcW w:w="514" w:type="dxa"/>
            <w:shd w:val="clear" w:color="auto" w:fill="auto"/>
            <w:vAlign w:val="center"/>
          </w:tcPr>
          <w:p w14:paraId="34DEA0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1" w:type="dxa"/>
            <w:shd w:val="clear" w:color="auto" w:fill="auto"/>
            <w:vAlign w:val="center"/>
          </w:tcPr>
          <w:p w14:paraId="3AA09E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14" w:type="dxa"/>
            <w:shd w:val="clear" w:color="auto" w:fill="auto"/>
            <w:vAlign w:val="center"/>
          </w:tcPr>
          <w:p w14:paraId="591644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w:t>
            </w:r>
          </w:p>
        </w:tc>
        <w:tc>
          <w:tcPr>
            <w:tcW w:w="1197" w:type="dxa"/>
            <w:shd w:val="clear" w:color="auto" w:fill="auto"/>
            <w:vAlign w:val="center"/>
          </w:tcPr>
          <w:p w14:paraId="715AA5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1人</w:t>
            </w:r>
          </w:p>
        </w:tc>
        <w:tc>
          <w:tcPr>
            <w:tcW w:w="576" w:type="dxa"/>
            <w:shd w:val="clear" w:color="auto" w:fill="auto"/>
            <w:vAlign w:val="center"/>
          </w:tcPr>
          <w:p w14:paraId="7718D1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shd w:val="clear" w:color="auto" w:fill="auto"/>
            <w:vAlign w:val="center"/>
          </w:tcPr>
          <w:p w14:paraId="007D72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848" w:type="dxa"/>
            <w:shd w:val="clear" w:color="auto" w:fill="auto"/>
            <w:vAlign w:val="center"/>
          </w:tcPr>
          <w:p w14:paraId="6751EEA9">
            <w:pPr>
              <w:jc w:val="center"/>
              <w:rPr>
                <w:rFonts w:hint="default" w:ascii="Times New Roman" w:hAnsi="Times New Roman" w:eastAsia="仿宋_GB2312" w:cs="Times New Roman"/>
                <w:i/>
                <w:iCs/>
                <w:color w:val="000000"/>
                <w:sz w:val="21"/>
                <w:szCs w:val="21"/>
                <w:u w:val="none"/>
              </w:rPr>
            </w:pPr>
          </w:p>
        </w:tc>
      </w:tr>
      <w:tr w14:paraId="0F10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6" w:type="dxa"/>
            <w:vMerge w:val="continue"/>
            <w:shd w:val="clear" w:color="auto" w:fill="auto"/>
            <w:vAlign w:val="center"/>
          </w:tcPr>
          <w:p w14:paraId="34B4F75C">
            <w:pPr>
              <w:jc w:val="center"/>
              <w:rPr>
                <w:rFonts w:hint="default" w:ascii="Times New Roman" w:hAnsi="Times New Roman" w:eastAsia="仿宋_GB2312" w:cs="Times New Roman"/>
                <w:i w:val="0"/>
                <w:iCs w:val="0"/>
                <w:color w:val="000000"/>
                <w:sz w:val="21"/>
                <w:szCs w:val="21"/>
                <w:u w:val="none"/>
              </w:rPr>
            </w:pPr>
          </w:p>
        </w:tc>
        <w:tc>
          <w:tcPr>
            <w:tcW w:w="891" w:type="dxa"/>
            <w:vMerge w:val="continue"/>
            <w:shd w:val="clear" w:color="auto" w:fill="auto"/>
            <w:vAlign w:val="center"/>
          </w:tcPr>
          <w:p w14:paraId="3A37A946">
            <w:pPr>
              <w:jc w:val="center"/>
              <w:rPr>
                <w:rFonts w:hint="default" w:ascii="Times New Roman" w:hAnsi="Times New Roman" w:eastAsia="仿宋_GB2312" w:cs="Times New Roman"/>
                <w:i w:val="0"/>
                <w:iCs w:val="0"/>
                <w:color w:val="000000"/>
                <w:sz w:val="21"/>
                <w:szCs w:val="21"/>
                <w:u w:val="none"/>
              </w:rPr>
            </w:pPr>
          </w:p>
        </w:tc>
        <w:tc>
          <w:tcPr>
            <w:tcW w:w="904" w:type="dxa"/>
            <w:vMerge w:val="continue"/>
            <w:shd w:val="clear" w:color="auto" w:fill="auto"/>
            <w:vAlign w:val="center"/>
          </w:tcPr>
          <w:p w14:paraId="00D8BB40">
            <w:pPr>
              <w:jc w:val="center"/>
              <w:rPr>
                <w:rFonts w:hint="default" w:ascii="Times New Roman" w:hAnsi="Times New Roman" w:eastAsia="仿宋_GB2312" w:cs="Times New Roman"/>
                <w:i w:val="0"/>
                <w:iCs w:val="0"/>
                <w:color w:val="000000"/>
                <w:sz w:val="21"/>
                <w:szCs w:val="21"/>
                <w:u w:val="none"/>
              </w:rPr>
            </w:pPr>
          </w:p>
        </w:tc>
        <w:tc>
          <w:tcPr>
            <w:tcW w:w="1237" w:type="dxa"/>
            <w:shd w:val="clear" w:color="auto" w:fill="auto"/>
            <w:vAlign w:val="center"/>
          </w:tcPr>
          <w:p w14:paraId="028010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政府打标数量</w:t>
            </w:r>
          </w:p>
        </w:tc>
        <w:tc>
          <w:tcPr>
            <w:tcW w:w="514" w:type="dxa"/>
            <w:shd w:val="clear" w:color="auto" w:fill="auto"/>
            <w:vAlign w:val="center"/>
          </w:tcPr>
          <w:p w14:paraId="3CA47B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1" w:type="dxa"/>
            <w:shd w:val="clear" w:color="auto" w:fill="auto"/>
            <w:vAlign w:val="center"/>
          </w:tcPr>
          <w:p w14:paraId="204789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14" w:type="dxa"/>
            <w:shd w:val="clear" w:color="auto" w:fill="auto"/>
            <w:vAlign w:val="center"/>
          </w:tcPr>
          <w:p w14:paraId="08021F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w:t>
            </w:r>
          </w:p>
        </w:tc>
        <w:tc>
          <w:tcPr>
            <w:tcW w:w="1197" w:type="dxa"/>
            <w:shd w:val="clear" w:color="auto" w:fill="auto"/>
            <w:vAlign w:val="center"/>
          </w:tcPr>
          <w:p w14:paraId="56BF6E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1人</w:t>
            </w:r>
          </w:p>
        </w:tc>
        <w:tc>
          <w:tcPr>
            <w:tcW w:w="576" w:type="dxa"/>
            <w:shd w:val="clear" w:color="auto" w:fill="auto"/>
            <w:vAlign w:val="center"/>
          </w:tcPr>
          <w:p w14:paraId="67160E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shd w:val="clear" w:color="auto" w:fill="auto"/>
            <w:vAlign w:val="center"/>
          </w:tcPr>
          <w:p w14:paraId="1C3C0C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848" w:type="dxa"/>
            <w:shd w:val="clear" w:color="auto" w:fill="auto"/>
            <w:vAlign w:val="center"/>
          </w:tcPr>
          <w:p w14:paraId="48107667">
            <w:pPr>
              <w:jc w:val="center"/>
              <w:rPr>
                <w:rFonts w:hint="default" w:ascii="Times New Roman" w:hAnsi="Times New Roman" w:eastAsia="仿宋_GB2312" w:cs="Times New Roman"/>
                <w:i/>
                <w:iCs/>
                <w:color w:val="000000"/>
                <w:sz w:val="21"/>
                <w:szCs w:val="21"/>
                <w:u w:val="none"/>
              </w:rPr>
            </w:pPr>
          </w:p>
        </w:tc>
      </w:tr>
      <w:tr w14:paraId="463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6" w:type="dxa"/>
            <w:vMerge w:val="continue"/>
            <w:shd w:val="clear" w:color="auto" w:fill="auto"/>
            <w:vAlign w:val="center"/>
          </w:tcPr>
          <w:p w14:paraId="30E3472E">
            <w:pPr>
              <w:jc w:val="center"/>
              <w:rPr>
                <w:rFonts w:hint="default" w:ascii="Times New Roman" w:hAnsi="Times New Roman" w:eastAsia="仿宋_GB2312" w:cs="Times New Roman"/>
                <w:i w:val="0"/>
                <w:iCs w:val="0"/>
                <w:color w:val="000000"/>
                <w:sz w:val="21"/>
                <w:szCs w:val="21"/>
                <w:u w:val="none"/>
              </w:rPr>
            </w:pPr>
          </w:p>
        </w:tc>
        <w:tc>
          <w:tcPr>
            <w:tcW w:w="891" w:type="dxa"/>
            <w:vMerge w:val="continue"/>
            <w:shd w:val="clear" w:color="auto" w:fill="auto"/>
            <w:vAlign w:val="center"/>
          </w:tcPr>
          <w:p w14:paraId="5EC46E78">
            <w:pPr>
              <w:jc w:val="center"/>
              <w:rPr>
                <w:rFonts w:hint="default" w:ascii="Times New Roman" w:hAnsi="Times New Roman" w:eastAsia="仿宋_GB2312" w:cs="Times New Roman"/>
                <w:i w:val="0"/>
                <w:iCs w:val="0"/>
                <w:color w:val="000000"/>
                <w:sz w:val="21"/>
                <w:szCs w:val="21"/>
                <w:u w:val="none"/>
              </w:rPr>
            </w:pPr>
          </w:p>
        </w:tc>
        <w:tc>
          <w:tcPr>
            <w:tcW w:w="904" w:type="dxa"/>
            <w:shd w:val="clear" w:color="auto" w:fill="auto"/>
            <w:vAlign w:val="center"/>
          </w:tcPr>
          <w:p w14:paraId="55A3A8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w:t>
            </w:r>
          </w:p>
        </w:tc>
        <w:tc>
          <w:tcPr>
            <w:tcW w:w="1237" w:type="dxa"/>
            <w:shd w:val="clear" w:color="auto" w:fill="auto"/>
            <w:vAlign w:val="center"/>
          </w:tcPr>
          <w:p w14:paraId="3E8FEE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完成临聘人员工作</w:t>
            </w:r>
          </w:p>
        </w:tc>
        <w:tc>
          <w:tcPr>
            <w:tcW w:w="514" w:type="dxa"/>
            <w:shd w:val="clear" w:color="auto" w:fill="auto"/>
            <w:vAlign w:val="center"/>
          </w:tcPr>
          <w:p w14:paraId="3AADC9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1" w:type="dxa"/>
            <w:shd w:val="clear" w:color="auto" w:fill="auto"/>
            <w:vAlign w:val="center"/>
          </w:tcPr>
          <w:p w14:paraId="69A800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514" w:type="dxa"/>
            <w:shd w:val="clear" w:color="auto" w:fill="auto"/>
            <w:vAlign w:val="center"/>
          </w:tcPr>
          <w:p w14:paraId="43AE3A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197" w:type="dxa"/>
            <w:shd w:val="clear" w:color="auto" w:fill="auto"/>
            <w:vAlign w:val="center"/>
          </w:tcPr>
          <w:p w14:paraId="2359BE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年终考核绩效得分为100</w:t>
            </w:r>
          </w:p>
        </w:tc>
        <w:tc>
          <w:tcPr>
            <w:tcW w:w="576" w:type="dxa"/>
            <w:shd w:val="clear" w:color="auto" w:fill="auto"/>
            <w:vAlign w:val="center"/>
          </w:tcPr>
          <w:p w14:paraId="689555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shd w:val="clear" w:color="auto" w:fill="auto"/>
            <w:vAlign w:val="center"/>
          </w:tcPr>
          <w:p w14:paraId="6A3DF3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848" w:type="dxa"/>
            <w:shd w:val="clear" w:color="auto" w:fill="auto"/>
            <w:vAlign w:val="center"/>
          </w:tcPr>
          <w:p w14:paraId="0DAC3E5F">
            <w:pPr>
              <w:jc w:val="center"/>
              <w:rPr>
                <w:rFonts w:hint="default" w:ascii="Times New Roman" w:hAnsi="Times New Roman" w:eastAsia="仿宋_GB2312" w:cs="Times New Roman"/>
                <w:i/>
                <w:iCs/>
                <w:color w:val="000000"/>
                <w:sz w:val="21"/>
                <w:szCs w:val="21"/>
                <w:u w:val="none"/>
              </w:rPr>
            </w:pPr>
          </w:p>
        </w:tc>
      </w:tr>
      <w:tr w14:paraId="2BA0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6" w:type="dxa"/>
            <w:vMerge w:val="continue"/>
            <w:shd w:val="clear" w:color="auto" w:fill="auto"/>
            <w:vAlign w:val="center"/>
          </w:tcPr>
          <w:p w14:paraId="41D88D7A">
            <w:pPr>
              <w:jc w:val="center"/>
              <w:rPr>
                <w:rFonts w:hint="default" w:ascii="Times New Roman" w:hAnsi="Times New Roman" w:eastAsia="仿宋_GB2312" w:cs="Times New Roman"/>
                <w:i w:val="0"/>
                <w:iCs w:val="0"/>
                <w:color w:val="000000"/>
                <w:sz w:val="21"/>
                <w:szCs w:val="21"/>
                <w:u w:val="none"/>
              </w:rPr>
            </w:pPr>
          </w:p>
        </w:tc>
        <w:tc>
          <w:tcPr>
            <w:tcW w:w="891" w:type="dxa"/>
            <w:vMerge w:val="continue"/>
            <w:shd w:val="clear" w:color="auto" w:fill="auto"/>
            <w:vAlign w:val="center"/>
          </w:tcPr>
          <w:p w14:paraId="3073F51C">
            <w:pPr>
              <w:jc w:val="center"/>
              <w:rPr>
                <w:rFonts w:hint="default" w:ascii="Times New Roman" w:hAnsi="Times New Roman" w:eastAsia="仿宋_GB2312" w:cs="Times New Roman"/>
                <w:i w:val="0"/>
                <w:iCs w:val="0"/>
                <w:color w:val="000000"/>
                <w:sz w:val="21"/>
                <w:szCs w:val="21"/>
                <w:u w:val="none"/>
              </w:rPr>
            </w:pPr>
          </w:p>
        </w:tc>
        <w:tc>
          <w:tcPr>
            <w:tcW w:w="904" w:type="dxa"/>
            <w:shd w:val="clear" w:color="auto" w:fill="auto"/>
            <w:vAlign w:val="center"/>
          </w:tcPr>
          <w:p w14:paraId="5FE00C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w:t>
            </w:r>
          </w:p>
        </w:tc>
        <w:tc>
          <w:tcPr>
            <w:tcW w:w="1237" w:type="dxa"/>
            <w:shd w:val="clear" w:color="auto" w:fill="auto"/>
            <w:vAlign w:val="center"/>
          </w:tcPr>
          <w:p w14:paraId="2A7548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项目完成时间</w:t>
            </w:r>
          </w:p>
        </w:tc>
        <w:tc>
          <w:tcPr>
            <w:tcW w:w="514" w:type="dxa"/>
            <w:shd w:val="clear" w:color="auto" w:fill="auto"/>
            <w:vAlign w:val="center"/>
          </w:tcPr>
          <w:p w14:paraId="0A64E2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1" w:type="dxa"/>
            <w:shd w:val="clear" w:color="auto" w:fill="auto"/>
            <w:vAlign w:val="center"/>
          </w:tcPr>
          <w:p w14:paraId="032218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514" w:type="dxa"/>
            <w:shd w:val="clear" w:color="auto" w:fill="auto"/>
            <w:vAlign w:val="center"/>
          </w:tcPr>
          <w:p w14:paraId="6364AC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月</w:t>
            </w:r>
          </w:p>
        </w:tc>
        <w:tc>
          <w:tcPr>
            <w:tcW w:w="1197" w:type="dxa"/>
            <w:shd w:val="clear" w:color="auto" w:fill="auto"/>
            <w:vAlign w:val="center"/>
          </w:tcPr>
          <w:p w14:paraId="5AF7D4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12月完成</w:t>
            </w:r>
          </w:p>
        </w:tc>
        <w:tc>
          <w:tcPr>
            <w:tcW w:w="576" w:type="dxa"/>
            <w:shd w:val="clear" w:color="auto" w:fill="auto"/>
            <w:vAlign w:val="center"/>
          </w:tcPr>
          <w:p w14:paraId="26AB28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shd w:val="clear" w:color="auto" w:fill="auto"/>
            <w:vAlign w:val="center"/>
          </w:tcPr>
          <w:p w14:paraId="358CB4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848" w:type="dxa"/>
            <w:shd w:val="clear" w:color="auto" w:fill="auto"/>
            <w:vAlign w:val="center"/>
          </w:tcPr>
          <w:p w14:paraId="3B46DC9C">
            <w:pPr>
              <w:jc w:val="center"/>
              <w:rPr>
                <w:rFonts w:hint="default" w:ascii="Times New Roman" w:hAnsi="Times New Roman" w:eastAsia="仿宋_GB2312" w:cs="Times New Roman"/>
                <w:i/>
                <w:iCs/>
                <w:color w:val="000000"/>
                <w:sz w:val="21"/>
                <w:szCs w:val="21"/>
                <w:u w:val="none"/>
              </w:rPr>
            </w:pPr>
          </w:p>
        </w:tc>
      </w:tr>
      <w:tr w14:paraId="6448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6" w:type="dxa"/>
            <w:vMerge w:val="continue"/>
            <w:shd w:val="clear" w:color="auto" w:fill="auto"/>
            <w:vAlign w:val="center"/>
          </w:tcPr>
          <w:p w14:paraId="46D0B57A">
            <w:pPr>
              <w:jc w:val="center"/>
              <w:rPr>
                <w:rFonts w:hint="default" w:ascii="Times New Roman" w:hAnsi="Times New Roman" w:eastAsia="仿宋_GB2312" w:cs="Times New Roman"/>
                <w:i w:val="0"/>
                <w:iCs w:val="0"/>
                <w:color w:val="000000"/>
                <w:sz w:val="21"/>
                <w:szCs w:val="21"/>
                <w:u w:val="none"/>
              </w:rPr>
            </w:pPr>
          </w:p>
        </w:tc>
        <w:tc>
          <w:tcPr>
            <w:tcW w:w="891" w:type="dxa"/>
            <w:shd w:val="clear" w:color="auto" w:fill="auto"/>
            <w:vAlign w:val="center"/>
          </w:tcPr>
          <w:p w14:paraId="044FEF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w:t>
            </w:r>
          </w:p>
        </w:tc>
        <w:tc>
          <w:tcPr>
            <w:tcW w:w="904" w:type="dxa"/>
            <w:shd w:val="clear" w:color="auto" w:fill="auto"/>
            <w:vAlign w:val="center"/>
          </w:tcPr>
          <w:p w14:paraId="68925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社会效益指标</w:t>
            </w:r>
          </w:p>
        </w:tc>
        <w:tc>
          <w:tcPr>
            <w:tcW w:w="1237" w:type="dxa"/>
            <w:shd w:val="clear" w:color="auto" w:fill="auto"/>
            <w:vAlign w:val="center"/>
          </w:tcPr>
          <w:p w14:paraId="14CB43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全年工作完成率，</w:t>
            </w:r>
          </w:p>
        </w:tc>
        <w:tc>
          <w:tcPr>
            <w:tcW w:w="514" w:type="dxa"/>
            <w:shd w:val="clear" w:color="auto" w:fill="auto"/>
            <w:vAlign w:val="center"/>
          </w:tcPr>
          <w:p w14:paraId="033285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1" w:type="dxa"/>
            <w:shd w:val="clear" w:color="auto" w:fill="auto"/>
            <w:vAlign w:val="center"/>
          </w:tcPr>
          <w:p w14:paraId="6B590C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514" w:type="dxa"/>
            <w:shd w:val="clear" w:color="auto" w:fill="auto"/>
            <w:vAlign w:val="center"/>
          </w:tcPr>
          <w:p w14:paraId="6C94D0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197" w:type="dxa"/>
            <w:shd w:val="clear" w:color="auto" w:fill="auto"/>
            <w:vAlign w:val="center"/>
          </w:tcPr>
          <w:p w14:paraId="1D0945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工作完成100%</w:t>
            </w:r>
          </w:p>
        </w:tc>
        <w:tc>
          <w:tcPr>
            <w:tcW w:w="576" w:type="dxa"/>
            <w:shd w:val="clear" w:color="auto" w:fill="auto"/>
            <w:vAlign w:val="center"/>
          </w:tcPr>
          <w:p w14:paraId="1D0CF3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76" w:type="dxa"/>
            <w:shd w:val="clear" w:color="auto" w:fill="auto"/>
            <w:vAlign w:val="center"/>
          </w:tcPr>
          <w:p w14:paraId="7ECB99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848" w:type="dxa"/>
            <w:shd w:val="clear" w:color="auto" w:fill="auto"/>
            <w:vAlign w:val="center"/>
          </w:tcPr>
          <w:p w14:paraId="67B566A7">
            <w:pPr>
              <w:jc w:val="center"/>
              <w:rPr>
                <w:rFonts w:hint="default" w:ascii="Times New Roman" w:hAnsi="Times New Roman" w:eastAsia="仿宋_GB2312" w:cs="Times New Roman"/>
                <w:i/>
                <w:iCs/>
                <w:color w:val="000000"/>
                <w:sz w:val="21"/>
                <w:szCs w:val="21"/>
                <w:u w:val="none"/>
              </w:rPr>
            </w:pPr>
          </w:p>
        </w:tc>
      </w:tr>
      <w:tr w14:paraId="27AD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96" w:type="dxa"/>
            <w:vMerge w:val="continue"/>
            <w:shd w:val="clear" w:color="auto" w:fill="auto"/>
            <w:vAlign w:val="center"/>
          </w:tcPr>
          <w:p w14:paraId="5C8C8F16">
            <w:pPr>
              <w:jc w:val="center"/>
              <w:rPr>
                <w:rFonts w:hint="default" w:ascii="Times New Roman" w:hAnsi="Times New Roman" w:eastAsia="仿宋_GB2312" w:cs="Times New Roman"/>
                <w:i w:val="0"/>
                <w:iCs w:val="0"/>
                <w:color w:val="000000"/>
                <w:sz w:val="21"/>
                <w:szCs w:val="21"/>
                <w:u w:val="none"/>
              </w:rPr>
            </w:pPr>
          </w:p>
        </w:tc>
        <w:tc>
          <w:tcPr>
            <w:tcW w:w="891" w:type="dxa"/>
            <w:shd w:val="clear" w:color="auto" w:fill="auto"/>
            <w:vAlign w:val="center"/>
          </w:tcPr>
          <w:p w14:paraId="321C38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904" w:type="dxa"/>
            <w:shd w:val="clear" w:color="auto" w:fill="auto"/>
            <w:vAlign w:val="center"/>
          </w:tcPr>
          <w:p w14:paraId="3E153C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1237" w:type="dxa"/>
            <w:shd w:val="clear" w:color="auto" w:fill="auto"/>
            <w:vAlign w:val="center"/>
          </w:tcPr>
          <w:p w14:paraId="2B91D6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w:t>
            </w:r>
          </w:p>
        </w:tc>
        <w:tc>
          <w:tcPr>
            <w:tcW w:w="514" w:type="dxa"/>
            <w:shd w:val="clear" w:color="auto" w:fill="auto"/>
            <w:vAlign w:val="center"/>
          </w:tcPr>
          <w:p w14:paraId="7AFC9F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1" w:type="dxa"/>
            <w:shd w:val="clear" w:color="auto" w:fill="auto"/>
            <w:vAlign w:val="center"/>
          </w:tcPr>
          <w:p w14:paraId="2CA325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514" w:type="dxa"/>
            <w:shd w:val="clear" w:color="auto" w:fill="auto"/>
            <w:vAlign w:val="center"/>
          </w:tcPr>
          <w:p w14:paraId="736012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197" w:type="dxa"/>
            <w:shd w:val="clear" w:color="auto" w:fill="auto"/>
            <w:vAlign w:val="center"/>
          </w:tcPr>
          <w:p w14:paraId="6DE006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工作完成100%</w:t>
            </w:r>
          </w:p>
        </w:tc>
        <w:tc>
          <w:tcPr>
            <w:tcW w:w="576" w:type="dxa"/>
            <w:shd w:val="clear" w:color="auto" w:fill="auto"/>
            <w:vAlign w:val="center"/>
          </w:tcPr>
          <w:p w14:paraId="1F5A55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76" w:type="dxa"/>
            <w:shd w:val="clear" w:color="auto" w:fill="auto"/>
            <w:vAlign w:val="center"/>
          </w:tcPr>
          <w:p w14:paraId="42D43B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848" w:type="dxa"/>
            <w:shd w:val="clear" w:color="auto" w:fill="auto"/>
            <w:vAlign w:val="center"/>
          </w:tcPr>
          <w:p w14:paraId="7029AD15">
            <w:pPr>
              <w:jc w:val="center"/>
              <w:rPr>
                <w:rFonts w:hint="default" w:ascii="Times New Roman" w:hAnsi="Times New Roman" w:eastAsia="仿宋_GB2312" w:cs="Times New Roman"/>
                <w:i/>
                <w:iCs/>
                <w:color w:val="000000"/>
                <w:sz w:val="21"/>
                <w:szCs w:val="21"/>
                <w:u w:val="none"/>
              </w:rPr>
            </w:pPr>
          </w:p>
        </w:tc>
      </w:tr>
      <w:tr w14:paraId="2F2C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96" w:type="dxa"/>
            <w:vMerge w:val="continue"/>
            <w:shd w:val="clear" w:color="auto" w:fill="auto"/>
            <w:vAlign w:val="center"/>
          </w:tcPr>
          <w:p w14:paraId="117A0342">
            <w:pPr>
              <w:jc w:val="center"/>
              <w:rPr>
                <w:rFonts w:hint="default" w:ascii="Times New Roman" w:hAnsi="Times New Roman" w:eastAsia="仿宋_GB2312" w:cs="Times New Roman"/>
                <w:i w:val="0"/>
                <w:iCs w:val="0"/>
                <w:color w:val="000000"/>
                <w:sz w:val="21"/>
                <w:szCs w:val="21"/>
                <w:u w:val="none"/>
              </w:rPr>
            </w:pPr>
          </w:p>
        </w:tc>
        <w:tc>
          <w:tcPr>
            <w:tcW w:w="891" w:type="dxa"/>
            <w:shd w:val="clear" w:color="auto" w:fill="auto"/>
            <w:vAlign w:val="center"/>
          </w:tcPr>
          <w:p w14:paraId="7F9DC3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成本指标</w:t>
            </w:r>
          </w:p>
        </w:tc>
        <w:tc>
          <w:tcPr>
            <w:tcW w:w="904" w:type="dxa"/>
            <w:shd w:val="clear" w:color="auto" w:fill="auto"/>
            <w:vAlign w:val="center"/>
          </w:tcPr>
          <w:p w14:paraId="16363E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经济成本指标</w:t>
            </w:r>
          </w:p>
        </w:tc>
        <w:tc>
          <w:tcPr>
            <w:tcW w:w="1237" w:type="dxa"/>
            <w:shd w:val="clear" w:color="auto" w:fill="auto"/>
            <w:vAlign w:val="center"/>
          </w:tcPr>
          <w:p w14:paraId="713597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人员工资</w:t>
            </w:r>
          </w:p>
        </w:tc>
        <w:tc>
          <w:tcPr>
            <w:tcW w:w="514" w:type="dxa"/>
            <w:shd w:val="clear" w:color="auto" w:fill="auto"/>
            <w:vAlign w:val="center"/>
          </w:tcPr>
          <w:p w14:paraId="1EC848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71" w:type="dxa"/>
            <w:shd w:val="clear" w:color="auto" w:fill="auto"/>
            <w:vAlign w:val="center"/>
          </w:tcPr>
          <w:p w14:paraId="571EEA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514" w:type="dxa"/>
            <w:shd w:val="clear" w:color="auto" w:fill="auto"/>
            <w:vAlign w:val="center"/>
          </w:tcPr>
          <w:p w14:paraId="636943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p>
        </w:tc>
        <w:tc>
          <w:tcPr>
            <w:tcW w:w="1197" w:type="dxa"/>
            <w:shd w:val="clear" w:color="auto" w:fill="auto"/>
            <w:vAlign w:val="center"/>
          </w:tcPr>
          <w:p w14:paraId="0F8C60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人员工资4.5万元</w:t>
            </w:r>
          </w:p>
        </w:tc>
        <w:tc>
          <w:tcPr>
            <w:tcW w:w="576" w:type="dxa"/>
            <w:shd w:val="clear" w:color="auto" w:fill="auto"/>
            <w:vAlign w:val="center"/>
          </w:tcPr>
          <w:p w14:paraId="1D8774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76" w:type="dxa"/>
            <w:shd w:val="clear" w:color="auto" w:fill="auto"/>
            <w:vAlign w:val="center"/>
          </w:tcPr>
          <w:p w14:paraId="0CB555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848" w:type="dxa"/>
            <w:shd w:val="clear" w:color="auto" w:fill="auto"/>
            <w:vAlign w:val="center"/>
          </w:tcPr>
          <w:p w14:paraId="0A78DA62">
            <w:pPr>
              <w:jc w:val="center"/>
              <w:rPr>
                <w:rFonts w:hint="default" w:ascii="Times New Roman" w:hAnsi="Times New Roman" w:eastAsia="仿宋_GB2312" w:cs="Times New Roman"/>
                <w:i/>
                <w:iCs/>
                <w:color w:val="000000"/>
                <w:sz w:val="21"/>
                <w:szCs w:val="21"/>
                <w:u w:val="none"/>
              </w:rPr>
            </w:pPr>
          </w:p>
        </w:tc>
      </w:tr>
      <w:tr w14:paraId="312B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24" w:type="dxa"/>
            <w:gridSpan w:val="8"/>
            <w:shd w:val="clear" w:color="auto" w:fill="auto"/>
            <w:vAlign w:val="center"/>
          </w:tcPr>
          <w:p w14:paraId="3F0970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576" w:type="dxa"/>
            <w:shd w:val="clear" w:color="auto" w:fill="auto"/>
            <w:vAlign w:val="center"/>
          </w:tcPr>
          <w:p w14:paraId="6FFA60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576" w:type="dxa"/>
            <w:shd w:val="clear" w:color="auto" w:fill="auto"/>
            <w:vAlign w:val="center"/>
          </w:tcPr>
          <w:p w14:paraId="7B179A3C">
            <w:pP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100</w:t>
            </w:r>
          </w:p>
        </w:tc>
        <w:tc>
          <w:tcPr>
            <w:tcW w:w="848" w:type="dxa"/>
            <w:shd w:val="clear" w:color="auto" w:fill="auto"/>
            <w:vAlign w:val="center"/>
          </w:tcPr>
          <w:p w14:paraId="079B32E7">
            <w:pPr>
              <w:rPr>
                <w:rFonts w:hint="default" w:ascii="Times New Roman" w:hAnsi="Times New Roman" w:eastAsia="仿宋_GB2312" w:cs="Times New Roman"/>
                <w:i w:val="0"/>
                <w:iCs w:val="0"/>
                <w:color w:val="000000"/>
                <w:sz w:val="21"/>
                <w:szCs w:val="21"/>
                <w:u w:val="none"/>
              </w:rPr>
            </w:pPr>
          </w:p>
        </w:tc>
      </w:tr>
      <w:tr w14:paraId="7B35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96" w:type="dxa"/>
            <w:shd w:val="clear" w:color="auto" w:fill="auto"/>
            <w:vAlign w:val="center"/>
          </w:tcPr>
          <w:p w14:paraId="1D7637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评价结论</w:t>
            </w:r>
          </w:p>
        </w:tc>
        <w:tc>
          <w:tcPr>
            <w:tcW w:w="8028" w:type="dxa"/>
            <w:gridSpan w:val="10"/>
            <w:shd w:val="clear" w:color="auto" w:fill="auto"/>
            <w:vAlign w:val="center"/>
          </w:tcPr>
          <w:p w14:paraId="4209EA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2024年区妇联保障单位聘用人员的工资保险足额交纳。经单位自评得分为100分。</w:t>
            </w:r>
          </w:p>
        </w:tc>
      </w:tr>
      <w:tr w14:paraId="535E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696" w:type="dxa"/>
            <w:shd w:val="clear" w:color="auto" w:fill="auto"/>
            <w:vAlign w:val="center"/>
          </w:tcPr>
          <w:p w14:paraId="041814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存在问题</w:t>
            </w:r>
          </w:p>
        </w:tc>
        <w:tc>
          <w:tcPr>
            <w:tcW w:w="8028" w:type="dxa"/>
            <w:gridSpan w:val="10"/>
            <w:shd w:val="clear" w:color="auto" w:fill="auto"/>
            <w:vAlign w:val="center"/>
          </w:tcPr>
          <w:p w14:paraId="4F0094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项目实施目标不够具体，根据《四川省项目支出绩效评价指标体系》的评分标准，需对项目目标进行量化。</w:t>
            </w:r>
          </w:p>
          <w:p w14:paraId="3A34DC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根据《四川省项目支出绩效评价指标体系》的评分标准，绩效目标的目标内容包括项目预期提供的产品、服务、效益或其他目标，要针对项目数量、质量、功能、受益群体满意度等提出绩效目标，最后达到目标量化。</w:t>
            </w:r>
          </w:p>
        </w:tc>
      </w:tr>
      <w:tr w14:paraId="453B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696" w:type="dxa"/>
            <w:shd w:val="clear" w:color="auto" w:fill="auto"/>
            <w:vAlign w:val="center"/>
          </w:tcPr>
          <w:p w14:paraId="373C35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改进措施</w:t>
            </w:r>
          </w:p>
        </w:tc>
        <w:tc>
          <w:tcPr>
            <w:tcW w:w="8028" w:type="dxa"/>
            <w:gridSpan w:val="10"/>
            <w:shd w:val="clear" w:color="auto" w:fill="auto"/>
            <w:vAlign w:val="center"/>
          </w:tcPr>
          <w:p w14:paraId="6835E4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1、参考《四川省项目支出绩效评价指标体系》，根据每年项目开展的实际情况，提出明确、合理的目标，制定绩效目标时应对目标进行量化，使项目实施做到科学合理。</w:t>
            </w:r>
          </w:p>
          <w:p w14:paraId="15EA74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2、加强资金管理，规范各项支出。</w:t>
            </w:r>
          </w:p>
        </w:tc>
      </w:tr>
      <w:tr w14:paraId="36EF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242" w:type="dxa"/>
            <w:gridSpan w:val="5"/>
            <w:shd w:val="clear" w:color="auto" w:fill="auto"/>
            <w:vAlign w:val="center"/>
          </w:tcPr>
          <w:p w14:paraId="0E92AE15">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lang w:val="en-US"/>
              </w:rPr>
            </w:pPr>
            <w:r>
              <w:rPr>
                <w:rFonts w:hint="default" w:ascii="Times New Roman" w:hAnsi="Times New Roman" w:eastAsia="仿宋_GB2312" w:cs="Times New Roman"/>
                <w:b w:val="0"/>
                <w:bCs w:val="0"/>
                <w:i w:val="0"/>
                <w:iCs w:val="0"/>
                <w:color w:val="000000"/>
                <w:kern w:val="0"/>
                <w:sz w:val="21"/>
                <w:szCs w:val="21"/>
                <w:u w:val="none"/>
                <w:lang w:val="en-US" w:eastAsia="zh-CN" w:bidi="ar"/>
              </w:rPr>
              <w:t>项目负责人：贺敏</w:t>
            </w:r>
          </w:p>
        </w:tc>
        <w:tc>
          <w:tcPr>
            <w:tcW w:w="4482" w:type="dxa"/>
            <w:gridSpan w:val="6"/>
            <w:shd w:val="clear" w:color="auto" w:fill="auto"/>
            <w:vAlign w:val="center"/>
          </w:tcPr>
          <w:p w14:paraId="72B862DF">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lang w:val="en-US"/>
              </w:rPr>
            </w:pPr>
            <w:r>
              <w:rPr>
                <w:rFonts w:hint="default" w:ascii="Times New Roman" w:hAnsi="Times New Roman" w:eastAsia="仿宋_GB2312" w:cs="Times New Roman"/>
                <w:b w:val="0"/>
                <w:bCs w:val="0"/>
                <w:i w:val="0"/>
                <w:iCs w:val="0"/>
                <w:color w:val="000000"/>
                <w:kern w:val="0"/>
                <w:sz w:val="21"/>
                <w:szCs w:val="21"/>
                <w:u w:val="none"/>
                <w:lang w:val="en-US" w:eastAsia="zh-CN" w:bidi="ar"/>
              </w:rPr>
              <w:t>财务负责人：蹇亚玲</w:t>
            </w:r>
          </w:p>
        </w:tc>
      </w:tr>
    </w:tbl>
    <w:p w14:paraId="05D10366">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Fonts w:hint="default" w:ascii="Times New Roman" w:hAnsi="Times New Roman" w:eastAsia="方正小标宋简体" w:cs="Times New Roman"/>
          <w:b w:val="0"/>
          <w:bCs/>
          <w:kern w:val="44"/>
          <w:sz w:val="44"/>
          <w:szCs w:val="44"/>
          <w:lang w:val="en-US" w:eastAsia="zh-CN" w:bidi="ar-SA"/>
        </w:rPr>
      </w:pPr>
    </w:p>
    <w:p w14:paraId="4B085698">
      <w:pPr>
        <w:pStyle w:val="13"/>
        <w:rPr>
          <w:rFonts w:hint="default" w:ascii="Times New Roman" w:hAnsi="Times New Roman" w:eastAsia="方正小标宋简体" w:cs="Times New Roman"/>
          <w:b w:val="0"/>
          <w:bCs/>
          <w:kern w:val="44"/>
          <w:sz w:val="44"/>
          <w:szCs w:val="44"/>
          <w:lang w:val="en-US" w:eastAsia="zh-CN" w:bidi="ar-SA"/>
        </w:rPr>
      </w:pPr>
    </w:p>
    <w:p w14:paraId="03504EF9">
      <w:pPr>
        <w:pStyle w:val="8"/>
        <w:rPr>
          <w:rFonts w:hint="default" w:ascii="Times New Roman" w:hAnsi="Times New Roman" w:eastAsia="方正小标宋简体" w:cs="Times New Roman"/>
          <w:b w:val="0"/>
          <w:bCs/>
          <w:kern w:val="44"/>
          <w:sz w:val="44"/>
          <w:szCs w:val="44"/>
          <w:lang w:val="en-US" w:eastAsia="zh-CN" w:bidi="ar-SA"/>
        </w:rPr>
      </w:pPr>
    </w:p>
    <w:p w14:paraId="60EAD5FC">
      <w:pPr>
        <w:pStyle w:val="8"/>
        <w:rPr>
          <w:rFonts w:hint="default" w:ascii="Times New Roman" w:hAnsi="Times New Roman" w:eastAsia="方正小标宋简体" w:cs="Times New Roman"/>
          <w:b w:val="0"/>
          <w:bCs/>
          <w:kern w:val="44"/>
          <w:sz w:val="44"/>
          <w:szCs w:val="44"/>
          <w:lang w:val="en-US" w:eastAsia="zh-CN" w:bidi="ar-SA"/>
        </w:rPr>
      </w:pPr>
    </w:p>
    <w:p w14:paraId="2CA73BAA">
      <w:pPr>
        <w:pStyle w:val="8"/>
        <w:rPr>
          <w:rFonts w:hint="default" w:ascii="Times New Roman" w:hAnsi="Times New Roman" w:eastAsia="方正小标宋简体" w:cs="Times New Roman"/>
          <w:b w:val="0"/>
          <w:bCs/>
          <w:kern w:val="44"/>
          <w:sz w:val="44"/>
          <w:szCs w:val="44"/>
          <w:lang w:val="en-US" w:eastAsia="zh-CN" w:bidi="ar-SA"/>
        </w:rPr>
      </w:pPr>
    </w:p>
    <w:p w14:paraId="3D5C63EF">
      <w:pPr>
        <w:rPr>
          <w:rFonts w:hint="default" w:ascii="Times New Roman" w:hAnsi="Times New Roman" w:eastAsia="方正小标宋简体" w:cs="Times New Roman"/>
          <w:b w:val="0"/>
          <w:bCs w:val="0"/>
          <w:i w:val="0"/>
          <w:iCs w:val="0"/>
          <w:color w:val="000000"/>
          <w:kern w:val="0"/>
          <w:sz w:val="44"/>
          <w:szCs w:val="44"/>
          <w:u w:val="none"/>
          <w:lang w:val="en-US" w:eastAsia="zh-CN" w:bidi="ar"/>
        </w:rPr>
      </w:pPr>
      <w:r>
        <w:rPr>
          <w:rFonts w:hint="default" w:ascii="Times New Roman" w:hAnsi="Times New Roman" w:eastAsia="方正小标宋简体" w:cs="Times New Roman"/>
          <w:b w:val="0"/>
          <w:bCs w:val="0"/>
          <w:i w:val="0"/>
          <w:iCs w:val="0"/>
          <w:color w:val="000000"/>
          <w:kern w:val="0"/>
          <w:sz w:val="44"/>
          <w:szCs w:val="44"/>
          <w:u w:val="none"/>
          <w:lang w:val="en-US" w:eastAsia="zh-CN" w:bidi="ar"/>
        </w:rPr>
        <w:br w:type="page"/>
      </w:r>
    </w:p>
    <w:p w14:paraId="1678D1E4">
      <w:pPr>
        <w:pStyle w:val="8"/>
        <w:ind w:left="0" w:leftChars="0" w:firstLine="0" w:firstLineChars="0"/>
        <w:jc w:val="center"/>
        <w:rPr>
          <w:rFonts w:hint="default" w:ascii="Times New Roman" w:hAnsi="Times New Roman" w:eastAsia="方正小标宋简体" w:cs="Times New Roman"/>
          <w:b w:val="0"/>
          <w:bCs/>
          <w:kern w:val="44"/>
          <w:sz w:val="44"/>
          <w:szCs w:val="44"/>
          <w:lang w:val="en-US" w:eastAsia="zh-CN" w:bidi="ar-SA"/>
        </w:rPr>
      </w:pPr>
      <w:r>
        <w:rPr>
          <w:rFonts w:hint="default" w:ascii="Times New Roman" w:hAnsi="Times New Roman" w:eastAsia="方正小标宋简体" w:cs="Times New Roman"/>
          <w:b w:val="0"/>
          <w:bCs w:val="0"/>
          <w:i w:val="0"/>
          <w:iCs w:val="0"/>
          <w:color w:val="000000"/>
          <w:kern w:val="0"/>
          <w:sz w:val="44"/>
          <w:szCs w:val="44"/>
          <w:u w:val="none"/>
          <w:lang w:val="en-US" w:eastAsia="zh-CN" w:bidi="ar"/>
        </w:rPr>
        <w:t>部门预算项目支出绩效自评表（2024年度）</w:t>
      </w:r>
    </w:p>
    <w:tbl>
      <w:tblPr>
        <w:tblStyle w:val="17"/>
        <w:tblW w:w="8880" w:type="dxa"/>
        <w:jc w:val="center"/>
        <w:shd w:val="clear" w:color="auto" w:fill="auto"/>
        <w:tblLayout w:type="autofit"/>
        <w:tblCellMar>
          <w:top w:w="0" w:type="dxa"/>
          <w:left w:w="108" w:type="dxa"/>
          <w:bottom w:w="0" w:type="dxa"/>
          <w:right w:w="108" w:type="dxa"/>
        </w:tblCellMar>
      </w:tblPr>
      <w:tblGrid>
        <w:gridCol w:w="1076"/>
        <w:gridCol w:w="976"/>
        <w:gridCol w:w="972"/>
        <w:gridCol w:w="1003"/>
        <w:gridCol w:w="426"/>
        <w:gridCol w:w="1210"/>
        <w:gridCol w:w="426"/>
        <w:gridCol w:w="1088"/>
        <w:gridCol w:w="531"/>
        <w:gridCol w:w="531"/>
        <w:gridCol w:w="641"/>
      </w:tblGrid>
      <w:tr w14:paraId="3E9690ED">
        <w:tblPrEx>
          <w:shd w:val="clear" w:color="auto" w:fill="auto"/>
          <w:tblCellMar>
            <w:top w:w="0" w:type="dxa"/>
            <w:left w:w="108" w:type="dxa"/>
            <w:bottom w:w="0" w:type="dxa"/>
            <w:right w:w="108" w:type="dxa"/>
          </w:tblCellMar>
        </w:tblPrEx>
        <w:trPr>
          <w:trHeight w:val="0" w:hRule="atLeast"/>
          <w:jc w:val="center"/>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F21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项目名称</w:t>
            </w:r>
          </w:p>
        </w:tc>
        <w:tc>
          <w:tcPr>
            <w:tcW w:w="67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A976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51090424T000011109477-儿童之家运维资金</w:t>
            </w:r>
          </w:p>
        </w:tc>
      </w:tr>
      <w:tr w14:paraId="42FB4EFF">
        <w:tblPrEx>
          <w:tblCellMar>
            <w:top w:w="0" w:type="dxa"/>
            <w:left w:w="108" w:type="dxa"/>
            <w:bottom w:w="0" w:type="dxa"/>
            <w:right w:w="108" w:type="dxa"/>
          </w:tblCellMar>
        </w:tblPrEx>
        <w:trPr>
          <w:trHeight w:val="0" w:hRule="atLeast"/>
          <w:jc w:val="center"/>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D55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w:t>
            </w:r>
          </w:p>
        </w:tc>
        <w:tc>
          <w:tcPr>
            <w:tcW w:w="4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2B2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遂宁市安居区妇女联合会部门</w:t>
            </w:r>
          </w:p>
        </w:tc>
        <w:tc>
          <w:tcPr>
            <w:tcW w:w="1096" w:type="dxa"/>
            <w:tcBorders>
              <w:top w:val="nil"/>
              <w:left w:val="nil"/>
              <w:bottom w:val="nil"/>
              <w:right w:val="nil"/>
            </w:tcBorders>
            <w:shd w:val="clear" w:color="auto" w:fill="auto"/>
            <w:vAlign w:val="center"/>
          </w:tcPr>
          <w:p w14:paraId="2DD36B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实施单位 （盖章）</w:t>
            </w:r>
          </w:p>
        </w:tc>
        <w:tc>
          <w:tcPr>
            <w:tcW w:w="1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C95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w:t>
            </w:r>
          </w:p>
        </w:tc>
      </w:tr>
      <w:tr w14:paraId="452BDF5D">
        <w:tblPrEx>
          <w:tblCellMar>
            <w:top w:w="0" w:type="dxa"/>
            <w:left w:w="108" w:type="dxa"/>
            <w:bottom w:w="0" w:type="dxa"/>
            <w:right w:w="108" w:type="dxa"/>
          </w:tblCellMar>
        </w:tblPrEx>
        <w:trPr>
          <w:trHeight w:val="0" w:hRule="atLeast"/>
          <w:jc w:val="center"/>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DA0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项目基本情况</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FF3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1.项目年度目标完成情况</w:t>
            </w:r>
          </w:p>
        </w:tc>
        <w:tc>
          <w:tcPr>
            <w:tcW w:w="4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95C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项目年度目标</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B42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年度目标完成情况</w:t>
            </w:r>
          </w:p>
        </w:tc>
      </w:tr>
      <w:tr w14:paraId="5E5643AE">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6F68">
            <w:pPr>
              <w:rPr>
                <w:rFonts w:hint="default" w:ascii="Times New Roman" w:hAnsi="Times New Roman" w:eastAsia="仿宋_GB2312"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3753">
            <w:pPr>
              <w:rPr>
                <w:rFonts w:hint="default" w:ascii="Times New Roman" w:hAnsi="Times New Roman" w:eastAsia="仿宋_GB2312" w:cs="Times New Roman"/>
                <w:i w:val="0"/>
                <w:iCs w:val="0"/>
                <w:color w:val="000000"/>
                <w:sz w:val="21"/>
                <w:szCs w:val="21"/>
                <w:u w:val="none"/>
              </w:rPr>
            </w:pPr>
          </w:p>
        </w:tc>
        <w:tc>
          <w:tcPr>
            <w:tcW w:w="4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2B2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乡镇86个儿童之家运维，区级政府每年5000元的经费补助，其中区级政府负担80%，市级负担20%；</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703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2024年12月前完成项目</w:t>
            </w:r>
          </w:p>
        </w:tc>
      </w:tr>
      <w:tr w14:paraId="17E19978">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88BF8">
            <w:pPr>
              <w:rPr>
                <w:rFonts w:hint="default" w:ascii="Times New Roman" w:hAnsi="Times New Roman" w:eastAsia="仿宋_GB2312" w:cs="Times New Roman"/>
                <w:i w:val="0"/>
                <w:iCs w:val="0"/>
                <w:color w:val="000000"/>
                <w:sz w:val="21"/>
                <w:szCs w:val="21"/>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B7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2.项目实施内容及过程概述</w:t>
            </w:r>
          </w:p>
        </w:tc>
        <w:tc>
          <w:tcPr>
            <w:tcW w:w="67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B55A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乡镇86个儿童之家运维，区级政府每年5000元的经费补助，其中区级政府负担80%，市级负担20%；</w:t>
            </w:r>
          </w:p>
        </w:tc>
      </w:tr>
      <w:tr w14:paraId="132D32DD">
        <w:tblPrEx>
          <w:tblCellMar>
            <w:top w:w="0" w:type="dxa"/>
            <w:left w:w="108" w:type="dxa"/>
            <w:bottom w:w="0" w:type="dxa"/>
            <w:right w:w="108" w:type="dxa"/>
          </w:tblCellMar>
        </w:tblPrEx>
        <w:trPr>
          <w:trHeight w:val="0" w:hRule="atLeast"/>
          <w:jc w:val="center"/>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362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预算执行情况（10分）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87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09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年初预算</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6D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调整后预算数</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9A3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F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4B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8C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C9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原因</w:t>
            </w:r>
          </w:p>
        </w:tc>
      </w:tr>
      <w:tr w14:paraId="2234EA45">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3C84C">
            <w:pPr>
              <w:jc w:val="center"/>
              <w:rPr>
                <w:rFonts w:hint="default" w:ascii="Times New Roman" w:hAnsi="Times New Roman" w:eastAsia="仿宋_GB2312" w:cs="Times New Roman"/>
                <w:i w:val="0"/>
                <w:iCs w:val="0"/>
                <w:color w:val="000000"/>
                <w:sz w:val="21"/>
                <w:szCs w:val="21"/>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DC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7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06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C3B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D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F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08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55121">
            <w:pPr>
              <w:rPr>
                <w:rFonts w:hint="default" w:ascii="Times New Roman" w:hAnsi="Times New Roman" w:eastAsia="仿宋_GB2312" w:cs="Times New Roman"/>
                <w:i/>
                <w:iCs/>
                <w:color w:val="000000"/>
                <w:sz w:val="21"/>
                <w:szCs w:val="21"/>
                <w:u w:val="none"/>
              </w:rPr>
            </w:pPr>
          </w:p>
        </w:tc>
      </w:tr>
      <w:tr w14:paraId="6FE715FF">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2554">
            <w:pPr>
              <w:jc w:val="center"/>
              <w:rPr>
                <w:rFonts w:hint="default" w:ascii="Times New Roman" w:hAnsi="Times New Roman" w:eastAsia="仿宋_GB2312" w:cs="Times New Roman"/>
                <w:i w:val="0"/>
                <w:iCs w:val="0"/>
                <w:color w:val="000000"/>
                <w:sz w:val="21"/>
                <w:szCs w:val="21"/>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6A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04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2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4F2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A2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21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13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EF7C">
            <w:pPr>
              <w:rPr>
                <w:rFonts w:hint="default" w:ascii="Times New Roman" w:hAnsi="Times New Roman" w:eastAsia="仿宋_GB2312" w:cs="Times New Roman"/>
                <w:i/>
                <w:iCs/>
                <w:color w:val="000000"/>
                <w:sz w:val="21"/>
                <w:szCs w:val="21"/>
                <w:u w:val="none"/>
              </w:rPr>
            </w:pPr>
          </w:p>
        </w:tc>
      </w:tr>
      <w:tr w14:paraId="2A9CD4C4">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FB2B8">
            <w:pPr>
              <w:jc w:val="center"/>
              <w:rPr>
                <w:rFonts w:hint="default" w:ascii="Times New Roman" w:hAnsi="Times New Roman" w:eastAsia="仿宋_GB2312" w:cs="Times New Roman"/>
                <w:i w:val="0"/>
                <w:iCs w:val="0"/>
                <w:color w:val="000000"/>
                <w:sz w:val="21"/>
                <w:szCs w:val="21"/>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9F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AE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3F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91D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E5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D1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F6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1465">
            <w:pPr>
              <w:rPr>
                <w:rFonts w:hint="default" w:ascii="Times New Roman" w:hAnsi="Times New Roman" w:eastAsia="仿宋_GB2312" w:cs="Times New Roman"/>
                <w:i/>
                <w:iCs/>
                <w:color w:val="000000"/>
                <w:sz w:val="21"/>
                <w:szCs w:val="21"/>
                <w:u w:val="none"/>
              </w:rPr>
            </w:pPr>
          </w:p>
        </w:tc>
      </w:tr>
      <w:tr w14:paraId="5CDD9B52">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1FF4">
            <w:pPr>
              <w:jc w:val="center"/>
              <w:rPr>
                <w:rFonts w:hint="default" w:ascii="Times New Roman" w:hAnsi="Times New Roman" w:eastAsia="仿宋_GB2312" w:cs="Times New Roman"/>
                <w:i w:val="0"/>
                <w:iCs w:val="0"/>
                <w:color w:val="000000"/>
                <w:sz w:val="21"/>
                <w:szCs w:val="21"/>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90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47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2C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960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36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4A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B0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3D51">
            <w:pPr>
              <w:rPr>
                <w:rFonts w:hint="default" w:ascii="Times New Roman" w:hAnsi="Times New Roman" w:eastAsia="仿宋_GB2312" w:cs="Times New Roman"/>
                <w:i/>
                <w:iCs/>
                <w:color w:val="000000"/>
                <w:sz w:val="21"/>
                <w:szCs w:val="21"/>
                <w:u w:val="none"/>
              </w:rPr>
            </w:pPr>
          </w:p>
        </w:tc>
      </w:tr>
      <w:tr w14:paraId="29AE079B">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7CA2">
            <w:pPr>
              <w:jc w:val="center"/>
              <w:rPr>
                <w:rFonts w:hint="default" w:ascii="Times New Roman" w:hAnsi="Times New Roman" w:eastAsia="仿宋_GB2312" w:cs="Times New Roman"/>
                <w:i w:val="0"/>
                <w:iCs w:val="0"/>
                <w:color w:val="000000"/>
                <w:sz w:val="21"/>
                <w:szCs w:val="21"/>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B8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D1EA">
            <w:pPr>
              <w:jc w:val="center"/>
              <w:rPr>
                <w:rFonts w:hint="default" w:ascii="Times New Roman" w:hAnsi="Times New Roman" w:eastAsia="仿宋_GB2312" w:cs="Times New Roman"/>
                <w:i/>
                <w:iCs/>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8BC6">
            <w:pPr>
              <w:jc w:val="center"/>
              <w:rPr>
                <w:rFonts w:hint="default" w:ascii="Times New Roman" w:hAnsi="Times New Roman" w:eastAsia="仿宋_GB2312" w:cs="Times New Roman"/>
                <w:i/>
                <w:iCs/>
                <w:color w:val="000000"/>
                <w:sz w:val="21"/>
                <w:szCs w:val="21"/>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0A27D">
            <w:pPr>
              <w:jc w:val="center"/>
              <w:rPr>
                <w:rFonts w:hint="default" w:ascii="Times New Roman" w:hAnsi="Times New Roman" w:eastAsia="仿宋_GB2312" w:cs="Times New Roman"/>
                <w:i/>
                <w:iCs/>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7FAB">
            <w:pPr>
              <w:jc w:val="center"/>
              <w:rPr>
                <w:rFonts w:hint="default" w:ascii="Times New Roman" w:hAnsi="Times New Roman" w:eastAsia="仿宋_GB2312" w:cs="Times New Roman"/>
                <w:i/>
                <w:iCs/>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2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75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3FE32">
            <w:pPr>
              <w:rPr>
                <w:rFonts w:hint="default" w:ascii="Times New Roman" w:hAnsi="Times New Roman" w:eastAsia="仿宋_GB2312" w:cs="Times New Roman"/>
                <w:i/>
                <w:iCs/>
                <w:color w:val="000000"/>
                <w:sz w:val="21"/>
                <w:szCs w:val="21"/>
                <w:u w:val="none"/>
              </w:rPr>
            </w:pPr>
          </w:p>
        </w:tc>
      </w:tr>
      <w:tr w14:paraId="78601FD8">
        <w:tblPrEx>
          <w:tblCellMar>
            <w:top w:w="0" w:type="dxa"/>
            <w:left w:w="108" w:type="dxa"/>
            <w:bottom w:w="0" w:type="dxa"/>
            <w:right w:w="108" w:type="dxa"/>
          </w:tblCellMar>
        </w:tblPrEx>
        <w:trPr>
          <w:trHeight w:val="0" w:hRule="atLeast"/>
          <w:jc w:val="center"/>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AF5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绩效指标（90分）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F1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FC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67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70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8F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指标值</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59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度量单位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BB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9C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7F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23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未完成原因分析</w:t>
            </w:r>
          </w:p>
        </w:tc>
      </w:tr>
      <w:tr w14:paraId="65D2147E">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354E">
            <w:pPr>
              <w:jc w:val="center"/>
              <w:rPr>
                <w:rFonts w:hint="default" w:ascii="Times New Roman" w:hAnsi="Times New Roman" w:eastAsia="仿宋_GB2312" w:cs="Times New Roman"/>
                <w:i w:val="0"/>
                <w:iCs w:val="0"/>
                <w:color w:val="000000"/>
                <w:sz w:val="21"/>
                <w:szCs w:val="21"/>
                <w:u w:val="none"/>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33A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BDF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C2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儿童之用运行经费标准</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64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F7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90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3B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D4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12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02FE">
            <w:pPr>
              <w:jc w:val="center"/>
              <w:rPr>
                <w:rFonts w:hint="default" w:ascii="Times New Roman" w:hAnsi="Times New Roman" w:eastAsia="仿宋_GB2312" w:cs="Times New Roman"/>
                <w:i/>
                <w:iCs/>
                <w:color w:val="000000"/>
                <w:sz w:val="21"/>
                <w:szCs w:val="21"/>
                <w:u w:val="none"/>
              </w:rPr>
            </w:pPr>
          </w:p>
        </w:tc>
      </w:tr>
      <w:tr w14:paraId="45C366E0">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AB43">
            <w:pPr>
              <w:jc w:val="center"/>
              <w:rPr>
                <w:rFonts w:hint="default" w:ascii="Times New Roman" w:hAnsi="Times New Roman" w:eastAsia="仿宋_GB2312"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D8DD0">
            <w:pPr>
              <w:jc w:val="center"/>
              <w:rPr>
                <w:rFonts w:hint="default" w:ascii="Times New Roman" w:hAnsi="Times New Roman" w:eastAsia="仿宋_GB2312" w:cs="Times New Roman"/>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77DB">
            <w:pPr>
              <w:jc w:val="center"/>
              <w:rPr>
                <w:rFonts w:hint="default" w:ascii="Times New Roman" w:hAnsi="Times New Roman" w:eastAsia="仿宋_GB2312" w:cs="Times New Roman"/>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6A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乡镇儿童之家数量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BC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A2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86</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C6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88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E4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5A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B63B">
            <w:pPr>
              <w:jc w:val="center"/>
              <w:rPr>
                <w:rFonts w:hint="default" w:ascii="Times New Roman" w:hAnsi="Times New Roman" w:eastAsia="仿宋_GB2312" w:cs="Times New Roman"/>
                <w:i/>
                <w:iCs/>
                <w:color w:val="000000"/>
                <w:sz w:val="21"/>
                <w:szCs w:val="21"/>
                <w:u w:val="none"/>
              </w:rPr>
            </w:pPr>
          </w:p>
        </w:tc>
      </w:tr>
      <w:tr w14:paraId="6A4790EA">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0DDC">
            <w:pPr>
              <w:jc w:val="center"/>
              <w:rPr>
                <w:rFonts w:hint="default" w:ascii="Times New Roman" w:hAnsi="Times New Roman" w:eastAsia="仿宋_GB2312"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12DB">
            <w:pPr>
              <w:jc w:val="center"/>
              <w:rPr>
                <w:rFonts w:hint="default" w:ascii="Times New Roman" w:hAnsi="Times New Roman" w:eastAsia="仿宋_GB2312"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CC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2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“儿童之家”运行维护经费主要用于组织开展儿童主题活动及日常运行</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FF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3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确保专款专用</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57C">
            <w:pPr>
              <w:jc w:val="center"/>
              <w:rPr>
                <w:rFonts w:hint="default" w:ascii="Times New Roman" w:hAnsi="Times New Roman" w:eastAsia="仿宋_GB2312" w:cs="Times New Roman"/>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94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确保专款专用</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59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35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A704">
            <w:pPr>
              <w:jc w:val="center"/>
              <w:rPr>
                <w:rFonts w:hint="default" w:ascii="Times New Roman" w:hAnsi="Times New Roman" w:eastAsia="仿宋_GB2312" w:cs="Times New Roman"/>
                <w:i/>
                <w:iCs/>
                <w:color w:val="000000"/>
                <w:sz w:val="21"/>
                <w:szCs w:val="21"/>
                <w:u w:val="none"/>
              </w:rPr>
            </w:pPr>
          </w:p>
        </w:tc>
      </w:tr>
      <w:tr w14:paraId="5B1E4C75">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1074D">
            <w:pPr>
              <w:jc w:val="center"/>
              <w:rPr>
                <w:rFonts w:hint="default" w:ascii="Times New Roman" w:hAnsi="Times New Roman" w:eastAsia="仿宋_GB2312"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29CA">
            <w:pPr>
              <w:jc w:val="center"/>
              <w:rPr>
                <w:rFonts w:hint="default" w:ascii="Times New Roman" w:hAnsi="Times New Roman" w:eastAsia="仿宋_GB2312"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D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BB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“儿童之家”运行经费须在2024年12月前使用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B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A1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2024年12月前完成项目</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B0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月</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A9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2024年12月前完成项目</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C1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B8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A92A">
            <w:pPr>
              <w:jc w:val="center"/>
              <w:rPr>
                <w:rFonts w:hint="default" w:ascii="Times New Roman" w:hAnsi="Times New Roman" w:eastAsia="仿宋_GB2312" w:cs="Times New Roman"/>
                <w:i/>
                <w:iCs/>
                <w:color w:val="000000"/>
                <w:sz w:val="21"/>
                <w:szCs w:val="21"/>
                <w:u w:val="none"/>
              </w:rPr>
            </w:pPr>
          </w:p>
        </w:tc>
      </w:tr>
      <w:tr w14:paraId="6D1A3C0C">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6C2A">
            <w:pPr>
              <w:jc w:val="center"/>
              <w:rPr>
                <w:rFonts w:hint="default" w:ascii="Times New Roman" w:hAnsi="Times New Roman" w:eastAsia="仿宋_GB2312" w:cs="Times New Roman"/>
                <w:i w:val="0"/>
                <w:iCs w:val="0"/>
                <w:color w:val="000000"/>
                <w:sz w:val="21"/>
                <w:szCs w:val="21"/>
                <w:u w:val="none"/>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4D7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A4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经济效益指标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98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确保儿童之家正常运转，对经济有直接或者间接的影响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71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19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使儿童成为收益者，有效地促进农村经济发展</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C742">
            <w:pPr>
              <w:jc w:val="center"/>
              <w:rPr>
                <w:rFonts w:hint="default" w:ascii="Times New Roman" w:hAnsi="Times New Roman" w:eastAsia="仿宋_GB2312" w:cs="Times New Roman"/>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1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使儿童成为收益者，有效地促进农村经济发展</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04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F2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8AC1">
            <w:pPr>
              <w:jc w:val="center"/>
              <w:rPr>
                <w:rFonts w:hint="default" w:ascii="Times New Roman" w:hAnsi="Times New Roman" w:eastAsia="仿宋_GB2312" w:cs="Times New Roman"/>
                <w:i/>
                <w:iCs/>
                <w:color w:val="000000"/>
                <w:sz w:val="21"/>
                <w:szCs w:val="21"/>
                <w:u w:val="none"/>
              </w:rPr>
            </w:pPr>
          </w:p>
        </w:tc>
      </w:tr>
      <w:tr w14:paraId="40E407E2">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9FB7">
            <w:pPr>
              <w:jc w:val="center"/>
              <w:rPr>
                <w:rFonts w:hint="default" w:ascii="Times New Roman" w:hAnsi="Times New Roman" w:eastAsia="仿宋_GB2312" w:cs="Times New Roman"/>
                <w:i w:val="0"/>
                <w:iCs w:val="0"/>
                <w:color w:val="000000"/>
                <w:sz w:val="21"/>
                <w:szCs w:val="21"/>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FACF">
            <w:pPr>
              <w:jc w:val="center"/>
              <w:rPr>
                <w:rFonts w:hint="default" w:ascii="Times New Roman" w:hAnsi="Times New Roman" w:eastAsia="仿宋_GB2312"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64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社会效益指标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38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对社会稳定发展有直接或间接影响。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D0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3C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维护留守儿童权益，促进社会安定及发展</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6F07">
            <w:pPr>
              <w:jc w:val="center"/>
              <w:rPr>
                <w:rFonts w:hint="default" w:ascii="Times New Roman" w:hAnsi="Times New Roman" w:eastAsia="仿宋_GB2312" w:cs="Times New Roman"/>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95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维护留守儿童权益，促进社会安定及发展</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37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B0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BA7">
            <w:pPr>
              <w:jc w:val="center"/>
              <w:rPr>
                <w:rFonts w:hint="default" w:ascii="Times New Roman" w:hAnsi="Times New Roman" w:eastAsia="仿宋_GB2312" w:cs="Times New Roman"/>
                <w:i/>
                <w:iCs/>
                <w:color w:val="000000"/>
                <w:sz w:val="21"/>
                <w:szCs w:val="21"/>
                <w:u w:val="none"/>
              </w:rPr>
            </w:pPr>
          </w:p>
        </w:tc>
      </w:tr>
      <w:tr w14:paraId="33C086ED">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AED0">
            <w:pPr>
              <w:jc w:val="center"/>
              <w:rPr>
                <w:rFonts w:hint="default" w:ascii="Times New Roman" w:hAnsi="Times New Roman" w:eastAsia="仿宋_GB2312" w:cs="Times New Roman"/>
                <w:i w:val="0"/>
                <w:iCs w:val="0"/>
                <w:color w:val="000000"/>
                <w:sz w:val="21"/>
                <w:szCs w:val="21"/>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8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6B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D9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群众对儿童之家开展活动满意度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D4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92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DA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35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75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2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27D0">
            <w:pPr>
              <w:jc w:val="center"/>
              <w:rPr>
                <w:rFonts w:hint="default" w:ascii="Times New Roman" w:hAnsi="Times New Roman" w:eastAsia="仿宋_GB2312" w:cs="Times New Roman"/>
                <w:i/>
                <w:iCs/>
                <w:color w:val="000000"/>
                <w:sz w:val="21"/>
                <w:szCs w:val="21"/>
                <w:u w:val="none"/>
              </w:rPr>
            </w:pPr>
          </w:p>
        </w:tc>
      </w:tr>
      <w:tr w14:paraId="23481DC1">
        <w:tblPrEx>
          <w:tblCellMar>
            <w:top w:w="0" w:type="dxa"/>
            <w:left w:w="108" w:type="dxa"/>
            <w:bottom w:w="0" w:type="dxa"/>
            <w:right w:w="108" w:type="dxa"/>
          </w:tblCellMar>
        </w:tblPrEx>
        <w:trPr>
          <w:trHeight w:val="0"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BBA8">
            <w:pPr>
              <w:jc w:val="center"/>
              <w:rPr>
                <w:rFonts w:hint="default" w:ascii="Times New Roman" w:hAnsi="Times New Roman" w:eastAsia="仿宋_GB2312" w:cs="Times New Roman"/>
                <w:i w:val="0"/>
                <w:iCs w:val="0"/>
                <w:color w:val="000000"/>
                <w:sz w:val="21"/>
                <w:szCs w:val="21"/>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6D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8C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经济成本指标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0F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儿童之家日常运行</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90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F2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F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51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DA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DA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8F77">
            <w:pPr>
              <w:jc w:val="center"/>
              <w:rPr>
                <w:rFonts w:hint="default" w:ascii="Times New Roman" w:hAnsi="Times New Roman" w:eastAsia="仿宋_GB2312" w:cs="Times New Roman"/>
                <w:i/>
                <w:iCs/>
                <w:color w:val="000000"/>
                <w:sz w:val="21"/>
                <w:szCs w:val="21"/>
                <w:u w:val="none"/>
              </w:rPr>
            </w:pPr>
          </w:p>
        </w:tc>
      </w:tr>
      <w:tr w14:paraId="37F5B371">
        <w:tblPrEx>
          <w:tblCellMar>
            <w:top w:w="0" w:type="dxa"/>
            <w:left w:w="108" w:type="dxa"/>
            <w:bottom w:w="0" w:type="dxa"/>
            <w:right w:w="108" w:type="dxa"/>
          </w:tblCellMar>
        </w:tblPrEx>
        <w:trPr>
          <w:trHeight w:val="0" w:hRule="atLeast"/>
          <w:jc w:val="center"/>
        </w:trPr>
        <w:tc>
          <w:tcPr>
            <w:tcW w:w="7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82DF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83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FE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E856">
            <w:pPr>
              <w:rPr>
                <w:rFonts w:hint="default" w:ascii="Times New Roman" w:hAnsi="Times New Roman" w:eastAsia="仿宋_GB2312" w:cs="Times New Roman"/>
                <w:i w:val="0"/>
                <w:iCs w:val="0"/>
                <w:color w:val="000000"/>
                <w:sz w:val="21"/>
                <w:szCs w:val="21"/>
                <w:u w:val="none"/>
              </w:rPr>
            </w:pPr>
          </w:p>
        </w:tc>
      </w:tr>
      <w:tr w14:paraId="6C3B545F">
        <w:tblPrEx>
          <w:tblCellMar>
            <w:top w:w="0" w:type="dxa"/>
            <w:left w:w="108" w:type="dxa"/>
            <w:bottom w:w="0" w:type="dxa"/>
            <w:right w:w="108" w:type="dxa"/>
          </w:tblCellMar>
        </w:tblPrEx>
        <w:trPr>
          <w:trHeight w:val="0"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0A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评价结论</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703A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经综合评价，202</w:t>
            </w:r>
            <w:r>
              <w:rPr>
                <w:rFonts w:hint="eastAsia" w:ascii="Times New Roman" w:hAnsi="Times New Roman" w:eastAsia="仿宋_GB2312" w:cs="Times New Roman"/>
                <w:i w:val="0"/>
                <w:iCs w:val="0"/>
                <w:color w:val="000000"/>
                <w:kern w:val="0"/>
                <w:sz w:val="21"/>
                <w:szCs w:val="21"/>
                <w:u w:val="none"/>
                <w:lang w:val="en-US" w:eastAsia="zh-CN" w:bidi="ar"/>
              </w:rPr>
              <w:t>4</w:t>
            </w:r>
            <w:r>
              <w:rPr>
                <w:rFonts w:hint="default" w:ascii="Times New Roman" w:hAnsi="Times New Roman" w:eastAsia="仿宋_GB2312" w:cs="Times New Roman"/>
                <w:i w:val="0"/>
                <w:iCs w:val="0"/>
                <w:color w:val="000000"/>
                <w:kern w:val="0"/>
                <w:sz w:val="21"/>
                <w:szCs w:val="21"/>
                <w:u w:val="none"/>
                <w:lang w:val="en-US" w:eastAsia="zh-CN" w:bidi="ar"/>
              </w:rPr>
              <w:t>年儿童之家运维资金项目绩效评价得分100 分。项目决策科学合理，立项依据充分，绩效目标明确且与实际需求紧密结合；过程管理规范，资金使用安全合规，项目管理制度健全，执行有力；产出成果显著；效益明显，儿童在知识、技能、心理等方面得到良好发展，家长满意度达到95%，在社会上营造了关爱儿童的良好氛围，得到广泛认可。</w:t>
            </w:r>
          </w:p>
        </w:tc>
      </w:tr>
      <w:tr w14:paraId="201C3E55">
        <w:tblPrEx>
          <w:tblCellMar>
            <w:top w:w="0" w:type="dxa"/>
            <w:left w:w="108" w:type="dxa"/>
            <w:bottom w:w="0" w:type="dxa"/>
            <w:right w:w="108" w:type="dxa"/>
          </w:tblCellMar>
        </w:tblPrEx>
        <w:trPr>
          <w:trHeight w:val="0"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3A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存在问题</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EC78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1、资金短缺：尽管财政投入了运维资金，但随着儿童需求的不断增加和物价上涨，资金仍显不足。原因主要是财政资金有限，社会捐赠和其他资金来源渠道较窄，缺乏多元化的资金筹集机制。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专业人才不足：儿童之家工作人员中专业的教育、心理、社会工作等人才相对匮乏，部分工作人员服务能力和水平有待提高，影响了服务质量和效果。这是由于相关专业人才招聘难度较大，现有工作人员培训体系不够完善，缺乏系统性、针对性的培训课程和实践机会。</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活动参与度不均衡：部分儿童之家活动参与度较高，而部分参与度较低。主要原因是地理位置偏远、宣传不到位，导致一些儿童和家长对儿童之家活动了解不足；同时，不同区域儿童需求存在差异，活动内容未能充分满足当地儿童实际需求。</w:t>
            </w:r>
          </w:p>
        </w:tc>
      </w:tr>
      <w:tr w14:paraId="787F7E5C">
        <w:tblPrEx>
          <w:shd w:val="clear" w:color="auto" w:fill="auto"/>
          <w:tblCellMar>
            <w:top w:w="0" w:type="dxa"/>
            <w:left w:w="108" w:type="dxa"/>
            <w:bottom w:w="0" w:type="dxa"/>
            <w:right w:w="108" w:type="dxa"/>
          </w:tblCellMar>
        </w:tblPrEx>
        <w:trPr>
          <w:trHeight w:val="0"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48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改进措施</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8549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（一）拓宽资金筹集渠道</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1、积极争取财政部门进一步加大对儿童之家运维资金的投入，提高资金保障水平。</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2、制定相关政策，鼓励企业、社会组织和个人捐赠，设立儿童之家发展专项基金，对捐赠者给予税收优惠、荣誉表彰等激励措施。</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3、探索市场化运作模式，如与企业合作开展公益活动，通过冠名、赞助等方式筹集资金。</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（二）加强专业人才队伍建设</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1、完善专业人才招聘机制，提高招聘待遇和条件，吸引更多教育、心理、社会工作等专业人才加入儿童之家工作队伍。</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2、建立健全工作人员培训体系，制定长期培训计划，定期邀请专家开展专业培训和实践指导，鼓励工作人员参加相关职业资格考试，提升专业素养。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3、建立人才交流平台，促进不同儿童之家工作人员之间的经验交流和学习。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（三）优化活动开展</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1、加强对偏远地区儿童之家的宣传推广，通过社区宣传、上门告知、新媒体宣传等多种方式，提高活动知晓率。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2、深入了解不同区域儿童需求，根据当地实际情况，制定个性化的活动方案，丰富活动内容和形式，提高活动吸引力。</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3、建立活动反馈机制，及时收集儿童和家长对活动的意见和建议，根据反馈调整活动内容和方式，不断提升活动质量。</w:t>
            </w:r>
          </w:p>
        </w:tc>
      </w:tr>
      <w:tr w14:paraId="5739B3E7">
        <w:tblPrEx>
          <w:shd w:val="clear" w:color="auto" w:fill="auto"/>
          <w:tblCellMar>
            <w:top w:w="0" w:type="dxa"/>
            <w:left w:w="108" w:type="dxa"/>
            <w:bottom w:w="0" w:type="dxa"/>
            <w:right w:w="108" w:type="dxa"/>
          </w:tblCellMar>
        </w:tblPrEx>
        <w:trPr>
          <w:trHeight w:val="0" w:hRule="atLeast"/>
          <w:jc w:val="center"/>
        </w:trPr>
        <w:tc>
          <w:tcPr>
            <w:tcW w:w="4512" w:type="dxa"/>
            <w:gridSpan w:val="5"/>
            <w:tcBorders>
              <w:top w:val="single" w:color="000000" w:sz="4" w:space="0"/>
              <w:left w:val="single" w:color="000000" w:sz="4" w:space="0"/>
              <w:bottom w:val="single" w:color="000000" w:sz="4" w:space="0"/>
              <w:right w:val="nil"/>
            </w:tcBorders>
            <w:shd w:val="clear" w:color="auto" w:fill="auto"/>
            <w:vAlign w:val="center"/>
          </w:tcPr>
          <w:p w14:paraId="4DED363D">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项目负责人：袁佳欣</w:t>
            </w:r>
          </w:p>
        </w:tc>
        <w:tc>
          <w:tcPr>
            <w:tcW w:w="43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0EE9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财务负责人：蹇亚玲</w:t>
            </w:r>
          </w:p>
        </w:tc>
      </w:tr>
    </w:tbl>
    <w:p w14:paraId="7384AD55">
      <w:pPr>
        <w:pStyle w:val="8"/>
        <w:ind w:left="0" w:leftChars="0" w:firstLine="0" w:firstLineChars="0"/>
        <w:rPr>
          <w:rFonts w:hint="default" w:ascii="Times New Roman" w:hAnsi="Times New Roman" w:eastAsia="方正小标宋简体" w:cs="Times New Roman"/>
          <w:b w:val="0"/>
          <w:bCs/>
          <w:kern w:val="44"/>
          <w:sz w:val="44"/>
          <w:szCs w:val="44"/>
          <w:lang w:val="en-US" w:eastAsia="zh-CN" w:bidi="ar-SA"/>
        </w:rPr>
      </w:pPr>
    </w:p>
    <w:p w14:paraId="26298973">
      <w:pPr>
        <w:pStyle w:val="8"/>
        <w:ind w:left="0" w:leftChars="0" w:firstLine="0" w:firstLineChars="0"/>
        <w:rPr>
          <w:rFonts w:hint="default" w:ascii="Times New Roman" w:hAnsi="Times New Roman" w:eastAsia="方正小标宋简体" w:cs="Times New Roman"/>
          <w:b w:val="0"/>
          <w:bCs/>
          <w:kern w:val="44"/>
          <w:sz w:val="44"/>
          <w:szCs w:val="44"/>
          <w:lang w:val="en-US" w:eastAsia="zh-CN" w:bidi="ar-SA"/>
        </w:rPr>
      </w:pPr>
    </w:p>
    <w:p w14:paraId="30C97AD7">
      <w:pPr>
        <w:rPr>
          <w:rFonts w:hint="default" w:ascii="Times New Roman" w:hAnsi="Times New Roman" w:eastAsia="方正小标宋简体" w:cs="Times New Roman"/>
          <w:b w:val="0"/>
          <w:bCs/>
          <w:kern w:val="44"/>
          <w:sz w:val="44"/>
          <w:szCs w:val="44"/>
          <w:lang w:val="en-US" w:eastAsia="zh-CN" w:bidi="ar-SA"/>
        </w:rPr>
      </w:pPr>
      <w:r>
        <w:rPr>
          <w:rFonts w:hint="default" w:ascii="Times New Roman" w:hAnsi="Times New Roman" w:eastAsia="方正小标宋简体" w:cs="Times New Roman"/>
          <w:b w:val="0"/>
          <w:bCs/>
          <w:kern w:val="44"/>
          <w:sz w:val="44"/>
          <w:szCs w:val="44"/>
          <w:lang w:val="en-US" w:eastAsia="zh-CN" w:bidi="ar-SA"/>
        </w:rPr>
        <w:br w:type="page"/>
      </w:r>
    </w:p>
    <w:p w14:paraId="6ABB797D">
      <w:pPr>
        <w:pStyle w:val="8"/>
        <w:ind w:left="0" w:leftChars="0" w:firstLine="0" w:firstLineChars="0"/>
        <w:jc w:val="center"/>
        <w:rPr>
          <w:rFonts w:hint="default" w:ascii="Times New Roman" w:hAnsi="Times New Roman" w:eastAsia="方正小标宋简体" w:cs="Times New Roman"/>
          <w:b w:val="0"/>
          <w:bCs/>
          <w:kern w:val="44"/>
          <w:sz w:val="44"/>
          <w:szCs w:val="44"/>
          <w:lang w:val="en-US" w:eastAsia="zh-CN" w:bidi="ar-SA"/>
        </w:rPr>
      </w:pPr>
      <w:r>
        <w:rPr>
          <w:rFonts w:hint="default" w:ascii="Times New Roman" w:hAnsi="Times New Roman" w:eastAsia="方正小标宋简体" w:cs="Times New Roman"/>
          <w:b w:val="0"/>
          <w:bCs w:val="0"/>
          <w:i w:val="0"/>
          <w:iCs w:val="0"/>
          <w:color w:val="000000"/>
          <w:kern w:val="0"/>
          <w:sz w:val="44"/>
          <w:szCs w:val="44"/>
          <w:u w:val="none"/>
          <w:lang w:val="en-US" w:eastAsia="zh-CN" w:bidi="ar"/>
        </w:rPr>
        <w:t>部门预算项目支出绩效自评表（2024年度）</w:t>
      </w:r>
    </w:p>
    <w:tbl>
      <w:tblPr>
        <w:tblStyle w:val="17"/>
        <w:tblW w:w="8840" w:type="dxa"/>
        <w:tblInd w:w="93" w:type="dxa"/>
        <w:shd w:val="clear" w:color="auto" w:fill="auto"/>
        <w:tblLayout w:type="autofit"/>
        <w:tblCellMar>
          <w:top w:w="0" w:type="dxa"/>
          <w:left w:w="108" w:type="dxa"/>
          <w:bottom w:w="0" w:type="dxa"/>
          <w:right w:w="108" w:type="dxa"/>
        </w:tblCellMar>
      </w:tblPr>
      <w:tblGrid>
        <w:gridCol w:w="1049"/>
        <w:gridCol w:w="920"/>
        <w:gridCol w:w="883"/>
        <w:gridCol w:w="895"/>
        <w:gridCol w:w="433"/>
        <w:gridCol w:w="1181"/>
        <w:gridCol w:w="434"/>
        <w:gridCol w:w="1281"/>
        <w:gridCol w:w="531"/>
        <w:gridCol w:w="531"/>
        <w:gridCol w:w="702"/>
      </w:tblGrid>
      <w:tr w14:paraId="1484F5D7">
        <w:tblPrEx>
          <w:shd w:val="clear" w:color="auto" w:fill="auto"/>
          <w:tblCellMar>
            <w:top w:w="0" w:type="dxa"/>
            <w:left w:w="108" w:type="dxa"/>
            <w:bottom w:w="0" w:type="dxa"/>
            <w:right w:w="108" w:type="dxa"/>
          </w:tblCellMar>
        </w:tblPrEx>
        <w:trPr>
          <w:trHeight w:val="560"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DB2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项目名称</w:t>
            </w:r>
          </w:p>
        </w:tc>
        <w:tc>
          <w:tcPr>
            <w:tcW w:w="68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F73B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51090423T000007853573-妇联换届会议经费</w:t>
            </w:r>
          </w:p>
        </w:tc>
      </w:tr>
      <w:tr w14:paraId="23CBC486">
        <w:tblPrEx>
          <w:tblCellMar>
            <w:top w:w="0" w:type="dxa"/>
            <w:left w:w="108" w:type="dxa"/>
            <w:bottom w:w="0" w:type="dxa"/>
            <w:right w:w="108" w:type="dxa"/>
          </w:tblCellMar>
        </w:tblPrEx>
        <w:trPr>
          <w:trHeight w:val="560"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C6A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w:t>
            </w:r>
          </w:p>
        </w:tc>
        <w:tc>
          <w:tcPr>
            <w:tcW w:w="3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F6A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遂宁市安居区妇女联合会部门</w:t>
            </w:r>
          </w:p>
        </w:tc>
        <w:tc>
          <w:tcPr>
            <w:tcW w:w="1289" w:type="dxa"/>
            <w:tcBorders>
              <w:top w:val="nil"/>
              <w:left w:val="nil"/>
              <w:bottom w:val="nil"/>
              <w:right w:val="nil"/>
            </w:tcBorders>
            <w:shd w:val="clear" w:color="auto" w:fill="auto"/>
            <w:vAlign w:val="center"/>
          </w:tcPr>
          <w:p w14:paraId="32A9CC3E">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实施单位 （盖章）</w:t>
            </w:r>
          </w:p>
        </w:tc>
        <w:tc>
          <w:tcPr>
            <w:tcW w:w="1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D9B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w:t>
            </w:r>
          </w:p>
        </w:tc>
      </w:tr>
      <w:tr w14:paraId="40215B23">
        <w:tblPrEx>
          <w:tblCellMar>
            <w:top w:w="0" w:type="dxa"/>
            <w:left w:w="108" w:type="dxa"/>
            <w:bottom w:w="0" w:type="dxa"/>
            <w:right w:w="108" w:type="dxa"/>
          </w:tblCellMar>
        </w:tblPrEx>
        <w:trPr>
          <w:trHeight w:val="560" w:hRule="atLeast"/>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DA8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项目基本情况</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1FA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1.项目年度目标完成情况</w:t>
            </w:r>
          </w:p>
        </w:tc>
        <w:tc>
          <w:tcPr>
            <w:tcW w:w="3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37B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项目年度目标</w:t>
            </w:r>
          </w:p>
        </w:tc>
        <w:tc>
          <w:tcPr>
            <w:tcW w:w="2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396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年度目标完成情况</w:t>
            </w:r>
          </w:p>
        </w:tc>
      </w:tr>
      <w:tr w14:paraId="58816684">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02C92">
            <w:pPr>
              <w:rPr>
                <w:rFonts w:hint="default" w:ascii="Times New Roman" w:hAnsi="Times New Roman" w:eastAsia="仿宋_GB2312" w:cs="Times New Roman"/>
                <w:i w:val="0"/>
                <w:iCs w:val="0"/>
                <w:color w:val="000000"/>
                <w:sz w:val="21"/>
                <w:szCs w:val="21"/>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ECC1F">
            <w:pPr>
              <w:rPr>
                <w:rFonts w:hint="default" w:ascii="Times New Roman" w:hAnsi="Times New Roman" w:eastAsia="仿宋_GB2312" w:cs="Times New Roman"/>
                <w:i w:val="0"/>
                <w:iCs w:val="0"/>
                <w:color w:val="000000"/>
                <w:sz w:val="21"/>
                <w:szCs w:val="21"/>
                <w:u w:val="none"/>
              </w:rPr>
            </w:pPr>
          </w:p>
        </w:tc>
        <w:tc>
          <w:tcPr>
            <w:tcW w:w="3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9AA2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通过项目实施，提高安居妇女的就业创业能力，增强妇女儿童的权益保护意识，改善妇女儿童的生活环境，促进家庭和谐与社会稳定。</w:t>
            </w:r>
          </w:p>
        </w:tc>
        <w:tc>
          <w:tcPr>
            <w:tcW w:w="2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865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2024年6-7月完成了项目的资金支付</w:t>
            </w:r>
          </w:p>
        </w:tc>
      </w:tr>
      <w:tr w14:paraId="79C27A2D">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F037">
            <w:pP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2F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2.项目实施内容及过程概述</w:t>
            </w:r>
          </w:p>
        </w:tc>
        <w:tc>
          <w:tcPr>
            <w:tcW w:w="68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6CFE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2024年支付上年度的相关换届工作经费</w:t>
            </w:r>
          </w:p>
        </w:tc>
      </w:tr>
      <w:tr w14:paraId="42B11A91">
        <w:tblPrEx>
          <w:tblCellMar>
            <w:top w:w="0" w:type="dxa"/>
            <w:left w:w="108" w:type="dxa"/>
            <w:bottom w:w="0" w:type="dxa"/>
            <w:right w:w="108" w:type="dxa"/>
          </w:tblCellMar>
        </w:tblPrEx>
        <w:trPr>
          <w:trHeight w:val="560" w:hRule="atLeast"/>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AF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预算执行情况（10分）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09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D0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年初预算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7B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调整后预算数</w:t>
            </w:r>
          </w:p>
        </w:tc>
        <w:tc>
          <w:tcPr>
            <w:tcW w:w="2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61B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预算执行数</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54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C7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30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C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原因</w:t>
            </w:r>
          </w:p>
        </w:tc>
      </w:tr>
      <w:tr w14:paraId="45FD8E07">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801E">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76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AE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5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2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3B6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17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00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62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950FB">
            <w:pPr>
              <w:rPr>
                <w:rFonts w:hint="default" w:ascii="Times New Roman" w:hAnsi="Times New Roman" w:eastAsia="仿宋_GB2312" w:cs="Times New Roman"/>
                <w:i/>
                <w:iCs/>
                <w:color w:val="000000"/>
                <w:sz w:val="21"/>
                <w:szCs w:val="21"/>
                <w:u w:val="none"/>
              </w:rPr>
            </w:pPr>
          </w:p>
        </w:tc>
      </w:tr>
      <w:tr w14:paraId="0061B1BB">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2ED67">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2F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B2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A6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2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3EA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64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6F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D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C534">
            <w:pPr>
              <w:rPr>
                <w:rFonts w:hint="default" w:ascii="Times New Roman" w:hAnsi="Times New Roman" w:eastAsia="仿宋_GB2312" w:cs="Times New Roman"/>
                <w:i/>
                <w:iCs/>
                <w:color w:val="000000"/>
                <w:sz w:val="21"/>
                <w:szCs w:val="21"/>
                <w:u w:val="none"/>
              </w:rPr>
            </w:pPr>
          </w:p>
        </w:tc>
      </w:tr>
      <w:tr w14:paraId="2C90DDE2">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6994">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19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3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F7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2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EB4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4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2D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5E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583B">
            <w:pPr>
              <w:rPr>
                <w:rFonts w:hint="default" w:ascii="Times New Roman" w:hAnsi="Times New Roman" w:eastAsia="仿宋_GB2312" w:cs="Times New Roman"/>
                <w:i/>
                <w:iCs/>
                <w:color w:val="000000"/>
                <w:sz w:val="21"/>
                <w:szCs w:val="21"/>
                <w:u w:val="none"/>
              </w:rPr>
            </w:pPr>
          </w:p>
        </w:tc>
      </w:tr>
      <w:tr w14:paraId="27A13F66">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6081">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4D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17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CE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2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3B4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4B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D8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0A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6A732">
            <w:pPr>
              <w:rPr>
                <w:rFonts w:hint="default" w:ascii="Times New Roman" w:hAnsi="Times New Roman" w:eastAsia="仿宋_GB2312" w:cs="Times New Roman"/>
                <w:i/>
                <w:iCs/>
                <w:color w:val="000000"/>
                <w:sz w:val="21"/>
                <w:szCs w:val="21"/>
                <w:u w:val="none"/>
              </w:rPr>
            </w:pPr>
          </w:p>
        </w:tc>
      </w:tr>
      <w:tr w14:paraId="778C3BC5">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2EF">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AD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7CA6">
            <w:pPr>
              <w:jc w:val="center"/>
              <w:rPr>
                <w:rFonts w:hint="default" w:ascii="Times New Roman" w:hAnsi="Times New Roman" w:eastAsia="仿宋_GB2312" w:cs="Times New Roman"/>
                <w:i/>
                <w:iCs/>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7B3D">
            <w:pPr>
              <w:jc w:val="center"/>
              <w:rPr>
                <w:rFonts w:hint="default" w:ascii="Times New Roman" w:hAnsi="Times New Roman" w:eastAsia="仿宋_GB2312" w:cs="Times New Roman"/>
                <w:i/>
                <w:iCs/>
                <w:color w:val="000000"/>
                <w:sz w:val="21"/>
                <w:szCs w:val="21"/>
                <w:u w:val="none"/>
              </w:rPr>
            </w:pPr>
          </w:p>
        </w:tc>
        <w:tc>
          <w:tcPr>
            <w:tcW w:w="2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AB409">
            <w:pPr>
              <w:jc w:val="center"/>
              <w:rPr>
                <w:rFonts w:hint="default" w:ascii="Times New Roman" w:hAnsi="Times New Roman" w:eastAsia="仿宋_GB2312" w:cs="Times New Roman"/>
                <w:i/>
                <w:iCs/>
                <w:color w:val="000000"/>
                <w:sz w:val="21"/>
                <w:szCs w:val="21"/>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3F66">
            <w:pPr>
              <w:jc w:val="center"/>
              <w:rPr>
                <w:rFonts w:hint="default" w:ascii="Times New Roman" w:hAnsi="Times New Roman" w:eastAsia="仿宋_GB2312" w:cs="Times New Roman"/>
                <w:i/>
                <w:iCs/>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C2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6A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60FD9">
            <w:pPr>
              <w:rPr>
                <w:rFonts w:hint="default" w:ascii="Times New Roman" w:hAnsi="Times New Roman" w:eastAsia="仿宋_GB2312" w:cs="Times New Roman"/>
                <w:i/>
                <w:iCs/>
                <w:color w:val="000000"/>
                <w:sz w:val="21"/>
                <w:szCs w:val="21"/>
                <w:u w:val="none"/>
              </w:rPr>
            </w:pPr>
          </w:p>
        </w:tc>
      </w:tr>
      <w:tr w14:paraId="14FA74C7">
        <w:tblPrEx>
          <w:tblCellMar>
            <w:top w:w="0" w:type="dxa"/>
            <w:left w:w="108" w:type="dxa"/>
            <w:bottom w:w="0" w:type="dxa"/>
            <w:right w:w="108" w:type="dxa"/>
          </w:tblCellMar>
        </w:tblPrEx>
        <w:trPr>
          <w:trHeight w:val="800" w:hRule="atLeast"/>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9B9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绩效指标（90分）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5F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B1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B8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三级指标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EE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1A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24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度量单位</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66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E6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DC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CE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未完成原因分析</w:t>
            </w:r>
          </w:p>
        </w:tc>
      </w:tr>
      <w:tr w14:paraId="2DCFEE39">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765A">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90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5C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1C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会议参会人员</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CD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72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CC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19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28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61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08D3">
            <w:pPr>
              <w:jc w:val="center"/>
              <w:rPr>
                <w:rFonts w:hint="default" w:ascii="Times New Roman" w:hAnsi="Times New Roman" w:eastAsia="仿宋_GB2312" w:cs="Times New Roman"/>
                <w:i w:val="0"/>
                <w:iCs w:val="0"/>
                <w:color w:val="000000"/>
                <w:sz w:val="21"/>
                <w:szCs w:val="21"/>
                <w:u w:val="none"/>
              </w:rPr>
            </w:pPr>
          </w:p>
        </w:tc>
      </w:tr>
      <w:tr w14:paraId="00555960">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A0BC">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9F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BE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6B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工作的推动进度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C1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67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保障换届工作的顺利开展</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D749">
            <w:pPr>
              <w:jc w:val="center"/>
              <w:rPr>
                <w:rFonts w:hint="default" w:ascii="Times New Roman" w:hAnsi="Times New Roman" w:eastAsia="仿宋_GB2312" w:cs="Times New Roman"/>
                <w:i w:val="0"/>
                <w:iCs w:val="0"/>
                <w:color w:val="000000"/>
                <w:sz w:val="21"/>
                <w:szCs w:val="21"/>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34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保障换届工作的顺利开展</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EA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C8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E554">
            <w:pPr>
              <w:jc w:val="center"/>
              <w:rPr>
                <w:rFonts w:hint="default" w:ascii="Times New Roman" w:hAnsi="Times New Roman" w:eastAsia="仿宋_GB2312" w:cs="Times New Roman"/>
                <w:i w:val="0"/>
                <w:iCs w:val="0"/>
                <w:color w:val="000000"/>
                <w:sz w:val="21"/>
                <w:szCs w:val="21"/>
                <w:u w:val="none"/>
              </w:rPr>
            </w:pPr>
          </w:p>
        </w:tc>
      </w:tr>
      <w:tr w14:paraId="7158408F">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0798">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44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02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CD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项目完成时间</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C7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E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2024年11月前完成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F346">
            <w:pPr>
              <w:jc w:val="center"/>
              <w:rPr>
                <w:rFonts w:hint="default" w:ascii="Times New Roman" w:hAnsi="Times New Roman" w:eastAsia="仿宋_GB2312" w:cs="Times New Roman"/>
                <w:i w:val="0"/>
                <w:iCs w:val="0"/>
                <w:color w:val="000000"/>
                <w:sz w:val="21"/>
                <w:szCs w:val="21"/>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92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2024年11月前完成</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C4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EE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CC43">
            <w:pPr>
              <w:jc w:val="center"/>
              <w:rPr>
                <w:rFonts w:hint="default" w:ascii="Times New Roman" w:hAnsi="Times New Roman" w:eastAsia="仿宋_GB2312" w:cs="Times New Roman"/>
                <w:i w:val="0"/>
                <w:iCs w:val="0"/>
                <w:color w:val="000000"/>
                <w:sz w:val="21"/>
                <w:szCs w:val="21"/>
                <w:u w:val="none"/>
              </w:rPr>
            </w:pPr>
          </w:p>
        </w:tc>
      </w:tr>
      <w:tr w14:paraId="15965051">
        <w:tblPrEx>
          <w:tblCellMar>
            <w:top w:w="0" w:type="dxa"/>
            <w:left w:w="108" w:type="dxa"/>
            <w:bottom w:w="0" w:type="dxa"/>
            <w:right w:w="108" w:type="dxa"/>
          </w:tblCellMar>
        </w:tblPrEx>
        <w:trPr>
          <w:trHeight w:val="128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D811">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07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B6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可持续影响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B2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项目建立了长效机制</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35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32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妇女技能培训的后续跟踪服务机制、婚姻家庭纠纷调解的定期回访机制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DAA3">
            <w:pPr>
              <w:jc w:val="center"/>
              <w:rPr>
                <w:rFonts w:hint="default" w:ascii="Times New Roman" w:hAnsi="Times New Roman" w:eastAsia="仿宋_GB2312" w:cs="Times New Roman"/>
                <w:i w:val="0"/>
                <w:iCs w:val="0"/>
                <w:color w:val="000000"/>
                <w:sz w:val="21"/>
                <w:szCs w:val="21"/>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84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妇女技能培训的后续跟踪服务机制、婚姻家庭纠纷调解的定期回访机制</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96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82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13D5">
            <w:pPr>
              <w:jc w:val="center"/>
              <w:rPr>
                <w:rFonts w:hint="default" w:ascii="Times New Roman" w:hAnsi="Times New Roman" w:eastAsia="仿宋_GB2312" w:cs="Times New Roman"/>
                <w:i w:val="0"/>
                <w:iCs w:val="0"/>
                <w:color w:val="000000"/>
                <w:sz w:val="21"/>
                <w:szCs w:val="21"/>
                <w:u w:val="none"/>
              </w:rPr>
            </w:pPr>
          </w:p>
        </w:tc>
      </w:tr>
      <w:tr w14:paraId="41F77DD3">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470BB">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26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8A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73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服务对象满意度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96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60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3A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E7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F4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5E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7C73">
            <w:pPr>
              <w:jc w:val="center"/>
              <w:rPr>
                <w:rFonts w:hint="default" w:ascii="Times New Roman" w:hAnsi="Times New Roman" w:eastAsia="仿宋_GB2312" w:cs="Times New Roman"/>
                <w:i w:val="0"/>
                <w:iCs w:val="0"/>
                <w:color w:val="000000"/>
                <w:sz w:val="21"/>
                <w:szCs w:val="21"/>
                <w:u w:val="none"/>
              </w:rPr>
            </w:pPr>
          </w:p>
        </w:tc>
      </w:tr>
      <w:tr w14:paraId="1B3A3F77">
        <w:tblPrEx>
          <w:tblCellMar>
            <w:top w:w="0" w:type="dxa"/>
            <w:left w:w="108" w:type="dxa"/>
            <w:bottom w:w="0" w:type="dxa"/>
            <w:right w:w="108" w:type="dxa"/>
          </w:tblCellMar>
        </w:tblPrEx>
        <w:trPr>
          <w:trHeight w:val="560"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23E34">
            <w:pPr>
              <w:jc w:val="center"/>
              <w:rPr>
                <w:rFonts w:hint="default" w:ascii="Times New Roman" w:hAnsi="Times New Roman" w:eastAsia="仿宋_GB2312" w:cs="Times New Roman"/>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5A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成本指标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BE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B0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项目预算成本</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44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65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19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A8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ED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C7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3CA5">
            <w:pPr>
              <w:jc w:val="center"/>
              <w:rPr>
                <w:rFonts w:hint="default" w:ascii="Times New Roman" w:hAnsi="Times New Roman" w:eastAsia="仿宋_GB2312" w:cs="Times New Roman"/>
                <w:i/>
                <w:iCs/>
                <w:color w:val="000000"/>
                <w:sz w:val="21"/>
                <w:szCs w:val="21"/>
                <w:u w:val="none"/>
              </w:rPr>
            </w:pPr>
          </w:p>
        </w:tc>
      </w:tr>
      <w:tr w14:paraId="7CC02FBB">
        <w:tblPrEx>
          <w:tblCellMar>
            <w:top w:w="0" w:type="dxa"/>
            <w:left w:w="108" w:type="dxa"/>
            <w:bottom w:w="0" w:type="dxa"/>
            <w:right w:w="108" w:type="dxa"/>
          </w:tblCellMar>
        </w:tblPrEx>
        <w:trPr>
          <w:trHeight w:val="560" w:hRule="atLeast"/>
        </w:trPr>
        <w:tc>
          <w:tcPr>
            <w:tcW w:w="7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8984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20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D8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CCA4">
            <w:pPr>
              <w:rPr>
                <w:rFonts w:hint="default" w:ascii="Times New Roman" w:hAnsi="Times New Roman" w:eastAsia="仿宋_GB2312" w:cs="Times New Roman"/>
                <w:i w:val="0"/>
                <w:iCs w:val="0"/>
                <w:color w:val="000000"/>
                <w:sz w:val="21"/>
                <w:szCs w:val="21"/>
                <w:u w:val="none"/>
              </w:rPr>
            </w:pPr>
          </w:p>
        </w:tc>
      </w:tr>
      <w:tr w14:paraId="5D132CC4">
        <w:tblPrEx>
          <w:tblCellMar>
            <w:top w:w="0" w:type="dxa"/>
            <w:left w:w="108" w:type="dxa"/>
            <w:bottom w:w="0" w:type="dxa"/>
            <w:right w:w="108" w:type="dxa"/>
          </w:tblCellMar>
        </w:tblPrEx>
        <w:trPr>
          <w:trHeight w:val="84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F8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评价结论</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24D2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经评价，妇联换届会议经费]综合得分为100分。其中，项目决策指标得分20 分，项目过程指标得分20 分，项目产出指标得分40 分，项目效益指标得分 20分。</w:t>
            </w:r>
          </w:p>
        </w:tc>
      </w:tr>
      <w:tr w14:paraId="715B3275">
        <w:tblPrEx>
          <w:tblCellMar>
            <w:top w:w="0" w:type="dxa"/>
            <w:left w:w="108" w:type="dxa"/>
            <w:bottom w:w="0" w:type="dxa"/>
            <w:right w:w="108" w:type="dxa"/>
          </w:tblCellMar>
        </w:tblPrEx>
        <w:trPr>
          <w:trHeight w:val="2132"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4E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存在问题</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FB16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1、资金使用效率不高：原因一是项目前期准备工作不充分，导致部分项目启动时间延迟，资金支出进度缓慢；二是资金使用计划不合理，未能根据项目实际进展情况及时调整资金使用安排。</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2、宣传推广力度不够：宣传渠道有限，主要集中在传统媒体和社区宣传，对新媒体的运用不够充分；宣传内容和形式缺乏吸引力，未能有效激发妇女儿童的参与热情。</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3、后续跟踪服务不足：工作人员数量有限，精力分散，无法对所有受益对象进行全面、及时的跟踪服务；缺乏完善的跟踪服务机制和评价标准，对跟踪服务工作的重视程度不够。</w:t>
            </w:r>
          </w:p>
        </w:tc>
      </w:tr>
      <w:tr w14:paraId="63F9DD86">
        <w:tblPrEx>
          <w:tblCellMar>
            <w:top w:w="0" w:type="dxa"/>
            <w:left w:w="108" w:type="dxa"/>
            <w:bottom w:w="0" w:type="dxa"/>
            <w:right w:w="108" w:type="dxa"/>
          </w:tblCellMar>
        </w:tblPrEx>
        <w:trPr>
          <w:trHeight w:val="2057"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5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改进措施</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D66945">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1、加强项目前期准备工作，充分调研论证，科学制定项目实施方案和资金使用计划，确保项目按时启动，资金合理高效使用。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2、拓宽宣传渠道，创新宣传方式，充分利用新媒体平台，制作生动有趣的宣传内容，提高项目的知晓度和吸引力，调动妇女儿童的参与积极性。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3、充实工作人员力量，建立完善的跟踪服务机制和评价标准，加强对受益对象的后续跟踪服务，及时解决他们在就业创业和生活中遇到的问题。</w:t>
            </w:r>
          </w:p>
        </w:tc>
      </w:tr>
      <w:tr w14:paraId="4AEC9DF7">
        <w:tblPrEx>
          <w:tblCellMar>
            <w:top w:w="0" w:type="dxa"/>
            <w:left w:w="108" w:type="dxa"/>
            <w:bottom w:w="0" w:type="dxa"/>
            <w:right w:w="108" w:type="dxa"/>
          </w:tblCellMar>
        </w:tblPrEx>
        <w:trPr>
          <w:trHeight w:val="560" w:hRule="atLeast"/>
        </w:trPr>
        <w:tc>
          <w:tcPr>
            <w:tcW w:w="4216" w:type="dxa"/>
            <w:gridSpan w:val="5"/>
            <w:tcBorders>
              <w:top w:val="single" w:color="000000" w:sz="4" w:space="0"/>
              <w:left w:val="single" w:color="000000" w:sz="4" w:space="0"/>
              <w:bottom w:val="single" w:color="000000" w:sz="4" w:space="0"/>
              <w:right w:val="nil"/>
            </w:tcBorders>
            <w:shd w:val="clear" w:color="auto" w:fill="auto"/>
            <w:vAlign w:val="center"/>
          </w:tcPr>
          <w:p w14:paraId="5E9E20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项目负责人：袁佳欣</w:t>
            </w:r>
          </w:p>
        </w:tc>
        <w:tc>
          <w:tcPr>
            <w:tcW w:w="4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80DA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财务负责人：蹇亚玲</w:t>
            </w:r>
          </w:p>
        </w:tc>
      </w:tr>
    </w:tbl>
    <w:p w14:paraId="70EDFF14">
      <w:pPr>
        <w:pStyle w:val="14"/>
        <w:jc w:val="center"/>
        <w:rPr>
          <w:rFonts w:hint="default" w:ascii="Times New Roman" w:hAnsi="Times New Roman" w:eastAsia="方正小标宋简体" w:cs="Times New Roman"/>
          <w:b w:val="0"/>
          <w:bCs/>
          <w:kern w:val="44"/>
          <w:sz w:val="44"/>
          <w:szCs w:val="44"/>
          <w:lang w:val="en-US" w:eastAsia="zh-CN" w:bidi="ar-SA"/>
        </w:rPr>
      </w:pPr>
      <w:r>
        <w:rPr>
          <w:rFonts w:hint="default" w:ascii="Times New Roman" w:hAnsi="Times New Roman" w:eastAsia="方正小标宋简体" w:cs="Times New Roman"/>
          <w:b w:val="0"/>
          <w:bCs w:val="0"/>
          <w:i w:val="0"/>
          <w:iCs w:val="0"/>
          <w:color w:val="000000"/>
          <w:kern w:val="0"/>
          <w:sz w:val="44"/>
          <w:szCs w:val="44"/>
          <w:u w:val="none"/>
          <w:lang w:val="en-US" w:eastAsia="zh-CN" w:bidi="ar"/>
        </w:rPr>
        <w:t>部门预算项目支出绩效自评表（2024年度）</w:t>
      </w:r>
    </w:p>
    <w:tbl>
      <w:tblPr>
        <w:tblStyle w:val="17"/>
        <w:tblW w:w="88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6"/>
        <w:gridCol w:w="1094"/>
        <w:gridCol w:w="866"/>
        <w:gridCol w:w="1069"/>
        <w:gridCol w:w="795"/>
        <w:gridCol w:w="866"/>
        <w:gridCol w:w="426"/>
        <w:gridCol w:w="969"/>
        <w:gridCol w:w="531"/>
        <w:gridCol w:w="531"/>
        <w:gridCol w:w="647"/>
      </w:tblGrid>
      <w:tr w14:paraId="7CB7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2104" w:type="dxa"/>
            <w:gridSpan w:val="2"/>
            <w:shd w:val="clear" w:color="auto" w:fill="auto"/>
            <w:vAlign w:val="center"/>
          </w:tcPr>
          <w:p w14:paraId="248E66F3">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项目名称</w:t>
            </w:r>
          </w:p>
        </w:tc>
        <w:tc>
          <w:tcPr>
            <w:tcW w:w="6696" w:type="dxa"/>
            <w:gridSpan w:val="9"/>
            <w:shd w:val="clear" w:color="auto" w:fill="auto"/>
            <w:vAlign w:val="center"/>
          </w:tcPr>
          <w:p w14:paraId="376977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51090424T000011822905-信创项目资金</w:t>
            </w:r>
          </w:p>
        </w:tc>
      </w:tr>
      <w:tr w14:paraId="1301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04" w:type="dxa"/>
            <w:gridSpan w:val="2"/>
            <w:shd w:val="clear" w:color="auto" w:fill="auto"/>
            <w:vAlign w:val="center"/>
          </w:tcPr>
          <w:p w14:paraId="7B9423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w:t>
            </w:r>
          </w:p>
        </w:tc>
        <w:tc>
          <w:tcPr>
            <w:tcW w:w="4028" w:type="dxa"/>
            <w:gridSpan w:val="5"/>
            <w:shd w:val="clear" w:color="auto" w:fill="auto"/>
            <w:vAlign w:val="center"/>
          </w:tcPr>
          <w:p w14:paraId="72842F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遂宁市安居区妇女联合会部门</w:t>
            </w:r>
          </w:p>
        </w:tc>
        <w:tc>
          <w:tcPr>
            <w:tcW w:w="959" w:type="dxa"/>
            <w:shd w:val="clear" w:color="auto" w:fill="auto"/>
            <w:vAlign w:val="center"/>
          </w:tcPr>
          <w:p w14:paraId="2F9E28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实施单位 （盖章）</w:t>
            </w:r>
          </w:p>
        </w:tc>
        <w:tc>
          <w:tcPr>
            <w:tcW w:w="1709" w:type="dxa"/>
            <w:gridSpan w:val="3"/>
            <w:shd w:val="clear" w:color="auto" w:fill="auto"/>
            <w:vAlign w:val="center"/>
          </w:tcPr>
          <w:p w14:paraId="3A5570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遂宁市安居区妇女联合会</w:t>
            </w:r>
          </w:p>
        </w:tc>
      </w:tr>
      <w:tr w14:paraId="67B8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08" w:type="dxa"/>
            <w:vMerge w:val="restart"/>
            <w:shd w:val="clear" w:color="auto" w:fill="auto"/>
            <w:vAlign w:val="center"/>
          </w:tcPr>
          <w:p w14:paraId="2FF01D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项目基本情况</w:t>
            </w:r>
          </w:p>
        </w:tc>
        <w:tc>
          <w:tcPr>
            <w:tcW w:w="1096" w:type="dxa"/>
            <w:vMerge w:val="restart"/>
            <w:shd w:val="clear" w:color="auto" w:fill="auto"/>
            <w:vAlign w:val="center"/>
          </w:tcPr>
          <w:p w14:paraId="61E147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1.项目年度目标完成情况</w:t>
            </w:r>
          </w:p>
        </w:tc>
        <w:tc>
          <w:tcPr>
            <w:tcW w:w="4028" w:type="dxa"/>
            <w:gridSpan w:val="5"/>
            <w:shd w:val="clear" w:color="auto" w:fill="auto"/>
            <w:vAlign w:val="center"/>
          </w:tcPr>
          <w:p w14:paraId="43081C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项目年度目标</w:t>
            </w:r>
          </w:p>
        </w:tc>
        <w:tc>
          <w:tcPr>
            <w:tcW w:w="2668" w:type="dxa"/>
            <w:gridSpan w:val="4"/>
            <w:shd w:val="clear" w:color="auto" w:fill="auto"/>
            <w:vAlign w:val="center"/>
          </w:tcPr>
          <w:p w14:paraId="27A698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年度目标完成情况</w:t>
            </w:r>
          </w:p>
        </w:tc>
      </w:tr>
      <w:tr w14:paraId="134F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08" w:type="dxa"/>
            <w:vMerge w:val="continue"/>
            <w:shd w:val="clear" w:color="auto" w:fill="auto"/>
            <w:vAlign w:val="center"/>
          </w:tcPr>
          <w:p w14:paraId="26E1BFA4">
            <w:pPr>
              <w:rPr>
                <w:rFonts w:hint="default" w:ascii="Times New Roman" w:hAnsi="Times New Roman" w:eastAsia="仿宋_GB2312" w:cs="Times New Roman"/>
                <w:i w:val="0"/>
                <w:iCs w:val="0"/>
                <w:color w:val="000000"/>
                <w:sz w:val="21"/>
                <w:szCs w:val="21"/>
                <w:u w:val="none"/>
              </w:rPr>
            </w:pPr>
          </w:p>
        </w:tc>
        <w:tc>
          <w:tcPr>
            <w:tcW w:w="1096" w:type="dxa"/>
            <w:vMerge w:val="continue"/>
            <w:shd w:val="clear" w:color="auto" w:fill="auto"/>
            <w:vAlign w:val="center"/>
          </w:tcPr>
          <w:p w14:paraId="2F9D1A19">
            <w:pPr>
              <w:rPr>
                <w:rFonts w:hint="default" w:ascii="Times New Roman" w:hAnsi="Times New Roman" w:eastAsia="仿宋_GB2312" w:cs="Times New Roman"/>
                <w:i w:val="0"/>
                <w:iCs w:val="0"/>
                <w:color w:val="000000"/>
                <w:sz w:val="21"/>
                <w:szCs w:val="21"/>
                <w:u w:val="none"/>
              </w:rPr>
            </w:pPr>
          </w:p>
        </w:tc>
        <w:tc>
          <w:tcPr>
            <w:tcW w:w="4028" w:type="dxa"/>
            <w:gridSpan w:val="5"/>
            <w:shd w:val="clear" w:color="auto" w:fill="auto"/>
            <w:vAlign w:val="center"/>
          </w:tcPr>
          <w:p w14:paraId="420A83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2024年完成上级部门安排的设备更新任务。</w:t>
            </w:r>
          </w:p>
        </w:tc>
        <w:tc>
          <w:tcPr>
            <w:tcW w:w="2668" w:type="dxa"/>
            <w:gridSpan w:val="4"/>
            <w:shd w:val="clear" w:color="auto" w:fill="auto"/>
            <w:vAlign w:val="center"/>
          </w:tcPr>
          <w:p w14:paraId="068186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2024年9月完成了设备更新任务</w:t>
            </w:r>
          </w:p>
        </w:tc>
      </w:tr>
      <w:tr w14:paraId="44F9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08" w:type="dxa"/>
            <w:vMerge w:val="continue"/>
            <w:shd w:val="clear" w:color="auto" w:fill="auto"/>
            <w:vAlign w:val="center"/>
          </w:tcPr>
          <w:p w14:paraId="390BAD7A">
            <w:pPr>
              <w:rPr>
                <w:rFonts w:hint="default" w:ascii="Times New Roman" w:hAnsi="Times New Roman" w:eastAsia="仿宋_GB2312" w:cs="Times New Roman"/>
                <w:i w:val="0"/>
                <w:iCs w:val="0"/>
                <w:color w:val="000000"/>
                <w:sz w:val="21"/>
                <w:szCs w:val="21"/>
                <w:u w:val="none"/>
              </w:rPr>
            </w:pPr>
          </w:p>
        </w:tc>
        <w:tc>
          <w:tcPr>
            <w:tcW w:w="1096" w:type="dxa"/>
            <w:shd w:val="clear" w:color="auto" w:fill="auto"/>
            <w:vAlign w:val="center"/>
          </w:tcPr>
          <w:p w14:paraId="2D9030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2.项目实施内容及过程概述</w:t>
            </w:r>
          </w:p>
        </w:tc>
        <w:tc>
          <w:tcPr>
            <w:tcW w:w="6696" w:type="dxa"/>
            <w:gridSpan w:val="9"/>
            <w:shd w:val="clear" w:color="auto" w:fill="auto"/>
            <w:vAlign w:val="center"/>
          </w:tcPr>
          <w:p w14:paraId="5B5850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2024年完成上级部门安排的设备更新任务。</w:t>
            </w:r>
          </w:p>
        </w:tc>
      </w:tr>
      <w:tr w14:paraId="2EB1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08" w:type="dxa"/>
            <w:vMerge w:val="restart"/>
            <w:shd w:val="clear" w:color="auto" w:fill="auto"/>
            <w:vAlign w:val="center"/>
          </w:tcPr>
          <w:p w14:paraId="38BFB6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预算执行情况（10分）</w:t>
            </w:r>
          </w:p>
        </w:tc>
        <w:tc>
          <w:tcPr>
            <w:tcW w:w="1096" w:type="dxa"/>
            <w:shd w:val="clear" w:color="auto" w:fill="auto"/>
            <w:vAlign w:val="center"/>
          </w:tcPr>
          <w:p w14:paraId="62C96F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年度预算数（万元）</w:t>
            </w:r>
          </w:p>
        </w:tc>
        <w:tc>
          <w:tcPr>
            <w:tcW w:w="867" w:type="dxa"/>
            <w:shd w:val="clear" w:color="auto" w:fill="auto"/>
            <w:vAlign w:val="center"/>
          </w:tcPr>
          <w:p w14:paraId="27B338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年初预算</w:t>
            </w:r>
          </w:p>
        </w:tc>
        <w:tc>
          <w:tcPr>
            <w:tcW w:w="1071" w:type="dxa"/>
            <w:shd w:val="clear" w:color="auto" w:fill="auto"/>
            <w:vAlign w:val="center"/>
          </w:tcPr>
          <w:p w14:paraId="25511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调整后预算数</w:t>
            </w:r>
          </w:p>
        </w:tc>
        <w:tc>
          <w:tcPr>
            <w:tcW w:w="2090" w:type="dxa"/>
            <w:gridSpan w:val="3"/>
            <w:shd w:val="clear" w:color="auto" w:fill="auto"/>
            <w:vAlign w:val="center"/>
          </w:tcPr>
          <w:p w14:paraId="1E6264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预算执行数</w:t>
            </w:r>
          </w:p>
        </w:tc>
        <w:tc>
          <w:tcPr>
            <w:tcW w:w="959" w:type="dxa"/>
            <w:shd w:val="clear" w:color="auto" w:fill="auto"/>
            <w:vAlign w:val="center"/>
          </w:tcPr>
          <w:p w14:paraId="6026B5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预算执行率</w:t>
            </w:r>
          </w:p>
        </w:tc>
        <w:tc>
          <w:tcPr>
            <w:tcW w:w="531" w:type="dxa"/>
            <w:shd w:val="clear" w:color="auto" w:fill="auto"/>
            <w:vAlign w:val="center"/>
          </w:tcPr>
          <w:p w14:paraId="43FC43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权重</w:t>
            </w:r>
          </w:p>
        </w:tc>
        <w:tc>
          <w:tcPr>
            <w:tcW w:w="531" w:type="dxa"/>
            <w:shd w:val="clear" w:color="auto" w:fill="auto"/>
            <w:vAlign w:val="center"/>
          </w:tcPr>
          <w:p w14:paraId="3E1E30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647" w:type="dxa"/>
            <w:shd w:val="clear" w:color="auto" w:fill="auto"/>
            <w:vAlign w:val="center"/>
          </w:tcPr>
          <w:p w14:paraId="2C9B61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原因</w:t>
            </w:r>
          </w:p>
        </w:tc>
      </w:tr>
      <w:tr w14:paraId="7D7E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08" w:type="dxa"/>
            <w:vMerge w:val="continue"/>
            <w:shd w:val="clear" w:color="auto" w:fill="auto"/>
            <w:vAlign w:val="center"/>
          </w:tcPr>
          <w:p w14:paraId="7FB7E2C0">
            <w:pPr>
              <w:jc w:val="center"/>
              <w:rPr>
                <w:rFonts w:hint="default" w:ascii="Times New Roman" w:hAnsi="Times New Roman" w:eastAsia="仿宋_GB2312" w:cs="Times New Roman"/>
                <w:i w:val="0"/>
                <w:iCs w:val="0"/>
                <w:color w:val="000000"/>
                <w:sz w:val="21"/>
                <w:szCs w:val="21"/>
                <w:u w:val="none"/>
              </w:rPr>
            </w:pPr>
          </w:p>
        </w:tc>
        <w:tc>
          <w:tcPr>
            <w:tcW w:w="1096" w:type="dxa"/>
            <w:shd w:val="clear" w:color="auto" w:fill="auto"/>
            <w:vAlign w:val="center"/>
          </w:tcPr>
          <w:p w14:paraId="2653BE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总额</w:t>
            </w:r>
          </w:p>
        </w:tc>
        <w:tc>
          <w:tcPr>
            <w:tcW w:w="867" w:type="dxa"/>
            <w:shd w:val="clear" w:color="auto" w:fill="auto"/>
            <w:vAlign w:val="center"/>
          </w:tcPr>
          <w:p w14:paraId="29418F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071" w:type="dxa"/>
            <w:shd w:val="clear" w:color="auto" w:fill="auto"/>
            <w:vAlign w:val="center"/>
          </w:tcPr>
          <w:p w14:paraId="35AED6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0.60</w:t>
            </w:r>
          </w:p>
        </w:tc>
        <w:tc>
          <w:tcPr>
            <w:tcW w:w="2090" w:type="dxa"/>
            <w:gridSpan w:val="3"/>
            <w:shd w:val="clear" w:color="auto" w:fill="auto"/>
            <w:vAlign w:val="center"/>
          </w:tcPr>
          <w:p w14:paraId="53E7CA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0.60</w:t>
            </w:r>
          </w:p>
        </w:tc>
        <w:tc>
          <w:tcPr>
            <w:tcW w:w="959" w:type="dxa"/>
            <w:shd w:val="clear" w:color="auto" w:fill="auto"/>
            <w:vAlign w:val="center"/>
          </w:tcPr>
          <w:p w14:paraId="76787E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531" w:type="dxa"/>
            <w:shd w:val="clear" w:color="auto" w:fill="auto"/>
            <w:vAlign w:val="center"/>
          </w:tcPr>
          <w:p w14:paraId="1D4797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31" w:type="dxa"/>
            <w:shd w:val="clear" w:color="auto" w:fill="auto"/>
            <w:vAlign w:val="center"/>
          </w:tcPr>
          <w:p w14:paraId="0228F1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7" w:type="dxa"/>
            <w:vMerge w:val="restart"/>
            <w:shd w:val="clear" w:color="auto" w:fill="auto"/>
            <w:vAlign w:val="center"/>
          </w:tcPr>
          <w:p w14:paraId="0ED8508A">
            <w:pPr>
              <w:rPr>
                <w:rFonts w:hint="default" w:ascii="Times New Roman" w:hAnsi="Times New Roman" w:eastAsia="仿宋_GB2312" w:cs="Times New Roman"/>
                <w:i/>
                <w:iCs/>
                <w:color w:val="000000"/>
                <w:sz w:val="21"/>
                <w:szCs w:val="21"/>
                <w:u w:val="none"/>
              </w:rPr>
            </w:pPr>
          </w:p>
        </w:tc>
      </w:tr>
      <w:tr w14:paraId="0E32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08" w:type="dxa"/>
            <w:vMerge w:val="continue"/>
            <w:shd w:val="clear" w:color="auto" w:fill="auto"/>
            <w:vAlign w:val="center"/>
          </w:tcPr>
          <w:p w14:paraId="5932BB26">
            <w:pPr>
              <w:jc w:val="center"/>
              <w:rPr>
                <w:rFonts w:hint="default" w:ascii="Times New Roman" w:hAnsi="Times New Roman" w:eastAsia="仿宋_GB2312" w:cs="Times New Roman"/>
                <w:i w:val="0"/>
                <w:iCs w:val="0"/>
                <w:color w:val="000000"/>
                <w:sz w:val="21"/>
                <w:szCs w:val="21"/>
                <w:u w:val="none"/>
              </w:rPr>
            </w:pPr>
          </w:p>
        </w:tc>
        <w:tc>
          <w:tcPr>
            <w:tcW w:w="1096" w:type="dxa"/>
            <w:shd w:val="clear" w:color="auto" w:fill="auto"/>
            <w:vAlign w:val="center"/>
          </w:tcPr>
          <w:p w14:paraId="15111E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其中：财政资金</w:t>
            </w:r>
          </w:p>
        </w:tc>
        <w:tc>
          <w:tcPr>
            <w:tcW w:w="867" w:type="dxa"/>
            <w:shd w:val="clear" w:color="auto" w:fill="auto"/>
            <w:vAlign w:val="center"/>
          </w:tcPr>
          <w:p w14:paraId="41F998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071" w:type="dxa"/>
            <w:shd w:val="clear" w:color="auto" w:fill="auto"/>
            <w:vAlign w:val="center"/>
          </w:tcPr>
          <w:p w14:paraId="02E73B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0.60</w:t>
            </w:r>
          </w:p>
        </w:tc>
        <w:tc>
          <w:tcPr>
            <w:tcW w:w="2090" w:type="dxa"/>
            <w:gridSpan w:val="3"/>
            <w:shd w:val="clear" w:color="auto" w:fill="auto"/>
            <w:vAlign w:val="center"/>
          </w:tcPr>
          <w:p w14:paraId="16A50C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0.60</w:t>
            </w:r>
          </w:p>
        </w:tc>
        <w:tc>
          <w:tcPr>
            <w:tcW w:w="959" w:type="dxa"/>
            <w:shd w:val="clear" w:color="auto" w:fill="auto"/>
            <w:vAlign w:val="center"/>
          </w:tcPr>
          <w:p w14:paraId="523603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w:t>
            </w:r>
          </w:p>
        </w:tc>
        <w:tc>
          <w:tcPr>
            <w:tcW w:w="531" w:type="dxa"/>
            <w:shd w:val="clear" w:color="auto" w:fill="auto"/>
            <w:vAlign w:val="center"/>
          </w:tcPr>
          <w:p w14:paraId="6D9AAF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31" w:type="dxa"/>
            <w:shd w:val="clear" w:color="auto" w:fill="auto"/>
            <w:vAlign w:val="center"/>
          </w:tcPr>
          <w:p w14:paraId="557FC0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7" w:type="dxa"/>
            <w:vMerge w:val="continue"/>
            <w:shd w:val="clear" w:color="auto" w:fill="auto"/>
            <w:vAlign w:val="center"/>
          </w:tcPr>
          <w:p w14:paraId="13DA3C91">
            <w:pPr>
              <w:rPr>
                <w:rFonts w:hint="default" w:ascii="Times New Roman" w:hAnsi="Times New Roman" w:eastAsia="仿宋_GB2312" w:cs="Times New Roman"/>
                <w:i/>
                <w:iCs/>
                <w:color w:val="000000"/>
                <w:sz w:val="21"/>
                <w:szCs w:val="21"/>
                <w:u w:val="none"/>
              </w:rPr>
            </w:pPr>
          </w:p>
        </w:tc>
      </w:tr>
      <w:tr w14:paraId="246C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08" w:type="dxa"/>
            <w:vMerge w:val="continue"/>
            <w:shd w:val="clear" w:color="auto" w:fill="auto"/>
            <w:vAlign w:val="center"/>
          </w:tcPr>
          <w:p w14:paraId="458EF56E">
            <w:pPr>
              <w:jc w:val="center"/>
              <w:rPr>
                <w:rFonts w:hint="default" w:ascii="Times New Roman" w:hAnsi="Times New Roman" w:eastAsia="仿宋_GB2312" w:cs="Times New Roman"/>
                <w:i w:val="0"/>
                <w:iCs w:val="0"/>
                <w:color w:val="000000"/>
                <w:sz w:val="21"/>
                <w:szCs w:val="21"/>
                <w:u w:val="none"/>
              </w:rPr>
            </w:pPr>
          </w:p>
        </w:tc>
        <w:tc>
          <w:tcPr>
            <w:tcW w:w="1096" w:type="dxa"/>
            <w:shd w:val="clear" w:color="auto" w:fill="auto"/>
            <w:vAlign w:val="center"/>
          </w:tcPr>
          <w:p w14:paraId="660BA3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财政专户管理资金</w:t>
            </w:r>
          </w:p>
        </w:tc>
        <w:tc>
          <w:tcPr>
            <w:tcW w:w="867" w:type="dxa"/>
            <w:shd w:val="clear" w:color="auto" w:fill="auto"/>
            <w:vAlign w:val="center"/>
          </w:tcPr>
          <w:p w14:paraId="1FE799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071" w:type="dxa"/>
            <w:shd w:val="clear" w:color="auto" w:fill="auto"/>
            <w:vAlign w:val="center"/>
          </w:tcPr>
          <w:p w14:paraId="42F10B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2090" w:type="dxa"/>
            <w:gridSpan w:val="3"/>
            <w:shd w:val="clear" w:color="auto" w:fill="auto"/>
            <w:vAlign w:val="center"/>
          </w:tcPr>
          <w:p w14:paraId="21A67A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959" w:type="dxa"/>
            <w:shd w:val="clear" w:color="auto" w:fill="auto"/>
            <w:vAlign w:val="center"/>
          </w:tcPr>
          <w:p w14:paraId="6E315E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531" w:type="dxa"/>
            <w:shd w:val="clear" w:color="auto" w:fill="auto"/>
            <w:vAlign w:val="center"/>
          </w:tcPr>
          <w:p w14:paraId="5CFF6A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31" w:type="dxa"/>
            <w:shd w:val="clear" w:color="auto" w:fill="auto"/>
            <w:vAlign w:val="center"/>
          </w:tcPr>
          <w:p w14:paraId="682093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7" w:type="dxa"/>
            <w:vMerge w:val="continue"/>
            <w:shd w:val="clear" w:color="auto" w:fill="auto"/>
            <w:vAlign w:val="center"/>
          </w:tcPr>
          <w:p w14:paraId="43055D9E">
            <w:pPr>
              <w:rPr>
                <w:rFonts w:hint="default" w:ascii="Times New Roman" w:hAnsi="Times New Roman" w:eastAsia="仿宋_GB2312" w:cs="Times New Roman"/>
                <w:i/>
                <w:iCs/>
                <w:color w:val="000000"/>
                <w:sz w:val="21"/>
                <w:szCs w:val="21"/>
                <w:u w:val="none"/>
              </w:rPr>
            </w:pPr>
          </w:p>
        </w:tc>
      </w:tr>
      <w:tr w14:paraId="65E2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08" w:type="dxa"/>
            <w:vMerge w:val="continue"/>
            <w:shd w:val="clear" w:color="auto" w:fill="auto"/>
            <w:vAlign w:val="center"/>
          </w:tcPr>
          <w:p w14:paraId="20CD57AE">
            <w:pPr>
              <w:jc w:val="center"/>
              <w:rPr>
                <w:rFonts w:hint="default" w:ascii="Times New Roman" w:hAnsi="Times New Roman" w:eastAsia="仿宋_GB2312" w:cs="Times New Roman"/>
                <w:i w:val="0"/>
                <w:iCs w:val="0"/>
                <w:color w:val="000000"/>
                <w:sz w:val="21"/>
                <w:szCs w:val="21"/>
                <w:u w:val="none"/>
              </w:rPr>
            </w:pPr>
          </w:p>
        </w:tc>
        <w:tc>
          <w:tcPr>
            <w:tcW w:w="1096" w:type="dxa"/>
            <w:shd w:val="clear" w:color="auto" w:fill="auto"/>
            <w:vAlign w:val="center"/>
          </w:tcPr>
          <w:p w14:paraId="269649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单位资金</w:t>
            </w:r>
          </w:p>
        </w:tc>
        <w:tc>
          <w:tcPr>
            <w:tcW w:w="867" w:type="dxa"/>
            <w:shd w:val="clear" w:color="auto" w:fill="auto"/>
            <w:vAlign w:val="center"/>
          </w:tcPr>
          <w:p w14:paraId="220E18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1071" w:type="dxa"/>
            <w:shd w:val="clear" w:color="auto" w:fill="auto"/>
            <w:vAlign w:val="center"/>
          </w:tcPr>
          <w:p w14:paraId="1F4D8B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2090" w:type="dxa"/>
            <w:gridSpan w:val="3"/>
            <w:shd w:val="clear" w:color="auto" w:fill="auto"/>
            <w:vAlign w:val="center"/>
          </w:tcPr>
          <w:p w14:paraId="72D6FA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959" w:type="dxa"/>
            <w:shd w:val="clear" w:color="auto" w:fill="auto"/>
            <w:vAlign w:val="center"/>
          </w:tcPr>
          <w:p w14:paraId="3EB0E4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0.00%</w:t>
            </w:r>
          </w:p>
        </w:tc>
        <w:tc>
          <w:tcPr>
            <w:tcW w:w="531" w:type="dxa"/>
            <w:shd w:val="clear" w:color="auto" w:fill="auto"/>
            <w:vAlign w:val="center"/>
          </w:tcPr>
          <w:p w14:paraId="7EF339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31" w:type="dxa"/>
            <w:shd w:val="clear" w:color="auto" w:fill="auto"/>
            <w:vAlign w:val="center"/>
          </w:tcPr>
          <w:p w14:paraId="4ED4DE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7" w:type="dxa"/>
            <w:vMerge w:val="continue"/>
            <w:shd w:val="clear" w:color="auto" w:fill="auto"/>
            <w:vAlign w:val="center"/>
          </w:tcPr>
          <w:p w14:paraId="6AA1E883">
            <w:pPr>
              <w:rPr>
                <w:rFonts w:hint="default" w:ascii="Times New Roman" w:hAnsi="Times New Roman" w:eastAsia="仿宋_GB2312" w:cs="Times New Roman"/>
                <w:i/>
                <w:iCs/>
                <w:color w:val="000000"/>
                <w:sz w:val="21"/>
                <w:szCs w:val="21"/>
                <w:u w:val="none"/>
              </w:rPr>
            </w:pPr>
          </w:p>
        </w:tc>
      </w:tr>
      <w:tr w14:paraId="3F56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08" w:type="dxa"/>
            <w:vMerge w:val="continue"/>
            <w:shd w:val="clear" w:color="auto" w:fill="auto"/>
            <w:vAlign w:val="center"/>
          </w:tcPr>
          <w:p w14:paraId="1C20CCEC">
            <w:pPr>
              <w:jc w:val="center"/>
              <w:rPr>
                <w:rFonts w:hint="default" w:ascii="Times New Roman" w:hAnsi="Times New Roman" w:eastAsia="仿宋_GB2312" w:cs="Times New Roman"/>
                <w:i w:val="0"/>
                <w:iCs w:val="0"/>
                <w:color w:val="000000"/>
                <w:sz w:val="21"/>
                <w:szCs w:val="21"/>
                <w:u w:val="none"/>
              </w:rPr>
            </w:pPr>
          </w:p>
        </w:tc>
        <w:tc>
          <w:tcPr>
            <w:tcW w:w="1096" w:type="dxa"/>
            <w:shd w:val="clear" w:color="auto" w:fill="auto"/>
            <w:vAlign w:val="center"/>
          </w:tcPr>
          <w:p w14:paraId="33B2B4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其他资金</w:t>
            </w:r>
          </w:p>
        </w:tc>
        <w:tc>
          <w:tcPr>
            <w:tcW w:w="867" w:type="dxa"/>
            <w:shd w:val="clear" w:color="auto" w:fill="auto"/>
            <w:vAlign w:val="center"/>
          </w:tcPr>
          <w:p w14:paraId="2D3F872C">
            <w:pPr>
              <w:jc w:val="center"/>
              <w:rPr>
                <w:rFonts w:hint="default" w:ascii="Times New Roman" w:hAnsi="Times New Roman" w:eastAsia="仿宋_GB2312" w:cs="Times New Roman"/>
                <w:i/>
                <w:iCs/>
                <w:color w:val="000000"/>
                <w:sz w:val="21"/>
                <w:szCs w:val="21"/>
                <w:u w:val="none"/>
              </w:rPr>
            </w:pPr>
          </w:p>
        </w:tc>
        <w:tc>
          <w:tcPr>
            <w:tcW w:w="1071" w:type="dxa"/>
            <w:shd w:val="clear" w:color="auto" w:fill="auto"/>
            <w:vAlign w:val="center"/>
          </w:tcPr>
          <w:p w14:paraId="343D95AD">
            <w:pPr>
              <w:jc w:val="center"/>
              <w:rPr>
                <w:rFonts w:hint="default" w:ascii="Times New Roman" w:hAnsi="Times New Roman" w:eastAsia="仿宋_GB2312" w:cs="Times New Roman"/>
                <w:i/>
                <w:iCs/>
                <w:color w:val="000000"/>
                <w:sz w:val="21"/>
                <w:szCs w:val="21"/>
                <w:u w:val="none"/>
              </w:rPr>
            </w:pPr>
          </w:p>
        </w:tc>
        <w:tc>
          <w:tcPr>
            <w:tcW w:w="2090" w:type="dxa"/>
            <w:gridSpan w:val="3"/>
            <w:shd w:val="clear" w:color="auto" w:fill="auto"/>
            <w:vAlign w:val="center"/>
          </w:tcPr>
          <w:p w14:paraId="4941E592">
            <w:pPr>
              <w:jc w:val="center"/>
              <w:rPr>
                <w:rFonts w:hint="default" w:ascii="Times New Roman" w:hAnsi="Times New Roman" w:eastAsia="仿宋_GB2312" w:cs="Times New Roman"/>
                <w:i/>
                <w:iCs/>
                <w:color w:val="000000"/>
                <w:sz w:val="21"/>
                <w:szCs w:val="21"/>
                <w:u w:val="none"/>
              </w:rPr>
            </w:pPr>
          </w:p>
        </w:tc>
        <w:tc>
          <w:tcPr>
            <w:tcW w:w="959" w:type="dxa"/>
            <w:shd w:val="clear" w:color="auto" w:fill="auto"/>
            <w:vAlign w:val="center"/>
          </w:tcPr>
          <w:p w14:paraId="770D3F64">
            <w:pPr>
              <w:jc w:val="center"/>
              <w:rPr>
                <w:rFonts w:hint="default" w:ascii="Times New Roman" w:hAnsi="Times New Roman" w:eastAsia="仿宋_GB2312" w:cs="Times New Roman"/>
                <w:i/>
                <w:iCs/>
                <w:color w:val="000000"/>
                <w:sz w:val="21"/>
                <w:szCs w:val="21"/>
                <w:u w:val="none"/>
              </w:rPr>
            </w:pPr>
          </w:p>
        </w:tc>
        <w:tc>
          <w:tcPr>
            <w:tcW w:w="531" w:type="dxa"/>
            <w:shd w:val="clear" w:color="auto" w:fill="auto"/>
            <w:vAlign w:val="center"/>
          </w:tcPr>
          <w:p w14:paraId="407076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531" w:type="dxa"/>
            <w:shd w:val="clear" w:color="auto" w:fill="auto"/>
            <w:vAlign w:val="center"/>
          </w:tcPr>
          <w:p w14:paraId="13ADF9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7" w:type="dxa"/>
            <w:vMerge w:val="continue"/>
            <w:shd w:val="clear" w:color="auto" w:fill="auto"/>
            <w:vAlign w:val="center"/>
          </w:tcPr>
          <w:p w14:paraId="69C1CF29">
            <w:pPr>
              <w:rPr>
                <w:rFonts w:hint="default" w:ascii="Times New Roman" w:hAnsi="Times New Roman" w:eastAsia="仿宋_GB2312" w:cs="Times New Roman"/>
                <w:i/>
                <w:iCs/>
                <w:color w:val="000000"/>
                <w:sz w:val="21"/>
                <w:szCs w:val="21"/>
                <w:u w:val="none"/>
              </w:rPr>
            </w:pPr>
          </w:p>
        </w:tc>
      </w:tr>
      <w:tr w14:paraId="1547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008" w:type="dxa"/>
            <w:vMerge w:val="restart"/>
            <w:shd w:val="clear" w:color="auto" w:fill="auto"/>
            <w:vAlign w:val="center"/>
          </w:tcPr>
          <w:p w14:paraId="79B056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绩效指标（90分）</w:t>
            </w:r>
          </w:p>
        </w:tc>
        <w:tc>
          <w:tcPr>
            <w:tcW w:w="1096" w:type="dxa"/>
            <w:shd w:val="clear" w:color="auto" w:fill="auto"/>
            <w:vAlign w:val="center"/>
          </w:tcPr>
          <w:p w14:paraId="255C47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一级指标</w:t>
            </w:r>
          </w:p>
        </w:tc>
        <w:tc>
          <w:tcPr>
            <w:tcW w:w="867" w:type="dxa"/>
            <w:shd w:val="clear" w:color="auto" w:fill="auto"/>
            <w:vAlign w:val="center"/>
          </w:tcPr>
          <w:p w14:paraId="6065D6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二级指标</w:t>
            </w:r>
          </w:p>
        </w:tc>
        <w:tc>
          <w:tcPr>
            <w:tcW w:w="1071" w:type="dxa"/>
            <w:shd w:val="clear" w:color="auto" w:fill="auto"/>
            <w:vAlign w:val="center"/>
          </w:tcPr>
          <w:p w14:paraId="5AE10A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三级指标</w:t>
            </w:r>
          </w:p>
        </w:tc>
        <w:tc>
          <w:tcPr>
            <w:tcW w:w="797" w:type="dxa"/>
            <w:shd w:val="clear" w:color="auto" w:fill="auto"/>
            <w:vAlign w:val="center"/>
          </w:tcPr>
          <w:p w14:paraId="536A24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指标性质</w:t>
            </w:r>
          </w:p>
        </w:tc>
        <w:tc>
          <w:tcPr>
            <w:tcW w:w="867" w:type="dxa"/>
            <w:shd w:val="clear" w:color="auto" w:fill="auto"/>
            <w:vAlign w:val="center"/>
          </w:tcPr>
          <w:p w14:paraId="685A8C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指标值</w:t>
            </w:r>
          </w:p>
        </w:tc>
        <w:tc>
          <w:tcPr>
            <w:tcW w:w="426" w:type="dxa"/>
            <w:shd w:val="clear" w:color="auto" w:fill="auto"/>
            <w:vAlign w:val="center"/>
          </w:tcPr>
          <w:p w14:paraId="1A2B88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度量单位</w:t>
            </w:r>
          </w:p>
        </w:tc>
        <w:tc>
          <w:tcPr>
            <w:tcW w:w="959" w:type="dxa"/>
            <w:shd w:val="clear" w:color="auto" w:fill="auto"/>
            <w:vAlign w:val="center"/>
          </w:tcPr>
          <w:p w14:paraId="536492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完成值</w:t>
            </w:r>
          </w:p>
        </w:tc>
        <w:tc>
          <w:tcPr>
            <w:tcW w:w="531" w:type="dxa"/>
            <w:shd w:val="clear" w:color="auto" w:fill="auto"/>
            <w:vAlign w:val="center"/>
          </w:tcPr>
          <w:p w14:paraId="3564F3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权重</w:t>
            </w:r>
          </w:p>
        </w:tc>
        <w:tc>
          <w:tcPr>
            <w:tcW w:w="531" w:type="dxa"/>
            <w:shd w:val="clear" w:color="auto" w:fill="auto"/>
            <w:vAlign w:val="center"/>
          </w:tcPr>
          <w:p w14:paraId="3D8825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647" w:type="dxa"/>
            <w:shd w:val="clear" w:color="auto" w:fill="auto"/>
            <w:vAlign w:val="center"/>
          </w:tcPr>
          <w:p w14:paraId="2A04ED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未完成原因分析</w:t>
            </w:r>
          </w:p>
        </w:tc>
      </w:tr>
      <w:tr w14:paraId="7294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08" w:type="dxa"/>
            <w:vMerge w:val="continue"/>
            <w:shd w:val="clear" w:color="auto" w:fill="auto"/>
            <w:vAlign w:val="center"/>
          </w:tcPr>
          <w:p w14:paraId="6DC845A6">
            <w:pPr>
              <w:jc w:val="center"/>
              <w:rPr>
                <w:rFonts w:hint="default" w:ascii="Times New Roman" w:hAnsi="Times New Roman" w:eastAsia="仿宋_GB2312" w:cs="Times New Roman"/>
                <w:i w:val="0"/>
                <w:iCs w:val="0"/>
                <w:color w:val="000000"/>
                <w:sz w:val="21"/>
                <w:szCs w:val="21"/>
                <w:u w:val="none"/>
              </w:rPr>
            </w:pPr>
          </w:p>
        </w:tc>
        <w:tc>
          <w:tcPr>
            <w:tcW w:w="1096" w:type="dxa"/>
            <w:vMerge w:val="restart"/>
            <w:shd w:val="clear" w:color="auto" w:fill="auto"/>
            <w:vAlign w:val="center"/>
          </w:tcPr>
          <w:p w14:paraId="105521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p>
        </w:tc>
        <w:tc>
          <w:tcPr>
            <w:tcW w:w="867" w:type="dxa"/>
            <w:shd w:val="clear" w:color="auto" w:fill="auto"/>
            <w:vAlign w:val="center"/>
          </w:tcPr>
          <w:p w14:paraId="747BAC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w:t>
            </w:r>
          </w:p>
        </w:tc>
        <w:tc>
          <w:tcPr>
            <w:tcW w:w="1071" w:type="dxa"/>
            <w:shd w:val="clear" w:color="auto" w:fill="auto"/>
            <w:vAlign w:val="center"/>
          </w:tcPr>
          <w:p w14:paraId="4DE97C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预计购买电脑数量</w:t>
            </w:r>
          </w:p>
        </w:tc>
        <w:tc>
          <w:tcPr>
            <w:tcW w:w="797" w:type="dxa"/>
            <w:shd w:val="clear" w:color="auto" w:fill="auto"/>
            <w:vAlign w:val="center"/>
          </w:tcPr>
          <w:p w14:paraId="01048B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867" w:type="dxa"/>
            <w:shd w:val="clear" w:color="auto" w:fill="auto"/>
            <w:vAlign w:val="center"/>
          </w:tcPr>
          <w:p w14:paraId="7883DA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26" w:type="dxa"/>
            <w:shd w:val="clear" w:color="auto" w:fill="auto"/>
            <w:vAlign w:val="center"/>
          </w:tcPr>
          <w:p w14:paraId="6890CB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台</w:t>
            </w:r>
          </w:p>
        </w:tc>
        <w:tc>
          <w:tcPr>
            <w:tcW w:w="959" w:type="dxa"/>
            <w:shd w:val="clear" w:color="auto" w:fill="auto"/>
            <w:vAlign w:val="center"/>
          </w:tcPr>
          <w:p w14:paraId="44E819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31" w:type="dxa"/>
            <w:shd w:val="clear" w:color="auto" w:fill="auto"/>
            <w:vAlign w:val="center"/>
          </w:tcPr>
          <w:p w14:paraId="5D9F6E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31" w:type="dxa"/>
            <w:shd w:val="clear" w:color="auto" w:fill="auto"/>
            <w:vAlign w:val="center"/>
          </w:tcPr>
          <w:p w14:paraId="7F2A0C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7" w:type="dxa"/>
            <w:shd w:val="clear" w:color="auto" w:fill="auto"/>
            <w:vAlign w:val="center"/>
          </w:tcPr>
          <w:p w14:paraId="063A5C64">
            <w:pPr>
              <w:jc w:val="center"/>
              <w:rPr>
                <w:rFonts w:hint="default" w:ascii="Times New Roman" w:hAnsi="Times New Roman" w:eastAsia="仿宋_GB2312" w:cs="Times New Roman"/>
                <w:i w:val="0"/>
                <w:iCs w:val="0"/>
                <w:color w:val="000000"/>
                <w:sz w:val="21"/>
                <w:szCs w:val="21"/>
                <w:u w:val="none"/>
              </w:rPr>
            </w:pPr>
          </w:p>
        </w:tc>
      </w:tr>
      <w:tr w14:paraId="59E1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08" w:type="dxa"/>
            <w:vMerge w:val="continue"/>
            <w:shd w:val="clear" w:color="auto" w:fill="auto"/>
            <w:vAlign w:val="center"/>
          </w:tcPr>
          <w:p w14:paraId="0F9AD3E9">
            <w:pPr>
              <w:jc w:val="center"/>
              <w:rPr>
                <w:rFonts w:hint="default" w:ascii="Times New Roman" w:hAnsi="Times New Roman" w:eastAsia="仿宋_GB2312" w:cs="Times New Roman"/>
                <w:i w:val="0"/>
                <w:iCs w:val="0"/>
                <w:color w:val="000000"/>
                <w:sz w:val="21"/>
                <w:szCs w:val="21"/>
                <w:u w:val="none"/>
              </w:rPr>
            </w:pPr>
          </w:p>
        </w:tc>
        <w:tc>
          <w:tcPr>
            <w:tcW w:w="1096" w:type="dxa"/>
            <w:vMerge w:val="continue"/>
            <w:shd w:val="clear" w:color="auto" w:fill="auto"/>
            <w:vAlign w:val="center"/>
          </w:tcPr>
          <w:p w14:paraId="4783ED85">
            <w:pPr>
              <w:jc w:val="center"/>
              <w:rPr>
                <w:rFonts w:hint="default" w:ascii="Times New Roman" w:hAnsi="Times New Roman" w:eastAsia="仿宋_GB2312" w:cs="Times New Roman"/>
                <w:i w:val="0"/>
                <w:iCs w:val="0"/>
                <w:color w:val="000000"/>
                <w:sz w:val="21"/>
                <w:szCs w:val="21"/>
                <w:u w:val="none"/>
              </w:rPr>
            </w:pPr>
          </w:p>
        </w:tc>
        <w:tc>
          <w:tcPr>
            <w:tcW w:w="867" w:type="dxa"/>
            <w:shd w:val="clear" w:color="auto" w:fill="auto"/>
            <w:vAlign w:val="center"/>
          </w:tcPr>
          <w:p w14:paraId="20B95D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w:t>
            </w:r>
          </w:p>
        </w:tc>
        <w:tc>
          <w:tcPr>
            <w:tcW w:w="1071" w:type="dxa"/>
            <w:shd w:val="clear" w:color="auto" w:fill="auto"/>
            <w:vAlign w:val="center"/>
          </w:tcPr>
          <w:p w14:paraId="17CE3B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采购产品优值率</w:t>
            </w:r>
          </w:p>
        </w:tc>
        <w:tc>
          <w:tcPr>
            <w:tcW w:w="797" w:type="dxa"/>
            <w:shd w:val="clear" w:color="auto" w:fill="auto"/>
            <w:vAlign w:val="center"/>
          </w:tcPr>
          <w:p w14:paraId="4F73CD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867" w:type="dxa"/>
            <w:shd w:val="clear" w:color="auto" w:fill="auto"/>
            <w:vAlign w:val="center"/>
          </w:tcPr>
          <w:p w14:paraId="398E3F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426" w:type="dxa"/>
            <w:shd w:val="clear" w:color="auto" w:fill="auto"/>
            <w:vAlign w:val="center"/>
          </w:tcPr>
          <w:p w14:paraId="2D18C3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59" w:type="dxa"/>
            <w:shd w:val="clear" w:color="auto" w:fill="auto"/>
            <w:vAlign w:val="center"/>
          </w:tcPr>
          <w:p w14:paraId="7E29C2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验收后达100</w:t>
            </w:r>
          </w:p>
        </w:tc>
        <w:tc>
          <w:tcPr>
            <w:tcW w:w="531" w:type="dxa"/>
            <w:shd w:val="clear" w:color="auto" w:fill="auto"/>
            <w:vAlign w:val="center"/>
          </w:tcPr>
          <w:p w14:paraId="01D551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31" w:type="dxa"/>
            <w:shd w:val="clear" w:color="auto" w:fill="auto"/>
            <w:vAlign w:val="center"/>
          </w:tcPr>
          <w:p w14:paraId="14B9A5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7" w:type="dxa"/>
            <w:shd w:val="clear" w:color="auto" w:fill="auto"/>
            <w:vAlign w:val="center"/>
          </w:tcPr>
          <w:p w14:paraId="1C934C59">
            <w:pPr>
              <w:jc w:val="center"/>
              <w:rPr>
                <w:rFonts w:hint="default" w:ascii="Times New Roman" w:hAnsi="Times New Roman" w:eastAsia="仿宋_GB2312" w:cs="Times New Roman"/>
                <w:i w:val="0"/>
                <w:iCs w:val="0"/>
                <w:color w:val="000000"/>
                <w:sz w:val="21"/>
                <w:szCs w:val="21"/>
                <w:u w:val="none"/>
              </w:rPr>
            </w:pPr>
          </w:p>
        </w:tc>
      </w:tr>
      <w:tr w14:paraId="302B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08" w:type="dxa"/>
            <w:vMerge w:val="continue"/>
            <w:shd w:val="clear" w:color="auto" w:fill="auto"/>
            <w:vAlign w:val="center"/>
          </w:tcPr>
          <w:p w14:paraId="0554F34D">
            <w:pPr>
              <w:jc w:val="center"/>
              <w:rPr>
                <w:rFonts w:hint="default" w:ascii="Times New Roman" w:hAnsi="Times New Roman" w:eastAsia="仿宋_GB2312" w:cs="Times New Roman"/>
                <w:i w:val="0"/>
                <w:iCs w:val="0"/>
                <w:color w:val="000000"/>
                <w:sz w:val="21"/>
                <w:szCs w:val="21"/>
                <w:u w:val="none"/>
              </w:rPr>
            </w:pPr>
          </w:p>
        </w:tc>
        <w:tc>
          <w:tcPr>
            <w:tcW w:w="1096" w:type="dxa"/>
            <w:vMerge w:val="continue"/>
            <w:shd w:val="clear" w:color="auto" w:fill="auto"/>
            <w:vAlign w:val="center"/>
          </w:tcPr>
          <w:p w14:paraId="7CC3A6F6">
            <w:pPr>
              <w:jc w:val="center"/>
              <w:rPr>
                <w:rFonts w:hint="default" w:ascii="Times New Roman" w:hAnsi="Times New Roman" w:eastAsia="仿宋_GB2312" w:cs="Times New Roman"/>
                <w:i w:val="0"/>
                <w:iCs w:val="0"/>
                <w:color w:val="000000"/>
                <w:sz w:val="21"/>
                <w:szCs w:val="21"/>
                <w:u w:val="none"/>
              </w:rPr>
            </w:pPr>
          </w:p>
        </w:tc>
        <w:tc>
          <w:tcPr>
            <w:tcW w:w="867" w:type="dxa"/>
            <w:shd w:val="clear" w:color="auto" w:fill="auto"/>
            <w:vAlign w:val="center"/>
          </w:tcPr>
          <w:p w14:paraId="44CDAC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w:t>
            </w:r>
          </w:p>
        </w:tc>
        <w:tc>
          <w:tcPr>
            <w:tcW w:w="1071" w:type="dxa"/>
            <w:shd w:val="clear" w:color="auto" w:fill="auto"/>
            <w:vAlign w:val="center"/>
          </w:tcPr>
          <w:p w14:paraId="2AB182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采购项目完成时间</w:t>
            </w:r>
          </w:p>
        </w:tc>
        <w:tc>
          <w:tcPr>
            <w:tcW w:w="797" w:type="dxa"/>
            <w:shd w:val="clear" w:color="auto" w:fill="auto"/>
            <w:vAlign w:val="center"/>
          </w:tcPr>
          <w:p w14:paraId="602AFB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867" w:type="dxa"/>
            <w:shd w:val="clear" w:color="auto" w:fill="auto"/>
            <w:vAlign w:val="center"/>
          </w:tcPr>
          <w:p w14:paraId="40A070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2024年11月前完成</w:t>
            </w:r>
          </w:p>
        </w:tc>
        <w:tc>
          <w:tcPr>
            <w:tcW w:w="426" w:type="dxa"/>
            <w:shd w:val="clear" w:color="auto" w:fill="auto"/>
            <w:vAlign w:val="center"/>
          </w:tcPr>
          <w:p w14:paraId="0E6FE4AF">
            <w:pPr>
              <w:jc w:val="center"/>
              <w:rPr>
                <w:rFonts w:hint="default" w:ascii="Times New Roman" w:hAnsi="Times New Roman" w:eastAsia="仿宋_GB2312" w:cs="Times New Roman"/>
                <w:i w:val="0"/>
                <w:iCs w:val="0"/>
                <w:color w:val="000000"/>
                <w:sz w:val="21"/>
                <w:szCs w:val="21"/>
                <w:u w:val="none"/>
              </w:rPr>
            </w:pPr>
          </w:p>
        </w:tc>
        <w:tc>
          <w:tcPr>
            <w:tcW w:w="959" w:type="dxa"/>
            <w:shd w:val="clear" w:color="auto" w:fill="auto"/>
            <w:vAlign w:val="center"/>
          </w:tcPr>
          <w:p w14:paraId="6BFA45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2024年9月前完成</w:t>
            </w:r>
          </w:p>
        </w:tc>
        <w:tc>
          <w:tcPr>
            <w:tcW w:w="531" w:type="dxa"/>
            <w:shd w:val="clear" w:color="auto" w:fill="auto"/>
            <w:vAlign w:val="center"/>
          </w:tcPr>
          <w:p w14:paraId="0B9C44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31" w:type="dxa"/>
            <w:shd w:val="clear" w:color="auto" w:fill="auto"/>
            <w:vAlign w:val="center"/>
          </w:tcPr>
          <w:p w14:paraId="16C18F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647" w:type="dxa"/>
            <w:shd w:val="clear" w:color="auto" w:fill="auto"/>
            <w:vAlign w:val="center"/>
          </w:tcPr>
          <w:p w14:paraId="1A1348EA">
            <w:pPr>
              <w:jc w:val="center"/>
              <w:rPr>
                <w:rFonts w:hint="default" w:ascii="Times New Roman" w:hAnsi="Times New Roman" w:eastAsia="仿宋_GB2312" w:cs="Times New Roman"/>
                <w:i w:val="0"/>
                <w:iCs w:val="0"/>
                <w:color w:val="000000"/>
                <w:sz w:val="21"/>
                <w:szCs w:val="21"/>
                <w:u w:val="none"/>
              </w:rPr>
            </w:pPr>
          </w:p>
        </w:tc>
      </w:tr>
      <w:tr w14:paraId="13F9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008" w:type="dxa"/>
            <w:vMerge w:val="continue"/>
            <w:shd w:val="clear" w:color="auto" w:fill="auto"/>
            <w:vAlign w:val="center"/>
          </w:tcPr>
          <w:p w14:paraId="627AC031">
            <w:pPr>
              <w:jc w:val="center"/>
              <w:rPr>
                <w:rFonts w:hint="default" w:ascii="Times New Roman" w:hAnsi="Times New Roman" w:eastAsia="仿宋_GB2312" w:cs="Times New Roman"/>
                <w:i w:val="0"/>
                <w:iCs w:val="0"/>
                <w:color w:val="000000"/>
                <w:sz w:val="21"/>
                <w:szCs w:val="21"/>
                <w:u w:val="none"/>
              </w:rPr>
            </w:pPr>
          </w:p>
        </w:tc>
        <w:tc>
          <w:tcPr>
            <w:tcW w:w="1096" w:type="dxa"/>
            <w:shd w:val="clear" w:color="auto" w:fill="auto"/>
            <w:vAlign w:val="center"/>
          </w:tcPr>
          <w:p w14:paraId="5586CE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w:t>
            </w:r>
          </w:p>
        </w:tc>
        <w:tc>
          <w:tcPr>
            <w:tcW w:w="867" w:type="dxa"/>
            <w:shd w:val="clear" w:color="auto" w:fill="auto"/>
            <w:vAlign w:val="center"/>
          </w:tcPr>
          <w:p w14:paraId="56B137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社会效益指标</w:t>
            </w:r>
          </w:p>
        </w:tc>
        <w:tc>
          <w:tcPr>
            <w:tcW w:w="1071" w:type="dxa"/>
            <w:shd w:val="clear" w:color="auto" w:fill="auto"/>
            <w:vAlign w:val="center"/>
          </w:tcPr>
          <w:p w14:paraId="1C922D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保障信息安全效果</w:t>
            </w:r>
          </w:p>
        </w:tc>
        <w:tc>
          <w:tcPr>
            <w:tcW w:w="797" w:type="dxa"/>
            <w:shd w:val="clear" w:color="auto" w:fill="auto"/>
            <w:vAlign w:val="center"/>
          </w:tcPr>
          <w:p w14:paraId="04C196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867" w:type="dxa"/>
            <w:shd w:val="clear" w:color="auto" w:fill="auto"/>
            <w:vAlign w:val="center"/>
          </w:tcPr>
          <w:p w14:paraId="18EBDA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为更好保密政府信息㝧</w:t>
            </w:r>
          </w:p>
        </w:tc>
        <w:tc>
          <w:tcPr>
            <w:tcW w:w="426" w:type="dxa"/>
            <w:shd w:val="clear" w:color="auto" w:fill="auto"/>
            <w:vAlign w:val="center"/>
          </w:tcPr>
          <w:p w14:paraId="311AEA0C">
            <w:pPr>
              <w:jc w:val="center"/>
              <w:rPr>
                <w:rFonts w:hint="default" w:ascii="Times New Roman" w:hAnsi="Times New Roman" w:eastAsia="仿宋_GB2312" w:cs="Times New Roman"/>
                <w:i w:val="0"/>
                <w:iCs w:val="0"/>
                <w:color w:val="000000"/>
                <w:sz w:val="21"/>
                <w:szCs w:val="21"/>
                <w:u w:val="none"/>
              </w:rPr>
            </w:pPr>
          </w:p>
        </w:tc>
        <w:tc>
          <w:tcPr>
            <w:tcW w:w="959" w:type="dxa"/>
            <w:shd w:val="clear" w:color="auto" w:fill="auto"/>
            <w:vAlign w:val="center"/>
          </w:tcPr>
          <w:p w14:paraId="5D560B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为国家信息安全提供有利保障</w:t>
            </w:r>
          </w:p>
        </w:tc>
        <w:tc>
          <w:tcPr>
            <w:tcW w:w="531" w:type="dxa"/>
            <w:shd w:val="clear" w:color="auto" w:fill="auto"/>
            <w:vAlign w:val="center"/>
          </w:tcPr>
          <w:p w14:paraId="684C1F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31" w:type="dxa"/>
            <w:shd w:val="clear" w:color="auto" w:fill="auto"/>
            <w:vAlign w:val="center"/>
          </w:tcPr>
          <w:p w14:paraId="721DFD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647" w:type="dxa"/>
            <w:shd w:val="clear" w:color="auto" w:fill="auto"/>
            <w:vAlign w:val="center"/>
          </w:tcPr>
          <w:p w14:paraId="1C540666">
            <w:pPr>
              <w:jc w:val="center"/>
              <w:rPr>
                <w:rFonts w:hint="default" w:ascii="Times New Roman" w:hAnsi="Times New Roman" w:eastAsia="仿宋_GB2312" w:cs="Times New Roman"/>
                <w:i w:val="0"/>
                <w:iCs w:val="0"/>
                <w:color w:val="000000"/>
                <w:sz w:val="21"/>
                <w:szCs w:val="21"/>
                <w:u w:val="none"/>
              </w:rPr>
            </w:pPr>
          </w:p>
        </w:tc>
      </w:tr>
      <w:tr w14:paraId="51B4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08" w:type="dxa"/>
            <w:vMerge w:val="continue"/>
            <w:shd w:val="clear" w:color="auto" w:fill="auto"/>
            <w:vAlign w:val="center"/>
          </w:tcPr>
          <w:p w14:paraId="760074B2">
            <w:pPr>
              <w:jc w:val="center"/>
              <w:rPr>
                <w:rFonts w:hint="default" w:ascii="Times New Roman" w:hAnsi="Times New Roman" w:eastAsia="仿宋_GB2312" w:cs="Times New Roman"/>
                <w:i w:val="0"/>
                <w:iCs w:val="0"/>
                <w:color w:val="000000"/>
                <w:sz w:val="21"/>
                <w:szCs w:val="21"/>
                <w:u w:val="none"/>
              </w:rPr>
            </w:pPr>
          </w:p>
        </w:tc>
        <w:tc>
          <w:tcPr>
            <w:tcW w:w="1096" w:type="dxa"/>
            <w:shd w:val="clear" w:color="auto" w:fill="auto"/>
            <w:vAlign w:val="center"/>
          </w:tcPr>
          <w:p w14:paraId="35ADC1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867" w:type="dxa"/>
            <w:shd w:val="clear" w:color="auto" w:fill="auto"/>
            <w:vAlign w:val="center"/>
          </w:tcPr>
          <w:p w14:paraId="6CF616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1071" w:type="dxa"/>
            <w:shd w:val="clear" w:color="auto" w:fill="auto"/>
            <w:vAlign w:val="center"/>
          </w:tcPr>
          <w:p w14:paraId="251C50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产品满意度</w:t>
            </w:r>
          </w:p>
        </w:tc>
        <w:tc>
          <w:tcPr>
            <w:tcW w:w="797" w:type="dxa"/>
            <w:shd w:val="clear" w:color="auto" w:fill="auto"/>
            <w:vAlign w:val="center"/>
          </w:tcPr>
          <w:p w14:paraId="234014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867" w:type="dxa"/>
            <w:shd w:val="clear" w:color="auto" w:fill="auto"/>
            <w:vAlign w:val="center"/>
          </w:tcPr>
          <w:p w14:paraId="55B651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426" w:type="dxa"/>
            <w:shd w:val="clear" w:color="auto" w:fill="auto"/>
            <w:vAlign w:val="center"/>
          </w:tcPr>
          <w:p w14:paraId="5A1B4D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59" w:type="dxa"/>
            <w:shd w:val="clear" w:color="auto" w:fill="auto"/>
            <w:vAlign w:val="center"/>
          </w:tcPr>
          <w:p w14:paraId="6D013C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531" w:type="dxa"/>
            <w:shd w:val="clear" w:color="auto" w:fill="auto"/>
            <w:vAlign w:val="center"/>
          </w:tcPr>
          <w:p w14:paraId="5ADCCF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31" w:type="dxa"/>
            <w:shd w:val="clear" w:color="auto" w:fill="auto"/>
            <w:vAlign w:val="center"/>
          </w:tcPr>
          <w:p w14:paraId="2BA68B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47" w:type="dxa"/>
            <w:shd w:val="clear" w:color="auto" w:fill="auto"/>
            <w:vAlign w:val="center"/>
          </w:tcPr>
          <w:p w14:paraId="170D4300">
            <w:pPr>
              <w:jc w:val="center"/>
              <w:rPr>
                <w:rFonts w:hint="default" w:ascii="Times New Roman" w:hAnsi="Times New Roman" w:eastAsia="仿宋_GB2312" w:cs="Times New Roman"/>
                <w:i w:val="0"/>
                <w:iCs w:val="0"/>
                <w:color w:val="000000"/>
                <w:sz w:val="21"/>
                <w:szCs w:val="21"/>
                <w:u w:val="none"/>
              </w:rPr>
            </w:pPr>
          </w:p>
        </w:tc>
      </w:tr>
      <w:tr w14:paraId="017C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08" w:type="dxa"/>
            <w:vMerge w:val="continue"/>
            <w:shd w:val="clear" w:color="auto" w:fill="auto"/>
            <w:vAlign w:val="center"/>
          </w:tcPr>
          <w:p w14:paraId="0BE18364">
            <w:pPr>
              <w:jc w:val="center"/>
              <w:rPr>
                <w:rFonts w:hint="default" w:ascii="Times New Roman" w:hAnsi="Times New Roman" w:eastAsia="仿宋_GB2312" w:cs="Times New Roman"/>
                <w:i w:val="0"/>
                <w:iCs w:val="0"/>
                <w:color w:val="000000"/>
                <w:sz w:val="21"/>
                <w:szCs w:val="21"/>
                <w:u w:val="none"/>
              </w:rPr>
            </w:pPr>
          </w:p>
        </w:tc>
        <w:tc>
          <w:tcPr>
            <w:tcW w:w="1096" w:type="dxa"/>
            <w:shd w:val="clear" w:color="auto" w:fill="auto"/>
            <w:vAlign w:val="center"/>
          </w:tcPr>
          <w:p w14:paraId="66C7A4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成本指标</w:t>
            </w:r>
          </w:p>
        </w:tc>
        <w:tc>
          <w:tcPr>
            <w:tcW w:w="867" w:type="dxa"/>
            <w:shd w:val="clear" w:color="auto" w:fill="auto"/>
            <w:vAlign w:val="center"/>
          </w:tcPr>
          <w:p w14:paraId="007149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经济成本指标</w:t>
            </w:r>
          </w:p>
        </w:tc>
        <w:tc>
          <w:tcPr>
            <w:tcW w:w="1071" w:type="dxa"/>
            <w:shd w:val="clear" w:color="auto" w:fill="auto"/>
            <w:vAlign w:val="center"/>
          </w:tcPr>
          <w:p w14:paraId="459730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项目资金安排</w:t>
            </w:r>
          </w:p>
        </w:tc>
        <w:tc>
          <w:tcPr>
            <w:tcW w:w="797" w:type="dxa"/>
            <w:shd w:val="clear" w:color="auto" w:fill="auto"/>
            <w:vAlign w:val="center"/>
          </w:tcPr>
          <w:p w14:paraId="6B56FC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867" w:type="dxa"/>
            <w:shd w:val="clear" w:color="auto" w:fill="auto"/>
            <w:vAlign w:val="center"/>
          </w:tcPr>
          <w:p w14:paraId="6EA0E5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0.6</w:t>
            </w:r>
          </w:p>
        </w:tc>
        <w:tc>
          <w:tcPr>
            <w:tcW w:w="426" w:type="dxa"/>
            <w:shd w:val="clear" w:color="auto" w:fill="auto"/>
            <w:vAlign w:val="center"/>
          </w:tcPr>
          <w:p w14:paraId="0D2E73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p>
        </w:tc>
        <w:tc>
          <w:tcPr>
            <w:tcW w:w="959" w:type="dxa"/>
            <w:shd w:val="clear" w:color="auto" w:fill="auto"/>
            <w:vAlign w:val="center"/>
          </w:tcPr>
          <w:p w14:paraId="4504C1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0.6</w:t>
            </w:r>
          </w:p>
        </w:tc>
        <w:tc>
          <w:tcPr>
            <w:tcW w:w="531" w:type="dxa"/>
            <w:shd w:val="clear" w:color="auto" w:fill="auto"/>
            <w:vAlign w:val="center"/>
          </w:tcPr>
          <w:p w14:paraId="401166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531" w:type="dxa"/>
            <w:shd w:val="clear" w:color="auto" w:fill="auto"/>
            <w:vAlign w:val="center"/>
          </w:tcPr>
          <w:p w14:paraId="43CA95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647" w:type="dxa"/>
            <w:shd w:val="clear" w:color="auto" w:fill="auto"/>
            <w:vAlign w:val="center"/>
          </w:tcPr>
          <w:p w14:paraId="1FF24E15">
            <w:pPr>
              <w:jc w:val="center"/>
              <w:rPr>
                <w:rFonts w:hint="default" w:ascii="Times New Roman" w:hAnsi="Times New Roman" w:eastAsia="仿宋_GB2312" w:cs="Times New Roman"/>
                <w:i w:val="0"/>
                <w:iCs w:val="0"/>
                <w:color w:val="000000"/>
                <w:sz w:val="21"/>
                <w:szCs w:val="21"/>
                <w:u w:val="none"/>
              </w:rPr>
            </w:pPr>
          </w:p>
        </w:tc>
      </w:tr>
      <w:tr w14:paraId="72E1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91" w:type="dxa"/>
            <w:gridSpan w:val="8"/>
            <w:shd w:val="clear" w:color="auto" w:fill="auto"/>
            <w:vAlign w:val="center"/>
          </w:tcPr>
          <w:p w14:paraId="724034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531" w:type="dxa"/>
            <w:shd w:val="clear" w:color="auto" w:fill="auto"/>
            <w:vAlign w:val="center"/>
          </w:tcPr>
          <w:p w14:paraId="2C8B6E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531" w:type="dxa"/>
            <w:shd w:val="clear" w:color="auto" w:fill="auto"/>
            <w:vAlign w:val="center"/>
          </w:tcPr>
          <w:p w14:paraId="244D97F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47" w:type="dxa"/>
            <w:shd w:val="clear" w:color="auto" w:fill="auto"/>
            <w:vAlign w:val="center"/>
          </w:tcPr>
          <w:p w14:paraId="38E25D42">
            <w:pPr>
              <w:rPr>
                <w:rFonts w:hint="default" w:ascii="Times New Roman" w:hAnsi="Times New Roman" w:eastAsia="仿宋_GB2312" w:cs="Times New Roman"/>
                <w:i w:val="0"/>
                <w:iCs w:val="0"/>
                <w:color w:val="000000"/>
                <w:sz w:val="21"/>
                <w:szCs w:val="21"/>
                <w:u w:val="none"/>
              </w:rPr>
            </w:pPr>
          </w:p>
        </w:tc>
      </w:tr>
      <w:tr w14:paraId="3FE1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08" w:type="dxa"/>
            <w:shd w:val="clear" w:color="auto" w:fill="auto"/>
            <w:vAlign w:val="center"/>
          </w:tcPr>
          <w:p w14:paraId="7807A4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评价结论</w:t>
            </w:r>
          </w:p>
        </w:tc>
        <w:tc>
          <w:tcPr>
            <w:tcW w:w="7792" w:type="dxa"/>
            <w:gridSpan w:val="10"/>
            <w:shd w:val="clear" w:color="auto" w:fill="auto"/>
            <w:vAlign w:val="center"/>
          </w:tcPr>
          <w:p w14:paraId="7ACF83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2024年信创项目资金绩效自评得分为 100 分。项目整体实施情况良好，资金使用基本规范，在推动信创产品应用取得了一定成效，但在预算管理、项目执行和目标实现等方面仍存在改进空间。</w:t>
            </w:r>
          </w:p>
        </w:tc>
      </w:tr>
      <w:tr w14:paraId="4609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08" w:type="dxa"/>
            <w:shd w:val="clear" w:color="auto" w:fill="auto"/>
            <w:vAlign w:val="center"/>
          </w:tcPr>
          <w:p w14:paraId="2B3054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存在问题</w:t>
            </w:r>
          </w:p>
        </w:tc>
        <w:tc>
          <w:tcPr>
            <w:tcW w:w="7792" w:type="dxa"/>
            <w:gridSpan w:val="10"/>
            <w:shd w:val="clear" w:color="auto" w:fill="auto"/>
            <w:vAlign w:val="center"/>
          </w:tcPr>
          <w:p w14:paraId="48802E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1、预算编制不够精准，对成本考虑不足，导致部分费用超支。​</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2、项目执行过程中，采购环节繁多时间浪费过多，资金使用效率不高。​</w:t>
            </w:r>
          </w:p>
        </w:tc>
      </w:tr>
      <w:tr w14:paraId="2B00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1008" w:type="dxa"/>
            <w:shd w:val="clear" w:color="auto" w:fill="auto"/>
            <w:vAlign w:val="center"/>
          </w:tcPr>
          <w:p w14:paraId="34F89B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改进措施</w:t>
            </w:r>
          </w:p>
        </w:tc>
        <w:tc>
          <w:tcPr>
            <w:tcW w:w="7792" w:type="dxa"/>
            <w:gridSpan w:val="10"/>
            <w:shd w:val="clear" w:color="auto" w:fill="auto"/>
            <w:vAlign w:val="center"/>
          </w:tcPr>
          <w:p w14:paraId="606F9F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4"/>
                <w:rFonts w:hint="default" w:ascii="Times New Roman" w:hAnsi="Times New Roman" w:eastAsia="仿宋_GB2312" w:cs="Times New Roman"/>
                <w:sz w:val="21"/>
                <w:szCs w:val="21"/>
                <w:lang w:val="en-US" w:eastAsia="zh-CN" w:bidi="ar"/>
              </w:rPr>
              <w:t>1、优化预算编制：加强对信创产业市场调研和技术发展趋势分析，细化预算项目，提高预算编制的精准度；建立预算动态调整机制，根据项目实际进展及时调整预算。</w:t>
            </w:r>
            <w:r>
              <w:rPr>
                <w:rStyle w:val="35"/>
                <w:rFonts w:hint="default" w:ascii="Times New Roman" w:hAnsi="Times New Roman" w:eastAsia="仿宋_GB2312" w:cs="Times New Roman"/>
                <w:sz w:val="21"/>
                <w:szCs w:val="21"/>
                <w:lang w:val="en-US" w:eastAsia="zh-CN" w:bidi="ar"/>
              </w:rPr>
              <w:t>​</w:t>
            </w:r>
            <w:r>
              <w:rPr>
                <w:rStyle w:val="34"/>
                <w:rFonts w:hint="default" w:ascii="Times New Roman" w:hAnsi="Times New Roman" w:eastAsia="仿宋_GB2312" w:cs="Times New Roman"/>
                <w:sz w:val="21"/>
                <w:szCs w:val="21"/>
                <w:lang w:val="en-US" w:eastAsia="zh-CN" w:bidi="ar"/>
              </w:rPr>
              <w:br w:type="textWrapping"/>
            </w:r>
            <w:r>
              <w:rPr>
                <w:rStyle w:val="34"/>
                <w:rFonts w:hint="default" w:ascii="Times New Roman" w:hAnsi="Times New Roman" w:eastAsia="仿宋_GB2312" w:cs="Times New Roman"/>
                <w:sz w:val="21"/>
                <w:szCs w:val="21"/>
                <w:lang w:val="en-US" w:eastAsia="zh-CN" w:bidi="ar"/>
              </w:rPr>
              <w:t>2、强化项目管理：建立项目进度预警和协调机制，提前预判和解决项目推进过程中的问题；优化资金拨付流程，确保资金及时到位；加强对项目实施过程的监督和考核，提高项目执行效率。</w:t>
            </w:r>
          </w:p>
        </w:tc>
      </w:tr>
      <w:tr w14:paraId="2831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839" w:type="dxa"/>
            <w:gridSpan w:val="5"/>
            <w:shd w:val="clear" w:color="auto" w:fill="auto"/>
            <w:vAlign w:val="center"/>
          </w:tcPr>
          <w:p w14:paraId="70BBA2D9">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项目负责人：袁佳欣</w:t>
            </w:r>
          </w:p>
        </w:tc>
        <w:tc>
          <w:tcPr>
            <w:tcW w:w="3961" w:type="dxa"/>
            <w:gridSpan w:val="6"/>
            <w:shd w:val="clear" w:color="auto" w:fill="auto"/>
            <w:vAlign w:val="center"/>
          </w:tcPr>
          <w:p w14:paraId="12929B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财务负责人：蹇亚玲</w:t>
            </w:r>
          </w:p>
        </w:tc>
      </w:tr>
    </w:tbl>
    <w:p w14:paraId="290E678E">
      <w:pPr>
        <w:rPr>
          <w:rFonts w:hint="default" w:ascii="Times New Roman" w:hAnsi="Times New Roman" w:eastAsia="方正小标宋简体" w:cs="Times New Roman"/>
          <w:b w:val="0"/>
          <w:bCs/>
          <w:kern w:val="44"/>
          <w:sz w:val="44"/>
          <w:szCs w:val="44"/>
          <w:lang w:val="en-US" w:eastAsia="zh-CN" w:bidi="ar-SA"/>
        </w:rPr>
      </w:pPr>
      <w:r>
        <w:rPr>
          <w:rFonts w:hint="default" w:ascii="Times New Roman" w:hAnsi="Times New Roman" w:eastAsia="方正小标宋简体" w:cs="Times New Roman"/>
          <w:b w:val="0"/>
          <w:bCs/>
          <w:kern w:val="44"/>
          <w:sz w:val="44"/>
          <w:szCs w:val="44"/>
          <w:lang w:val="en-US" w:eastAsia="zh-CN" w:bidi="ar-SA"/>
        </w:rPr>
        <w:br w:type="page"/>
      </w:r>
    </w:p>
    <w:p w14:paraId="2ADC0391">
      <w:pPr>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outlineLvl w:val="0"/>
        <w:rPr>
          <w:rStyle w:val="33"/>
          <w:rFonts w:hint="default" w:ascii="Times New Roman" w:hAnsi="Times New Roman" w:eastAsia="方正小标宋简体" w:cs="Times New Roman"/>
          <w:b w:val="0"/>
          <w:sz w:val="44"/>
          <w:szCs w:val="44"/>
        </w:rPr>
      </w:pPr>
      <w:r>
        <w:rPr>
          <w:rFonts w:hint="default" w:ascii="Times New Roman" w:hAnsi="Times New Roman" w:eastAsia="方正小标宋简体" w:cs="Times New Roman"/>
          <w:b w:val="0"/>
          <w:bCs/>
          <w:kern w:val="44"/>
          <w:sz w:val="44"/>
          <w:szCs w:val="44"/>
          <w:lang w:val="en-US" w:eastAsia="zh-CN" w:bidi="ar-SA"/>
        </w:rPr>
        <w:t xml:space="preserve">第五部分  </w:t>
      </w:r>
      <w:r>
        <w:rPr>
          <w:rStyle w:val="33"/>
          <w:rFonts w:hint="default" w:ascii="Times New Roman" w:hAnsi="Times New Roman" w:eastAsia="方正小标宋简体" w:cs="Times New Roman"/>
          <w:b w:val="0"/>
          <w:sz w:val="44"/>
          <w:szCs w:val="44"/>
        </w:rPr>
        <w:t>附</w:t>
      </w:r>
      <w:r>
        <w:rPr>
          <w:rStyle w:val="33"/>
          <w:rFonts w:hint="default" w:ascii="Times New Roman" w:hAnsi="Times New Roman" w:eastAsia="方正小标宋简体" w:cs="Times New Roman"/>
          <w:b w:val="0"/>
          <w:sz w:val="44"/>
          <w:szCs w:val="44"/>
          <w:lang w:val="en-US" w:eastAsia="zh-CN"/>
        </w:rPr>
        <w:t xml:space="preserve">  </w:t>
      </w:r>
      <w:r>
        <w:rPr>
          <w:rStyle w:val="33"/>
          <w:rFonts w:hint="default" w:ascii="Times New Roman" w:hAnsi="Times New Roman" w:eastAsia="方正小标宋简体" w:cs="Times New Roman"/>
          <w:b w:val="0"/>
          <w:sz w:val="44"/>
          <w:szCs w:val="44"/>
        </w:rPr>
        <w:t>表</w:t>
      </w:r>
      <w:bookmarkEnd w:id="40"/>
      <w:bookmarkStart w:id="41" w:name="_Toc15396619"/>
    </w:p>
    <w:p w14:paraId="53D0CD4B">
      <w:pPr>
        <w:pStyle w:val="14"/>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p>
    <w:p w14:paraId="4763A9A0">
      <w:pPr>
        <w:pStyle w:val="15"/>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color w:val="auto"/>
          <w:sz w:val="32"/>
          <w:szCs w:val="32"/>
          <w:u w:val="none"/>
        </w:rPr>
        <w:t>收入支出决算总表</w:t>
      </w:r>
    </w:p>
    <w:p w14:paraId="2DEA5A65">
      <w:pPr>
        <w:pStyle w:val="15"/>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auto"/>
          <w:sz w:val="32"/>
          <w:szCs w:val="32"/>
          <w:u w:val="none"/>
        </w:rPr>
        <w:t>收入</w:t>
      </w:r>
      <w:r>
        <w:rPr>
          <w:rFonts w:hint="default" w:ascii="Times New Roman" w:hAnsi="Times New Roman" w:eastAsia="仿宋_GB2312" w:cs="Times New Roman"/>
          <w:color w:val="auto"/>
          <w:sz w:val="32"/>
          <w:szCs w:val="32"/>
          <w:u w:val="none"/>
          <w:lang w:eastAsia="zh-CN"/>
        </w:rPr>
        <w:t>决算</w:t>
      </w:r>
      <w:r>
        <w:rPr>
          <w:rFonts w:hint="default" w:ascii="Times New Roman" w:hAnsi="Times New Roman" w:eastAsia="仿宋_GB2312" w:cs="Times New Roman"/>
          <w:color w:val="auto"/>
          <w:sz w:val="32"/>
          <w:szCs w:val="32"/>
          <w:u w:val="none"/>
        </w:rPr>
        <w:t>总表</w:t>
      </w:r>
    </w:p>
    <w:p w14:paraId="109371E3">
      <w:pPr>
        <w:pStyle w:val="15"/>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sz w:val="32"/>
          <w:szCs w:val="32"/>
          <w:u w:val="none"/>
          <w:lang w:eastAsia="zh-CN"/>
        </w:rPr>
        <w:t>支出决算</w:t>
      </w:r>
      <w:r>
        <w:rPr>
          <w:rFonts w:hint="default" w:ascii="Times New Roman" w:hAnsi="Times New Roman" w:eastAsia="仿宋_GB2312" w:cs="Times New Roman"/>
          <w:color w:val="auto"/>
          <w:sz w:val="32"/>
          <w:szCs w:val="32"/>
          <w:u w:val="none"/>
        </w:rPr>
        <w:t>表</w:t>
      </w:r>
    </w:p>
    <w:p w14:paraId="35D6E40C">
      <w:pPr>
        <w:pStyle w:val="15"/>
        <w:keepNext w:val="0"/>
        <w:keepLines w:val="0"/>
        <w:pageBreakBefore w:val="0"/>
        <w:widowControl w:val="0"/>
        <w:numPr>
          <w:ilvl w:val="0"/>
          <w:numId w:val="0"/>
        </w:numPr>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color w:val="auto"/>
          <w:sz w:val="32"/>
          <w:szCs w:val="32"/>
          <w:u w:val="none"/>
        </w:rPr>
        <w:t>财政拨款收入支出决算总表</w:t>
      </w:r>
    </w:p>
    <w:p w14:paraId="255303C9">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财政拨款支出决算</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p>
    <w:p w14:paraId="5C078A8F">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一般公共预算财政拨款支出决算表</w:t>
      </w:r>
    </w:p>
    <w:p w14:paraId="39436077">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p>
    <w:p w14:paraId="53AB352A">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一般公共预算财政拨款基本支出决算表</w:t>
      </w:r>
    </w:p>
    <w:p w14:paraId="6F49982E">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w:t>
      </w:r>
      <w:r>
        <w:rPr>
          <w:rFonts w:hint="default" w:ascii="Times New Roman" w:hAnsi="Times New Roman" w:eastAsia="仿宋_GB2312" w:cs="Times New Roman"/>
          <w:color w:val="auto"/>
          <w:sz w:val="32"/>
          <w:szCs w:val="32"/>
          <w:u w:val="none"/>
          <w:lang w:eastAsia="zh-CN"/>
        </w:rPr>
        <w:t>项目</w:t>
      </w:r>
      <w:r>
        <w:rPr>
          <w:rFonts w:hint="default" w:ascii="Times New Roman" w:hAnsi="Times New Roman" w:eastAsia="仿宋_GB2312" w:cs="Times New Roman"/>
          <w:color w:val="auto"/>
          <w:sz w:val="32"/>
          <w:szCs w:val="32"/>
          <w:u w:val="none"/>
        </w:rPr>
        <w:t>支出决算表</w:t>
      </w:r>
    </w:p>
    <w:p w14:paraId="4084CB00">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、政府性基金预算财政拨款收入支出决算表</w:t>
      </w:r>
    </w:p>
    <w:p w14:paraId="7D9AA1BB">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、国有资本经营预算财政拨款收入支出决算表</w:t>
      </w:r>
    </w:p>
    <w:p w14:paraId="4C27AEEA">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、国有资本经营预算财政拨款支出决算表</w:t>
      </w:r>
    </w:p>
    <w:p w14:paraId="3AAAC6FC">
      <w:pPr>
        <w:pStyle w:val="15"/>
        <w:keepNext w:val="0"/>
        <w:keepLines w:val="0"/>
        <w:pageBreakBefore w:val="0"/>
        <w:widowControl w:val="0"/>
        <w:kinsoku/>
        <w:wordWrap/>
        <w:overflowPunct/>
        <w:topLinePunct w:val="0"/>
        <w:bidi w:val="0"/>
        <w:spacing w:line="560" w:lineRule="exact"/>
        <w:ind w:left="0" w:leftChars="0" w:right="0" w:firstLine="640" w:firstLineChars="200"/>
        <w:jc w:val="both"/>
        <w:rPr>
          <w:rStyle w:val="33"/>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、财政拨款“三公”经费支出决算表</w:t>
      </w:r>
    </w:p>
    <w:bookmarkEnd w:id="38"/>
    <w:bookmarkEnd w:id="41"/>
    <w:p w14:paraId="212A5C62">
      <w:pPr>
        <w:pStyle w:val="6"/>
        <w:keepNext w:val="0"/>
        <w:keepLines w:val="0"/>
        <w:pageBreakBefore w:val="0"/>
        <w:widowControl w:val="0"/>
        <w:kinsoku/>
        <w:wordWrap/>
        <w:overflowPunct/>
        <w:topLinePunct w:val="0"/>
        <w:bidi w:val="0"/>
        <w:spacing w:beforeLines="0" w:line="560" w:lineRule="exact"/>
        <w:ind w:left="0" w:leftChars="0" w:right="0" w:firstLine="643" w:firstLineChars="200"/>
        <w:jc w:val="both"/>
        <w:rPr>
          <w:rFonts w:hint="default" w:ascii="Times New Roman" w:hAnsi="Times New Roman" w:eastAsia="仿宋_GB2312" w:cs="Times New Roman"/>
          <w:b/>
          <w:bCs/>
          <w:color w:val="000000"/>
          <w:sz w:val="32"/>
          <w:szCs w:val="32"/>
        </w:rPr>
      </w:pPr>
    </w:p>
    <w:sectPr>
      <w:footerReference r:id="rId6" w:type="default"/>
      <w:pgSz w:w="11906" w:h="16838"/>
      <w:pgMar w:top="2098" w:right="1474" w:bottom="1984"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DC1BA-51F0-4C00-A809-54C86CF483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3FF0062-BBC3-4AFF-834C-D97D62B3CED8}"/>
  </w:font>
  <w:font w:name="仿宋">
    <w:panose1 w:val="02010609060101010101"/>
    <w:charset w:val="86"/>
    <w:family w:val="auto"/>
    <w:pitch w:val="default"/>
    <w:sig w:usb0="800002BF" w:usb1="38CF7CFA" w:usb2="00000016" w:usb3="00000000" w:csb0="00040001" w:csb1="00000000"/>
    <w:embedRegular r:id="rId3" w:fontKey="{9AA64ED9-84E9-40C4-BAC6-0713EF47B83D}"/>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embedRegular r:id="rId4" w:fontKey="{68674F32-4011-44A8-884F-BE532691A3FB}"/>
  </w:font>
  <w:font w:name="楷体_GB2312">
    <w:panose1 w:val="02010609030101010101"/>
    <w:charset w:val="86"/>
    <w:family w:val="auto"/>
    <w:pitch w:val="default"/>
    <w:sig w:usb0="00000001" w:usb1="080E0000" w:usb2="00000000" w:usb3="00000000" w:csb0="00040000" w:csb1="00000000"/>
    <w:embedRegular r:id="rId5" w:fontKey="{3D6490AA-58FC-4F2D-ABC3-DAC6137FEBE3}"/>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193D">
    <w:pPr>
      <w:pStyle w:val="10"/>
      <w:tabs>
        <w:tab w:val="left" w:pos="3592"/>
        <w:tab w:val="clear" w:pos="4153"/>
      </w:tabs>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457B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9457B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FA23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C6D96F">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7C6D96F">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1F1F">
    <w:pPr>
      <w:pStyle w:val="10"/>
      <w:tabs>
        <w:tab w:val="center" w:pos="4422"/>
        <w:tab w:val="clear" w:pos="4153"/>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6F7C0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C6F7C0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5F98E">
    <w:pPr>
      <w:pStyle w:val="10"/>
      <w:tabs>
        <w:tab w:val="left" w:pos="3592"/>
        <w:tab w:val="clear" w:pos="4153"/>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1E0C7">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第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 共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NUMPAGES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81E0C7">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第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 共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NUMPAGES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811E9"/>
    <w:multiLevelType w:val="singleLevel"/>
    <w:tmpl w:val="ECB811E9"/>
    <w:lvl w:ilvl="0" w:tentative="0">
      <w:start w:val="1"/>
      <w:numFmt w:val="decimal"/>
      <w:lvlText w:val="%1."/>
      <w:lvlJc w:val="left"/>
      <w:pPr>
        <w:tabs>
          <w:tab w:val="left" w:pos="312"/>
        </w:tabs>
      </w:pPr>
    </w:lvl>
  </w:abstractNum>
  <w:abstractNum w:abstractNumId="1">
    <w:nsid w:val="20C1671B"/>
    <w:multiLevelType w:val="singleLevel"/>
    <w:tmpl w:val="20C1671B"/>
    <w:lvl w:ilvl="0" w:tentative="0">
      <w:start w:val="1"/>
      <w:numFmt w:val="decimal"/>
      <w:pStyle w:val="4"/>
      <w:lvlText w:val="%1."/>
      <w:lvlJc w:val="left"/>
      <w:pPr>
        <w:tabs>
          <w:tab w:val="left" w:pos="360"/>
        </w:tabs>
        <w:ind w:left="360" w:hanging="360"/>
      </w:pPr>
    </w:lvl>
  </w:abstractNum>
  <w:abstractNum w:abstractNumId="2">
    <w:nsid w:val="2C2A8627"/>
    <w:multiLevelType w:val="singleLevel"/>
    <w:tmpl w:val="2C2A8627"/>
    <w:lvl w:ilvl="0" w:tentative="0">
      <w:start w:val="2"/>
      <w:numFmt w:val="chineseCounting"/>
      <w:suff w:val="nothing"/>
      <w:lvlText w:val="（%1）"/>
      <w:lvlJc w:val="left"/>
      <w:rPr>
        <w:rFonts w:hint="eastAsia"/>
      </w:rPr>
    </w:lvl>
  </w:abstractNum>
  <w:abstractNum w:abstractNumId="3">
    <w:nsid w:val="512B2BF3"/>
    <w:multiLevelType w:val="singleLevel"/>
    <w:tmpl w:val="512B2BF3"/>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NjNjNTY4ODAwMjBkYjJkMzliNjljZWFjMDQ3ODEifQ=="/>
  </w:docVars>
  <w:rsids>
    <w:rsidRoot w:val="00000000"/>
    <w:rsid w:val="007F06B8"/>
    <w:rsid w:val="00C12DE3"/>
    <w:rsid w:val="00CC466A"/>
    <w:rsid w:val="00DA747E"/>
    <w:rsid w:val="00E1070C"/>
    <w:rsid w:val="014C6B51"/>
    <w:rsid w:val="021B1471"/>
    <w:rsid w:val="0231002F"/>
    <w:rsid w:val="024A7CF1"/>
    <w:rsid w:val="02B872FD"/>
    <w:rsid w:val="02C24C9D"/>
    <w:rsid w:val="0355239A"/>
    <w:rsid w:val="04003C23"/>
    <w:rsid w:val="042D255E"/>
    <w:rsid w:val="04327DB8"/>
    <w:rsid w:val="061C1704"/>
    <w:rsid w:val="06480762"/>
    <w:rsid w:val="064F093B"/>
    <w:rsid w:val="06596A94"/>
    <w:rsid w:val="066030AA"/>
    <w:rsid w:val="06865F27"/>
    <w:rsid w:val="06FD682D"/>
    <w:rsid w:val="0741482C"/>
    <w:rsid w:val="07784AE7"/>
    <w:rsid w:val="079900AB"/>
    <w:rsid w:val="07AF5C82"/>
    <w:rsid w:val="07D4597E"/>
    <w:rsid w:val="083957B9"/>
    <w:rsid w:val="08740AC1"/>
    <w:rsid w:val="08886505"/>
    <w:rsid w:val="096C5D2D"/>
    <w:rsid w:val="097F6870"/>
    <w:rsid w:val="098552F6"/>
    <w:rsid w:val="0A172EE2"/>
    <w:rsid w:val="0A1945FF"/>
    <w:rsid w:val="0AAF1CB3"/>
    <w:rsid w:val="0B012BDA"/>
    <w:rsid w:val="0B100BEF"/>
    <w:rsid w:val="0B18666F"/>
    <w:rsid w:val="0B353811"/>
    <w:rsid w:val="0C0C55E8"/>
    <w:rsid w:val="0C115DA8"/>
    <w:rsid w:val="0C1E2E71"/>
    <w:rsid w:val="0D105FAD"/>
    <w:rsid w:val="0D2B7F62"/>
    <w:rsid w:val="0D4C3DAA"/>
    <w:rsid w:val="0DD5003B"/>
    <w:rsid w:val="0DEA03BD"/>
    <w:rsid w:val="0DF72477"/>
    <w:rsid w:val="0E692E0B"/>
    <w:rsid w:val="0E714CC8"/>
    <w:rsid w:val="0E753A38"/>
    <w:rsid w:val="0ED7040F"/>
    <w:rsid w:val="0F4517BB"/>
    <w:rsid w:val="0FE12FC2"/>
    <w:rsid w:val="0FE72BEA"/>
    <w:rsid w:val="101D127C"/>
    <w:rsid w:val="1079390F"/>
    <w:rsid w:val="10B4760B"/>
    <w:rsid w:val="110C5584"/>
    <w:rsid w:val="11162C83"/>
    <w:rsid w:val="112453F4"/>
    <w:rsid w:val="11FA13B1"/>
    <w:rsid w:val="11FC0FAC"/>
    <w:rsid w:val="121229E1"/>
    <w:rsid w:val="123A29F6"/>
    <w:rsid w:val="1262657C"/>
    <w:rsid w:val="127F57FD"/>
    <w:rsid w:val="12BA3E6D"/>
    <w:rsid w:val="12C166E0"/>
    <w:rsid w:val="12ED7FB3"/>
    <w:rsid w:val="139D5626"/>
    <w:rsid w:val="141D28E0"/>
    <w:rsid w:val="14327E28"/>
    <w:rsid w:val="148461AA"/>
    <w:rsid w:val="14B7657F"/>
    <w:rsid w:val="151808C5"/>
    <w:rsid w:val="1573694A"/>
    <w:rsid w:val="157818BB"/>
    <w:rsid w:val="157B75E9"/>
    <w:rsid w:val="15CA32A0"/>
    <w:rsid w:val="161D0664"/>
    <w:rsid w:val="162153B9"/>
    <w:rsid w:val="16551AD4"/>
    <w:rsid w:val="168E516C"/>
    <w:rsid w:val="16AD725D"/>
    <w:rsid w:val="16BD370F"/>
    <w:rsid w:val="16CB61AB"/>
    <w:rsid w:val="17315514"/>
    <w:rsid w:val="1793346C"/>
    <w:rsid w:val="17C543F3"/>
    <w:rsid w:val="17FE0F25"/>
    <w:rsid w:val="181E2472"/>
    <w:rsid w:val="18383169"/>
    <w:rsid w:val="1851761A"/>
    <w:rsid w:val="185D1596"/>
    <w:rsid w:val="1864706C"/>
    <w:rsid w:val="18BB4369"/>
    <w:rsid w:val="18C9062F"/>
    <w:rsid w:val="18E0046A"/>
    <w:rsid w:val="18F26A75"/>
    <w:rsid w:val="18F850A6"/>
    <w:rsid w:val="191C02F1"/>
    <w:rsid w:val="19DE19AB"/>
    <w:rsid w:val="19FDB060"/>
    <w:rsid w:val="1A330456"/>
    <w:rsid w:val="1A585451"/>
    <w:rsid w:val="1A6C0332"/>
    <w:rsid w:val="1A962E77"/>
    <w:rsid w:val="1AB07CF9"/>
    <w:rsid w:val="1B840C55"/>
    <w:rsid w:val="1BFD9887"/>
    <w:rsid w:val="1C4C1CA3"/>
    <w:rsid w:val="1CAB61AD"/>
    <w:rsid w:val="1CDE7EC3"/>
    <w:rsid w:val="1CEA73D5"/>
    <w:rsid w:val="1CF17F8F"/>
    <w:rsid w:val="1DA566DB"/>
    <w:rsid w:val="1DE44C31"/>
    <w:rsid w:val="1DF274A3"/>
    <w:rsid w:val="1E074F2F"/>
    <w:rsid w:val="1E48649A"/>
    <w:rsid w:val="1E731445"/>
    <w:rsid w:val="1F0A01E3"/>
    <w:rsid w:val="1FA1178F"/>
    <w:rsid w:val="1FBF18C0"/>
    <w:rsid w:val="20081891"/>
    <w:rsid w:val="2021615D"/>
    <w:rsid w:val="20C73823"/>
    <w:rsid w:val="21592161"/>
    <w:rsid w:val="21630D85"/>
    <w:rsid w:val="2197751D"/>
    <w:rsid w:val="21985309"/>
    <w:rsid w:val="21BC3233"/>
    <w:rsid w:val="21DB6F4E"/>
    <w:rsid w:val="223E3E3C"/>
    <w:rsid w:val="226A6143"/>
    <w:rsid w:val="226F3FF6"/>
    <w:rsid w:val="22981C8A"/>
    <w:rsid w:val="22D8603F"/>
    <w:rsid w:val="22D86556"/>
    <w:rsid w:val="22E6166F"/>
    <w:rsid w:val="230C03A4"/>
    <w:rsid w:val="23396678"/>
    <w:rsid w:val="2378378A"/>
    <w:rsid w:val="241D6CD3"/>
    <w:rsid w:val="248C2CCF"/>
    <w:rsid w:val="250255F5"/>
    <w:rsid w:val="25C428AA"/>
    <w:rsid w:val="25C50F37"/>
    <w:rsid w:val="25E77AEA"/>
    <w:rsid w:val="2617284F"/>
    <w:rsid w:val="26360FCB"/>
    <w:rsid w:val="2648678E"/>
    <w:rsid w:val="26726A99"/>
    <w:rsid w:val="26981C0F"/>
    <w:rsid w:val="26E05EF3"/>
    <w:rsid w:val="27133AE9"/>
    <w:rsid w:val="273E0E93"/>
    <w:rsid w:val="27CFC909"/>
    <w:rsid w:val="27DB3EDB"/>
    <w:rsid w:val="280478D6"/>
    <w:rsid w:val="280E1290"/>
    <w:rsid w:val="288758E7"/>
    <w:rsid w:val="28CD28B7"/>
    <w:rsid w:val="28EB4F95"/>
    <w:rsid w:val="292C144E"/>
    <w:rsid w:val="2976035F"/>
    <w:rsid w:val="298B6F5F"/>
    <w:rsid w:val="29EB4F2E"/>
    <w:rsid w:val="2A3337B7"/>
    <w:rsid w:val="2A594E6E"/>
    <w:rsid w:val="2A7F1134"/>
    <w:rsid w:val="2AA57F13"/>
    <w:rsid w:val="2ADC2444"/>
    <w:rsid w:val="2B0025D7"/>
    <w:rsid w:val="2B054173"/>
    <w:rsid w:val="2B3F747D"/>
    <w:rsid w:val="2C1C6F4D"/>
    <w:rsid w:val="2C353831"/>
    <w:rsid w:val="2C3D5164"/>
    <w:rsid w:val="2CAC1558"/>
    <w:rsid w:val="2CB2323A"/>
    <w:rsid w:val="2D174D10"/>
    <w:rsid w:val="2D8F5E4F"/>
    <w:rsid w:val="2DB23A1A"/>
    <w:rsid w:val="2DE7282C"/>
    <w:rsid w:val="2E0B706C"/>
    <w:rsid w:val="2E4610C5"/>
    <w:rsid w:val="2EAC1FF6"/>
    <w:rsid w:val="2EE81141"/>
    <w:rsid w:val="2FC15817"/>
    <w:rsid w:val="2FFA88BD"/>
    <w:rsid w:val="302765F7"/>
    <w:rsid w:val="30660300"/>
    <w:rsid w:val="30817D16"/>
    <w:rsid w:val="30BE76A0"/>
    <w:rsid w:val="30D45CC6"/>
    <w:rsid w:val="30F1253A"/>
    <w:rsid w:val="311F308B"/>
    <w:rsid w:val="316805E1"/>
    <w:rsid w:val="31754A04"/>
    <w:rsid w:val="31834EA0"/>
    <w:rsid w:val="31895BC1"/>
    <w:rsid w:val="31C36008"/>
    <w:rsid w:val="3220355E"/>
    <w:rsid w:val="322437A6"/>
    <w:rsid w:val="322578A8"/>
    <w:rsid w:val="32445100"/>
    <w:rsid w:val="32B1515E"/>
    <w:rsid w:val="32B53CA7"/>
    <w:rsid w:val="32EB3A86"/>
    <w:rsid w:val="3340306E"/>
    <w:rsid w:val="339C3CE5"/>
    <w:rsid w:val="34493D58"/>
    <w:rsid w:val="34790D04"/>
    <w:rsid w:val="350F1150"/>
    <w:rsid w:val="353A66E5"/>
    <w:rsid w:val="355E34EB"/>
    <w:rsid w:val="35927669"/>
    <w:rsid w:val="35CC2AA3"/>
    <w:rsid w:val="365645AD"/>
    <w:rsid w:val="367520FA"/>
    <w:rsid w:val="367A0699"/>
    <w:rsid w:val="36CB3D28"/>
    <w:rsid w:val="37583ED3"/>
    <w:rsid w:val="37712E7A"/>
    <w:rsid w:val="37831EE7"/>
    <w:rsid w:val="37DC61F1"/>
    <w:rsid w:val="37DD31C4"/>
    <w:rsid w:val="384B0133"/>
    <w:rsid w:val="384D4981"/>
    <w:rsid w:val="39167387"/>
    <w:rsid w:val="39981987"/>
    <w:rsid w:val="3A1A2DAF"/>
    <w:rsid w:val="3AC662EA"/>
    <w:rsid w:val="3AD02756"/>
    <w:rsid w:val="3AF92B9E"/>
    <w:rsid w:val="3B164F65"/>
    <w:rsid w:val="3B1F67C3"/>
    <w:rsid w:val="3B695A4C"/>
    <w:rsid w:val="3B9662BA"/>
    <w:rsid w:val="3BDA6C53"/>
    <w:rsid w:val="3C1D2032"/>
    <w:rsid w:val="3CA75EAC"/>
    <w:rsid w:val="3CE138EA"/>
    <w:rsid w:val="3D18190C"/>
    <w:rsid w:val="3D38109C"/>
    <w:rsid w:val="3DFF54D8"/>
    <w:rsid w:val="3DFF6791"/>
    <w:rsid w:val="3E65064E"/>
    <w:rsid w:val="3E9F09FB"/>
    <w:rsid w:val="3EA25060"/>
    <w:rsid w:val="3EC23058"/>
    <w:rsid w:val="3EFE426F"/>
    <w:rsid w:val="3F0B4B16"/>
    <w:rsid w:val="3F1347F4"/>
    <w:rsid w:val="3F177CE0"/>
    <w:rsid w:val="3F20114F"/>
    <w:rsid w:val="3F793746"/>
    <w:rsid w:val="3F7FE135"/>
    <w:rsid w:val="3FEE3210"/>
    <w:rsid w:val="3FEEB606"/>
    <w:rsid w:val="40285693"/>
    <w:rsid w:val="408A3DD8"/>
    <w:rsid w:val="4196391B"/>
    <w:rsid w:val="41DA218D"/>
    <w:rsid w:val="41EA4A50"/>
    <w:rsid w:val="41F9457B"/>
    <w:rsid w:val="41FA461E"/>
    <w:rsid w:val="4213148C"/>
    <w:rsid w:val="421C3167"/>
    <w:rsid w:val="423F7FC0"/>
    <w:rsid w:val="42577309"/>
    <w:rsid w:val="429A6A15"/>
    <w:rsid w:val="429F7971"/>
    <w:rsid w:val="42A31D6D"/>
    <w:rsid w:val="42AC2964"/>
    <w:rsid w:val="42BF416F"/>
    <w:rsid w:val="42CD3CB1"/>
    <w:rsid w:val="435E4DDA"/>
    <w:rsid w:val="43A2307E"/>
    <w:rsid w:val="43BB0C28"/>
    <w:rsid w:val="44385B1F"/>
    <w:rsid w:val="444360F3"/>
    <w:rsid w:val="44626A00"/>
    <w:rsid w:val="446C42DD"/>
    <w:rsid w:val="44986F84"/>
    <w:rsid w:val="45C56687"/>
    <w:rsid w:val="461D1E37"/>
    <w:rsid w:val="46352A0E"/>
    <w:rsid w:val="46541381"/>
    <w:rsid w:val="46737F4C"/>
    <w:rsid w:val="47961EA1"/>
    <w:rsid w:val="479F8731"/>
    <w:rsid w:val="47D3105F"/>
    <w:rsid w:val="47ED0A5B"/>
    <w:rsid w:val="47F002A2"/>
    <w:rsid w:val="48B270C6"/>
    <w:rsid w:val="495567DB"/>
    <w:rsid w:val="495A6EFE"/>
    <w:rsid w:val="49717AD9"/>
    <w:rsid w:val="49753626"/>
    <w:rsid w:val="49DB1F32"/>
    <w:rsid w:val="49FF790A"/>
    <w:rsid w:val="4A010B82"/>
    <w:rsid w:val="4A0174DC"/>
    <w:rsid w:val="4A1C1F96"/>
    <w:rsid w:val="4A315BF5"/>
    <w:rsid w:val="4A6D2636"/>
    <w:rsid w:val="4B341A04"/>
    <w:rsid w:val="4B6F563A"/>
    <w:rsid w:val="4BC36F32"/>
    <w:rsid w:val="4BD478C1"/>
    <w:rsid w:val="4C3C12BF"/>
    <w:rsid w:val="4C4625AC"/>
    <w:rsid w:val="4CA0731E"/>
    <w:rsid w:val="4CC4436C"/>
    <w:rsid w:val="4D017504"/>
    <w:rsid w:val="4DB27309"/>
    <w:rsid w:val="4DBC59C5"/>
    <w:rsid w:val="4DD3352C"/>
    <w:rsid w:val="4DE0387F"/>
    <w:rsid w:val="4E0B5254"/>
    <w:rsid w:val="4E1A79F2"/>
    <w:rsid w:val="4E2F6DF1"/>
    <w:rsid w:val="4E4E112E"/>
    <w:rsid w:val="4E78439B"/>
    <w:rsid w:val="4E7C581A"/>
    <w:rsid w:val="4F381A8F"/>
    <w:rsid w:val="4FBA7AD3"/>
    <w:rsid w:val="4FBE650E"/>
    <w:rsid w:val="4FC10457"/>
    <w:rsid w:val="4FD52AE5"/>
    <w:rsid w:val="501B20C1"/>
    <w:rsid w:val="50570D1F"/>
    <w:rsid w:val="508273B9"/>
    <w:rsid w:val="50C839F9"/>
    <w:rsid w:val="50F00906"/>
    <w:rsid w:val="50FE40F1"/>
    <w:rsid w:val="514F4E55"/>
    <w:rsid w:val="51A867BB"/>
    <w:rsid w:val="51B446C8"/>
    <w:rsid w:val="51E52B06"/>
    <w:rsid w:val="527C0A42"/>
    <w:rsid w:val="52995F82"/>
    <w:rsid w:val="52B87B64"/>
    <w:rsid w:val="537B51A4"/>
    <w:rsid w:val="548D0D0B"/>
    <w:rsid w:val="54A46818"/>
    <w:rsid w:val="55201A63"/>
    <w:rsid w:val="55F96639"/>
    <w:rsid w:val="560A5808"/>
    <w:rsid w:val="56187F25"/>
    <w:rsid w:val="569E3FBF"/>
    <w:rsid w:val="56C22ED7"/>
    <w:rsid w:val="577D4497"/>
    <w:rsid w:val="57AF19F0"/>
    <w:rsid w:val="57BF4F77"/>
    <w:rsid w:val="57D36DC8"/>
    <w:rsid w:val="57E126D0"/>
    <w:rsid w:val="57FF1207"/>
    <w:rsid w:val="58402C8D"/>
    <w:rsid w:val="58F009BC"/>
    <w:rsid w:val="59133E27"/>
    <w:rsid w:val="591463CD"/>
    <w:rsid w:val="591F4D02"/>
    <w:rsid w:val="592C4FA1"/>
    <w:rsid w:val="592F7A5F"/>
    <w:rsid w:val="59381406"/>
    <w:rsid w:val="596325F7"/>
    <w:rsid w:val="5981463A"/>
    <w:rsid w:val="598D4E92"/>
    <w:rsid w:val="59CFC7C9"/>
    <w:rsid w:val="59F16B2D"/>
    <w:rsid w:val="59F450D4"/>
    <w:rsid w:val="5A8C05C6"/>
    <w:rsid w:val="5BE1496E"/>
    <w:rsid w:val="5C1B0A57"/>
    <w:rsid w:val="5C2E2250"/>
    <w:rsid w:val="5C2E7413"/>
    <w:rsid w:val="5C540A2E"/>
    <w:rsid w:val="5C541439"/>
    <w:rsid w:val="5C6C7BA4"/>
    <w:rsid w:val="5C921A37"/>
    <w:rsid w:val="5D9E3BC1"/>
    <w:rsid w:val="5DAB37BF"/>
    <w:rsid w:val="5DC34EDD"/>
    <w:rsid w:val="5DF46B85"/>
    <w:rsid w:val="5E1E7CBD"/>
    <w:rsid w:val="5E4A4AA6"/>
    <w:rsid w:val="5EC416ED"/>
    <w:rsid w:val="5F090535"/>
    <w:rsid w:val="5F223539"/>
    <w:rsid w:val="5F2612B7"/>
    <w:rsid w:val="5F700BF9"/>
    <w:rsid w:val="5F8340D3"/>
    <w:rsid w:val="5FB1711E"/>
    <w:rsid w:val="5FB37A14"/>
    <w:rsid w:val="5FFF2CB4"/>
    <w:rsid w:val="6004695C"/>
    <w:rsid w:val="60B36EBF"/>
    <w:rsid w:val="6124783C"/>
    <w:rsid w:val="61682CD0"/>
    <w:rsid w:val="617D20E0"/>
    <w:rsid w:val="61AC4C69"/>
    <w:rsid w:val="61D5719A"/>
    <w:rsid w:val="61DC44FC"/>
    <w:rsid w:val="62352B71"/>
    <w:rsid w:val="62CC631F"/>
    <w:rsid w:val="62D90EC5"/>
    <w:rsid w:val="62F009B5"/>
    <w:rsid w:val="63390593"/>
    <w:rsid w:val="63C25F12"/>
    <w:rsid w:val="64256284"/>
    <w:rsid w:val="6496460F"/>
    <w:rsid w:val="64A743BD"/>
    <w:rsid w:val="64ED0B09"/>
    <w:rsid w:val="64F056FD"/>
    <w:rsid w:val="6519611E"/>
    <w:rsid w:val="655544D6"/>
    <w:rsid w:val="65750EF0"/>
    <w:rsid w:val="65C31F8C"/>
    <w:rsid w:val="65C750A6"/>
    <w:rsid w:val="65C91F93"/>
    <w:rsid w:val="65FA622E"/>
    <w:rsid w:val="6629526D"/>
    <w:rsid w:val="66727F1B"/>
    <w:rsid w:val="66D43D76"/>
    <w:rsid w:val="66E567C9"/>
    <w:rsid w:val="66F209E4"/>
    <w:rsid w:val="6729574E"/>
    <w:rsid w:val="67361CDE"/>
    <w:rsid w:val="679BAFD4"/>
    <w:rsid w:val="67D818EA"/>
    <w:rsid w:val="68146291"/>
    <w:rsid w:val="682041EA"/>
    <w:rsid w:val="68580AF2"/>
    <w:rsid w:val="68790CF7"/>
    <w:rsid w:val="688E0D06"/>
    <w:rsid w:val="68A553F2"/>
    <w:rsid w:val="68FFF740"/>
    <w:rsid w:val="692D201B"/>
    <w:rsid w:val="6955085A"/>
    <w:rsid w:val="6A125FD5"/>
    <w:rsid w:val="6A2A1B8F"/>
    <w:rsid w:val="6ACC1B8A"/>
    <w:rsid w:val="6AE508C6"/>
    <w:rsid w:val="6BB006E3"/>
    <w:rsid w:val="6BD63F55"/>
    <w:rsid w:val="6BF344DF"/>
    <w:rsid w:val="6CBE0BA3"/>
    <w:rsid w:val="6D735FAB"/>
    <w:rsid w:val="6D982DA0"/>
    <w:rsid w:val="6DCF41E3"/>
    <w:rsid w:val="6E077745"/>
    <w:rsid w:val="6F062BB9"/>
    <w:rsid w:val="6F5D32A0"/>
    <w:rsid w:val="6F6B4D60"/>
    <w:rsid w:val="6F9B4B2B"/>
    <w:rsid w:val="6FC55BD1"/>
    <w:rsid w:val="6FCD56A2"/>
    <w:rsid w:val="6FF06817"/>
    <w:rsid w:val="701706B8"/>
    <w:rsid w:val="705810B9"/>
    <w:rsid w:val="70AD723C"/>
    <w:rsid w:val="70F0151D"/>
    <w:rsid w:val="716F2578"/>
    <w:rsid w:val="719164EF"/>
    <w:rsid w:val="71A51651"/>
    <w:rsid w:val="71F76539"/>
    <w:rsid w:val="71FB277D"/>
    <w:rsid w:val="722647B3"/>
    <w:rsid w:val="72563E57"/>
    <w:rsid w:val="72BC2116"/>
    <w:rsid w:val="72EBD93A"/>
    <w:rsid w:val="73124F7B"/>
    <w:rsid w:val="739E5E93"/>
    <w:rsid w:val="73E72609"/>
    <w:rsid w:val="73F52377"/>
    <w:rsid w:val="740022CC"/>
    <w:rsid w:val="74232937"/>
    <w:rsid w:val="74D6127F"/>
    <w:rsid w:val="74DC5A30"/>
    <w:rsid w:val="758E6B93"/>
    <w:rsid w:val="75A213EC"/>
    <w:rsid w:val="75AB7912"/>
    <w:rsid w:val="765661D4"/>
    <w:rsid w:val="766D5BBB"/>
    <w:rsid w:val="76DDD1B5"/>
    <w:rsid w:val="76DE633C"/>
    <w:rsid w:val="77161E07"/>
    <w:rsid w:val="77207CB9"/>
    <w:rsid w:val="777EE362"/>
    <w:rsid w:val="77981E3E"/>
    <w:rsid w:val="77DA3A4B"/>
    <w:rsid w:val="7800305B"/>
    <w:rsid w:val="781C1D8D"/>
    <w:rsid w:val="788F4D15"/>
    <w:rsid w:val="79616E90"/>
    <w:rsid w:val="79984D55"/>
    <w:rsid w:val="7A7007FA"/>
    <w:rsid w:val="7AA91A0D"/>
    <w:rsid w:val="7AAD0923"/>
    <w:rsid w:val="7ACD289A"/>
    <w:rsid w:val="7B046B46"/>
    <w:rsid w:val="7BB173DE"/>
    <w:rsid w:val="7BC67B45"/>
    <w:rsid w:val="7BF72207"/>
    <w:rsid w:val="7BFF422C"/>
    <w:rsid w:val="7C3F4E72"/>
    <w:rsid w:val="7C690A14"/>
    <w:rsid w:val="7C906FEC"/>
    <w:rsid w:val="7C9D5EE1"/>
    <w:rsid w:val="7D093063"/>
    <w:rsid w:val="7D182D6C"/>
    <w:rsid w:val="7D4E4576"/>
    <w:rsid w:val="7DD95F7A"/>
    <w:rsid w:val="7DED5DED"/>
    <w:rsid w:val="7DFAE030"/>
    <w:rsid w:val="7E1404C4"/>
    <w:rsid w:val="7E1F786B"/>
    <w:rsid w:val="7E340E8C"/>
    <w:rsid w:val="7E745D91"/>
    <w:rsid w:val="7E801FD1"/>
    <w:rsid w:val="7E8835EA"/>
    <w:rsid w:val="7E9E1084"/>
    <w:rsid w:val="7F342A2C"/>
    <w:rsid w:val="7F3A52D5"/>
    <w:rsid w:val="7F43660D"/>
    <w:rsid w:val="7F8508AD"/>
    <w:rsid w:val="7F8A7CBF"/>
    <w:rsid w:val="7F91066B"/>
    <w:rsid w:val="7FEB432C"/>
    <w:rsid w:val="7FF7E3D8"/>
    <w:rsid w:val="7FFE0D7D"/>
    <w:rsid w:val="7FFE84E7"/>
    <w:rsid w:val="97B52401"/>
    <w:rsid w:val="97FE0791"/>
    <w:rsid w:val="B7FFD0D6"/>
    <w:rsid w:val="BA7F0990"/>
    <w:rsid w:val="BC9D3BAB"/>
    <w:rsid w:val="BDF32CEF"/>
    <w:rsid w:val="BDF34479"/>
    <w:rsid w:val="BE5B9261"/>
    <w:rsid w:val="BECFB7F8"/>
    <w:rsid w:val="BF47434D"/>
    <w:rsid w:val="BFBBDDCB"/>
    <w:rsid w:val="CB769EB4"/>
    <w:rsid w:val="D6F7CFCD"/>
    <w:rsid w:val="D7CD4A17"/>
    <w:rsid w:val="D9EFBB73"/>
    <w:rsid w:val="DFDABCF5"/>
    <w:rsid w:val="E1DD9E07"/>
    <w:rsid w:val="E759EB00"/>
    <w:rsid w:val="EBFFE5C3"/>
    <w:rsid w:val="EDE38661"/>
    <w:rsid w:val="EF1E9EE4"/>
    <w:rsid w:val="EFDE754F"/>
    <w:rsid w:val="F0BA4817"/>
    <w:rsid w:val="F4773438"/>
    <w:rsid w:val="F7ED5B9B"/>
    <w:rsid w:val="FA4F0D47"/>
    <w:rsid w:val="FBCF13BB"/>
    <w:rsid w:val="FBDBD474"/>
    <w:rsid w:val="FBEA1A1D"/>
    <w:rsid w:val="FC7E3218"/>
    <w:rsid w:val="FEBFAAA3"/>
    <w:rsid w:val="FF623479"/>
    <w:rsid w:val="FFF8C38D"/>
    <w:rsid w:val="FFFD9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annotation text"/>
    <w:basedOn w:val="1"/>
    <w:qFormat/>
    <w:uiPriority w:val="0"/>
    <w:pPr>
      <w:jc w:val="left"/>
    </w:pPr>
  </w:style>
  <w:style w:type="paragraph" w:styleId="6">
    <w:name w:val="Body Text"/>
    <w:basedOn w:val="1"/>
    <w:qFormat/>
    <w:uiPriority w:val="99"/>
    <w:pPr>
      <w:spacing w:beforeLines="30"/>
    </w:pPr>
    <w:rPr>
      <w:rFonts w:ascii="仿宋_GB2312" w:eastAsia="仿宋_GB2312"/>
      <w:kern w:val="0"/>
      <w:sz w:val="24"/>
      <w:szCs w:val="2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8"/>
    <w:basedOn w:val="1"/>
    <w:next w:val="1"/>
    <w:qFormat/>
    <w:uiPriority w:val="0"/>
    <w:pPr>
      <w:widowControl w:val="0"/>
      <w:ind w:left="2940"/>
      <w:jc w:val="both"/>
    </w:pPr>
    <w:rPr>
      <w:rFonts w:ascii="Calibri" w:hAnsi="Calibri" w:eastAsia="宋体" w:cs="Times New Roman"/>
      <w:kern w:val="2"/>
      <w:sz w:val="21"/>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8"/>
    <w:semiHidden/>
    <w:qFormat/>
    <w:uiPriority w:val="0"/>
    <w:pPr>
      <w:snapToGrid w:val="0"/>
      <w:jc w:val="left"/>
    </w:pPr>
    <w:rPr>
      <w:sz w:val="18"/>
      <w:szCs w:val="18"/>
    </w:rPr>
  </w:style>
  <w:style w:type="paragraph" w:styleId="14">
    <w:name w:val="table of figures"/>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22"/>
    <w:rPr>
      <w:b/>
      <w:bCs/>
    </w:rPr>
  </w:style>
  <w:style w:type="paragraph" w:customStyle="1" w:styleId="20">
    <w:name w:val="正文2"/>
    <w:basedOn w:val="1"/>
    <w:next w:val="1"/>
    <w:unhideWhenUsed/>
    <w:qFormat/>
    <w:uiPriority w:val="99"/>
    <w:rPr>
      <w:rFonts w:hint="eastAsia"/>
    </w:rPr>
  </w:style>
  <w:style w:type="paragraph" w:customStyle="1" w:styleId="21">
    <w:name w:val="常用样式（方正仿宋简）"/>
    <w:basedOn w:val="1"/>
    <w:next w:val="9"/>
    <w:qFormat/>
    <w:uiPriority w:val="99"/>
    <w:pPr>
      <w:spacing w:line="560" w:lineRule="exact"/>
      <w:ind w:firstLine="640" w:firstLineChars="200"/>
    </w:pPr>
    <w:rPr>
      <w:rFonts w:ascii="Calibri" w:hAnsi="Calibri" w:eastAsia="方正仿宋简体"/>
      <w:sz w:val="32"/>
      <w:szCs w:val="24"/>
    </w:rPr>
  </w:style>
  <w:style w:type="paragraph" w:customStyle="1" w:styleId="22">
    <w:name w:val="章标题"/>
    <w:basedOn w:val="1"/>
    <w:next w:val="23"/>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3">
    <w:name w:val="节标题"/>
    <w:basedOn w:val="1"/>
    <w:next w:val="1"/>
    <w:qFormat/>
    <w:uiPriority w:val="99"/>
    <w:pPr>
      <w:widowControl/>
      <w:spacing w:line="289" w:lineRule="atLeast"/>
      <w:jc w:val="center"/>
      <w:textAlignment w:val="baseline"/>
    </w:pPr>
    <w:rPr>
      <w:color w:val="000000"/>
      <w:sz w:val="28"/>
    </w:rPr>
  </w:style>
  <w:style w:type="paragraph" w:styleId="24">
    <w:name w:val="List Paragraph"/>
    <w:basedOn w:val="1"/>
    <w:qFormat/>
    <w:uiPriority w:val="34"/>
    <w:pPr>
      <w:ind w:firstLine="420" w:firstLineChars="200"/>
    </w:pPr>
  </w:style>
  <w:style w:type="character" w:customStyle="1" w:styleId="25">
    <w:name w:val="标题 1 Char"/>
    <w:basedOn w:val="18"/>
    <w:link w:val="2"/>
    <w:qFormat/>
    <w:uiPriority w:val="9"/>
    <w:rPr>
      <w:b/>
      <w:bCs/>
      <w:kern w:val="44"/>
      <w:sz w:val="44"/>
      <w:szCs w:val="44"/>
    </w:rPr>
  </w:style>
  <w:style w:type="character" w:customStyle="1" w:styleId="26">
    <w:name w:val="标题 2 Char"/>
    <w:basedOn w:val="18"/>
    <w:link w:val="3"/>
    <w:qFormat/>
    <w:uiPriority w:val="9"/>
    <w:rPr>
      <w:rFonts w:ascii="Cambria" w:hAnsi="Cambria" w:eastAsia="宋体" w:cs="Times New Roman"/>
      <w:b/>
      <w:bCs/>
      <w:sz w:val="32"/>
      <w:szCs w:val="32"/>
    </w:rPr>
  </w:style>
  <w:style w:type="paragraph" w:customStyle="1" w:styleId="2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8">
    <w:name w:val="标题 2 字符"/>
    <w:link w:val="3"/>
    <w:qFormat/>
    <w:locked/>
    <w:uiPriority w:val="9"/>
    <w:rPr>
      <w:rFonts w:ascii="Cambria" w:hAnsi="Cambria"/>
      <w:b/>
      <w:bCs/>
      <w:sz w:val="32"/>
      <w:szCs w:val="32"/>
    </w:rPr>
  </w:style>
  <w:style w:type="character" w:customStyle="1" w:styleId="29">
    <w:name w:val="bjh-p"/>
    <w:qFormat/>
    <w:uiPriority w:val="0"/>
  </w:style>
  <w:style w:type="character" w:customStyle="1" w:styleId="30">
    <w:name w:val="NormalCharacter"/>
    <w:semiHidden/>
    <w:qFormat/>
    <w:uiPriority w:val="0"/>
    <w:rPr>
      <w:rFonts w:ascii="等线" w:hAnsi="等线" w:eastAsia="等线" w:cs="Times New Roman"/>
      <w:kern w:val="2"/>
      <w:sz w:val="21"/>
      <w:szCs w:val="22"/>
      <w:lang w:val="en-US" w:eastAsia="zh-CN" w:bidi="ar-SA"/>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 Char Char6"/>
    <w:basedOn w:val="18"/>
    <w:link w:val="2"/>
    <w:qFormat/>
    <w:locked/>
    <w:uiPriority w:val="9"/>
    <w:rPr>
      <w:rFonts w:ascii="Times New Roman" w:hAnsi="Times New Roman" w:cs="Times New Roman"/>
      <w:b/>
      <w:bCs/>
      <w:kern w:val="44"/>
      <w:sz w:val="44"/>
      <w:szCs w:val="44"/>
    </w:rPr>
  </w:style>
  <w:style w:type="character" w:customStyle="1" w:styleId="34">
    <w:name w:val="font31"/>
    <w:basedOn w:val="18"/>
    <w:qFormat/>
    <w:uiPriority w:val="0"/>
    <w:rPr>
      <w:rFonts w:hint="eastAsia" w:ascii="宋体" w:hAnsi="宋体" w:eastAsia="宋体" w:cs="宋体"/>
      <w:color w:val="000000"/>
      <w:sz w:val="20"/>
      <w:szCs w:val="20"/>
      <w:u w:val="none"/>
    </w:rPr>
  </w:style>
  <w:style w:type="character" w:customStyle="1" w:styleId="35">
    <w:name w:val="font41"/>
    <w:basedOn w:val="1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a:t>
            </a:r>
            <a:r>
              <a:t>收入支出决算总计情况变动图</a:t>
            </a:r>
          </a:p>
        </c:rich>
      </c:tx>
      <c:layout/>
      <c:overlay val="0"/>
      <c:spPr>
        <a:noFill/>
        <a:ln>
          <a:noFill/>
        </a:ln>
        <a:effectLst/>
      </c:spPr>
    </c:title>
    <c:autoTitleDeleted val="0"/>
    <c:plotArea>
      <c:layout>
        <c:manualLayout>
          <c:layoutTarget val="inner"/>
          <c:xMode val="edge"/>
          <c:yMode val="edge"/>
          <c:x val="0.0466532802084583"/>
          <c:y val="0.295408062930187"/>
          <c:w val="0.902816839154127"/>
          <c:h val="0.59202275600505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2023年财政收入总计</c:v>
                </c:pt>
                <c:pt idx="1">
                  <c:v>2024年财政收入总计</c:v>
                </c:pt>
                <c:pt idx="2">
                  <c:v>2023年财政支出总计</c:v>
                </c:pt>
                <c:pt idx="3">
                  <c:v>2024年财政支出总计</c:v>
                </c:pt>
              </c:strCache>
            </c:strRef>
          </c:cat>
          <c:val>
            <c:numRef>
              <c:f>Sheet1!$B$2:$B$5</c:f>
              <c:numCache>
                <c:formatCode>General</c:formatCode>
                <c:ptCount val="4"/>
                <c:pt idx="0">
                  <c:v>287.86</c:v>
                </c:pt>
                <c:pt idx="1">
                  <c:v>223.19</c:v>
                </c:pt>
                <c:pt idx="2">
                  <c:v>287.86</c:v>
                </c:pt>
                <c:pt idx="3">
                  <c:v>223.19</c:v>
                </c:pt>
              </c:numCache>
            </c:numRef>
          </c:val>
        </c:ser>
        <c:dLbls>
          <c:showLegendKey val="0"/>
          <c:showVal val="0"/>
          <c:showCatName val="0"/>
          <c:showSerName val="0"/>
          <c:showPercent val="0"/>
          <c:showBubbleSize val="0"/>
        </c:dLbls>
        <c:gapWidth val="219"/>
        <c:overlap val="-27"/>
        <c:axId val="282351828"/>
        <c:axId val="516529510"/>
      </c:barChart>
      <c:catAx>
        <c:axId val="2823518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6529510"/>
        <c:crosses val="autoZero"/>
        <c:auto val="1"/>
        <c:lblAlgn val="ctr"/>
        <c:lblOffset val="0"/>
        <c:tickMarkSkip val="10"/>
        <c:noMultiLvlLbl val="0"/>
      </c:catAx>
      <c:valAx>
        <c:axId val="516529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351828"/>
        <c:crosses val="autoZero"/>
        <c:crossBetween val="between"/>
      </c:valAx>
      <c:spPr>
        <a:noFill/>
        <a:ln>
          <a:noFill/>
        </a:ln>
        <a:effectLst/>
      </c:spPr>
    </c:plotArea>
    <c:plotVisOnly val="1"/>
    <c:dispBlanksAs val="gap"/>
    <c:showDLblsOverMax val="0"/>
    <c:extLst>
      <c:ext uri="{0b15fc19-7d7d-44ad-8c2d-2c3a37ce22c3}">
        <chartProps xmlns="https://web.wps.cn/et/2018/main" chartId="{6de3f574-fa5c-4859-8429-5a5790b30e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a:t>2024</a:t>
            </a:r>
            <a:r>
              <a:rPr altLang="zh-CN"/>
              <a:t>年收入决算结构图</a:t>
            </a:r>
            <a:endParaRPr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223.19</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36fcf2b7-b0c3-4b68-a51c-15ee6aa44d27}"/>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a:solidFill>
                  <a:schemeClr val="tx1"/>
                </a:solidFill>
              </a:rPr>
              <a:t>20</a:t>
            </a:r>
            <a:r>
              <a:rPr lang="en-US" altLang="zh-CN">
                <a:solidFill>
                  <a:schemeClr val="tx1"/>
                </a:solidFill>
              </a:rPr>
              <a:t>24</a:t>
            </a:r>
            <a:r>
              <a:rPr>
                <a:solidFill>
                  <a:schemeClr val="tx1"/>
                </a:solidFill>
              </a:rPr>
              <a:t>年支出决算结构图</a:t>
            </a:r>
            <a:endParaRPr>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2024年公共财政预算支出统计</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solidFill>
                          <a:schemeClr val="tx1"/>
                        </a:solidFill>
                      </a:rPr>
                      <a:t>106.28</a:t>
                    </a:r>
                    <a:r>
                      <a:rPr altLang="en-US">
                        <a:solidFill>
                          <a:schemeClr val="tx1"/>
                        </a:solidFill>
                      </a:rPr>
                      <a:t>元</a:t>
                    </a:r>
                    <a:r>
                      <a:rPr>
                        <a:solidFill>
                          <a:schemeClr val="tx1"/>
                        </a:solidFill>
                      </a:rPr>
                      <a:t>，</a:t>
                    </a:r>
                    <a:r>
                      <a:rPr lang="en-US" altLang="zh-CN">
                        <a:solidFill>
                          <a:schemeClr val="tx1"/>
                        </a:solidFill>
                      </a:rPr>
                      <a:t>47.62%</a:t>
                    </a:r>
                    <a:endParaRPr lang="en-US" altLang="zh-CN">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1605"/>
                      <c:h val="0.121525215252153"/>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solidFill>
                          <a:schemeClr val="tx1"/>
                        </a:solidFill>
                      </a:rPr>
                      <a:t>116.91</a:t>
                    </a:r>
                    <a:r>
                      <a:rPr altLang="en-US">
                        <a:solidFill>
                          <a:schemeClr val="tx1"/>
                        </a:solidFill>
                      </a:rPr>
                      <a:t>万元</a:t>
                    </a:r>
                    <a:r>
                      <a:rPr>
                        <a:solidFill>
                          <a:schemeClr val="tx1"/>
                        </a:solidFill>
                      </a:rPr>
                      <a:t>，</a:t>
                    </a:r>
                    <a:r>
                      <a:rPr lang="en-US" altLang="zh-CN">
                        <a:solidFill>
                          <a:schemeClr val="tx1"/>
                        </a:solidFill>
                      </a:rPr>
                      <a:t>52.38%</a:t>
                    </a:r>
                    <a:endParaRPr lang="en-US" altLang="zh-CN">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106.28</c:v>
                </c:pt>
                <c:pt idx="1">
                  <c:v>116.91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a5e3e3f2-b2ec-4e9c-89a0-8bd3a3f1df19}"/>
      </c:ext>
    </c:extLst>
  </c:chart>
  <c:spPr>
    <a:solidFill>
      <a:srgbClr val="FFC000"/>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dk1">
                    <a:lumMod val="75000"/>
                    <a:lumOff val="25000"/>
                  </a:schemeClr>
                </a:solidFill>
                <a:latin typeface="+mn-lt"/>
                <a:ea typeface="+mn-ea"/>
                <a:cs typeface="+mn-cs"/>
              </a:defRPr>
            </a:pPr>
            <a:r>
              <a:rPr sz="1600"/>
              <a:t>202</a:t>
            </a:r>
            <a:r>
              <a:rPr lang="en-US" altLang="zh-CN" sz="1600"/>
              <a:t>4</a:t>
            </a:r>
            <a:r>
              <a:rPr sz="1600"/>
              <a:t>年财政拨款收、支决算总计变动情况</a:t>
            </a:r>
            <a:endParaRPr sz="16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2023年收入支出决算总体统计</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2023年财政收入总计</c:v>
                </c:pt>
                <c:pt idx="1">
                  <c:v>2024年财政收入总计</c:v>
                </c:pt>
                <c:pt idx="2">
                  <c:v>2023年财政支出总计</c:v>
                </c:pt>
                <c:pt idx="3">
                  <c:v>2024年财政支出总计</c:v>
                </c:pt>
              </c:strCache>
            </c:strRef>
          </c:cat>
          <c:val>
            <c:numRef>
              <c:f>Sheet1!$B$2:$B$5</c:f>
              <c:numCache>
                <c:formatCode>General</c:formatCode>
                <c:ptCount val="4"/>
                <c:pt idx="0">
                  <c:v>287.86</c:v>
                </c:pt>
                <c:pt idx="1">
                  <c:v>223.19</c:v>
                </c:pt>
                <c:pt idx="2">
                  <c:v>287.86</c:v>
                </c:pt>
                <c:pt idx="3">
                  <c:v>223.19</c:v>
                </c:pt>
              </c:numCache>
            </c:numRef>
          </c:val>
        </c:ser>
        <c:dLbls>
          <c:showLegendKey val="0"/>
          <c:showVal val="1"/>
          <c:showCatName val="0"/>
          <c:showSerName val="0"/>
          <c:showPercent val="0"/>
          <c:showBubbleSize val="0"/>
        </c:dLbls>
        <c:gapWidth val="65"/>
        <c:overlap val="0"/>
        <c:axId val="759698592"/>
        <c:axId val="308566884"/>
      </c:barChart>
      <c:catAx>
        <c:axId val="7596985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800" b="0" i="0" u="none" strike="noStrike" kern="1200" cap="all" baseline="0">
                <a:solidFill>
                  <a:schemeClr val="dk1">
                    <a:lumMod val="75000"/>
                    <a:lumOff val="25000"/>
                  </a:schemeClr>
                </a:solidFill>
                <a:latin typeface="+mn-lt"/>
                <a:ea typeface="+mn-ea"/>
                <a:cs typeface="+mn-cs"/>
              </a:defRPr>
            </a:pPr>
          </a:p>
        </c:txPr>
        <c:crossAx val="308566884"/>
        <c:crosses val="autoZero"/>
        <c:auto val="1"/>
        <c:lblAlgn val="ctr"/>
        <c:lblOffset val="100"/>
        <c:noMultiLvlLbl val="0"/>
      </c:catAx>
      <c:valAx>
        <c:axId val="3085668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dk1">
                    <a:lumMod val="75000"/>
                    <a:lumOff val="25000"/>
                  </a:schemeClr>
                </a:solidFill>
                <a:latin typeface="+mn-lt"/>
                <a:ea typeface="+mn-ea"/>
                <a:cs typeface="+mn-cs"/>
              </a:defRPr>
            </a:pPr>
          </a:p>
        </c:txPr>
        <c:crossAx val="759698592"/>
        <c:crosses val="autoZero"/>
        <c:crossBetween val="between"/>
      </c:valAx>
      <c:spPr>
        <a:noFill/>
        <a:ln>
          <a:noFill/>
        </a:ln>
        <a:effectLst/>
      </c:spPr>
    </c:plotArea>
    <c:plotVisOnly val="1"/>
    <c:dispBlanksAs val="gap"/>
    <c:showDLblsOverMax val="0"/>
    <c:extLst>
      <c:ext uri="{0b15fc19-7d7d-44ad-8c2d-2c3a37ce22c3}">
        <chartProps xmlns="https://web.wps.cn/et/2018/main" chartId="{7dc3a898-a79b-40c4-879b-da3407f2cea8}"/>
      </c:ext>
    </c:extLst>
  </c:chart>
  <c:spPr>
    <a:noFill/>
    <a:ln w="9525" cap="flat" cmpd="sng" algn="ctr">
      <a:solidFill>
        <a:schemeClr val="dk1">
          <a:lumMod val="25000"/>
          <a:lumOff val="75000"/>
        </a:schemeClr>
      </a:solidFill>
      <a:round/>
    </a:ln>
    <a:effectLst/>
  </c:spPr>
  <c:txPr>
    <a:bodyPr/>
    <a:lstStyle/>
    <a:p>
      <a:pPr>
        <a:defRPr lang="zh-CN" sz="8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年一般公共预算财政拨款支出决算</a:t>
            </a:r>
            <a:r>
              <a:t>变动情况</a:t>
            </a:r>
          </a:p>
        </c:rich>
      </c:tx>
      <c:layout/>
      <c:overlay val="0"/>
      <c:spPr>
        <a:noFill/>
        <a:ln>
          <a:noFill/>
        </a:ln>
        <a:effectLst/>
      </c:spPr>
    </c:title>
    <c:autoTitleDeleted val="0"/>
    <c:plotArea>
      <c:layout>
        <c:manualLayout>
          <c:layoutTarget val="inner"/>
          <c:xMode val="edge"/>
          <c:yMode val="edge"/>
          <c:x val="0.0466532802084583"/>
          <c:y val="0.295408062930187"/>
          <c:w val="0.902816839154127"/>
          <c:h val="0.59202275600505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2023年一般公共预算财政拨款支出</c:v>
                </c:pt>
                <c:pt idx="1">
                  <c:v>2024年一般公共预算财政拨款支出</c:v>
                </c:pt>
              </c:strCache>
            </c:strRef>
          </c:cat>
          <c:val>
            <c:numRef>
              <c:f>Sheet1!$B$2:$B$3</c:f>
              <c:numCache>
                <c:formatCode>General</c:formatCode>
                <c:ptCount val="2"/>
                <c:pt idx="0">
                  <c:v>287.86</c:v>
                </c:pt>
                <c:pt idx="1">
                  <c:v>223.19</c:v>
                </c:pt>
              </c:numCache>
            </c:numRef>
          </c:val>
        </c:ser>
        <c:dLbls>
          <c:showLegendKey val="0"/>
          <c:showVal val="0"/>
          <c:showCatName val="0"/>
          <c:showSerName val="0"/>
          <c:showPercent val="0"/>
          <c:showBubbleSize val="0"/>
        </c:dLbls>
        <c:gapWidth val="219"/>
        <c:overlap val="-27"/>
        <c:axId val="282351828"/>
        <c:axId val="516529510"/>
      </c:barChart>
      <c:catAx>
        <c:axId val="2823518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6529510"/>
        <c:crosses val="autoZero"/>
        <c:auto val="1"/>
        <c:lblAlgn val="ctr"/>
        <c:lblOffset val="0"/>
        <c:tickMarkSkip val="10"/>
        <c:noMultiLvlLbl val="0"/>
      </c:catAx>
      <c:valAx>
        <c:axId val="516529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351828"/>
        <c:crosses val="autoZero"/>
        <c:crossBetween val="between"/>
      </c:valAx>
      <c:spPr>
        <a:noFill/>
        <a:ln>
          <a:noFill/>
        </a:ln>
        <a:effectLst/>
      </c:spPr>
    </c:plotArea>
    <c:plotVisOnly val="1"/>
    <c:dispBlanksAs val="gap"/>
    <c:showDLblsOverMax val="0"/>
    <c:extLst>
      <c:ext uri="{0b15fc19-7d7d-44ad-8c2d-2c3a37ce22c3}">
        <chartProps xmlns="https://web.wps.cn/et/2018/main" chartId="{6b6b150a-200a-439c-97d9-54e1a57d34c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202</a:t>
            </a:r>
            <a:r>
              <a:rPr lang="en-US" altLang="zh-CN"/>
              <a:t>3</a:t>
            </a:r>
            <a:r>
              <a:t>年一般公共预算财政支出决算结构情况</a:t>
            </a:r>
          </a:p>
        </c:rich>
      </c:tx>
      <c:layout/>
      <c:overlay val="0"/>
      <c:spPr>
        <a:noFill/>
        <a:ln>
          <a:noFill/>
        </a:ln>
        <a:effectLst/>
      </c:spPr>
    </c:title>
    <c:autoTitleDeleted val="0"/>
    <c:plotArea>
      <c:layout/>
      <c:pieChart>
        <c:varyColors val="1"/>
        <c:ser>
          <c:idx val="0"/>
          <c:order val="0"/>
          <c:spPr>
            <a:solidFill>
              <a:srgbClr val="63B1EF">
                <a:alpha val="67000"/>
              </a:srgbClr>
            </a:solidFill>
            <a:ln w="19050" cap="rnd">
              <a:noFill/>
              <a:round/>
            </a:ln>
            <a:effectLst/>
          </c:spPr>
          <c:explosion val="0"/>
          <c:dPt>
            <c:idx val="0"/>
            <c:bubble3D val="0"/>
            <c:spPr>
              <a:solidFill>
                <a:srgbClr val="63B1EF">
                  <a:alpha val="67000"/>
                </a:srgbClr>
              </a:solidFill>
              <a:ln w="19050" cap="rnd">
                <a:noFill/>
                <a:round/>
              </a:ln>
              <a:effectLst/>
            </c:spPr>
          </c:dPt>
          <c:dPt>
            <c:idx val="1"/>
            <c:bubble3D val="0"/>
            <c:spPr>
              <a:solidFill>
                <a:srgbClr val="75D890">
                  <a:alpha val="67000"/>
                </a:srgbClr>
              </a:solidFill>
              <a:ln w="19050" cap="rnd">
                <a:noFill/>
                <a:round/>
              </a:ln>
              <a:effectLst/>
            </c:spPr>
          </c:dPt>
          <c:dPt>
            <c:idx val="2"/>
            <c:bubble3D val="0"/>
            <c:spPr>
              <a:solidFill>
                <a:srgbClr val="FB7E72">
                  <a:alpha val="67000"/>
                </a:srgbClr>
              </a:solidFill>
              <a:ln w="19050" cap="rnd">
                <a:noFill/>
                <a:round/>
              </a:ln>
              <a:effectLst/>
            </c:spPr>
          </c:dPt>
          <c:dPt>
            <c:idx val="3"/>
            <c:bubble3D val="0"/>
            <c:spPr>
              <a:solidFill>
                <a:srgbClr val="F8AC41">
                  <a:alpha val="67000"/>
                </a:srgbClr>
              </a:solidFill>
              <a:ln w="19050" cap="rnd">
                <a:no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一般公共服务支出</c:v>
                </c:pt>
                <c:pt idx="1">
                  <c:v>社会保障和就业支出</c:v>
                </c:pt>
                <c:pt idx="2">
                  <c:v>卫生健康支出</c:v>
                </c:pt>
                <c:pt idx="3">
                  <c:v>住房保障支出</c:v>
                </c:pt>
              </c:strCache>
            </c:strRef>
          </c:cat>
          <c:val>
            <c:numRef>
              <c:f>Sheet1!$B$1:$B$4</c:f>
              <c:numCache>
                <c:formatCode>General</c:formatCode>
                <c:ptCount val="4"/>
                <c:pt idx="0">
                  <c:v>188.05</c:v>
                </c:pt>
                <c:pt idx="1">
                  <c:v>8.94</c:v>
                </c:pt>
                <c:pt idx="2">
                  <c:v>19.74</c:v>
                </c:pt>
                <c:pt idx="3">
                  <c:v>6.47</c:v>
                </c:pt>
              </c:numCache>
            </c:numRef>
          </c:val>
        </c:ser>
        <c:dLbls>
          <c:showLegendKey val="0"/>
          <c:showVal val="1"/>
          <c:showCatName val="0"/>
          <c:showSerName val="0"/>
          <c:showPercent val="0"/>
          <c:showBubbleSize val="0"/>
          <c:showLeaderLines val="1"/>
        </c:dLbls>
        <c:firstSliceAng val="0"/>
      </c:pieChart>
      <c:spPr>
        <a:pattFill prst="lgGrid">
          <a:fgClr>
            <a:srgbClr val="F8F8F8"/>
          </a:fgClr>
          <a:bgClr>
            <a:schemeClr val="bg1"/>
          </a:bgClr>
        </a:pattFill>
        <a:ln>
          <a:solidFill>
            <a:schemeClr val="bg1">
              <a:lumMod val="95000"/>
            </a:schemeClr>
          </a:solid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00dcabd9-229a-466d-8a20-bedcb63abf83}"/>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202</a:t>
            </a:r>
            <a:r>
              <a:rPr lang="en-US" altLang="zh-CN"/>
              <a:t>4</a:t>
            </a:r>
            <a:r>
              <a:t>年</a:t>
            </a:r>
            <a:r>
              <a:rPr lang="en-US" altLang="zh-CN"/>
              <a:t>“</a:t>
            </a:r>
            <a:r>
              <a:t>三公</a:t>
            </a:r>
            <a:r>
              <a:rPr lang="en-US" altLang="zh-CN"/>
              <a:t>”</a:t>
            </a:r>
            <a:r>
              <a:t>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2024年三公经费财政拨款支出结构</c:v>
                </c:pt>
              </c:strCache>
            </c:strRef>
          </c:tx>
          <c:spPr>
            <a:ln w="15875">
              <a:solidFill>
                <a:schemeClr val="bg1"/>
              </a:solidFill>
            </a:ln>
            <a:effectLst>
              <a:outerShdw blurRad="63500" sx="102000" sy="102000" algn="ctr" rotWithShape="0">
                <a:schemeClr val="bg1">
                  <a:lumMod val="50000"/>
                  <a:alpha val="40000"/>
                </a:schemeClr>
              </a:outerShdw>
            </a:effectLst>
            <a:sp3d contourW="15875"/>
          </c:spPr>
          <c:explosion val="0"/>
          <c:dPt>
            <c:idx val="0"/>
            <c:bubble3D val="0"/>
            <c:spPr>
              <a:solidFill>
                <a:schemeClr val="accent1"/>
              </a:solidFill>
              <a:ln w="15875">
                <a:solidFill>
                  <a:schemeClr val="bg1"/>
                </a:solidFill>
              </a:ln>
              <a:effectLst>
                <a:outerShdw blurRad="63500" sx="102000" sy="102000" algn="ctr" rotWithShape="0">
                  <a:schemeClr val="bg1">
                    <a:lumMod val="50000"/>
                    <a:alpha val="40000"/>
                  </a:schemeClr>
                </a:outerShdw>
              </a:effectLst>
              <a:sp3d contourW="15875"/>
            </c:spPr>
          </c:dPt>
          <c:dPt>
            <c:idx val="1"/>
            <c:bubble3D val="0"/>
            <c:spPr>
              <a:solidFill>
                <a:schemeClr val="accent2"/>
              </a:solidFill>
              <a:ln w="15875">
                <a:solidFill>
                  <a:schemeClr val="bg1"/>
                </a:solidFill>
              </a:ln>
              <a:effectLst>
                <a:outerShdw blurRad="63500" sx="102000" sy="102000" algn="ctr" rotWithShape="0">
                  <a:schemeClr val="bg1">
                    <a:lumMod val="50000"/>
                    <a:alpha val="40000"/>
                  </a:schemeClr>
                </a:outerShdw>
              </a:effectLst>
              <a:sp3d contourW="15875"/>
            </c:spPr>
          </c:dPt>
          <c:dPt>
            <c:idx val="2"/>
            <c:bubble3D val="0"/>
            <c:spPr>
              <a:solidFill>
                <a:schemeClr val="accent3"/>
              </a:solidFill>
              <a:ln w="19050">
                <a:solidFill>
                  <a:schemeClr val="bg1"/>
                </a:solidFill>
              </a:ln>
              <a:effectLst>
                <a:outerShdw blurRad="63500" sx="102000" sy="102000" algn="ctr" rotWithShape="0">
                  <a:schemeClr val="bg1">
                    <a:lumMod val="50000"/>
                    <a:alpha val="40000"/>
                  </a:schemeClr>
                </a:outerShdw>
              </a:effectLst>
              <a:sp3d contourW="1905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公务接待费支出</c:v>
                </c:pt>
                <c:pt idx="1">
                  <c:v>因公出国（境）费支出</c:v>
                </c:pt>
                <c:pt idx="2">
                  <c:v>公务用车购置及运行维护费支出</c:v>
                </c:pt>
              </c:strCache>
            </c:strRef>
          </c:cat>
          <c:val>
            <c:numRef>
              <c:f>Sheet1!$B$2:$B$4</c:f>
              <c:numCache>
                <c:formatCode>0%</c:formatCode>
                <c:ptCount val="3"/>
                <c:pt idx="0">
                  <c:v>0</c:v>
                </c:pt>
                <c:pt idx="1">
                  <c:v>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af1d2528-948f-42cf-84e1-03ae81b4b049}"/>
      </c:ext>
    </c:extLst>
  </c:chart>
  <c:spPr>
    <a:solidFill>
      <a:schemeClr val="bg1"/>
    </a:solidFill>
    <a:ln w="9525" cap="flat" cmpd="sng" algn="ctr">
      <a:solidFill>
        <a:schemeClr val="bg1">
          <a:lumMod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9764</Words>
  <Characters>10499</Characters>
  <Lines>0</Lines>
  <Paragraphs>0</Paragraphs>
  <TotalTime>244</TotalTime>
  <ScaleCrop>false</ScaleCrop>
  <LinksUpToDate>false</LinksUpToDate>
  <CharactersWithSpaces>10591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Administrator</cp:lastModifiedBy>
  <cp:lastPrinted>2025-08-21T07:33:00Z</cp:lastPrinted>
  <dcterms:modified xsi:type="dcterms:W3CDTF">2025-09-01T06:02:25Z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25E8910388464154937B06AF3BD18295_13</vt:lpwstr>
  </property>
  <property fmtid="{D5CDD505-2E9C-101B-9397-08002B2CF9AE}" pid="4" name="KSOTemplateDocerSaveRecord">
    <vt:lpwstr>eyJoZGlkIjoiZGM4NjUzNDA1NDkyY2MxZmJmZThlN2U3ZTFkMjcwOGYifQ==</vt:lpwstr>
  </property>
</Properties>
</file>