
<file path=[Content_Types].xml><?xml version="1.0" encoding="utf-8"?>
<Types xmlns="http://schemas.openxmlformats.org/package/2006/content-types">
  <Default Extension="xml" ContentType="application/xm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27524D">
      <w:pPr>
        <w:pStyle w:val="198"/>
        <w:jc w:val="center"/>
        <w:rPr>
          <w:rFonts w:ascii="Times New Roman" w:hAnsi="Times New Roman" w:eastAsia="方正小标宋简体" w:cs="Times New Roman"/>
          <w:b w:val="0"/>
          <w:bCs w:val="0"/>
          <w:i w:val="0"/>
          <w:iCs w:val="0"/>
          <w:color w:val="000000"/>
          <w:sz w:val="44"/>
          <w:szCs w:val="44"/>
          <w:highlight w:val="none"/>
          <w:lang w:val="en-US" w:eastAsia="zh-CN" w:bidi="ar-SA"/>
        </w:rPr>
      </w:pPr>
      <w:bookmarkStart w:id="92" w:name="_GoBack"/>
      <w:bookmarkEnd w:id="92"/>
    </w:p>
    <w:p w14:paraId="523341E6">
      <w:pPr>
        <w:pStyle w:val="198"/>
        <w:jc w:val="both"/>
        <w:rPr>
          <w:rFonts w:ascii="Times New Roman" w:hAnsi="Times New Roman" w:eastAsia="方正小标宋简体" w:cs="Times New Roman"/>
          <w:b w:val="0"/>
          <w:bCs w:val="0"/>
          <w:i w:val="0"/>
          <w:iCs w:val="0"/>
          <w:color w:val="000000"/>
          <w:sz w:val="44"/>
          <w:szCs w:val="44"/>
          <w:highlight w:val="none"/>
          <w:lang w:val="en-US" w:eastAsia="zh-CN" w:bidi="ar-SA"/>
        </w:rPr>
      </w:pPr>
    </w:p>
    <w:p w14:paraId="1AA6BA2D">
      <w:pPr>
        <w:pStyle w:val="198"/>
        <w:jc w:val="center"/>
        <w:rPr>
          <w:rFonts w:ascii="Times New Roman" w:hAnsi="Times New Roman" w:eastAsia="方正小标宋简体" w:cs="Times New Roman"/>
          <w:b w:val="0"/>
          <w:bCs w:val="0"/>
          <w:i w:val="0"/>
          <w:iCs w:val="0"/>
          <w:color w:val="000000"/>
          <w:sz w:val="44"/>
          <w:szCs w:val="44"/>
          <w:highlight w:val="none"/>
          <w:lang w:val="en-US" w:eastAsia="zh-CN" w:bidi="ar-SA"/>
        </w:rPr>
      </w:pPr>
    </w:p>
    <w:p w14:paraId="36B094C2">
      <w:pPr>
        <w:pStyle w:val="198"/>
        <w:jc w:val="center"/>
        <w:rPr>
          <w:rFonts w:ascii="Times New Roman" w:hAnsi="Times New Roman" w:eastAsia="方正小标宋简体" w:cs="Times New Roman"/>
          <w:b w:val="0"/>
          <w:bCs w:val="0"/>
          <w:i w:val="0"/>
          <w:iCs w:val="0"/>
          <w:color w:val="000000"/>
          <w:sz w:val="44"/>
          <w:szCs w:val="44"/>
          <w:highlight w:val="none"/>
          <w:lang w:val="en-US" w:eastAsia="zh-CN" w:bidi="ar-SA"/>
        </w:rPr>
      </w:pPr>
    </w:p>
    <w:p w14:paraId="2B796A55">
      <w:pPr>
        <w:pStyle w:val="198"/>
        <w:jc w:val="center"/>
        <w:rPr>
          <w:rFonts w:ascii="Times New Roman" w:hAnsi="Times New Roman" w:eastAsia="方正小标宋简体" w:cs="Times New Roman"/>
          <w:b w:val="0"/>
          <w:bCs w:val="0"/>
          <w:i w:val="0"/>
          <w:iCs w:val="0"/>
          <w:color w:val="000000"/>
          <w:sz w:val="44"/>
          <w:szCs w:val="44"/>
          <w:highlight w:val="none"/>
          <w:lang w:val="en-US" w:eastAsia="zh-CN" w:bidi="ar-SA"/>
        </w:rPr>
      </w:pPr>
    </w:p>
    <w:p w14:paraId="6F2454EF">
      <w:pPr>
        <w:pStyle w:val="198"/>
        <w:jc w:val="center"/>
        <w:rPr>
          <w:rFonts w:hint="eastAsia" w:ascii="方正小标宋简体" w:hAnsi="方正小标宋简体" w:eastAsia="方正小标宋简体" w:cs="方正小标宋简体"/>
          <w:b w:val="0"/>
          <w:bCs w:val="0"/>
          <w:i w:val="0"/>
          <w:iCs w:val="0"/>
          <w:color w:val="000000"/>
          <w:sz w:val="52"/>
          <w:szCs w:val="52"/>
          <w:highlight w:val="none"/>
          <w:lang w:val="en-US" w:eastAsia="zh-CN" w:bidi="ar-SA"/>
        </w:rPr>
      </w:pPr>
      <w:r>
        <w:rPr>
          <w:rFonts w:hint="eastAsia" w:ascii="方正小标宋简体" w:hAnsi="方正小标宋简体" w:eastAsia="方正小标宋简体" w:cs="方正小标宋简体"/>
          <w:b w:val="0"/>
          <w:bCs w:val="0"/>
          <w:i w:val="0"/>
          <w:iCs w:val="0"/>
          <w:color w:val="000000"/>
          <w:sz w:val="52"/>
          <w:szCs w:val="52"/>
          <w:highlight w:val="none"/>
          <w:lang w:val="en-US" w:eastAsia="zh-CN" w:bidi="ar-SA"/>
        </w:rPr>
        <w:t>2024年度</w:t>
      </w:r>
      <w:bookmarkStart w:id="0" w:name="_Toc15396476"/>
      <w:bookmarkStart w:id="1" w:name="_Toc15396598"/>
      <w:bookmarkStart w:id="2" w:name="_Toc15377194"/>
      <w:bookmarkStart w:id="3" w:name="_Toc15377426"/>
      <w:bookmarkStart w:id="4" w:name="_Toc15378442"/>
    </w:p>
    <w:p w14:paraId="78743F15">
      <w:pPr>
        <w:pStyle w:val="198"/>
        <w:jc w:val="center"/>
        <w:rPr>
          <w:rFonts w:hint="eastAsia" w:ascii="方正小标宋简体" w:hAnsi="方正小标宋简体" w:eastAsia="方正小标宋简体" w:cs="方正小标宋简体"/>
          <w:b w:val="0"/>
          <w:bCs w:val="0"/>
          <w:i w:val="0"/>
          <w:iCs w:val="0"/>
          <w:color w:val="000000"/>
          <w:sz w:val="52"/>
          <w:szCs w:val="52"/>
          <w:highlight w:val="none"/>
          <w:lang w:val="en-US" w:eastAsia="zh-CN" w:bidi="ar-SA"/>
        </w:rPr>
      </w:pPr>
      <w:r>
        <w:rPr>
          <w:rFonts w:hint="eastAsia" w:ascii="方正小标宋简体" w:hAnsi="方正小标宋简体" w:eastAsia="方正小标宋简体" w:cs="方正小标宋简体"/>
          <w:b w:val="0"/>
          <w:bCs w:val="0"/>
          <w:i w:val="0"/>
          <w:iCs w:val="0"/>
          <w:color w:val="000000"/>
          <w:w w:val="95"/>
          <w:sz w:val="52"/>
          <w:szCs w:val="52"/>
          <w:highlight w:val="none"/>
          <w:lang w:val="en-US" w:eastAsia="zh-CN" w:bidi="ar-SA"/>
        </w:rPr>
        <w:t>四川省</w:t>
      </w:r>
      <w:bookmarkStart w:id="5" w:name="_Toc15306268"/>
      <w:r>
        <w:rPr>
          <w:rFonts w:hint="eastAsia" w:ascii="方正小标宋简体" w:hAnsi="方正小标宋简体" w:eastAsia="方正小标宋简体" w:cs="方正小标宋简体"/>
          <w:b w:val="0"/>
          <w:bCs w:val="0"/>
          <w:i w:val="0"/>
          <w:iCs w:val="0"/>
          <w:color w:val="000000"/>
          <w:w w:val="95"/>
          <w:sz w:val="52"/>
          <w:szCs w:val="52"/>
          <w:highlight w:val="none"/>
          <w:lang w:val="en-US" w:eastAsia="zh-CN" w:bidi="ar-SA"/>
        </w:rPr>
        <w:t>遂宁市安居区农民工</w:t>
      </w:r>
      <w:r>
        <w:rPr>
          <w:rFonts w:hint="eastAsia" w:ascii="方正小标宋简体" w:hAnsi="方正小标宋简体" w:eastAsia="方正小标宋简体" w:cs="方正小标宋简体"/>
          <w:b w:val="0"/>
          <w:bCs w:val="0"/>
          <w:i w:val="0"/>
          <w:iCs w:val="0"/>
          <w:color w:val="000000"/>
          <w:sz w:val="52"/>
          <w:szCs w:val="52"/>
          <w:highlight w:val="none"/>
          <w:lang w:val="en-US" w:eastAsia="zh-CN" w:bidi="ar-SA"/>
        </w:rPr>
        <w:t>服务中心部门决算</w:t>
      </w:r>
      <w:bookmarkEnd w:id="0"/>
      <w:bookmarkEnd w:id="1"/>
      <w:bookmarkEnd w:id="2"/>
      <w:bookmarkEnd w:id="3"/>
      <w:bookmarkEnd w:id="4"/>
      <w:bookmarkEnd w:id="5"/>
    </w:p>
    <w:p w14:paraId="0D879B8C">
      <w:pPr>
        <w:pStyle w:val="198"/>
        <w:spacing w:before="173"/>
        <w:jc w:val="both"/>
        <w:rPr>
          <w:rFonts w:ascii="Times New Roman" w:eastAsia="方正小标宋简体"/>
          <w:sz w:val="44"/>
          <w:szCs w:val="44"/>
        </w:rPr>
      </w:pPr>
    </w:p>
    <w:p w14:paraId="1C15F437">
      <w:pPr>
        <w:widowControl/>
        <w:jc w:val="center"/>
        <w:rPr>
          <w:rFonts w:eastAsia="方正小标宋简体"/>
          <w:sz w:val="36"/>
          <w:szCs w:val="36"/>
        </w:rPr>
      </w:pPr>
    </w:p>
    <w:p w14:paraId="29F654C9">
      <w:pPr>
        <w:widowControl/>
        <w:jc w:val="center"/>
        <w:rPr>
          <w:rFonts w:eastAsia="方正小标宋简体"/>
          <w:sz w:val="36"/>
          <w:szCs w:val="36"/>
        </w:rPr>
      </w:pPr>
    </w:p>
    <w:p w14:paraId="7E061532">
      <w:pPr>
        <w:widowControl/>
        <w:jc w:val="center"/>
        <w:rPr>
          <w:rFonts w:eastAsia="方正小标宋简体"/>
          <w:sz w:val="36"/>
          <w:szCs w:val="36"/>
        </w:rPr>
      </w:pPr>
    </w:p>
    <w:p w14:paraId="1529BFA2">
      <w:pPr>
        <w:widowControl/>
        <w:jc w:val="center"/>
        <w:rPr>
          <w:rFonts w:hint="eastAsia" w:eastAsia="方正小标宋简体"/>
          <w:sz w:val="36"/>
          <w:szCs w:val="36"/>
        </w:rPr>
      </w:pPr>
      <w:r>
        <w:rPr>
          <w:rFonts w:hint="eastAsia" w:eastAsia="方正小标宋简体"/>
          <w:sz w:val="36"/>
          <w:szCs w:val="36"/>
        </w:rPr>
        <w:t xml:space="preserve"> </w:t>
      </w:r>
    </w:p>
    <w:p w14:paraId="1319CE86">
      <w:pPr>
        <w:widowControl/>
        <w:jc w:val="center"/>
        <w:rPr>
          <w:rFonts w:eastAsia="方正小标宋简体"/>
          <w:sz w:val="36"/>
          <w:szCs w:val="36"/>
        </w:rPr>
      </w:pPr>
    </w:p>
    <w:p w14:paraId="1999BA7D">
      <w:pPr>
        <w:widowControl/>
        <w:jc w:val="center"/>
        <w:rPr>
          <w:rFonts w:eastAsia="方正小标宋简体"/>
          <w:sz w:val="36"/>
          <w:szCs w:val="36"/>
        </w:rPr>
      </w:pPr>
    </w:p>
    <w:p w14:paraId="4CA0947C">
      <w:pPr>
        <w:widowControl/>
        <w:jc w:val="center"/>
        <w:rPr>
          <w:rFonts w:eastAsia="方正小标宋简体"/>
          <w:sz w:val="36"/>
          <w:szCs w:val="36"/>
        </w:rPr>
      </w:pPr>
    </w:p>
    <w:p w14:paraId="473CC8CD">
      <w:pPr>
        <w:widowControl/>
        <w:jc w:val="center"/>
        <w:rPr>
          <w:rFonts w:eastAsia="方正小标宋简体"/>
          <w:sz w:val="36"/>
          <w:szCs w:val="36"/>
        </w:rPr>
      </w:pPr>
    </w:p>
    <w:p w14:paraId="3AEC7550">
      <w:pPr>
        <w:widowControl/>
        <w:jc w:val="center"/>
        <w:rPr>
          <w:rFonts w:eastAsia="方正小标宋简体"/>
          <w:sz w:val="36"/>
          <w:szCs w:val="36"/>
        </w:rPr>
      </w:pPr>
    </w:p>
    <w:p w14:paraId="6E28FCB3">
      <w:pPr>
        <w:widowControl/>
        <w:jc w:val="both"/>
        <w:rPr>
          <w:rFonts w:eastAsia="方正小标宋简体"/>
          <w:sz w:val="36"/>
          <w:szCs w:val="36"/>
        </w:rPr>
        <w:sectPr>
          <w:headerReference r:id="rId3" w:type="default"/>
          <w:footerReference r:id="rId4" w:type="default"/>
          <w:pgSz w:w="11906" w:h="16838" w:orient="landscape"/>
          <w:pgMar w:top="1440" w:right="1803" w:bottom="1440" w:left="1803" w:header="851" w:footer="1701" w:gutter="0"/>
          <w:pgNumType w:fmt="decimal"/>
          <w:cols w:space="1701" w:num="1"/>
        </w:sectPr>
      </w:pPr>
    </w:p>
    <w:sdt>
      <w:sdtPr>
        <w:rPr>
          <w:rFonts w:hint="eastAsia" w:ascii="黑体" w:hAnsi="黑体" w:eastAsia="黑体" w:cs="黑体"/>
          <w:sz w:val="44"/>
          <w:szCs w:val="44"/>
          <w:lang w:val="en-US" w:eastAsia="zh-CN" w:bidi="ar-SA"/>
        </w:rPr>
        <w:id w:val="147481378"/>
        <w15:color w:val="DBDBDB"/>
        <w:docPartObj>
          <w:docPartGallery w:val="Table of Contents"/>
          <w:docPartUnique/>
        </w:docPartObj>
      </w:sdtPr>
      <w:sdtEndPr>
        <w:rPr>
          <w:rFonts w:hint="eastAsia" w:ascii="Times New Roman" w:hAnsi="Times New Roman" w:eastAsia="仿宋_GB2312" w:cs="仿宋_GB2312"/>
          <w:bCs w:val="0"/>
          <w:sz w:val="32"/>
          <w:szCs w:val="32"/>
          <w:lang w:val="en-US" w:eastAsia="zh-CN" w:bidi="ar-SA"/>
        </w:rPr>
      </w:sdtEndPr>
      <w:sdtContent>
        <w:p w14:paraId="2C741E83">
          <w:pPr>
            <w:keepNext w:val="0"/>
            <w:keepLines w:val="0"/>
            <w:pageBreakBefore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rPr>
              <w:rFonts w:hint="eastAsia" w:ascii="Times New Roman" w:hAnsi="Times New Roman" w:eastAsia="黑体" w:cs="黑体"/>
              <w:sz w:val="44"/>
              <w:szCs w:val="44"/>
            </w:rPr>
          </w:pPr>
          <w:bookmarkStart w:id="6" w:name="_Toc15396599"/>
          <w:bookmarkStart w:id="7" w:name="_Toc15377196"/>
          <w:r>
            <w:rPr>
              <w:rFonts w:hint="eastAsia" w:ascii="Times New Roman" w:hAnsi="Times New Roman" w:eastAsia="黑体" w:cs="黑体"/>
              <w:sz w:val="44"/>
              <w:szCs w:val="44"/>
            </w:rPr>
            <w:t>目</w:t>
          </w:r>
          <w:r>
            <w:rPr>
              <w:rFonts w:hint="eastAsia" w:ascii="Times New Roman" w:hAnsi="Times New Roman" w:eastAsia="黑体" w:cs="黑体"/>
              <w:sz w:val="44"/>
              <w:szCs w:val="44"/>
              <w:lang w:val="en-US" w:eastAsia="zh-CN"/>
            </w:rPr>
            <w:t xml:space="preserve">  </w:t>
          </w:r>
          <w:r>
            <w:rPr>
              <w:rFonts w:hint="eastAsia" w:ascii="Times New Roman" w:hAnsi="Times New Roman" w:eastAsia="黑体" w:cs="黑体"/>
              <w:sz w:val="44"/>
              <w:szCs w:val="44"/>
            </w:rPr>
            <w:t>录</w:t>
          </w:r>
        </w:p>
        <w:p w14:paraId="71FDCD90">
          <w:pPr>
            <w:pStyle w:val="27"/>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eastAsia="宋体"/>
              <w:sz w:val="21"/>
            </w:rPr>
          </w:pPr>
        </w:p>
        <w:p w14:paraId="3145B965">
          <w:pPr>
            <w:pStyle w:val="24"/>
            <w:keepNext w:val="0"/>
            <w:keepLines w:val="0"/>
            <w:pageBreakBefore w:val="0"/>
            <w:tabs>
              <w:tab w:val="right" w:leader="dot" w:pos="8296"/>
            </w:tabs>
            <w:kinsoku/>
            <w:wordWrap/>
            <w:overflowPunct/>
            <w:topLinePunct w:val="0"/>
            <w:autoSpaceDE/>
            <w:autoSpaceDN/>
            <w:bidi w:val="0"/>
            <w:adjustRightInd/>
            <w:snapToGrid/>
            <w:spacing w:line="500" w:lineRule="exact"/>
            <w:ind w:firstLine="2240" w:firstLineChars="7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cs="仿宋_GB2312"/>
              <w:color w:val="auto"/>
              <w:sz w:val="32"/>
              <w:szCs w:val="32"/>
              <w:highlight w:val="none"/>
              <w:lang w:val="en-US" w:eastAsia="zh-CN"/>
            </w:rPr>
            <w:t>7</w:t>
          </w:r>
          <w:r>
            <w:rPr>
              <w:rFonts w:hint="eastAsia" w:ascii="Times New Roman" w:hAnsi="Times New Roman" w:eastAsia="仿宋_GB2312" w:cs="仿宋_GB2312"/>
              <w:color w:val="auto"/>
              <w:sz w:val="32"/>
              <w:szCs w:val="32"/>
              <w:highlight w:val="none"/>
            </w:rPr>
            <w:t>日</w:t>
          </w:r>
        </w:p>
        <w:p w14:paraId="61616E75">
          <w:pPr>
            <w:pStyle w:val="27"/>
            <w:keepNext w:val="0"/>
            <w:keepLines w:val="0"/>
            <w:pageBreakBefore w:val="0"/>
            <w:kinsoku/>
            <w:wordWrap/>
            <w:overflowPunct/>
            <w:topLinePunct w:val="0"/>
            <w:autoSpaceDE/>
            <w:autoSpaceDN/>
            <w:bidi w:val="0"/>
            <w:adjustRightInd/>
            <w:snapToGrid/>
            <w:spacing w:line="500" w:lineRule="exact"/>
            <w:textAlignment w:val="auto"/>
            <w:rPr>
              <w:rFonts w:ascii="Times New Roman" w:hAnsi="Times New Roman"/>
            </w:rPr>
          </w:pPr>
        </w:p>
        <w:p w14:paraId="0D1888FC">
          <w:pPr>
            <w:pStyle w:val="220"/>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ascii="Times New Roman" w:hAnsi="Times New Roman"/>
            </w:rPr>
          </w:pPr>
          <w:r>
            <w:rPr>
              <w:rFonts w:hint="eastAsia" w:ascii="Times New Roman" w:hAnsi="Times New Roman" w:eastAsia="仿宋_GB2312" w:cs="仿宋_GB2312"/>
              <w:b w:val="0"/>
              <w:bCs w:val="0"/>
              <w:sz w:val="32"/>
              <w:szCs w:val="32"/>
            </w:rPr>
            <w:fldChar w:fldCharType="begin"/>
          </w:r>
          <w:r>
            <w:rPr>
              <w:rFonts w:hint="eastAsia" w:ascii="Times New Roman" w:hAnsi="Times New Roman" w:eastAsia="仿宋_GB2312" w:cs="仿宋_GB2312"/>
              <w:b w:val="0"/>
              <w:bCs w:val="0"/>
              <w:sz w:val="32"/>
              <w:szCs w:val="32"/>
            </w:rPr>
            <w:instrText xml:space="preserve">TOC \o "1-3" \h \u </w:instrText>
          </w:r>
          <w:r>
            <w:rPr>
              <w:rFonts w:hint="eastAsia" w:ascii="Times New Roman" w:hAnsi="Times New Roman" w:eastAsia="仿宋_GB2312" w:cs="仿宋_GB2312"/>
              <w:b w:val="0"/>
              <w:bCs w:val="0"/>
              <w:sz w:val="32"/>
              <w:szCs w:val="32"/>
            </w:rPr>
            <w:fldChar w:fldCharType="separate"/>
          </w:r>
          <w:r>
            <w:rPr>
              <w:rFonts w:hint="eastAsia" w:ascii="Times New Roman" w:hAnsi="Times New Roman" w:eastAsia="黑体" w:cs="黑体"/>
              <w:bCs w:val="0"/>
              <w:sz w:val="32"/>
              <w:szCs w:val="32"/>
            </w:rPr>
            <w:fldChar w:fldCharType="begin"/>
          </w:r>
          <w:r>
            <w:rPr>
              <w:rFonts w:hint="eastAsia" w:ascii="Times New Roman" w:hAnsi="Times New Roman" w:eastAsia="黑体" w:cs="黑体"/>
              <w:bCs w:val="0"/>
              <w:sz w:val="32"/>
              <w:szCs w:val="32"/>
            </w:rPr>
            <w:instrText xml:space="preserve"> HYPERLINK \l _Toc9876 </w:instrText>
          </w:r>
          <w:r>
            <w:rPr>
              <w:rFonts w:hint="eastAsia" w:ascii="Times New Roman" w:hAnsi="Times New Roman" w:eastAsia="黑体" w:cs="黑体"/>
              <w:bCs w:val="0"/>
              <w:sz w:val="32"/>
              <w:szCs w:val="32"/>
            </w:rPr>
            <w:fldChar w:fldCharType="separate"/>
          </w:r>
          <w:r>
            <w:rPr>
              <w:rFonts w:hint="eastAsia" w:ascii="Times New Roman" w:hAnsi="Times New Roman" w:eastAsia="黑体" w:cs="黑体"/>
              <w:sz w:val="32"/>
              <w:szCs w:val="32"/>
            </w:rPr>
            <w:t xml:space="preserve">第一部分 </w:t>
          </w:r>
          <w:r>
            <w:rPr>
              <w:rFonts w:hint="eastAsia" w:ascii="Times New Roman" w:hAnsi="Times New Roman" w:eastAsia="黑体" w:cs="黑体"/>
              <w:bCs w:val="0"/>
              <w:sz w:val="32"/>
              <w:szCs w:val="32"/>
            </w:rPr>
            <w:t>部门概况</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3</w:t>
          </w:r>
          <w:r>
            <w:rPr>
              <w:rFonts w:hint="eastAsia" w:ascii="Times New Roman" w:hAnsi="Times New Roman" w:eastAsia="黑体" w:cs="黑体"/>
              <w:bCs w:val="0"/>
              <w:sz w:val="32"/>
              <w:szCs w:val="32"/>
            </w:rPr>
            <w:fldChar w:fldCharType="end"/>
          </w:r>
        </w:p>
        <w:p w14:paraId="596C6F99">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_Toc1145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i w:val="0"/>
              <w:sz w:val="32"/>
              <w:szCs w:val="32"/>
            </w:rPr>
            <w:t>一、部门职责</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bCs w:val="0"/>
              <w:sz w:val="32"/>
              <w:szCs w:val="32"/>
            </w:rPr>
            <w:fldChar w:fldCharType="end"/>
          </w:r>
        </w:p>
        <w:p w14:paraId="7FA0C52C">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ascii="Times New Roman" w:hAnsi="Times New Roman"/>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_Toc3471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sz w:val="32"/>
              <w:szCs w:val="32"/>
            </w:rPr>
            <w:t>二、机</w:t>
          </w:r>
          <w:r>
            <w:rPr>
              <w:rFonts w:hint="eastAsia" w:ascii="Times New Roman" w:hAnsi="Times New Roman" w:eastAsia="仿宋_GB2312" w:cs="仿宋_GB2312"/>
              <w:i w:val="0"/>
              <w:sz w:val="32"/>
              <w:szCs w:val="32"/>
            </w:rPr>
            <w:t>构设置</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bCs w:val="0"/>
              <w:sz w:val="32"/>
              <w:szCs w:val="32"/>
            </w:rPr>
            <w:fldChar w:fldCharType="end"/>
          </w:r>
        </w:p>
        <w:p w14:paraId="79023225">
          <w:pPr>
            <w:pStyle w:val="220"/>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ascii="Times New Roman" w:hAnsi="Times New Roman"/>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_Toc8685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第二部分 202</w:t>
          </w:r>
          <w:r>
            <w:rPr>
              <w:rFonts w:hint="eastAsia" w:ascii="Times New Roman" w:hAnsi="Times New Roman" w:eastAsia="黑体" w:cs="黑体"/>
              <w:sz w:val="32"/>
              <w:szCs w:val="32"/>
              <w:lang w:val="en-US" w:eastAsia="zh-CN"/>
            </w:rPr>
            <w:t>4</w:t>
          </w:r>
          <w:r>
            <w:rPr>
              <w:rFonts w:hint="eastAsia" w:ascii="Times New Roman" w:hAnsi="Times New Roman" w:eastAsia="黑体" w:cs="黑体"/>
              <w:sz w:val="32"/>
              <w:szCs w:val="32"/>
            </w:rPr>
            <w:t>年度部门决算情况说明</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4</w:t>
          </w:r>
          <w:r>
            <w:rPr>
              <w:rFonts w:hint="eastAsia" w:ascii="Times New Roman" w:hAnsi="Times New Roman" w:eastAsia="黑体" w:cs="黑体"/>
              <w:sz w:val="32"/>
              <w:szCs w:val="32"/>
            </w:rPr>
            <w:fldChar w:fldCharType="end"/>
          </w:r>
        </w:p>
        <w:p w14:paraId="6D8ADCBF">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_Toc20001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一、收入支出决算总体情况说明</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4</w:t>
          </w:r>
          <w:r>
            <w:rPr>
              <w:rFonts w:hint="eastAsia" w:ascii="Times New Roman" w:hAnsi="Times New Roman" w:eastAsia="仿宋_GB2312" w:cs="仿宋_GB2312"/>
              <w:bCs w:val="0"/>
              <w:sz w:val="32"/>
              <w:szCs w:val="32"/>
            </w:rPr>
            <w:fldChar w:fldCharType="end"/>
          </w:r>
        </w:p>
        <w:p w14:paraId="2E3C1B21">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_Toc25864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二、收入决算情况说明</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4</w:t>
          </w:r>
          <w:r>
            <w:rPr>
              <w:rFonts w:hint="eastAsia" w:ascii="Times New Roman" w:hAnsi="Times New Roman" w:eastAsia="仿宋_GB2312" w:cs="仿宋_GB2312"/>
              <w:bCs w:val="0"/>
              <w:sz w:val="32"/>
              <w:szCs w:val="32"/>
            </w:rPr>
            <w:fldChar w:fldCharType="end"/>
          </w:r>
        </w:p>
        <w:p w14:paraId="54EC5B28">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_Toc32156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三、支出决算情况说明</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5</w:t>
          </w:r>
          <w:r>
            <w:rPr>
              <w:rFonts w:hint="eastAsia" w:ascii="Times New Roman" w:hAnsi="Times New Roman" w:eastAsia="仿宋_GB2312" w:cs="仿宋_GB2312"/>
              <w:bCs w:val="0"/>
              <w:sz w:val="32"/>
              <w:szCs w:val="32"/>
            </w:rPr>
            <w:fldChar w:fldCharType="end"/>
          </w:r>
        </w:p>
        <w:p w14:paraId="320B24CD">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_Toc17137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四、财政拨款收入支出决算总体情况说明</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5</w:t>
          </w:r>
          <w:r>
            <w:rPr>
              <w:rFonts w:hint="eastAsia" w:ascii="Times New Roman" w:hAnsi="Times New Roman" w:eastAsia="仿宋_GB2312" w:cs="仿宋_GB2312"/>
              <w:bCs w:val="0"/>
              <w:sz w:val="32"/>
              <w:szCs w:val="32"/>
            </w:rPr>
            <w:fldChar w:fldCharType="end"/>
          </w:r>
        </w:p>
        <w:p w14:paraId="749DB99E">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_Toc16000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五、一般公共预算财政拨款支出决算情况说明</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6</w:t>
          </w:r>
          <w:r>
            <w:rPr>
              <w:rFonts w:hint="eastAsia" w:ascii="Times New Roman" w:hAnsi="Times New Roman" w:eastAsia="仿宋_GB2312" w:cs="仿宋_GB2312"/>
              <w:bCs w:val="0"/>
              <w:sz w:val="32"/>
              <w:szCs w:val="32"/>
            </w:rPr>
            <w:fldChar w:fldCharType="end"/>
          </w:r>
        </w:p>
        <w:p w14:paraId="62491C2F">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_Toc8519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六、一般公共预算财政拨款基本支出决算情况说明</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9</w:t>
          </w:r>
          <w:r>
            <w:rPr>
              <w:rFonts w:hint="eastAsia" w:ascii="Times New Roman" w:hAnsi="Times New Roman" w:eastAsia="仿宋_GB2312" w:cs="仿宋_GB2312"/>
              <w:bCs w:val="0"/>
              <w:sz w:val="32"/>
              <w:szCs w:val="32"/>
            </w:rPr>
            <w:fldChar w:fldCharType="end"/>
          </w:r>
        </w:p>
        <w:p w14:paraId="2F27EAD3">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_Toc30667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七、财政拨款“三公”经费支出决算情况说明</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1</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lang w:val="en-US" w:eastAsia="zh-CN"/>
            </w:rPr>
            <w:t>0</w:t>
          </w:r>
        </w:p>
        <w:p w14:paraId="30158FAD">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_Toc21605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八、政府性基金预算支出决算情况说明</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_Toc21605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1</w:t>
          </w:r>
          <w:r>
            <w:rPr>
              <w:rFonts w:hint="eastAsia" w:ascii="Times New Roman" w:hAnsi="Times New Roman" w:eastAsia="仿宋_GB2312" w:cs="仿宋_GB2312"/>
              <w:bCs w:val="0"/>
              <w:sz w:val="32"/>
              <w:szCs w:val="32"/>
              <w:lang w:val="en-US" w:eastAsia="zh-CN"/>
            </w:rPr>
            <w:t>2</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2E737B39">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_Toc32114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九、国有资本经营预算支出决算情况说明</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_Toc32114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1</w:t>
          </w:r>
          <w:r>
            <w:rPr>
              <w:rFonts w:hint="eastAsia" w:ascii="Times New Roman" w:hAnsi="Times New Roman" w:eastAsia="仿宋_GB2312" w:cs="仿宋_GB2312"/>
              <w:bCs w:val="0"/>
              <w:sz w:val="32"/>
              <w:szCs w:val="32"/>
              <w:lang w:val="en-US" w:eastAsia="zh-CN"/>
            </w:rPr>
            <w:t>2</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3427F3A8">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ascii="Times New Roman" w:hAnsi="Times New Roman"/>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_Toc13293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十、其他重要事项的情况说明</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_Toc13293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1</w:t>
          </w:r>
          <w:r>
            <w:rPr>
              <w:rFonts w:hint="eastAsia" w:ascii="Times New Roman" w:hAnsi="Times New Roman" w:eastAsia="仿宋_GB2312" w:cs="仿宋_GB2312"/>
              <w:bCs w:val="0"/>
              <w:sz w:val="32"/>
              <w:szCs w:val="32"/>
              <w:lang w:val="en-US" w:eastAsia="zh-CN"/>
            </w:rPr>
            <w:t>2</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1DA4B283">
          <w:pPr>
            <w:pStyle w:val="220"/>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_Toc3245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_Toc3245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5</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080DAA78">
          <w:pPr>
            <w:pStyle w:val="220"/>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_Toc766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_Toc766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lang w:val="en-US" w:eastAsia="zh-CN"/>
            </w:rPr>
            <w:t>8</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433F5BF3">
          <w:pPr>
            <w:pStyle w:val="220"/>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_Toc14542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3</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lang w:val="en-US" w:eastAsia="zh-CN"/>
            </w:rPr>
            <w:t>0</w:t>
          </w:r>
        </w:p>
        <w:p w14:paraId="1A90F148">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_Toc12137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一、收入支出决算总表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3</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lang w:val="en-US" w:eastAsia="zh-CN"/>
            </w:rPr>
            <w:t>0</w:t>
          </w:r>
        </w:p>
        <w:p w14:paraId="18A8F9F3">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_Toc1841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二、收入决算表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3</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lang w:val="en-US" w:eastAsia="zh-CN"/>
            </w:rPr>
            <w:t>0</w:t>
          </w:r>
        </w:p>
        <w:p w14:paraId="05658787">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_Toc10180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三、支出决算表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3</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lang w:val="en-US" w:eastAsia="zh-CN"/>
            </w:rPr>
            <w:t>0</w:t>
          </w:r>
        </w:p>
        <w:p w14:paraId="0DDBA076">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_Toc32314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四、财政拨款收入支出决算总表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_Toc32314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lang w:val="en-US" w:eastAsia="zh-CN"/>
            </w:rPr>
            <w:t>30</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182C5129">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lang w:val="en-US" w:eastAsia="zh-CN"/>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_Toc637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五、财政拨款支出决算明细表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lang w:val="en-US" w:eastAsia="zh-CN"/>
            </w:rPr>
            <w:t>3</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lang w:val="en-US" w:eastAsia="zh-CN"/>
            </w:rPr>
            <w:t>0</w:t>
          </w:r>
        </w:p>
        <w:p w14:paraId="3BFF9312">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_Toc3636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六、一般公共预算财政拨款支出决算表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_Toc3636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lang w:val="en-US" w:eastAsia="zh-CN"/>
            </w:rPr>
            <w:t>30</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1067772E">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_Toc21307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七、一般公共预算财政拨款支出决算明细表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_Toc21307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lang w:val="en-US" w:eastAsia="zh-CN"/>
            </w:rPr>
            <w:t>30</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2F9B09EB">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_Toc30350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八、一般公共预算财政拨款基本支出决算表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_Toc30350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lang w:val="en-US" w:eastAsia="zh-CN"/>
            </w:rPr>
            <w:t>30</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426E5D86">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_Toc29843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九、一般公共预算财政拨款项目支出决算表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_Toc29843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lang w:val="en-US" w:eastAsia="zh-CN"/>
            </w:rPr>
            <w:t>30</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0009D48F">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 w:cs="仿宋"/>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_Toc17657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十、政府性基金预算财政拨款收入支出决算表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_Toc17657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lang w:val="en-US" w:eastAsia="zh-CN"/>
            </w:rPr>
            <w:t>30</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1531F3E8">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_Toc11540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十一、国有资本经营预算财政拨款收入支出决算表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_Toc11540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lang w:val="en-US" w:eastAsia="zh-CN"/>
            </w:rPr>
            <w:t>30</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15560600">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bCs w:val="0"/>
              <w:sz w:val="32"/>
              <w:szCs w:val="32"/>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_Toc32462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十二、国有资本经营预算财政拨款支出决算表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_Toc32462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lang w:val="en-US" w:eastAsia="zh-CN"/>
            </w:rPr>
            <w:t>30</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1F9291E9">
          <w:pPr>
            <w:pStyle w:val="221"/>
            <w:keepNext w:val="0"/>
            <w:keepLines w:val="0"/>
            <w:pageBreakBefore w:val="0"/>
            <w:tabs>
              <w:tab w:val="right" w:leader="dot" w:pos="9026"/>
            </w:tabs>
            <w:kinsoku/>
            <w:wordWrap/>
            <w:overflowPunct/>
            <w:topLinePunct w:val="0"/>
            <w:autoSpaceDE/>
            <w:autoSpaceDN/>
            <w:bidi w:val="0"/>
            <w:adjustRightInd/>
            <w:snapToGrid/>
            <w:spacing w:line="500" w:lineRule="exact"/>
            <w:textAlignment w:val="auto"/>
            <w:rPr>
              <w:rFonts w:ascii="Times New Roman" w:hAnsi="Times New Roman"/>
            </w:rPr>
          </w:pP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HYPERLINK \l _Toc27058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rPr>
            <w:t>十三、财政拨款“三公”经费支出决算表</w:t>
          </w:r>
          <w:r>
            <w:rPr>
              <w:rFonts w:hint="eastAsia" w:ascii="Times New Roman" w:hAnsi="Times New Roman" w:eastAsia="仿宋_GB2312" w:cs="仿宋_GB2312"/>
              <w:bCs w:val="0"/>
              <w:sz w:val="32"/>
              <w:szCs w:val="32"/>
            </w:rPr>
            <w:tab/>
          </w:r>
          <w:r>
            <w:rPr>
              <w:rFonts w:hint="eastAsia" w:ascii="Times New Roman" w:hAnsi="Times New Roman" w:eastAsia="仿宋_GB2312" w:cs="仿宋_GB2312"/>
              <w:bCs w:val="0"/>
              <w:sz w:val="32"/>
              <w:szCs w:val="32"/>
            </w:rPr>
            <w:fldChar w:fldCharType="begin"/>
          </w:r>
          <w:r>
            <w:rPr>
              <w:rFonts w:hint="eastAsia" w:ascii="Times New Roman" w:hAnsi="Times New Roman" w:eastAsia="仿宋_GB2312" w:cs="仿宋_GB2312"/>
              <w:bCs w:val="0"/>
              <w:sz w:val="32"/>
              <w:szCs w:val="32"/>
            </w:rPr>
            <w:instrText xml:space="preserve"> PAGEREF _Toc27058 </w:instrText>
          </w:r>
          <w:r>
            <w:rPr>
              <w:rFonts w:hint="eastAsia" w:ascii="Times New Roman" w:hAnsi="Times New Roman" w:eastAsia="仿宋_GB2312" w:cs="仿宋_GB2312"/>
              <w:bCs w:val="0"/>
              <w:sz w:val="32"/>
              <w:szCs w:val="32"/>
            </w:rPr>
            <w:fldChar w:fldCharType="separate"/>
          </w:r>
          <w:r>
            <w:rPr>
              <w:rFonts w:hint="eastAsia" w:ascii="Times New Roman" w:hAnsi="Times New Roman" w:eastAsia="仿宋_GB2312" w:cs="仿宋_GB2312"/>
              <w:bCs w:val="0"/>
              <w:sz w:val="32"/>
              <w:szCs w:val="32"/>
              <w:lang w:val="en-US" w:eastAsia="zh-CN"/>
            </w:rPr>
            <w:t>30</w:t>
          </w:r>
          <w:r>
            <w:rPr>
              <w:rFonts w:hint="eastAsia" w:ascii="Times New Roman" w:hAnsi="Times New Roman" w:eastAsia="仿宋_GB2312" w:cs="仿宋_GB2312"/>
              <w:bCs w:val="0"/>
              <w:sz w:val="32"/>
              <w:szCs w:val="32"/>
            </w:rPr>
            <w:fldChar w:fldCharType="end"/>
          </w:r>
          <w:r>
            <w:rPr>
              <w:rFonts w:hint="eastAsia" w:ascii="Times New Roman" w:hAnsi="Times New Roman" w:eastAsia="仿宋_GB2312" w:cs="仿宋_GB2312"/>
              <w:bCs w:val="0"/>
              <w:sz w:val="32"/>
              <w:szCs w:val="32"/>
            </w:rPr>
            <w:fldChar w:fldCharType="end"/>
          </w:r>
        </w:p>
        <w:p w14:paraId="5AB727E7">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Cs w:val="0"/>
              <w:szCs w:val="32"/>
            </w:rPr>
            <w:fldChar w:fldCharType="end"/>
          </w:r>
        </w:p>
      </w:sdtContent>
    </w:sdt>
    <w:p w14:paraId="38E10679">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Times New Roman" w:hAnsi="Times New Roman" w:eastAsia="仿宋"/>
          <w:b w:val="0"/>
          <w:bCs w:val="0"/>
          <w:sz w:val="24"/>
        </w:rPr>
      </w:pPr>
    </w:p>
    <w:p w14:paraId="42B66E44">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Times New Roman" w:hAnsi="Times New Roman" w:eastAsia="仿宋"/>
          <w:b w:val="0"/>
          <w:bCs w:val="0"/>
          <w:sz w:val="24"/>
        </w:rPr>
      </w:pPr>
    </w:p>
    <w:p w14:paraId="080B46FC">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ascii="Times New Roman" w:hAnsi="Times New Roman" w:eastAsia="仿宋"/>
          <w:b w:val="0"/>
          <w:bCs w:val="0"/>
          <w:sz w:val="24"/>
        </w:rPr>
      </w:pPr>
    </w:p>
    <w:p w14:paraId="1F4BA82F">
      <w:pPr>
        <w:widowControl/>
        <w:spacing w:line="440" w:lineRule="exact"/>
        <w:jc w:val="both"/>
        <w:rPr>
          <w:rFonts w:ascii="Times New Roman" w:hAnsi="Times New Roman" w:eastAsia="仿宋"/>
          <w:b w:val="0"/>
          <w:bCs w:val="0"/>
          <w:sz w:val="24"/>
        </w:rPr>
      </w:pPr>
    </w:p>
    <w:p w14:paraId="6ABB4CE6">
      <w:pPr>
        <w:widowControl/>
        <w:spacing w:line="440" w:lineRule="exact"/>
        <w:jc w:val="both"/>
        <w:rPr>
          <w:rFonts w:eastAsia="仿宋"/>
          <w:b w:val="0"/>
          <w:bCs w:val="0"/>
          <w:sz w:val="24"/>
        </w:rPr>
      </w:pPr>
    </w:p>
    <w:p w14:paraId="45944879">
      <w:pPr>
        <w:widowControl/>
        <w:spacing w:line="440" w:lineRule="exact"/>
        <w:jc w:val="both"/>
        <w:rPr>
          <w:rFonts w:eastAsia="仿宋"/>
          <w:b w:val="0"/>
          <w:bCs w:val="0"/>
          <w:sz w:val="24"/>
        </w:rPr>
      </w:pPr>
    </w:p>
    <w:p w14:paraId="40870FCE">
      <w:pPr>
        <w:widowControl/>
        <w:spacing w:line="440" w:lineRule="exact"/>
        <w:jc w:val="both"/>
        <w:rPr>
          <w:rFonts w:eastAsia="仿宋"/>
          <w:b w:val="0"/>
          <w:bCs w:val="0"/>
          <w:sz w:val="24"/>
        </w:rPr>
      </w:pPr>
    </w:p>
    <w:p w14:paraId="29434513">
      <w:pPr>
        <w:widowControl/>
        <w:spacing w:line="440" w:lineRule="exact"/>
        <w:jc w:val="both"/>
        <w:rPr>
          <w:rFonts w:eastAsia="仿宋"/>
          <w:b w:val="0"/>
          <w:bCs w:val="0"/>
          <w:sz w:val="24"/>
        </w:rPr>
      </w:pPr>
    </w:p>
    <w:p w14:paraId="367418B9">
      <w:pPr>
        <w:widowControl/>
        <w:spacing w:line="440" w:lineRule="exact"/>
        <w:jc w:val="both"/>
        <w:rPr>
          <w:rFonts w:eastAsia="仿宋"/>
          <w:b w:val="0"/>
          <w:bCs w:val="0"/>
          <w:sz w:val="24"/>
        </w:rPr>
      </w:pPr>
    </w:p>
    <w:p w14:paraId="7626257D">
      <w:pPr>
        <w:widowControl/>
        <w:spacing w:line="440" w:lineRule="exact"/>
        <w:jc w:val="both"/>
        <w:rPr>
          <w:rFonts w:eastAsia="仿宋"/>
          <w:b w:val="0"/>
          <w:bCs w:val="0"/>
          <w:sz w:val="24"/>
        </w:rPr>
      </w:pPr>
    </w:p>
    <w:p w14:paraId="4BF50C1C">
      <w:pPr>
        <w:pStyle w:val="191"/>
        <w:rPr>
          <w:rFonts w:eastAsia="仿宋"/>
          <w:b w:val="0"/>
          <w:bCs w:val="0"/>
          <w:sz w:val="24"/>
        </w:rPr>
      </w:pPr>
    </w:p>
    <w:p w14:paraId="47158A64">
      <w:pPr>
        <w:pStyle w:val="192"/>
      </w:pPr>
    </w:p>
    <w:p w14:paraId="094C65B2">
      <w:pPr>
        <w:widowControl/>
        <w:spacing w:line="440" w:lineRule="exact"/>
        <w:jc w:val="both"/>
        <w:rPr>
          <w:rFonts w:eastAsia="仿宋"/>
          <w:sz w:val="24"/>
        </w:rPr>
      </w:pPr>
    </w:p>
    <w:p w14:paraId="09A697B0">
      <w:pPr>
        <w:widowControl/>
        <w:spacing w:line="440" w:lineRule="exact"/>
        <w:jc w:val="both"/>
        <w:rPr>
          <w:rFonts w:eastAsia="仿宋"/>
          <w:sz w:val="24"/>
        </w:rPr>
      </w:pPr>
    </w:p>
    <w:p w14:paraId="2A457626">
      <w:pPr>
        <w:widowControl/>
        <w:spacing w:line="440" w:lineRule="exact"/>
        <w:ind w:firstLine="2180"/>
        <w:jc w:val="both"/>
        <w:outlineLvl w:val="0"/>
        <w:rPr>
          <w:rFonts w:eastAsia="黑体"/>
          <w:sz w:val="44"/>
          <w:szCs w:val="44"/>
        </w:rPr>
      </w:pPr>
      <w:bookmarkStart w:id="8" w:name="_Toc9876"/>
    </w:p>
    <w:p w14:paraId="399D6472">
      <w:pPr>
        <w:widowControl/>
        <w:spacing w:line="440" w:lineRule="exact"/>
        <w:ind w:firstLine="2180"/>
        <w:jc w:val="both"/>
        <w:outlineLvl w:val="0"/>
        <w:rPr>
          <w:rFonts w:eastAsia="黑体"/>
          <w:sz w:val="44"/>
          <w:szCs w:val="44"/>
        </w:rPr>
      </w:pPr>
    </w:p>
    <w:p w14:paraId="422085A9">
      <w:pPr>
        <w:widowControl/>
        <w:spacing w:line="440" w:lineRule="exact"/>
        <w:ind w:firstLine="2180"/>
        <w:jc w:val="both"/>
        <w:outlineLvl w:val="0"/>
        <w:rPr>
          <w:rFonts w:eastAsia="黑体"/>
          <w:sz w:val="44"/>
          <w:szCs w:val="44"/>
        </w:rPr>
      </w:pPr>
    </w:p>
    <w:p w14:paraId="7B6CAC53">
      <w:pPr>
        <w:widowControl/>
        <w:spacing w:line="440" w:lineRule="exact"/>
        <w:jc w:val="both"/>
        <w:outlineLvl w:val="0"/>
        <w:rPr>
          <w:rFonts w:eastAsia="黑体"/>
          <w:sz w:val="44"/>
          <w:szCs w:val="44"/>
        </w:rPr>
      </w:pPr>
    </w:p>
    <w:p w14:paraId="582D92EB">
      <w:pPr>
        <w:widowControl/>
        <w:spacing w:line="440" w:lineRule="exact"/>
        <w:jc w:val="both"/>
        <w:outlineLvl w:val="0"/>
        <w:rPr>
          <w:rFonts w:eastAsia="黑体"/>
          <w:sz w:val="44"/>
          <w:szCs w:val="44"/>
        </w:rPr>
      </w:pPr>
    </w:p>
    <w:p w14:paraId="7705A064">
      <w:pPr>
        <w:widowControl/>
        <w:numPr>
          <w:ilvl w:val="0"/>
          <w:numId w:val="2"/>
        </w:numPr>
        <w:spacing w:line="440" w:lineRule="exact"/>
        <w:ind w:firstLine="2180"/>
        <w:jc w:val="both"/>
        <w:outlineLvl w:val="0"/>
        <w:rPr>
          <w:rStyle w:val="193"/>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 xml:space="preserve"> </w:t>
      </w:r>
      <w:r>
        <w:rPr>
          <w:rStyle w:val="193"/>
          <w:rFonts w:hint="eastAsia" w:ascii="方正小标宋简体" w:hAnsi="方正小标宋简体" w:eastAsia="方正小标宋简体" w:cs="方正小标宋简体"/>
          <w:b w:val="0"/>
          <w:bCs w:val="0"/>
          <w:sz w:val="44"/>
          <w:szCs w:val="44"/>
        </w:rPr>
        <w:t>部门概况</w:t>
      </w:r>
      <w:bookmarkEnd w:id="6"/>
      <w:bookmarkEnd w:id="7"/>
      <w:bookmarkEnd w:id="8"/>
    </w:p>
    <w:p w14:paraId="39855A71">
      <w:pPr>
        <w:pStyle w:val="2"/>
        <w:numPr>
          <w:ilvl w:val="0"/>
          <w:numId w:val="0"/>
        </w:numPr>
        <w:rPr>
          <w:rFonts w:hint="eastAsia"/>
        </w:rPr>
      </w:pPr>
    </w:p>
    <w:p w14:paraId="34D3A75F">
      <w:pPr>
        <w:widowControl/>
        <w:jc w:val="left"/>
        <w:rPr>
          <w:rFonts w:eastAsia="黑体"/>
          <w:szCs w:val="32"/>
        </w:rPr>
      </w:pPr>
    </w:p>
    <w:p w14:paraId="277CCD7C">
      <w:pPr>
        <w:pStyle w:val="188"/>
        <w:keepNext/>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eastAsia="黑体"/>
          <w:b w:val="0"/>
          <w:i w:val="0"/>
        </w:rPr>
      </w:pPr>
      <w:bookmarkStart w:id="9" w:name="_Toc1145"/>
      <w:r>
        <w:rPr>
          <w:rFonts w:hint="eastAsia" w:ascii="Times New Roman" w:hAnsi="Times New Roman" w:eastAsia="黑体"/>
          <w:b w:val="0"/>
          <w:i w:val="0"/>
          <w:lang w:val="en-US" w:eastAsia="zh-CN"/>
        </w:rPr>
        <w:t>一、</w:t>
      </w:r>
      <w:r>
        <w:rPr>
          <w:rFonts w:ascii="Times New Roman" w:hAnsi="Times New Roman" w:eastAsia="黑体"/>
          <w:b w:val="0"/>
          <w:i w:val="0"/>
        </w:rPr>
        <w:t>部门职责</w:t>
      </w:r>
      <w:bookmarkEnd w:id="9"/>
    </w:p>
    <w:p w14:paraId="0A03E34F">
      <w:pPr>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Times New Roman" w:hAnsi="Times New Roman" w:eastAsia="仿宋_GB2312" w:cs="仿宋_GB2312"/>
          <w:color w:val="000000"/>
          <w:sz w:val="32"/>
          <w:szCs w:val="32"/>
        </w:rPr>
      </w:pPr>
      <w:bookmarkStart w:id="10" w:name="_Toc15396601"/>
      <w:bookmarkStart w:id="11" w:name="_Toc15377200"/>
      <w:r>
        <w:rPr>
          <w:rFonts w:hint="eastAsia" w:ascii="Times New Roman" w:hAnsi="Times New Roman" w:eastAsia="仿宋_GB2312" w:cs="仿宋_GB2312"/>
          <w:sz w:val="32"/>
          <w:szCs w:val="32"/>
        </w:rPr>
        <w:t>1、</w:t>
      </w:r>
      <w:r>
        <w:rPr>
          <w:rFonts w:hint="eastAsia" w:ascii="Times New Roman" w:hAnsi="Times New Roman" w:eastAsia="仿宋_GB2312" w:cs="仿宋_GB2312"/>
          <w:color w:val="000000"/>
          <w:sz w:val="32"/>
          <w:szCs w:val="32"/>
        </w:rPr>
        <w:t>负责宣传贯彻农民工服务工作法律法规和政策；</w:t>
      </w:r>
    </w:p>
    <w:p w14:paraId="1C2AE446">
      <w:pPr>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color w:val="000000"/>
          <w:sz w:val="32"/>
          <w:szCs w:val="32"/>
          <w:lang w:eastAsia="zh-CN"/>
        </w:rPr>
        <w:t>负责拟定全区</w:t>
      </w:r>
      <w:r>
        <w:rPr>
          <w:rFonts w:hint="eastAsia" w:ascii="Times New Roman" w:hAnsi="Times New Roman" w:eastAsia="仿宋_GB2312" w:cs="仿宋_GB2312"/>
          <w:color w:val="000000"/>
          <w:sz w:val="32"/>
          <w:szCs w:val="32"/>
        </w:rPr>
        <w:t>农民工服务工作规划、年度计划，并组织实施和监督检查；</w:t>
      </w:r>
    </w:p>
    <w:p w14:paraId="45808FD4">
      <w:pPr>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3、负责开展农民工就业创业服务；</w:t>
      </w:r>
    </w:p>
    <w:p w14:paraId="3AD61BF9">
      <w:pPr>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4、统筹、协调全区农村劳动力转移输出、农民工维权救助等服务工作；</w:t>
      </w:r>
    </w:p>
    <w:p w14:paraId="265EE28B">
      <w:pPr>
        <w:keepLines w:val="0"/>
        <w:pageBreakBefore w:val="0"/>
        <w:widowControl w:val="0"/>
        <w:kinsoku/>
        <w:wordWrap/>
        <w:overflowPunct/>
        <w:topLinePunct w:val="0"/>
        <w:autoSpaceDE/>
        <w:autoSpaceDN/>
        <w:bidi w:val="0"/>
        <w:adjustRightInd/>
        <w:snapToGrid/>
        <w:spacing w:line="560" w:lineRule="exact"/>
        <w:ind w:firstLine="632"/>
        <w:textAlignment w:val="auto"/>
        <w:rPr>
          <w:color w:val="000000"/>
          <w:szCs w:val="32"/>
        </w:rPr>
      </w:pPr>
      <w:r>
        <w:rPr>
          <w:rFonts w:hint="eastAsia" w:ascii="Times New Roman" w:hAnsi="Times New Roman" w:eastAsia="仿宋_GB2312" w:cs="仿宋_GB2312"/>
          <w:color w:val="000000"/>
          <w:sz w:val="32"/>
          <w:szCs w:val="32"/>
        </w:rPr>
        <w:t>5、完成区委、区政府交办的其他任务。</w:t>
      </w:r>
    </w:p>
    <w:p w14:paraId="1B98CA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194"/>
          <w:rFonts w:ascii="Times New Roman" w:hAnsi="Times New Roman" w:eastAsia="黑体"/>
          <w:b w:val="0"/>
          <w:i w:val="0"/>
        </w:rPr>
      </w:pPr>
      <w:bookmarkStart w:id="12" w:name="_Toc3471"/>
      <w:r>
        <w:rPr>
          <w:rFonts w:eastAsia="黑体"/>
        </w:rPr>
        <w:t>二、机</w:t>
      </w:r>
      <w:r>
        <w:rPr>
          <w:rStyle w:val="194"/>
          <w:rFonts w:ascii="Times New Roman" w:hAnsi="Times New Roman" w:eastAsia="黑体"/>
          <w:b w:val="0"/>
          <w:i w:val="0"/>
        </w:rPr>
        <w:t>构设置</w:t>
      </w:r>
      <w:bookmarkEnd w:id="10"/>
      <w:bookmarkEnd w:id="11"/>
      <w:bookmarkEnd w:id="12"/>
    </w:p>
    <w:p w14:paraId="52CD071D">
      <w:pPr>
        <w:keepLines w:val="0"/>
        <w:pageBreakBefore w:val="0"/>
        <w:widowControl w:val="0"/>
        <w:kinsoku/>
        <w:wordWrap/>
        <w:overflowPunct/>
        <w:topLinePunct w:val="0"/>
        <w:autoSpaceDE/>
        <w:autoSpaceDN/>
        <w:bidi w:val="0"/>
        <w:adjustRightInd/>
        <w:snapToGrid/>
        <w:spacing w:line="560" w:lineRule="exact"/>
        <w:ind w:firstLine="790"/>
        <w:textAlignment w:val="auto"/>
        <w:rPr>
          <w:rFonts w:hint="eastAsia" w:ascii="Times New Roman" w:hAnsi="Times New Roman" w:eastAsia="仿宋_GB2312" w:cs="仿宋_GB2312"/>
          <w:b w:val="0"/>
          <w:bCs w:val="0"/>
          <w:i w:val="0"/>
          <w:iCs w:val="0"/>
          <w:color w:val="000000"/>
          <w:sz w:val="32"/>
          <w:szCs w:val="32"/>
          <w:highlight w:val="none"/>
        </w:rPr>
      </w:pPr>
      <w:r>
        <w:rPr>
          <w:rFonts w:hint="eastAsia" w:ascii="Times New Roman" w:hAnsi="Times New Roman" w:eastAsia="仿宋_GB2312" w:cs="仿宋_GB2312"/>
          <w:b w:val="0"/>
          <w:bCs w:val="0"/>
          <w:i w:val="0"/>
          <w:iCs w:val="0"/>
          <w:color w:val="000000"/>
          <w:sz w:val="32"/>
          <w:szCs w:val="32"/>
          <w:highlight w:val="none"/>
        </w:rPr>
        <w:t>遂宁市安居区农民工服务中心下属二级</w:t>
      </w:r>
      <w:r>
        <w:rPr>
          <w:rFonts w:hint="eastAsia" w:ascii="Times New Roman" w:hAnsi="Times New Roman" w:eastAsia="仿宋_GB2312" w:cs="仿宋_GB2312"/>
          <w:b w:val="0"/>
          <w:bCs w:val="0"/>
          <w:i w:val="0"/>
          <w:iCs w:val="0"/>
          <w:color w:val="000000"/>
          <w:sz w:val="32"/>
          <w:szCs w:val="32"/>
          <w:highlight w:val="none"/>
          <w:lang w:eastAsia="zh-CN"/>
        </w:rPr>
        <w:t>预算</w:t>
      </w:r>
      <w:r>
        <w:rPr>
          <w:rFonts w:hint="eastAsia" w:ascii="Times New Roman" w:hAnsi="Times New Roman" w:eastAsia="仿宋_GB2312" w:cs="仿宋_GB2312"/>
          <w:b w:val="0"/>
          <w:bCs w:val="0"/>
          <w:i w:val="0"/>
          <w:iCs w:val="0"/>
          <w:color w:val="000000"/>
          <w:sz w:val="32"/>
          <w:szCs w:val="32"/>
          <w:highlight w:val="none"/>
        </w:rPr>
        <w:t>单位</w:t>
      </w:r>
      <w:r>
        <w:rPr>
          <w:rFonts w:hint="eastAsia" w:ascii="Times New Roman" w:hAnsi="Times New Roman" w:eastAsia="仿宋_GB2312" w:cs="仿宋_GB2312"/>
          <w:b w:val="0"/>
          <w:bCs w:val="0"/>
          <w:i w:val="0"/>
          <w:iCs w:val="0"/>
          <w:color w:val="000000"/>
          <w:sz w:val="32"/>
          <w:szCs w:val="32"/>
          <w:highlight w:val="none"/>
          <w:lang w:val="en-US" w:eastAsia="zh-CN"/>
        </w:rPr>
        <w:t>0</w:t>
      </w:r>
      <w:r>
        <w:rPr>
          <w:rFonts w:hint="eastAsia" w:ascii="Times New Roman" w:hAnsi="Times New Roman" w:eastAsia="仿宋_GB2312" w:cs="仿宋_GB2312"/>
          <w:b w:val="0"/>
          <w:bCs w:val="0"/>
          <w:i w:val="0"/>
          <w:iCs w:val="0"/>
          <w:color w:val="000000"/>
          <w:sz w:val="32"/>
          <w:szCs w:val="32"/>
          <w:highlight w:val="none"/>
        </w:rPr>
        <w:t>个，其中行政单位</w:t>
      </w:r>
      <w:r>
        <w:rPr>
          <w:rFonts w:hint="eastAsia" w:ascii="Times New Roman" w:hAnsi="Times New Roman" w:eastAsia="仿宋_GB2312" w:cs="仿宋_GB2312"/>
          <w:b w:val="0"/>
          <w:bCs w:val="0"/>
          <w:i w:val="0"/>
          <w:iCs w:val="0"/>
          <w:color w:val="000000"/>
          <w:sz w:val="32"/>
          <w:szCs w:val="32"/>
          <w:highlight w:val="none"/>
          <w:lang w:val="en-US" w:eastAsia="zh-CN"/>
        </w:rPr>
        <w:t>0</w:t>
      </w:r>
      <w:r>
        <w:rPr>
          <w:rFonts w:hint="eastAsia" w:ascii="Times New Roman" w:hAnsi="Times New Roman" w:eastAsia="仿宋_GB2312" w:cs="仿宋_GB2312"/>
          <w:b w:val="0"/>
          <w:bCs w:val="0"/>
          <w:i w:val="0"/>
          <w:iCs w:val="0"/>
          <w:color w:val="000000"/>
          <w:sz w:val="32"/>
          <w:szCs w:val="32"/>
          <w:highlight w:val="none"/>
        </w:rPr>
        <w:t>个，参照公务员法管理的事业单位</w:t>
      </w:r>
      <w:r>
        <w:rPr>
          <w:rFonts w:hint="eastAsia" w:ascii="Times New Roman" w:hAnsi="Times New Roman" w:eastAsia="仿宋_GB2312" w:cs="仿宋_GB2312"/>
          <w:b w:val="0"/>
          <w:bCs w:val="0"/>
          <w:i w:val="0"/>
          <w:iCs w:val="0"/>
          <w:color w:val="000000"/>
          <w:sz w:val="32"/>
          <w:szCs w:val="32"/>
          <w:highlight w:val="none"/>
          <w:lang w:val="en-US" w:eastAsia="zh-CN"/>
        </w:rPr>
        <w:t>0</w:t>
      </w:r>
      <w:r>
        <w:rPr>
          <w:rFonts w:hint="eastAsia" w:ascii="Times New Roman" w:hAnsi="Times New Roman" w:eastAsia="仿宋_GB2312" w:cs="仿宋_GB2312"/>
          <w:b w:val="0"/>
          <w:bCs w:val="0"/>
          <w:i w:val="0"/>
          <w:iCs w:val="0"/>
          <w:color w:val="000000"/>
          <w:sz w:val="32"/>
          <w:szCs w:val="32"/>
          <w:highlight w:val="none"/>
        </w:rPr>
        <w:t>个，其他事业单位</w:t>
      </w:r>
      <w:r>
        <w:rPr>
          <w:rFonts w:hint="eastAsia" w:ascii="Times New Roman" w:hAnsi="Times New Roman" w:eastAsia="仿宋_GB2312" w:cs="仿宋_GB2312"/>
          <w:b w:val="0"/>
          <w:bCs w:val="0"/>
          <w:i w:val="0"/>
          <w:iCs w:val="0"/>
          <w:color w:val="000000"/>
          <w:sz w:val="32"/>
          <w:szCs w:val="32"/>
          <w:highlight w:val="none"/>
          <w:lang w:val="en-US" w:eastAsia="zh-CN"/>
        </w:rPr>
        <w:t>0</w:t>
      </w:r>
      <w:r>
        <w:rPr>
          <w:rFonts w:hint="eastAsia" w:ascii="Times New Roman" w:hAnsi="Times New Roman" w:eastAsia="仿宋_GB2312" w:cs="仿宋_GB2312"/>
          <w:b w:val="0"/>
          <w:bCs w:val="0"/>
          <w:i w:val="0"/>
          <w:iCs w:val="0"/>
          <w:color w:val="000000"/>
          <w:sz w:val="32"/>
          <w:szCs w:val="32"/>
          <w:highlight w:val="none"/>
        </w:rPr>
        <w:t>个。</w:t>
      </w:r>
    </w:p>
    <w:p w14:paraId="300B9683">
      <w:pPr>
        <w:pStyle w:val="198"/>
        <w:keepLines w:val="0"/>
        <w:pageBreakBefore w:val="0"/>
        <w:widowControl w:val="0"/>
        <w:kinsoku/>
        <w:wordWrap/>
        <w:overflowPunct/>
        <w:topLinePunct w:val="0"/>
        <w:autoSpaceDE/>
        <w:autoSpaceDN/>
        <w:bidi w:val="0"/>
        <w:adjustRightInd/>
        <w:snapToGrid/>
        <w:spacing w:before="0" w:line="560" w:lineRule="exact"/>
        <w:ind w:firstLine="632"/>
        <w:textAlignment w:val="auto"/>
        <w:rPr>
          <w:rFonts w:hint="eastAsia" w:ascii="仿宋" w:hAnsi="仿宋" w:eastAsia="仿宋_GB2312"/>
          <w:color w:val="000000"/>
          <w:sz w:val="32"/>
          <w:szCs w:val="32"/>
          <w:lang w:val="en-US" w:eastAsia="zh-CN"/>
        </w:rPr>
      </w:pPr>
      <w:r>
        <w:rPr>
          <w:rFonts w:hint="eastAsia" w:ascii="Times New Roman" w:hAnsi="Times New Roman" w:eastAsia="仿宋_GB2312" w:cs="仿宋_GB2312"/>
          <w:b w:val="0"/>
          <w:bCs w:val="0"/>
          <w:i w:val="0"/>
          <w:iCs w:val="0"/>
          <w:color w:val="000000"/>
          <w:sz w:val="32"/>
          <w:szCs w:val="32"/>
          <w:highlight w:val="none"/>
          <w:lang w:eastAsia="zh-CN"/>
        </w:rPr>
        <w:t>无</w:t>
      </w:r>
      <w:r>
        <w:rPr>
          <w:rFonts w:hint="eastAsia" w:ascii="Times New Roman" w:hAnsi="Times New Roman" w:eastAsia="仿宋_GB2312" w:cs="仿宋_GB2312"/>
          <w:b w:val="0"/>
          <w:bCs w:val="0"/>
          <w:i w:val="0"/>
          <w:iCs w:val="0"/>
          <w:color w:val="000000"/>
          <w:sz w:val="32"/>
          <w:szCs w:val="32"/>
          <w:highlight w:val="none"/>
        </w:rPr>
        <w:t>纳入遂宁市安居区农民工服务中心</w:t>
      </w:r>
      <w:r>
        <w:rPr>
          <w:rFonts w:hint="eastAsia" w:ascii="Times New Roman" w:hAnsi="Times New Roman" w:eastAsia="仿宋_GB2312" w:cs="仿宋_GB2312"/>
          <w:b w:val="0"/>
          <w:bCs w:val="0"/>
          <w:i w:val="0"/>
          <w:iCs w:val="0"/>
          <w:color w:val="000000"/>
          <w:sz w:val="32"/>
          <w:szCs w:val="32"/>
          <w:highlight w:val="none"/>
          <w:lang w:eastAsia="zh-CN"/>
        </w:rPr>
        <w:t>202</w:t>
      </w:r>
      <w:r>
        <w:rPr>
          <w:rFonts w:hint="eastAsia" w:ascii="Times New Roman" w:hAnsi="Times New Roman" w:eastAsia="仿宋_GB2312" w:cs="仿宋_GB2312"/>
          <w:b w:val="0"/>
          <w:bCs w:val="0"/>
          <w:i w:val="0"/>
          <w:iCs w:val="0"/>
          <w:color w:val="000000"/>
          <w:sz w:val="32"/>
          <w:szCs w:val="32"/>
          <w:highlight w:val="none"/>
          <w:lang w:val="en-US" w:eastAsia="zh-CN"/>
        </w:rPr>
        <w:t>4</w:t>
      </w:r>
      <w:r>
        <w:rPr>
          <w:rFonts w:hint="eastAsia" w:ascii="Times New Roman" w:hAnsi="Times New Roman" w:eastAsia="仿宋_GB2312" w:cs="仿宋_GB2312"/>
          <w:b w:val="0"/>
          <w:bCs w:val="0"/>
          <w:i w:val="0"/>
          <w:iCs w:val="0"/>
          <w:color w:val="000000"/>
          <w:sz w:val="32"/>
          <w:szCs w:val="32"/>
          <w:highlight w:val="none"/>
        </w:rPr>
        <w:t>年度部门决算编制范围的</w:t>
      </w:r>
      <w:r>
        <w:rPr>
          <w:rFonts w:hint="eastAsia" w:ascii="Times New Roman" w:hAnsi="Times New Roman" w:eastAsia="仿宋_GB2312" w:cs="仿宋_GB2312"/>
          <w:b w:val="0"/>
          <w:bCs w:val="0"/>
          <w:i w:val="0"/>
          <w:iCs w:val="0"/>
          <w:color w:val="000000"/>
          <w:sz w:val="32"/>
          <w:szCs w:val="32"/>
          <w:highlight w:val="none"/>
          <w:lang w:val="en-US" w:eastAsia="zh-CN"/>
        </w:rPr>
        <w:t>下属</w:t>
      </w:r>
      <w:r>
        <w:rPr>
          <w:rFonts w:hint="eastAsia" w:ascii="Times New Roman" w:hAnsi="Times New Roman" w:eastAsia="仿宋_GB2312" w:cs="仿宋_GB2312"/>
          <w:b w:val="0"/>
          <w:bCs w:val="0"/>
          <w:i w:val="0"/>
          <w:iCs w:val="0"/>
          <w:color w:val="000000"/>
          <w:sz w:val="32"/>
          <w:szCs w:val="32"/>
          <w:highlight w:val="none"/>
        </w:rPr>
        <w:t>二级预算</w:t>
      </w:r>
      <w:r>
        <w:rPr>
          <w:rFonts w:hint="eastAsia" w:ascii="Times New Roman" w:hAnsi="Times New Roman" w:eastAsia="仿宋_GB2312" w:cs="仿宋_GB2312"/>
          <w:b w:val="0"/>
          <w:bCs w:val="0"/>
          <w:i w:val="0"/>
          <w:iCs w:val="0"/>
          <w:color w:val="000000"/>
          <w:sz w:val="32"/>
          <w:szCs w:val="32"/>
          <w:highlight w:val="none"/>
          <w:lang w:val="en-US" w:eastAsia="zh-CN"/>
        </w:rPr>
        <w:t>单位。</w:t>
      </w:r>
    </w:p>
    <w:p w14:paraId="00271839">
      <w:pPr>
        <w:widowControl/>
        <w:jc w:val="center"/>
        <w:rPr>
          <w:rFonts w:eastAsia="仿宋"/>
          <w:szCs w:val="32"/>
        </w:rPr>
      </w:pPr>
    </w:p>
    <w:p w14:paraId="51263608">
      <w:pPr>
        <w:widowControl/>
        <w:jc w:val="center"/>
        <w:rPr>
          <w:rFonts w:eastAsia="仿宋"/>
          <w:szCs w:val="32"/>
        </w:rPr>
      </w:pPr>
    </w:p>
    <w:p w14:paraId="79F16BCB">
      <w:pPr>
        <w:widowControl/>
        <w:spacing w:line="440" w:lineRule="exact"/>
        <w:jc w:val="center"/>
        <w:outlineLvl w:val="0"/>
        <w:rPr>
          <w:rFonts w:eastAsia="黑体"/>
          <w:sz w:val="44"/>
          <w:szCs w:val="44"/>
        </w:rPr>
      </w:pPr>
      <w:bookmarkStart w:id="13" w:name="_Toc15377204"/>
      <w:bookmarkStart w:id="14" w:name="_Toc15396602"/>
      <w:bookmarkStart w:id="15" w:name="_Toc8685"/>
    </w:p>
    <w:p w14:paraId="06630D08">
      <w:pPr>
        <w:widowControl/>
        <w:spacing w:line="440" w:lineRule="exact"/>
        <w:jc w:val="center"/>
        <w:outlineLvl w:val="0"/>
        <w:rPr>
          <w:rFonts w:eastAsia="黑体"/>
          <w:sz w:val="44"/>
          <w:szCs w:val="44"/>
        </w:rPr>
      </w:pPr>
    </w:p>
    <w:p w14:paraId="6C2EB957">
      <w:pPr>
        <w:widowControl/>
        <w:spacing w:line="440" w:lineRule="exact"/>
        <w:jc w:val="center"/>
        <w:outlineLvl w:val="0"/>
        <w:rPr>
          <w:rFonts w:eastAsia="黑体"/>
          <w:sz w:val="44"/>
          <w:szCs w:val="44"/>
        </w:rPr>
      </w:pPr>
    </w:p>
    <w:p w14:paraId="44B89A60">
      <w:pPr>
        <w:widowControl/>
        <w:spacing w:line="440" w:lineRule="exact"/>
        <w:jc w:val="center"/>
        <w:outlineLvl w:val="0"/>
        <w:rPr>
          <w:rFonts w:eastAsia="黑体"/>
          <w:sz w:val="44"/>
          <w:szCs w:val="44"/>
        </w:rPr>
      </w:pPr>
    </w:p>
    <w:p w14:paraId="43C8342C">
      <w:pPr>
        <w:widowControl/>
        <w:spacing w:line="440" w:lineRule="exact"/>
        <w:jc w:val="center"/>
        <w:outlineLvl w:val="0"/>
        <w:rPr>
          <w:rFonts w:eastAsia="黑体"/>
          <w:sz w:val="44"/>
          <w:szCs w:val="44"/>
        </w:rPr>
      </w:pPr>
    </w:p>
    <w:p w14:paraId="251DB601">
      <w:pPr>
        <w:widowControl/>
        <w:spacing w:line="440" w:lineRule="exact"/>
        <w:jc w:val="center"/>
        <w:outlineLvl w:val="0"/>
        <w:rPr>
          <w:rFonts w:eastAsia="黑体"/>
          <w:sz w:val="44"/>
          <w:szCs w:val="44"/>
        </w:rPr>
      </w:pPr>
      <w:r>
        <w:rPr>
          <w:rFonts w:eastAsia="黑体"/>
          <w:sz w:val="44"/>
          <w:szCs w:val="44"/>
        </w:rPr>
        <w:t>第二部分 202</w:t>
      </w:r>
      <w:r>
        <w:rPr>
          <w:rFonts w:hint="eastAsia" w:eastAsia="黑体"/>
          <w:sz w:val="44"/>
          <w:szCs w:val="44"/>
          <w:lang w:val="en-US" w:eastAsia="zh-CN"/>
        </w:rPr>
        <w:t>4</w:t>
      </w:r>
      <w:r>
        <w:rPr>
          <w:rFonts w:eastAsia="黑体"/>
          <w:sz w:val="44"/>
          <w:szCs w:val="44"/>
        </w:rPr>
        <w:t>年度部门决算情况说明</w:t>
      </w:r>
      <w:bookmarkEnd w:id="13"/>
      <w:bookmarkEnd w:id="14"/>
      <w:bookmarkEnd w:id="15"/>
    </w:p>
    <w:p w14:paraId="26BA08BB"/>
    <w:p w14:paraId="65B84A00">
      <w:pPr>
        <w:pStyle w:val="2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194"/>
          <w:rFonts w:ascii="Times New Roman" w:hAnsi="Times New Roman" w:eastAsia="黑体"/>
          <w:b w:val="0"/>
          <w:i w:val="0"/>
        </w:rPr>
      </w:pPr>
      <w:bookmarkStart w:id="16" w:name="_Toc15396603"/>
      <w:bookmarkStart w:id="17" w:name="_Toc15377205"/>
      <w:bookmarkStart w:id="18" w:name="_Toc20001"/>
      <w:r>
        <w:rPr>
          <w:rFonts w:hint="eastAsia" w:eastAsia="黑体"/>
          <w:szCs w:val="32"/>
          <w:lang w:val="en-US" w:eastAsia="zh-CN"/>
        </w:rPr>
        <w:t>一、</w:t>
      </w:r>
      <w:r>
        <w:rPr>
          <w:rFonts w:eastAsia="黑体"/>
          <w:szCs w:val="32"/>
        </w:rPr>
        <w:t>收</w:t>
      </w:r>
      <w:r>
        <w:rPr>
          <w:rStyle w:val="194"/>
          <w:rFonts w:ascii="Times New Roman" w:hAnsi="Times New Roman" w:eastAsia="黑体"/>
          <w:b w:val="0"/>
          <w:i w:val="0"/>
        </w:rPr>
        <w:t>入支出决算总体情况说明</w:t>
      </w:r>
      <w:bookmarkEnd w:id="16"/>
      <w:bookmarkEnd w:id="17"/>
      <w:bookmarkEnd w:id="18"/>
    </w:p>
    <w:p w14:paraId="62B427E9">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年度收、支总计均为309.10万元。与202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年度相比，</w:t>
      </w:r>
    </w:p>
    <w:p w14:paraId="44F458C1">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收、支总计各减少</w:t>
      </w:r>
      <w:r>
        <w:rPr>
          <w:rFonts w:hint="eastAsia" w:ascii="Times New Roman" w:hAnsi="Times New Roman" w:eastAsia="仿宋_GB2312" w:cs="仿宋_GB2312"/>
          <w:sz w:val="32"/>
          <w:szCs w:val="32"/>
          <w:lang w:val="en-US" w:eastAsia="zh-CN"/>
        </w:rPr>
        <w:t>17.39</w:t>
      </w:r>
      <w:r>
        <w:rPr>
          <w:rFonts w:hint="eastAsia" w:ascii="Times New Roman" w:hAnsi="Times New Roman" w:eastAsia="仿宋_GB2312" w:cs="仿宋_GB2312"/>
          <w:sz w:val="32"/>
          <w:szCs w:val="32"/>
        </w:rPr>
        <w:t>万元，下降</w:t>
      </w:r>
      <w:r>
        <w:rPr>
          <w:rFonts w:hint="eastAsia" w:ascii="Times New Roman" w:hAnsi="Times New Roman" w:eastAsia="仿宋_GB2312" w:cs="仿宋_GB2312"/>
          <w:sz w:val="32"/>
          <w:szCs w:val="32"/>
          <w:lang w:val="en-US" w:eastAsia="zh-CN"/>
        </w:rPr>
        <w:t>5.33</w:t>
      </w:r>
      <w:r>
        <w:rPr>
          <w:rFonts w:hint="eastAsia" w:ascii="Times New Roman" w:hAnsi="Times New Roman" w:eastAsia="仿宋_GB2312" w:cs="仿宋_GB2312"/>
          <w:sz w:val="32"/>
          <w:szCs w:val="32"/>
        </w:rPr>
        <w:t>%。主要变动原因是202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年单位</w:t>
      </w:r>
      <w:r>
        <w:rPr>
          <w:rFonts w:hint="eastAsia" w:ascii="Times New Roman" w:hAnsi="Times New Roman" w:eastAsia="仿宋_GB2312" w:cs="仿宋_GB2312"/>
          <w:sz w:val="32"/>
          <w:szCs w:val="32"/>
          <w:lang w:eastAsia="zh-CN"/>
        </w:rPr>
        <w:t>项目</w:t>
      </w:r>
      <w:r>
        <w:rPr>
          <w:rFonts w:hint="eastAsia" w:ascii="Times New Roman" w:hAnsi="Times New Roman" w:eastAsia="仿宋_GB2312" w:cs="仿宋_GB2312"/>
          <w:sz w:val="32"/>
          <w:szCs w:val="32"/>
        </w:rPr>
        <w:t>经费下降，以及单位秉承</w:t>
      </w:r>
      <w:r>
        <w:rPr>
          <w:rFonts w:hint="eastAsia" w:ascii="Times New Roman" w:hAnsi="Times New Roman" w:eastAsia="仿宋_GB2312" w:cs="仿宋_GB2312"/>
          <w:sz w:val="32"/>
          <w:szCs w:val="32"/>
          <w:lang w:eastAsia="zh-CN"/>
        </w:rPr>
        <w:t>厉行节约</w:t>
      </w:r>
      <w:r>
        <w:rPr>
          <w:rFonts w:hint="eastAsia" w:ascii="Times New Roman" w:hAnsi="Times New Roman" w:eastAsia="仿宋_GB2312" w:cs="仿宋_GB2312"/>
          <w:sz w:val="32"/>
          <w:szCs w:val="32"/>
        </w:rPr>
        <w:t>的原则，缩减开支。</w:t>
      </w:r>
    </w:p>
    <w:p w14:paraId="5AC93B0B">
      <w:pPr>
        <w:pStyle w:val="191"/>
        <w:jc w:val="center"/>
        <w:rPr>
          <w:rFonts w:hint="eastAsia" w:eastAsia="仿宋_GB2312"/>
          <w:sz w:val="32"/>
          <w:szCs w:val="32"/>
          <w:lang w:eastAsia="zh-CN"/>
        </w:rPr>
      </w:pPr>
      <w:r>
        <w:rPr>
          <w:rFonts w:hint="eastAsia" w:eastAsia="仿宋_GB2312"/>
          <w:sz w:val="32"/>
          <w:szCs w:val="32"/>
          <w:lang w:eastAsia="zh-CN"/>
        </w:rPr>
        <w:drawing>
          <wp:inline distT="0" distB="0" distL="114300" distR="114300">
            <wp:extent cx="5080000" cy="2790190"/>
            <wp:effectExtent l="4445" t="4445" r="20955" b="571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11F9D3">
      <w:pPr>
        <w:spacing w:line="560" w:lineRule="exact"/>
        <w:ind w:firstLine="632"/>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（图1：收、支决算总计变动情况图）（柱状图）</w:t>
      </w:r>
    </w:p>
    <w:p w14:paraId="19183829">
      <w:pPr>
        <w:pStyle w:val="21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194"/>
          <w:rFonts w:ascii="Times New Roman" w:hAnsi="Times New Roman" w:eastAsia="黑体"/>
          <w:b w:val="0"/>
          <w:i w:val="0"/>
        </w:rPr>
      </w:pPr>
      <w:bookmarkStart w:id="19" w:name="_Toc25864"/>
      <w:bookmarkStart w:id="20" w:name="_Toc15396604"/>
      <w:bookmarkStart w:id="21" w:name="_Toc15377206"/>
      <w:r>
        <w:rPr>
          <w:rFonts w:hint="eastAsia" w:eastAsia="黑体"/>
          <w:szCs w:val="32"/>
          <w:lang w:val="en-US" w:eastAsia="zh-CN"/>
        </w:rPr>
        <w:t>二、</w:t>
      </w:r>
      <w:r>
        <w:rPr>
          <w:rFonts w:eastAsia="黑体"/>
          <w:szCs w:val="32"/>
        </w:rPr>
        <w:t>收</w:t>
      </w:r>
      <w:r>
        <w:rPr>
          <w:rStyle w:val="194"/>
          <w:rFonts w:ascii="Times New Roman" w:hAnsi="Times New Roman" w:eastAsia="黑体"/>
          <w:b w:val="0"/>
          <w:i w:val="0"/>
        </w:rPr>
        <w:t>入决算情况说明</w:t>
      </w:r>
      <w:bookmarkEnd w:id="19"/>
      <w:bookmarkEnd w:id="20"/>
      <w:bookmarkEnd w:id="21"/>
    </w:p>
    <w:p w14:paraId="52F325FB">
      <w:pPr>
        <w:keepNext w:val="0"/>
        <w:keepLines w:val="0"/>
        <w:pageBreakBefore w:val="0"/>
        <w:widowControl w:val="0"/>
        <w:spacing w:line="560" w:lineRule="exact"/>
        <w:ind w:firstLine="632"/>
        <w:outlineLvl w:val="1"/>
        <w:rPr>
          <w:rFonts w:hint="eastAsia" w:ascii="Times New Roman" w:hAnsi="Times New Roman" w:eastAsia="仿宋_GB2312" w:cs="Times New Roman"/>
          <w:b w:val="0"/>
          <w:bCs w:val="0"/>
          <w:i w:val="0"/>
          <w:iCs w:val="0"/>
          <w:color w:val="000000"/>
          <w:sz w:val="32"/>
          <w:szCs w:val="32"/>
          <w:highlight w:val="none"/>
          <w:lang w:eastAsia="zh-CN"/>
        </w:rPr>
      </w:pPr>
      <w:bookmarkStart w:id="22" w:name="_Toc1914"/>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年度本年收入合计309.10万元，其中：一般公共预算财政拨款收入309.10万元，占100%</w:t>
      </w:r>
      <w:r>
        <w:rPr>
          <w:rFonts w:hint="eastAsia" w:ascii="Times New Roman" w:hAnsi="Times New Roman" w:eastAsia="仿宋_GB2312" w:cs="仿宋_GB2312"/>
          <w:sz w:val="32"/>
          <w:szCs w:val="32"/>
          <w:lang w:eastAsia="zh-CN"/>
        </w:rPr>
        <w:t>。</w:t>
      </w:r>
      <w:bookmarkEnd w:id="22"/>
    </w:p>
    <w:p w14:paraId="340026A0">
      <w:pPr>
        <w:pStyle w:val="192"/>
        <w:ind w:left="1910" w:leftChars="397" w:hanging="640" w:hangingChars="200"/>
        <w:jc w:val="left"/>
        <w:rPr>
          <w:rFonts w:hint="eastAsia" w:ascii="Times New Roman"/>
        </w:rPr>
      </w:pPr>
      <w:r>
        <w:rPr>
          <w:rFonts w:hint="eastAsia" w:ascii="Times New Roman"/>
        </w:rPr>
        <w:drawing>
          <wp:inline distT="0" distB="0" distL="0" distR="0">
            <wp:extent cx="4484370" cy="2645410"/>
            <wp:effectExtent l="0" t="0" r="11430" b="2540"/>
            <wp:docPr id="3" name="_x0000_i1028"/>
            <wp:cNvGraphicFramePr/>
            <a:graphic xmlns:a="http://schemas.openxmlformats.org/drawingml/2006/main">
              <a:graphicData uri="http://schemas.openxmlformats.org/drawingml/2006/picture">
                <pic:pic xmlns:pic="http://schemas.openxmlformats.org/drawingml/2006/picture">
                  <pic:nvPicPr>
                    <pic:cNvPr id="3" name="_x0000_i1028"/>
                    <pic:cNvPicPr/>
                  </pic:nvPicPr>
                  <pic:blipFill>
                    <a:blip r:embed="rId8"/>
                    <a:stretch>
                      <a:fillRect/>
                    </a:stretch>
                  </pic:blipFill>
                  <pic:spPr>
                    <a:xfrm>
                      <a:off x="0" y="0"/>
                      <a:ext cx="4484776" cy="2645410"/>
                    </a:xfrm>
                    <a:prstGeom prst="rect">
                      <a:avLst/>
                    </a:prstGeom>
                    <a:noFill/>
                    <a:ln>
                      <a:noFill/>
                    </a:ln>
                  </pic:spPr>
                </pic:pic>
              </a:graphicData>
            </a:graphic>
          </wp:inline>
        </w:drawing>
      </w:r>
      <w:r>
        <w:rPr>
          <w:rFonts w:hint="eastAsia" w:ascii="Times New Roman"/>
          <w:lang w:val="en-US" w:eastAsia="zh-CN"/>
        </w:rPr>
        <w:t xml:space="preserve"> </w:t>
      </w:r>
      <w:r>
        <w:rPr>
          <w:szCs w:val="32"/>
        </w:rPr>
        <w:t>（图2：收入决算结构图）（饼状图）</w:t>
      </w:r>
    </w:p>
    <w:p w14:paraId="1923E835">
      <w:pPr>
        <w:pStyle w:val="216"/>
        <w:numPr>
          <w:ilvl w:val="0"/>
          <w:numId w:val="0"/>
        </w:numPr>
        <w:spacing w:line="560" w:lineRule="exact"/>
        <w:ind w:left="640" w:leftChars="0"/>
        <w:outlineLvl w:val="1"/>
        <w:rPr>
          <w:rStyle w:val="194"/>
          <w:rFonts w:ascii="Times New Roman" w:hAnsi="Times New Roman" w:eastAsia="黑体"/>
          <w:b w:val="0"/>
          <w:i w:val="0"/>
        </w:rPr>
      </w:pPr>
      <w:bookmarkStart w:id="23" w:name="_Toc15377207"/>
      <w:bookmarkStart w:id="24" w:name="_Toc15396605"/>
      <w:bookmarkStart w:id="25" w:name="_Toc32156"/>
      <w:r>
        <w:rPr>
          <w:rFonts w:hint="eastAsia" w:eastAsia="黑体"/>
          <w:szCs w:val="32"/>
          <w:lang w:val="en-US" w:eastAsia="zh-CN"/>
        </w:rPr>
        <w:t>三、</w:t>
      </w:r>
      <w:r>
        <w:rPr>
          <w:rFonts w:eastAsia="黑体"/>
          <w:szCs w:val="32"/>
        </w:rPr>
        <w:t>支</w:t>
      </w:r>
      <w:r>
        <w:rPr>
          <w:rStyle w:val="194"/>
          <w:rFonts w:ascii="Times New Roman" w:hAnsi="Times New Roman" w:eastAsia="黑体"/>
          <w:b w:val="0"/>
          <w:i w:val="0"/>
        </w:rPr>
        <w:t>出决算情况说明</w:t>
      </w:r>
      <w:bookmarkEnd w:id="23"/>
      <w:bookmarkEnd w:id="24"/>
      <w:bookmarkEnd w:id="25"/>
    </w:p>
    <w:p w14:paraId="0E6F0274">
      <w:pPr>
        <w:spacing w:line="560" w:lineRule="exact"/>
        <w:ind w:firstLine="632"/>
        <w:outlineLvl w:val="1"/>
        <w:rPr>
          <w:rFonts w:hint="eastAsia" w:ascii="Times New Roman" w:hAnsi="Times New Roman" w:eastAsia="仿宋_GB2312" w:cs="仿宋_GB2312"/>
          <w:sz w:val="32"/>
          <w:szCs w:val="32"/>
          <w:shd w:val="pct10" w:color="auto" w:fill="FFFFFF"/>
        </w:rPr>
      </w:pPr>
      <w:bookmarkStart w:id="26" w:name="_Toc2558"/>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年度本年支出合计309.10万元，其中：基本支出170.69万元，占5</w:t>
      </w:r>
      <w:r>
        <w:rPr>
          <w:rFonts w:hint="eastAsia" w:ascii="Times New Roman" w:hAnsi="Times New Roman" w:eastAsia="仿宋_GB2312" w:cs="仿宋_GB2312"/>
          <w:sz w:val="32"/>
          <w:szCs w:val="32"/>
          <w:lang w:val="en-US" w:eastAsia="zh-CN"/>
        </w:rPr>
        <w:t>5.22</w:t>
      </w:r>
      <w:r>
        <w:rPr>
          <w:rFonts w:hint="eastAsia" w:ascii="Times New Roman" w:hAnsi="Times New Roman" w:eastAsia="仿宋_GB2312" w:cs="仿宋_GB2312"/>
          <w:sz w:val="32"/>
          <w:szCs w:val="32"/>
        </w:rPr>
        <w:t>%；项目支出138.41万元，占4</w:t>
      </w:r>
      <w:r>
        <w:rPr>
          <w:rFonts w:hint="eastAsia" w:ascii="Times New Roman" w:hAnsi="Times New Roman" w:eastAsia="仿宋_GB2312" w:cs="仿宋_GB2312"/>
          <w:sz w:val="32"/>
          <w:szCs w:val="32"/>
          <w:lang w:val="en-US" w:eastAsia="zh-CN"/>
        </w:rPr>
        <w:t>4.78</w:t>
      </w:r>
      <w:r>
        <w:rPr>
          <w:rFonts w:hint="eastAsia" w:ascii="Times New Roman" w:hAnsi="Times New Roman" w:eastAsia="仿宋_GB2312" w:cs="仿宋_GB2312"/>
          <w:sz w:val="32"/>
          <w:szCs w:val="32"/>
        </w:rPr>
        <w:t>%。</w:t>
      </w:r>
      <w:bookmarkEnd w:id="26"/>
    </w:p>
    <w:p w14:paraId="6F5969C4">
      <w:pPr>
        <w:pStyle w:val="191"/>
        <w:jc w:val="center"/>
        <w:rPr>
          <w:rFonts w:ascii="Times New Roman"/>
        </w:rPr>
      </w:pPr>
      <w:r>
        <w:rPr>
          <w:rFonts w:hint="eastAsia" w:ascii="Times New Roman" w:eastAsia="仿宋_GB2312"/>
          <w:lang w:eastAsia="zh-CN"/>
        </w:rPr>
        <w:drawing>
          <wp:inline distT="0" distB="0" distL="114300" distR="114300">
            <wp:extent cx="3167380" cy="2756535"/>
            <wp:effectExtent l="5080" t="4445" r="8890" b="2032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CB6F34">
      <w:pPr>
        <w:spacing w:line="560" w:lineRule="exact"/>
        <w:ind w:firstLine="1580"/>
        <w:jc w:val="left"/>
        <w:rPr>
          <w:rFonts w:eastAsia="黑体"/>
          <w:szCs w:val="32"/>
        </w:rPr>
      </w:pPr>
      <w:bookmarkStart w:id="27" w:name="_Toc15377208"/>
      <w:bookmarkStart w:id="28" w:name="_Toc15396606"/>
      <w:r>
        <w:rPr>
          <w:rFonts w:hint="eastAsia" w:ascii="Times New Roman" w:hAnsi="Times New Roman" w:eastAsia="仿宋_GB2312" w:cs="仿宋_GB2312"/>
          <w:sz w:val="32"/>
          <w:szCs w:val="32"/>
        </w:rPr>
        <w:t>（图3：支出决算结构图）（饼状图）</w:t>
      </w:r>
    </w:p>
    <w:p w14:paraId="4E9EDBD9">
      <w:pPr>
        <w:spacing w:line="560" w:lineRule="exact"/>
        <w:ind w:firstLine="632"/>
        <w:outlineLvl w:val="1"/>
        <w:rPr>
          <w:rStyle w:val="194"/>
          <w:rFonts w:ascii="Times New Roman" w:hAnsi="Times New Roman" w:eastAsia="黑体"/>
          <w:b w:val="0"/>
          <w:i w:val="0"/>
        </w:rPr>
      </w:pPr>
      <w:bookmarkStart w:id="29" w:name="_Toc17137"/>
      <w:r>
        <w:rPr>
          <w:rFonts w:eastAsia="黑体"/>
          <w:szCs w:val="32"/>
        </w:rPr>
        <w:t>四、财</w:t>
      </w:r>
      <w:r>
        <w:rPr>
          <w:rStyle w:val="194"/>
          <w:rFonts w:ascii="Times New Roman" w:hAnsi="Times New Roman" w:eastAsia="黑体"/>
          <w:b w:val="0"/>
          <w:i w:val="0"/>
        </w:rPr>
        <w:t>政拨款收入支出决算总体情况说明</w:t>
      </w:r>
      <w:bookmarkEnd w:id="27"/>
      <w:bookmarkEnd w:id="28"/>
      <w:bookmarkEnd w:id="29"/>
    </w:p>
    <w:p w14:paraId="576BA312">
      <w:pPr>
        <w:spacing w:line="560" w:lineRule="exact"/>
        <w:ind w:firstLine="640"/>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年度财政拨款收、支总计均为309.10万元。与202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年度相比，财政拨款收、支总计各减少1</w:t>
      </w:r>
      <w:r>
        <w:rPr>
          <w:rFonts w:hint="eastAsia" w:ascii="Times New Roman" w:hAnsi="Times New Roman" w:eastAsia="仿宋_GB2312" w:cs="仿宋_GB2312"/>
          <w:sz w:val="32"/>
          <w:szCs w:val="32"/>
          <w:lang w:val="en-US" w:eastAsia="zh-CN"/>
        </w:rPr>
        <w:t>7.39</w:t>
      </w:r>
      <w:r>
        <w:rPr>
          <w:rFonts w:hint="eastAsia" w:ascii="Times New Roman" w:hAnsi="Times New Roman" w:eastAsia="仿宋_GB2312" w:cs="仿宋_GB2312"/>
          <w:sz w:val="32"/>
          <w:szCs w:val="32"/>
        </w:rPr>
        <w:t>万元，下降</w:t>
      </w:r>
      <w:r>
        <w:rPr>
          <w:rFonts w:hint="eastAsia" w:ascii="Times New Roman" w:hAnsi="Times New Roman" w:eastAsia="仿宋_GB2312" w:cs="仿宋_GB2312"/>
          <w:sz w:val="32"/>
          <w:szCs w:val="32"/>
          <w:lang w:val="en-US" w:eastAsia="zh-CN"/>
        </w:rPr>
        <w:t>5.33</w:t>
      </w:r>
      <w:r>
        <w:rPr>
          <w:rFonts w:hint="eastAsia" w:ascii="Times New Roman" w:hAnsi="Times New Roman" w:eastAsia="仿宋_GB2312" w:cs="仿宋_GB2312"/>
          <w:sz w:val="32"/>
          <w:szCs w:val="32"/>
        </w:rPr>
        <w:t>%。主要变动原因是202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年单位</w:t>
      </w:r>
      <w:r>
        <w:rPr>
          <w:rFonts w:hint="eastAsia" w:ascii="Times New Roman" w:hAnsi="Times New Roman" w:eastAsia="仿宋_GB2312" w:cs="仿宋_GB2312"/>
          <w:sz w:val="32"/>
          <w:szCs w:val="32"/>
          <w:lang w:eastAsia="zh-CN"/>
        </w:rPr>
        <w:t>项目</w:t>
      </w:r>
      <w:r>
        <w:rPr>
          <w:rFonts w:hint="eastAsia" w:ascii="Times New Roman" w:hAnsi="Times New Roman" w:eastAsia="仿宋_GB2312" w:cs="仿宋_GB2312"/>
          <w:sz w:val="32"/>
          <w:szCs w:val="32"/>
        </w:rPr>
        <w:t>经费下降，以及单位秉承</w:t>
      </w:r>
      <w:r>
        <w:rPr>
          <w:rFonts w:hint="eastAsia" w:ascii="Times New Roman" w:hAnsi="Times New Roman" w:eastAsia="仿宋_GB2312" w:cs="仿宋_GB2312"/>
          <w:sz w:val="32"/>
          <w:szCs w:val="32"/>
          <w:lang w:eastAsia="zh-CN"/>
        </w:rPr>
        <w:t>厉行节约</w:t>
      </w:r>
      <w:r>
        <w:rPr>
          <w:rFonts w:hint="eastAsia" w:ascii="Times New Roman" w:hAnsi="Times New Roman" w:eastAsia="仿宋_GB2312" w:cs="仿宋_GB2312"/>
          <w:sz w:val="32"/>
          <w:szCs w:val="32"/>
        </w:rPr>
        <w:t>的原则，缩减开支。</w:t>
      </w:r>
    </w:p>
    <w:p w14:paraId="6FCF6BF1">
      <w:pPr>
        <w:pStyle w:val="192"/>
        <w:ind w:left="0" w:leftChars="0" w:firstLine="0" w:firstLineChars="0"/>
        <w:rPr>
          <w:rFonts w:ascii="Times New Roman" w:eastAsia="仿宋"/>
        </w:rPr>
      </w:pPr>
      <w:r>
        <w:rPr>
          <w:rFonts w:hint="eastAsia"/>
          <w:lang w:val="en-US" w:eastAsia="zh-CN"/>
        </w:rPr>
        <w:t xml:space="preserve">      </w:t>
      </w:r>
      <w:r>
        <w:rPr>
          <w:rFonts w:hint="eastAsia"/>
        </w:rPr>
        <w:drawing>
          <wp:inline distT="0" distB="0" distL="114300" distR="114300">
            <wp:extent cx="4495800" cy="2468880"/>
            <wp:effectExtent l="4445" t="4445" r="14605" b="222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5D9B13">
      <w:pPr>
        <w:spacing w:line="560" w:lineRule="exact"/>
        <w:ind w:firstLine="632"/>
        <w:rPr>
          <w:rFonts w:eastAsia="黑体"/>
          <w:szCs w:val="32"/>
        </w:rPr>
      </w:pPr>
      <w:bookmarkStart w:id="30" w:name="_Toc15396607"/>
      <w:bookmarkStart w:id="31" w:name="_Toc15377209"/>
      <w:r>
        <w:rPr>
          <w:rFonts w:hint="eastAsia" w:ascii="Times New Roman" w:hAnsi="Times New Roman" w:eastAsia="仿宋_GB2312" w:cs="仿宋_GB2312"/>
          <w:sz w:val="32"/>
          <w:szCs w:val="32"/>
        </w:rPr>
        <w:t>（图4：财政拨款收、支决算总计变动情况）（柱状图）</w:t>
      </w:r>
      <w:bookmarkStart w:id="32" w:name="_Toc16000"/>
    </w:p>
    <w:p w14:paraId="3C6F5E2E">
      <w:pPr>
        <w:spacing w:line="560" w:lineRule="exact"/>
        <w:ind w:firstLine="632"/>
        <w:outlineLvl w:val="1"/>
        <w:rPr>
          <w:rStyle w:val="194"/>
          <w:rFonts w:ascii="Times New Roman" w:hAnsi="Times New Roman" w:eastAsia="黑体"/>
          <w:b w:val="0"/>
          <w:i w:val="0"/>
        </w:rPr>
      </w:pPr>
      <w:r>
        <w:rPr>
          <w:rFonts w:eastAsia="黑体"/>
          <w:szCs w:val="32"/>
        </w:rPr>
        <w:t>五、一</w:t>
      </w:r>
      <w:r>
        <w:rPr>
          <w:rStyle w:val="194"/>
          <w:rFonts w:ascii="Times New Roman" w:hAnsi="Times New Roman" w:eastAsia="黑体"/>
          <w:b w:val="0"/>
          <w:i w:val="0"/>
        </w:rPr>
        <w:t>般公共预算财政拨款支出决算情况说明</w:t>
      </w:r>
      <w:bookmarkEnd w:id="30"/>
      <w:bookmarkEnd w:id="31"/>
      <w:bookmarkEnd w:id="32"/>
    </w:p>
    <w:p w14:paraId="737350EA">
      <w:pPr>
        <w:spacing w:line="560" w:lineRule="exact"/>
        <w:ind w:firstLine="632"/>
        <w:jc w:val="left"/>
        <w:outlineLvl w:val="2"/>
        <w:rPr>
          <w:rFonts w:hint="eastAsia" w:ascii="楷体_GB2312" w:hAnsi="楷体_GB2312" w:eastAsia="楷体_GB2312" w:cs="楷体_GB2312"/>
          <w:b w:val="0"/>
          <w:bCs w:val="0"/>
          <w:szCs w:val="32"/>
        </w:rPr>
      </w:pPr>
      <w:bookmarkStart w:id="33" w:name="_Toc15377210"/>
      <w:bookmarkStart w:id="34" w:name="_Toc22159"/>
      <w:r>
        <w:rPr>
          <w:rFonts w:hint="eastAsia" w:ascii="楷体_GB2312" w:hAnsi="楷体_GB2312" w:eastAsia="楷体_GB2312" w:cs="楷体_GB2312"/>
          <w:b w:val="0"/>
          <w:bCs w:val="0"/>
          <w:szCs w:val="32"/>
        </w:rPr>
        <w:t>（一）一般公共预算财政拨款支出决算总体情况</w:t>
      </w:r>
      <w:bookmarkEnd w:id="33"/>
      <w:bookmarkEnd w:id="34"/>
    </w:p>
    <w:p w14:paraId="6B2B2378">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年度一般公共预算财政拨款支出3</w:t>
      </w:r>
      <w:r>
        <w:rPr>
          <w:rFonts w:hint="eastAsia" w:ascii="Times New Roman" w:hAnsi="Times New Roman" w:eastAsia="仿宋_GB2312" w:cs="仿宋_GB2312"/>
          <w:sz w:val="32"/>
          <w:szCs w:val="32"/>
          <w:lang w:val="en-US" w:eastAsia="zh-CN"/>
        </w:rPr>
        <w:t>09.1</w:t>
      </w:r>
      <w:r>
        <w:rPr>
          <w:rFonts w:hint="eastAsia" w:ascii="Times New Roman" w:hAnsi="Times New Roman" w:eastAsia="仿宋_GB2312" w:cs="仿宋_GB2312"/>
          <w:sz w:val="32"/>
          <w:szCs w:val="32"/>
        </w:rPr>
        <w:t>万元，占本年支出合计的100%。与202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年度相比，一般公共预算财政拨款支出减少1</w:t>
      </w:r>
      <w:r>
        <w:rPr>
          <w:rFonts w:hint="eastAsia" w:ascii="Times New Roman" w:hAnsi="Times New Roman" w:eastAsia="仿宋_GB2312" w:cs="仿宋_GB2312"/>
          <w:sz w:val="32"/>
          <w:szCs w:val="32"/>
          <w:lang w:val="en-US" w:eastAsia="zh-CN"/>
        </w:rPr>
        <w:t>7.39</w:t>
      </w:r>
      <w:r>
        <w:rPr>
          <w:rFonts w:hint="eastAsia" w:ascii="Times New Roman" w:hAnsi="Times New Roman" w:eastAsia="仿宋_GB2312" w:cs="仿宋_GB2312"/>
          <w:sz w:val="32"/>
          <w:szCs w:val="32"/>
        </w:rPr>
        <w:t>万元，下降</w:t>
      </w:r>
      <w:r>
        <w:rPr>
          <w:rFonts w:hint="eastAsia" w:ascii="Times New Roman" w:hAnsi="Times New Roman" w:eastAsia="仿宋_GB2312" w:cs="仿宋_GB2312"/>
          <w:sz w:val="32"/>
          <w:szCs w:val="32"/>
          <w:lang w:val="en-US" w:eastAsia="zh-CN"/>
        </w:rPr>
        <w:t>5.33</w:t>
      </w:r>
      <w:r>
        <w:rPr>
          <w:rFonts w:hint="eastAsia" w:ascii="Times New Roman" w:hAnsi="Times New Roman" w:eastAsia="仿宋_GB2312" w:cs="仿宋_GB2312"/>
          <w:sz w:val="32"/>
          <w:szCs w:val="32"/>
        </w:rPr>
        <w:t>%。主要变动原因是202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年单位</w:t>
      </w:r>
      <w:r>
        <w:rPr>
          <w:rFonts w:hint="eastAsia" w:ascii="Times New Roman" w:hAnsi="Times New Roman" w:eastAsia="仿宋_GB2312" w:cs="仿宋_GB2312"/>
          <w:sz w:val="32"/>
          <w:szCs w:val="32"/>
          <w:lang w:eastAsia="zh-CN"/>
        </w:rPr>
        <w:t>项目</w:t>
      </w:r>
      <w:r>
        <w:rPr>
          <w:rFonts w:hint="eastAsia" w:ascii="Times New Roman" w:hAnsi="Times New Roman" w:eastAsia="仿宋_GB2312" w:cs="仿宋_GB2312"/>
          <w:sz w:val="32"/>
          <w:szCs w:val="32"/>
        </w:rPr>
        <w:t>经费下降，以及单位秉承</w:t>
      </w:r>
      <w:r>
        <w:rPr>
          <w:rFonts w:hint="eastAsia" w:ascii="Times New Roman" w:hAnsi="Times New Roman" w:eastAsia="仿宋_GB2312" w:cs="仿宋_GB2312"/>
          <w:sz w:val="32"/>
          <w:szCs w:val="32"/>
          <w:lang w:eastAsia="zh-CN"/>
        </w:rPr>
        <w:t>厉行节约</w:t>
      </w:r>
      <w:r>
        <w:rPr>
          <w:rFonts w:hint="eastAsia" w:ascii="Times New Roman" w:hAnsi="Times New Roman" w:eastAsia="仿宋_GB2312" w:cs="仿宋_GB2312"/>
          <w:sz w:val="32"/>
          <w:szCs w:val="32"/>
        </w:rPr>
        <w:t>的原则，缩减开支。</w:t>
      </w:r>
    </w:p>
    <w:p w14:paraId="3EA3E229">
      <w:pPr>
        <w:pStyle w:val="192"/>
        <w:rPr>
          <w:rFonts w:eastAsia="楷体_GB2312"/>
          <w:b/>
          <w:bCs/>
          <w:szCs w:val="32"/>
        </w:rPr>
      </w:pPr>
      <w:r>
        <w:rPr>
          <w:rFonts w:hint="eastAsia" w:ascii="Times New Roman" w:hAnsi="Times New Roman" w:eastAsia="仿宋"/>
          <w:color w:val="000000" w:themeColor="text1"/>
          <w:sz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385445</wp:posOffset>
            </wp:positionH>
            <wp:positionV relativeFrom="paragraph">
              <wp:posOffset>180340</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35" w:name="_Toc15377211"/>
      <w:r>
        <w:rPr>
          <w:rFonts w:ascii="Times New Roman" w:hAnsi="Times New Roman"/>
          <w:sz w:val="32"/>
          <w:szCs w:val="32"/>
        </w:rPr>
        <w:t>（图5：一般公共预算财政拨款支出决算变动情况）（柱状图）</w:t>
      </w:r>
      <w:bookmarkStart w:id="36" w:name="_Toc13407"/>
    </w:p>
    <w:p w14:paraId="58CA47AC">
      <w:pPr>
        <w:spacing w:line="560" w:lineRule="exact"/>
        <w:ind w:firstLine="632"/>
        <w:jc w:val="left"/>
        <w:outlineLvl w:val="2"/>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（二）一般公共预算财政拨款支出决算结构情况</w:t>
      </w:r>
      <w:bookmarkEnd w:id="35"/>
      <w:bookmarkEnd w:id="36"/>
    </w:p>
    <w:p w14:paraId="7D796EC0">
      <w:pPr>
        <w:spacing w:line="560" w:lineRule="exact"/>
        <w:ind w:firstLine="632"/>
        <w:rPr>
          <w:rFonts w:hint="eastAsia" w:ascii="Times New Roman" w:hAnsi="Times New Roman" w:eastAsia="仿宋_GB2312" w:cs="仿宋_GB2312"/>
          <w:sz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年度一般公共预算财政拨款支出3</w:t>
      </w:r>
      <w:r>
        <w:rPr>
          <w:rFonts w:hint="eastAsia" w:ascii="Times New Roman" w:hAnsi="Times New Roman" w:eastAsia="仿宋_GB2312" w:cs="仿宋_GB2312"/>
          <w:sz w:val="32"/>
          <w:szCs w:val="32"/>
          <w:lang w:val="en-US" w:eastAsia="zh-CN"/>
        </w:rPr>
        <w:t>09.1</w:t>
      </w:r>
      <w:r>
        <w:rPr>
          <w:rFonts w:hint="eastAsia" w:ascii="Times New Roman" w:hAnsi="Times New Roman" w:eastAsia="仿宋_GB2312" w:cs="仿宋_GB2312"/>
          <w:sz w:val="32"/>
          <w:szCs w:val="32"/>
        </w:rPr>
        <w:t>万元，主要用于以下方面：社会保障和就业支出</w:t>
      </w:r>
      <w:r>
        <w:rPr>
          <w:rFonts w:hint="eastAsia" w:ascii="Times New Roman" w:hAnsi="Times New Roman" w:eastAsia="仿宋_GB2312" w:cs="仿宋_GB2312"/>
          <w:sz w:val="32"/>
          <w:szCs w:val="32"/>
          <w:lang w:val="en-US" w:eastAsia="zh-CN"/>
        </w:rPr>
        <w:t>291.3</w:t>
      </w:r>
      <w:r>
        <w:rPr>
          <w:rFonts w:hint="eastAsia" w:ascii="Times New Roman" w:hAnsi="Times New Roman" w:eastAsia="仿宋_GB2312" w:cs="仿宋_GB2312"/>
          <w:sz w:val="32"/>
          <w:szCs w:val="32"/>
        </w:rPr>
        <w:t>万元，占94.</w:t>
      </w:r>
      <w:r>
        <w:rPr>
          <w:rFonts w:hint="eastAsia" w:ascii="Times New Roman" w:hAnsi="Times New Roman" w:eastAsia="仿宋_GB2312" w:cs="仿宋_GB2312"/>
          <w:sz w:val="32"/>
          <w:szCs w:val="32"/>
          <w:lang w:val="en-US" w:eastAsia="zh-CN"/>
        </w:rPr>
        <w:t>24</w:t>
      </w:r>
      <w:r>
        <w:rPr>
          <w:rFonts w:hint="eastAsia" w:ascii="Times New Roman" w:hAnsi="Times New Roman" w:eastAsia="仿宋_GB2312" w:cs="仿宋_GB2312"/>
          <w:sz w:val="32"/>
          <w:szCs w:val="32"/>
        </w:rPr>
        <w:t>%；卫生健康支出</w:t>
      </w:r>
      <w:r>
        <w:rPr>
          <w:rFonts w:hint="eastAsia" w:ascii="Times New Roman" w:hAnsi="Times New Roman" w:eastAsia="仿宋_GB2312" w:cs="仿宋_GB2312"/>
          <w:sz w:val="32"/>
          <w:szCs w:val="32"/>
          <w:lang w:val="en-US" w:eastAsia="zh-CN"/>
        </w:rPr>
        <w:t>6.07</w:t>
      </w:r>
      <w:r>
        <w:rPr>
          <w:rFonts w:hint="eastAsia" w:ascii="Times New Roman" w:hAnsi="Times New Roman" w:eastAsia="仿宋_GB2312" w:cs="仿宋_GB2312"/>
          <w:sz w:val="32"/>
          <w:szCs w:val="32"/>
        </w:rPr>
        <w:t>万元，占1.</w:t>
      </w:r>
      <w:r>
        <w:rPr>
          <w:rFonts w:hint="eastAsia" w:ascii="Times New Roman" w:hAnsi="Times New Roman" w:eastAsia="仿宋_GB2312" w:cs="仿宋_GB2312"/>
          <w:sz w:val="32"/>
          <w:szCs w:val="32"/>
          <w:lang w:val="en-US" w:eastAsia="zh-CN"/>
        </w:rPr>
        <w:t>96</w:t>
      </w:r>
      <w:r>
        <w:rPr>
          <w:rFonts w:hint="eastAsia" w:ascii="Times New Roman" w:hAnsi="Times New Roman" w:eastAsia="仿宋_GB2312" w:cs="仿宋_GB2312"/>
          <w:sz w:val="32"/>
          <w:szCs w:val="32"/>
        </w:rPr>
        <w:t>%；住房保障支出1</w:t>
      </w:r>
      <w:r>
        <w:rPr>
          <w:rFonts w:hint="eastAsia" w:ascii="Times New Roman" w:hAnsi="Times New Roman" w:eastAsia="仿宋_GB2312" w:cs="仿宋_GB2312"/>
          <w:sz w:val="32"/>
          <w:szCs w:val="32"/>
          <w:lang w:val="en-US" w:eastAsia="zh-CN"/>
        </w:rPr>
        <w:t>1.73</w:t>
      </w:r>
      <w:r>
        <w:rPr>
          <w:rFonts w:hint="eastAsia" w:ascii="Times New Roman" w:hAnsi="Times New Roman" w:eastAsia="仿宋_GB2312" w:cs="仿宋_GB2312"/>
          <w:sz w:val="32"/>
          <w:szCs w:val="32"/>
        </w:rPr>
        <w:t>万元，占3.</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w:t>
      </w:r>
    </w:p>
    <w:p w14:paraId="3B29AC6F">
      <w:pPr>
        <w:pStyle w:val="192"/>
        <w:ind w:left="632" w:firstLine="632"/>
        <w:jc w:val="left"/>
        <w:rPr>
          <w:rFonts w:eastAsia="楷体_GB2312"/>
          <w:b/>
          <w:bCs/>
          <w:szCs w:val="32"/>
        </w:rPr>
      </w:pPr>
      <w:r>
        <w:rPr>
          <w:rFonts w:hint="eastAsia" w:ascii="Times New Roman" w:hAnsi="Times New Roman" w:eastAsia="仿宋"/>
          <w:color w:val="000000"/>
          <w:sz w:val="32"/>
        </w:rPr>
        <w:drawing>
          <wp:anchor distT="0" distB="0" distL="114300" distR="114300" simplePos="0" relativeHeight="251661312" behindDoc="0" locked="0" layoutInCell="1" allowOverlap="1">
            <wp:simplePos x="0" y="0"/>
            <wp:positionH relativeFrom="column">
              <wp:posOffset>1061085</wp:posOffset>
            </wp:positionH>
            <wp:positionV relativeFrom="paragraph">
              <wp:posOffset>21590</wp:posOffset>
            </wp:positionV>
            <wp:extent cx="4566285" cy="3425190"/>
            <wp:effectExtent l="4445" t="5080" r="20320" b="1778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37" w:name="_Toc15377212"/>
      <w:r>
        <w:rPr>
          <w:rFonts w:ascii="Times New Roman" w:hAnsi="Times New Roman"/>
          <w:sz w:val="32"/>
          <w:szCs w:val="32"/>
        </w:rPr>
        <w:t>（图6：一般公共预算财政拨款支出决算结构）（饼状图）</w:t>
      </w:r>
      <w:bookmarkStart w:id="38" w:name="_Toc5736"/>
    </w:p>
    <w:p w14:paraId="4BE28AF2">
      <w:pPr>
        <w:spacing w:line="560" w:lineRule="exact"/>
        <w:ind w:firstLine="632"/>
        <w:jc w:val="left"/>
        <w:outlineLvl w:val="2"/>
        <w:rPr>
          <w:rFonts w:hint="eastAsia" w:ascii="楷体_GB2312" w:hAnsi="楷体_GB2312" w:eastAsia="楷体_GB2312" w:cs="楷体_GB2312"/>
          <w:b w:val="0"/>
          <w:bCs w:val="0"/>
          <w:szCs w:val="32"/>
        </w:rPr>
      </w:pPr>
      <w:r>
        <w:rPr>
          <w:rFonts w:hint="eastAsia" w:ascii="楷体_GB2312" w:hAnsi="楷体_GB2312" w:eastAsia="楷体_GB2312" w:cs="楷体_GB2312"/>
          <w:b w:val="0"/>
          <w:bCs w:val="0"/>
          <w:szCs w:val="32"/>
        </w:rPr>
        <w:t>（三）一般公共预算财政拨款支出决算具体情况</w:t>
      </w:r>
      <w:bookmarkEnd w:id="37"/>
      <w:bookmarkEnd w:id="38"/>
    </w:p>
    <w:p w14:paraId="0DD0D399">
      <w:pPr>
        <w:spacing w:line="560" w:lineRule="exact"/>
        <w:ind w:firstLine="632"/>
        <w:outlineLvl w:val="2"/>
        <w:rPr>
          <w:rFonts w:hint="eastAsia" w:ascii="Times New Roman" w:hAnsi="Times New Roman" w:eastAsia="仿宋_GB2312" w:cs="仿宋_GB2312"/>
          <w:sz w:val="32"/>
          <w:szCs w:val="32"/>
        </w:rPr>
      </w:pPr>
      <w:bookmarkStart w:id="39" w:name="_Toc30095"/>
      <w:bookmarkStart w:id="40" w:name="_Toc15378460"/>
      <w:bookmarkStart w:id="41" w:name="_Toc15377213"/>
      <w:bookmarkStart w:id="42" w:name="_Toc15377444"/>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年度一般公共预算支出决算数为3</w:t>
      </w:r>
      <w:r>
        <w:rPr>
          <w:rFonts w:hint="eastAsia" w:ascii="Times New Roman" w:hAnsi="Times New Roman" w:eastAsia="仿宋_GB2312" w:cs="仿宋_GB2312"/>
          <w:sz w:val="32"/>
          <w:szCs w:val="32"/>
          <w:lang w:val="en-US" w:eastAsia="zh-CN"/>
        </w:rPr>
        <w:t>09.1</w:t>
      </w:r>
      <w:r>
        <w:rPr>
          <w:rStyle w:val="212"/>
          <w:rFonts w:hint="eastAsia" w:ascii="Times New Roman" w:hAnsi="Times New Roman" w:eastAsia="仿宋_GB2312" w:cs="仿宋_GB2312"/>
          <w:sz w:val="32"/>
          <w:szCs w:val="32"/>
          <w:lang w:eastAsia="zh-CN"/>
        </w:rPr>
        <w:t>万元</w:t>
      </w:r>
      <w:r>
        <w:rPr>
          <w:rFonts w:hint="eastAsia" w:ascii="Times New Roman" w:hAnsi="Times New Roman" w:eastAsia="仿宋_GB2312" w:cs="仿宋_GB2312"/>
          <w:sz w:val="32"/>
          <w:szCs w:val="32"/>
        </w:rPr>
        <w:t>，</w:t>
      </w:r>
      <w:r>
        <w:rPr>
          <w:rStyle w:val="209"/>
          <w:rFonts w:hint="eastAsia" w:ascii="Times New Roman" w:hAnsi="Times New Roman" w:eastAsia="仿宋_GB2312" w:cs="仿宋_GB2312"/>
          <w:b w:val="0"/>
          <w:bCs w:val="0"/>
          <w:sz w:val="32"/>
          <w:szCs w:val="32"/>
        </w:rPr>
        <w:t>完成预算100%。其中：</w:t>
      </w:r>
      <w:bookmarkEnd w:id="39"/>
      <w:bookmarkEnd w:id="40"/>
      <w:bookmarkEnd w:id="41"/>
      <w:bookmarkEnd w:id="42"/>
    </w:p>
    <w:p w14:paraId="6AE9EFE6">
      <w:pPr>
        <w:spacing w:line="560" w:lineRule="exact"/>
        <w:ind w:firstLine="632"/>
        <w:rPr>
          <w:rFonts w:hint="eastAsia" w:ascii="Times New Roman" w:hAnsi="Times New Roman" w:eastAsia="仿宋_GB2312" w:cs="仿宋_GB2312"/>
          <w:sz w:val="32"/>
          <w:szCs w:val="32"/>
        </w:rPr>
      </w:pPr>
      <w:r>
        <w:rPr>
          <w:rStyle w:val="209"/>
          <w:rFonts w:hint="eastAsia" w:ascii="Times New Roman" w:hAnsi="Times New Roman" w:eastAsia="仿宋_GB2312" w:cs="仿宋_GB2312"/>
          <w:b w:val="0"/>
          <w:bCs w:val="0"/>
          <w:sz w:val="32"/>
          <w:szCs w:val="32"/>
        </w:rPr>
        <w:t>1、社会保障和就业（208）人力资源和社会保障管理事务（01）信息化建设（0</w:t>
      </w:r>
      <w:r>
        <w:rPr>
          <w:rStyle w:val="209"/>
          <w:rFonts w:hint="eastAsia" w:ascii="Times New Roman" w:hAnsi="Times New Roman" w:eastAsia="仿宋_GB2312" w:cs="仿宋_GB2312"/>
          <w:b w:val="0"/>
          <w:bCs w:val="0"/>
          <w:sz w:val="32"/>
          <w:szCs w:val="32"/>
          <w:lang w:val="en-US" w:eastAsia="zh-CN"/>
        </w:rPr>
        <w:t>8</w:t>
      </w:r>
      <w:r>
        <w:rPr>
          <w:rStyle w:val="209"/>
          <w:rFonts w:hint="eastAsia" w:ascii="Times New Roman" w:hAnsi="Times New Roman" w:eastAsia="仿宋_GB2312" w:cs="仿宋_GB2312"/>
          <w:b w:val="0"/>
          <w:bCs w:val="0"/>
          <w:sz w:val="32"/>
          <w:szCs w:val="32"/>
        </w:rPr>
        <w:t>）：支出决算为0.59万元，完成预算100%，决算数与预算数持平。</w:t>
      </w:r>
    </w:p>
    <w:p w14:paraId="0DC202F2">
      <w:pPr>
        <w:spacing w:line="560" w:lineRule="exact"/>
        <w:ind w:firstLine="632"/>
        <w:rPr>
          <w:rFonts w:hint="eastAsia" w:ascii="Times New Roman" w:hAnsi="Times New Roman" w:eastAsia="仿宋_GB2312" w:cs="仿宋_GB2312"/>
          <w:sz w:val="32"/>
          <w:szCs w:val="32"/>
        </w:rPr>
      </w:pPr>
      <w:r>
        <w:rPr>
          <w:rStyle w:val="209"/>
          <w:rFonts w:hint="eastAsia" w:ascii="Times New Roman" w:hAnsi="Times New Roman" w:eastAsia="仿宋_GB2312" w:cs="仿宋_GB2312"/>
          <w:b w:val="0"/>
          <w:bCs w:val="0"/>
          <w:sz w:val="32"/>
          <w:szCs w:val="32"/>
        </w:rPr>
        <w:t>2、社会保障和就业（208）人力资源和社会保障管理事务（01）事业运行（50）：支出决算为129.85万元，完成预算100%，决算数与预算数持平。</w:t>
      </w:r>
    </w:p>
    <w:p w14:paraId="3A81B068">
      <w:pPr>
        <w:spacing w:line="560" w:lineRule="exact"/>
        <w:ind w:firstLine="632"/>
        <w:rPr>
          <w:rStyle w:val="209"/>
          <w:rFonts w:hint="eastAsia" w:ascii="Times New Roman" w:hAnsi="Times New Roman" w:eastAsia="仿宋_GB2312" w:cs="仿宋_GB2312"/>
          <w:b w:val="0"/>
          <w:bCs w:val="0"/>
          <w:sz w:val="32"/>
          <w:szCs w:val="32"/>
        </w:rPr>
      </w:pPr>
      <w:r>
        <w:rPr>
          <w:rStyle w:val="209"/>
          <w:rFonts w:hint="eastAsia" w:ascii="Times New Roman" w:hAnsi="Times New Roman" w:eastAsia="仿宋_GB2312" w:cs="仿宋_GB2312"/>
          <w:b w:val="0"/>
          <w:bCs w:val="0"/>
          <w:sz w:val="32"/>
          <w:szCs w:val="32"/>
        </w:rPr>
        <w:t>3、社会保障和就业（208）人力资源和社会保障管理事务（01）其他人力资源和社会保障管理事务支出（99）：支出决算为49.7万元，完成预算100%，决算数与预算数持平。</w:t>
      </w:r>
    </w:p>
    <w:p w14:paraId="3F2E4244">
      <w:pPr>
        <w:pStyle w:val="191"/>
        <w:rPr>
          <w:rFonts w:hint="eastAsia" w:ascii="Times New Roman" w:hAnsi="Times New Roman" w:eastAsia="仿宋_GB2312" w:cs="仿宋_GB2312"/>
          <w:sz w:val="32"/>
          <w:szCs w:val="32"/>
        </w:rPr>
      </w:pPr>
    </w:p>
    <w:p w14:paraId="185E4743">
      <w:pPr>
        <w:pStyle w:val="191"/>
        <w:spacing w:line="360" w:lineRule="auto"/>
        <w:ind w:firstLine="632"/>
        <w:rPr>
          <w:rStyle w:val="209"/>
          <w:rFonts w:hint="eastAsia" w:ascii="Times New Roman" w:hAnsi="Times New Roman" w:eastAsia="仿宋_GB2312" w:cs="仿宋_GB2312"/>
          <w:b w:val="0"/>
          <w:bCs w:val="0"/>
          <w:sz w:val="32"/>
          <w:szCs w:val="32"/>
        </w:rPr>
      </w:pPr>
      <w:r>
        <w:rPr>
          <w:rStyle w:val="209"/>
          <w:rFonts w:hint="eastAsia" w:ascii="Times New Roman" w:hAnsi="Times New Roman" w:eastAsia="仿宋_GB2312" w:cs="仿宋_GB2312"/>
          <w:b w:val="0"/>
          <w:bCs w:val="0"/>
          <w:sz w:val="32"/>
          <w:szCs w:val="32"/>
        </w:rPr>
        <w:t>4、社会保障和就业（208）行政事业单位养老支出（05）其他机关事业单位基本养老保险缴费支出（05）：支出决算为16.15万元，完成预算100%，决算数与预算数持平。</w:t>
      </w:r>
    </w:p>
    <w:p w14:paraId="667B0FE4">
      <w:pPr>
        <w:pStyle w:val="191"/>
        <w:spacing w:line="360" w:lineRule="auto"/>
        <w:ind w:firstLine="632"/>
        <w:rPr>
          <w:rStyle w:val="209"/>
          <w:rFonts w:hint="eastAsia" w:ascii="Times New Roman" w:hAnsi="Times New Roman" w:eastAsia="仿宋_GB2312" w:cs="仿宋_GB2312"/>
          <w:b w:val="0"/>
          <w:bCs w:val="0"/>
          <w:sz w:val="32"/>
          <w:szCs w:val="32"/>
        </w:rPr>
      </w:pPr>
      <w:r>
        <w:rPr>
          <w:rStyle w:val="209"/>
          <w:rFonts w:hint="eastAsia" w:ascii="Times New Roman" w:hAnsi="Times New Roman" w:eastAsia="仿宋_GB2312" w:cs="仿宋_GB2312"/>
          <w:b w:val="0"/>
          <w:bCs w:val="0"/>
          <w:sz w:val="32"/>
          <w:szCs w:val="32"/>
        </w:rPr>
        <w:t>5、社会保障和就业（208）行政事业单位养老支出（05）事业单位离退休（</w:t>
      </w:r>
      <w:r>
        <w:rPr>
          <w:rStyle w:val="209"/>
          <w:rFonts w:hint="eastAsia" w:ascii="Times New Roman" w:hAnsi="Times New Roman" w:eastAsia="仿宋_GB2312" w:cs="仿宋_GB2312"/>
          <w:b w:val="0"/>
          <w:bCs w:val="0"/>
          <w:sz w:val="32"/>
          <w:szCs w:val="32"/>
          <w:lang w:val="en-US" w:eastAsia="zh-CN"/>
        </w:rPr>
        <w:t>02</w:t>
      </w:r>
      <w:r>
        <w:rPr>
          <w:rStyle w:val="209"/>
          <w:rFonts w:hint="eastAsia" w:ascii="Times New Roman" w:hAnsi="Times New Roman" w:eastAsia="仿宋_GB2312" w:cs="仿宋_GB2312"/>
          <w:b w:val="0"/>
          <w:bCs w:val="0"/>
          <w:sz w:val="32"/>
          <w:szCs w:val="32"/>
        </w:rPr>
        <w:t>）：支出决算为1.1万元，完成预算100%，决算数与预算数持平。</w:t>
      </w:r>
    </w:p>
    <w:p w14:paraId="5219A257">
      <w:pPr>
        <w:pStyle w:val="191"/>
        <w:spacing w:line="360" w:lineRule="auto"/>
        <w:ind w:firstLine="632"/>
        <w:rPr>
          <w:rFonts w:hint="eastAsia" w:ascii="Times New Roman" w:hAnsi="Times New Roman" w:eastAsia="仿宋_GB2312" w:cs="仿宋_GB2312"/>
          <w:sz w:val="32"/>
          <w:szCs w:val="32"/>
        </w:rPr>
      </w:pPr>
      <w:r>
        <w:rPr>
          <w:rStyle w:val="209"/>
          <w:rFonts w:hint="eastAsia" w:ascii="Times New Roman" w:hAnsi="Times New Roman" w:eastAsia="仿宋_GB2312" w:cs="仿宋_GB2312"/>
          <w:b w:val="0"/>
          <w:bCs w:val="0"/>
          <w:sz w:val="32"/>
          <w:szCs w:val="32"/>
        </w:rPr>
        <w:t>6、社会保障和就业（208）就业补助（07）其他就业补助支出（99）：支出决算为92.84万元，完成预算100%，决算数与预算数持平。</w:t>
      </w:r>
    </w:p>
    <w:p w14:paraId="7301B952">
      <w:pPr>
        <w:pStyle w:val="191"/>
        <w:spacing w:line="360" w:lineRule="auto"/>
        <w:ind w:firstLine="632"/>
        <w:rPr>
          <w:rFonts w:hint="eastAsia" w:ascii="Times New Roman" w:hAnsi="Times New Roman" w:eastAsia="仿宋_GB2312" w:cs="仿宋_GB2312"/>
          <w:sz w:val="32"/>
          <w:szCs w:val="32"/>
        </w:rPr>
      </w:pPr>
      <w:r>
        <w:rPr>
          <w:rStyle w:val="209"/>
          <w:rFonts w:hint="eastAsia" w:ascii="Times New Roman" w:hAnsi="Times New Roman" w:eastAsia="仿宋_GB2312" w:cs="仿宋_GB2312"/>
          <w:b w:val="0"/>
          <w:bCs w:val="0"/>
          <w:sz w:val="32"/>
          <w:szCs w:val="32"/>
        </w:rPr>
        <w:t>7、社会保障和就业（208）其他社会保障和就业支出（99）其他社会保障和就业支出（99）：支出决算为1.07万元，完成预算100%，决算数与预算数持平。</w:t>
      </w:r>
    </w:p>
    <w:p w14:paraId="53308577">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8、卫生健康</w:t>
      </w:r>
      <w:r>
        <w:rPr>
          <w:rStyle w:val="209"/>
          <w:rFonts w:hint="eastAsia" w:ascii="Times New Roman" w:hAnsi="Times New Roman" w:eastAsia="仿宋_GB2312" w:cs="仿宋_GB2312"/>
          <w:b w:val="0"/>
          <w:bCs w:val="0"/>
          <w:sz w:val="32"/>
          <w:szCs w:val="32"/>
        </w:rPr>
        <w:t>（210）行政事业单位医疗（11）事业单位医疗02）：支出决算为6.07万元，完成预算100%，决算数与预算数持平。</w:t>
      </w:r>
    </w:p>
    <w:p w14:paraId="3E97015B">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9、住房保障支出</w:t>
      </w:r>
      <w:r>
        <w:rPr>
          <w:rStyle w:val="209"/>
          <w:rFonts w:hint="eastAsia" w:ascii="Times New Roman" w:hAnsi="Times New Roman" w:eastAsia="仿宋_GB2312" w:cs="仿宋_GB2312"/>
          <w:b w:val="0"/>
          <w:bCs w:val="0"/>
          <w:sz w:val="32"/>
          <w:szCs w:val="32"/>
        </w:rPr>
        <w:t>（221）住房改革支出（02）住房公积金（01）：支出决算为11.73万元，完成预算100%，决算数与预算数持平。</w:t>
      </w:r>
    </w:p>
    <w:p w14:paraId="72CD1436">
      <w:pPr>
        <w:tabs>
          <w:tab w:val="right" w:pos="8306"/>
        </w:tabs>
        <w:spacing w:line="560" w:lineRule="exact"/>
        <w:ind w:firstLine="640"/>
        <w:outlineLvl w:val="1"/>
        <w:rPr>
          <w:rStyle w:val="194"/>
          <w:rFonts w:ascii="Times New Roman" w:hAnsi="Times New Roman"/>
          <w:b w:val="0"/>
          <w:i w:val="0"/>
        </w:rPr>
      </w:pPr>
      <w:bookmarkStart w:id="43" w:name="_Toc15396608"/>
      <w:bookmarkStart w:id="44" w:name="_Toc15377214"/>
      <w:bookmarkStart w:id="45" w:name="_Toc8519"/>
      <w:r>
        <w:rPr>
          <w:rFonts w:eastAsia="黑体"/>
          <w:szCs w:val="32"/>
        </w:rPr>
        <w:t>六、一</w:t>
      </w:r>
      <w:r>
        <w:rPr>
          <w:rStyle w:val="194"/>
          <w:rFonts w:ascii="Times New Roman" w:hAnsi="Times New Roman" w:eastAsia="黑体"/>
          <w:b w:val="0"/>
          <w:i w:val="0"/>
        </w:rPr>
        <w:t>般公共预算财政拨款基本支出决算情况说明</w:t>
      </w:r>
      <w:bookmarkEnd w:id="43"/>
      <w:bookmarkEnd w:id="44"/>
      <w:bookmarkEnd w:id="45"/>
      <w:r>
        <w:rPr>
          <w:rStyle w:val="194"/>
          <w:rFonts w:ascii="Times New Roman" w:hAnsi="Times New Roman" w:eastAsia="黑体"/>
          <w:b w:val="0"/>
          <w:i w:val="0"/>
        </w:rPr>
        <w:tab/>
      </w:r>
    </w:p>
    <w:p w14:paraId="1B2D33E3">
      <w:pPr>
        <w:spacing w:line="560" w:lineRule="exact"/>
        <w:ind w:firstLine="645"/>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年度一般公共预算财政拨款基本支出</w:t>
      </w:r>
      <w:r>
        <w:rPr>
          <w:rFonts w:hint="eastAsia" w:ascii="Times New Roman" w:hAnsi="Times New Roman" w:eastAsia="仿宋_GB2312" w:cs="仿宋_GB2312"/>
          <w:sz w:val="32"/>
          <w:szCs w:val="32"/>
          <w:lang w:val="en-US" w:eastAsia="zh-CN"/>
        </w:rPr>
        <w:t>170.69</w:t>
      </w:r>
      <w:r>
        <w:rPr>
          <w:rFonts w:hint="eastAsia" w:ascii="Times New Roman" w:hAnsi="Times New Roman" w:eastAsia="仿宋_GB2312" w:cs="仿宋_GB2312"/>
          <w:sz w:val="32"/>
          <w:szCs w:val="32"/>
        </w:rPr>
        <w:t>万元，其中：</w:t>
      </w:r>
    </w:p>
    <w:p w14:paraId="4CDFE053">
      <w:pPr>
        <w:spacing w:line="560" w:lineRule="exact"/>
        <w:ind w:firstLine="645"/>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人员经费</w:t>
      </w:r>
      <w:r>
        <w:rPr>
          <w:rFonts w:hint="eastAsia" w:ascii="Times New Roman" w:hAnsi="Times New Roman" w:eastAsia="仿宋_GB2312" w:cs="仿宋_GB2312"/>
          <w:sz w:val="32"/>
          <w:szCs w:val="32"/>
          <w:lang w:val="en-US" w:eastAsia="zh-CN"/>
        </w:rPr>
        <w:t>152.37</w:t>
      </w:r>
      <w:r>
        <w:rPr>
          <w:rFonts w:hint="eastAsia" w:ascii="Times New Roman" w:hAnsi="Times New Roman" w:eastAsia="仿宋_GB2312" w:cs="仿宋_GB2312"/>
          <w:sz w:val="32"/>
          <w:szCs w:val="32"/>
        </w:rPr>
        <w:t>万元，主要包括：基本工资、津贴补贴、绩效工资、机关事业单位基本养老保险缴费、职工基本医疗保险缴费、其他社会保障缴费、其他工资福利支出、住房公积金、其他对个人和家庭的补助支出等。</w:t>
      </w:r>
    </w:p>
    <w:p w14:paraId="17C7D945">
      <w:pPr>
        <w:spacing w:line="560" w:lineRule="exact"/>
        <w:ind w:firstLine="645"/>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公用经费1</w:t>
      </w:r>
      <w:r>
        <w:rPr>
          <w:rFonts w:hint="eastAsia" w:ascii="Times New Roman" w:hAnsi="Times New Roman" w:eastAsia="仿宋_GB2312" w:cs="仿宋_GB2312"/>
          <w:sz w:val="32"/>
          <w:szCs w:val="32"/>
          <w:lang w:val="en-US" w:eastAsia="zh-CN"/>
        </w:rPr>
        <w:t>8.32</w:t>
      </w:r>
      <w:r>
        <w:rPr>
          <w:rFonts w:hint="eastAsia" w:ascii="Times New Roman" w:hAnsi="Times New Roman" w:eastAsia="仿宋_GB2312" w:cs="仿宋_GB2312"/>
          <w:sz w:val="32"/>
          <w:szCs w:val="32"/>
        </w:rPr>
        <w:t>万元，主要包括：办公费、印刷费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水费、电费、邮电费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差旅费、维修（护）费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公务接待费、劳务费</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工会经费、福利费、公务用车运行维护费、其他商品和服务支出等。</w:t>
      </w:r>
    </w:p>
    <w:p w14:paraId="227E3ECF">
      <w:pPr>
        <w:spacing w:line="560" w:lineRule="exact"/>
        <w:ind w:firstLine="640"/>
        <w:outlineLvl w:val="1"/>
        <w:rPr>
          <w:rStyle w:val="194"/>
          <w:rFonts w:hint="eastAsia" w:ascii="黑体" w:hAnsi="黑体" w:eastAsia="黑体" w:cs="黑体"/>
          <w:b w:val="0"/>
          <w:i w:val="0"/>
        </w:rPr>
      </w:pPr>
      <w:bookmarkStart w:id="46" w:name="_Toc15396609"/>
      <w:bookmarkStart w:id="47" w:name="_Toc15377215"/>
      <w:bookmarkStart w:id="48" w:name="_Toc30667"/>
      <w:r>
        <w:rPr>
          <w:rFonts w:hint="eastAsia" w:ascii="黑体" w:hAnsi="黑体" w:eastAsia="黑体" w:cs="黑体"/>
          <w:szCs w:val="32"/>
        </w:rPr>
        <w:t>七、</w:t>
      </w:r>
      <w:r>
        <w:rPr>
          <w:rStyle w:val="194"/>
          <w:rFonts w:hint="eastAsia" w:ascii="黑体" w:hAnsi="黑体" w:eastAsia="黑体" w:cs="黑体"/>
          <w:b w:val="0"/>
          <w:i w:val="0"/>
        </w:rPr>
        <w:t>财政拨款“三公”经费支出决算情况说明</w:t>
      </w:r>
      <w:bookmarkEnd w:id="46"/>
      <w:bookmarkEnd w:id="47"/>
      <w:bookmarkEnd w:id="48"/>
    </w:p>
    <w:p w14:paraId="6160F652">
      <w:pPr>
        <w:spacing w:line="560" w:lineRule="exact"/>
        <w:ind w:firstLine="632"/>
        <w:jc w:val="left"/>
        <w:outlineLvl w:val="2"/>
        <w:rPr>
          <w:rFonts w:hint="eastAsia" w:ascii="楷体_GB2312" w:hAnsi="楷体_GB2312" w:eastAsia="楷体_GB2312" w:cs="楷体_GB2312"/>
          <w:b w:val="0"/>
          <w:bCs w:val="0"/>
          <w:szCs w:val="32"/>
        </w:rPr>
      </w:pPr>
      <w:bookmarkStart w:id="49" w:name="_Toc1959"/>
      <w:bookmarkStart w:id="50" w:name="_Toc15377216"/>
      <w:r>
        <w:rPr>
          <w:rFonts w:hint="eastAsia" w:ascii="楷体_GB2312" w:hAnsi="楷体_GB2312" w:eastAsia="楷体_GB2312" w:cs="楷体_GB2312"/>
          <w:b w:val="0"/>
          <w:bCs w:val="0"/>
          <w:szCs w:val="32"/>
        </w:rPr>
        <w:t>（一）“三公”经费财政拨款支出决算总体情况说明</w:t>
      </w:r>
      <w:bookmarkEnd w:id="49"/>
      <w:bookmarkEnd w:id="50"/>
    </w:p>
    <w:p w14:paraId="58C0A268">
      <w:pPr>
        <w:spacing w:line="56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年度“三公”经费财政拨款支出决算为5.0</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万元，完成预算100%，较上年度减少0.</w:t>
      </w:r>
      <w:r>
        <w:rPr>
          <w:rFonts w:hint="eastAsia" w:ascii="Times New Roman" w:hAnsi="Times New Roman" w:eastAsia="仿宋_GB2312" w:cs="仿宋_GB2312"/>
          <w:sz w:val="32"/>
          <w:szCs w:val="32"/>
          <w:lang w:val="en-US" w:eastAsia="zh-CN"/>
        </w:rPr>
        <w:t>08</w:t>
      </w:r>
      <w:r>
        <w:rPr>
          <w:rFonts w:hint="eastAsia" w:ascii="Times New Roman" w:hAnsi="Times New Roman" w:eastAsia="仿宋_GB2312" w:cs="仿宋_GB2312"/>
          <w:sz w:val="32"/>
          <w:szCs w:val="32"/>
        </w:rPr>
        <w:t>万元，下降</w:t>
      </w:r>
      <w:r>
        <w:rPr>
          <w:rFonts w:hint="eastAsia" w:ascii="Times New Roman" w:hAnsi="Times New Roman" w:eastAsia="仿宋_GB2312" w:cs="仿宋_GB2312"/>
          <w:sz w:val="32"/>
          <w:szCs w:val="32"/>
          <w:lang w:val="en-US" w:eastAsia="zh-CN"/>
        </w:rPr>
        <w:t>1.67</w:t>
      </w:r>
      <w:r>
        <w:rPr>
          <w:rFonts w:hint="eastAsia" w:ascii="Times New Roman" w:hAnsi="Times New Roman" w:eastAsia="仿宋_GB2312" w:cs="仿宋_GB2312"/>
          <w:sz w:val="32"/>
          <w:szCs w:val="32"/>
        </w:rPr>
        <w:t>%。决算数与预算数持平。</w:t>
      </w:r>
    </w:p>
    <w:p w14:paraId="6956EAAE">
      <w:pPr>
        <w:spacing w:line="560" w:lineRule="exact"/>
        <w:ind w:firstLine="632"/>
        <w:jc w:val="left"/>
        <w:outlineLvl w:val="2"/>
        <w:rPr>
          <w:rFonts w:hint="eastAsia" w:ascii="楷体_GB2312" w:hAnsi="楷体_GB2312" w:eastAsia="楷体_GB2312" w:cs="楷体_GB2312"/>
          <w:b w:val="0"/>
          <w:bCs w:val="0"/>
          <w:szCs w:val="32"/>
        </w:rPr>
      </w:pPr>
      <w:bookmarkStart w:id="51" w:name="_Toc31883"/>
      <w:bookmarkStart w:id="52" w:name="_Toc15377217"/>
      <w:r>
        <w:rPr>
          <w:rFonts w:hint="eastAsia" w:ascii="楷体_GB2312" w:hAnsi="楷体_GB2312" w:eastAsia="楷体_GB2312" w:cs="楷体_GB2312"/>
          <w:b w:val="0"/>
          <w:bCs w:val="0"/>
          <w:szCs w:val="32"/>
        </w:rPr>
        <w:t>（二）“三公”经费财政拨款支出决算具体情况说明</w:t>
      </w:r>
      <w:bookmarkEnd w:id="51"/>
      <w:bookmarkEnd w:id="52"/>
    </w:p>
    <w:p w14:paraId="7F6DE4FA">
      <w:pPr>
        <w:spacing w:line="560" w:lineRule="exact"/>
        <w:ind w:firstLine="64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年度“三公”经费财政拨款支出决算中，因公出国（境）费支出决算0万元，占</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0%；公务用车购置及运行维护费支出决算4.</w:t>
      </w:r>
      <w:r>
        <w:rPr>
          <w:rFonts w:hint="eastAsia" w:ascii="Times New Roman" w:hAnsi="Times New Roman" w:eastAsia="仿宋_GB2312" w:cs="仿宋_GB2312"/>
          <w:sz w:val="32"/>
          <w:szCs w:val="32"/>
          <w:lang w:val="en-US" w:eastAsia="zh-CN"/>
        </w:rPr>
        <w:t>72</w:t>
      </w:r>
      <w:r>
        <w:rPr>
          <w:rFonts w:hint="eastAsia" w:ascii="Times New Roman" w:hAnsi="Times New Roman" w:eastAsia="仿宋_GB2312" w:cs="仿宋_GB2312"/>
          <w:sz w:val="32"/>
          <w:szCs w:val="32"/>
        </w:rPr>
        <w:t>万元，占9</w:t>
      </w:r>
      <w:r>
        <w:rPr>
          <w:rFonts w:hint="eastAsia" w:ascii="Times New Roman" w:hAnsi="Times New Roman" w:eastAsia="仿宋_GB2312" w:cs="仿宋_GB2312"/>
          <w:sz w:val="32"/>
          <w:szCs w:val="32"/>
          <w:lang w:val="en-US" w:eastAsia="zh-CN"/>
        </w:rPr>
        <w:t>4.21</w:t>
      </w:r>
      <w:r>
        <w:rPr>
          <w:rFonts w:hint="eastAsia" w:ascii="Times New Roman" w:hAnsi="Times New Roman" w:eastAsia="仿宋_GB2312" w:cs="仿宋_GB2312"/>
          <w:sz w:val="32"/>
          <w:szCs w:val="32"/>
        </w:rPr>
        <w:t>%；公务接待费支出决算0.</w:t>
      </w:r>
      <w:r>
        <w:rPr>
          <w:rFonts w:hint="eastAsia" w:ascii="Times New Roman" w:hAnsi="Times New Roman" w:eastAsia="仿宋_GB2312" w:cs="仿宋_GB2312"/>
          <w:sz w:val="32"/>
          <w:szCs w:val="32"/>
          <w:lang w:val="en-US" w:eastAsia="zh-CN"/>
        </w:rPr>
        <w:t>29</w:t>
      </w:r>
      <w:r>
        <w:rPr>
          <w:rFonts w:hint="eastAsia" w:ascii="Times New Roman" w:hAnsi="Times New Roman" w:eastAsia="仿宋_GB2312" w:cs="仿宋_GB2312"/>
          <w:sz w:val="32"/>
          <w:szCs w:val="32"/>
        </w:rPr>
        <w:t>万元，占</w:t>
      </w:r>
      <w:r>
        <w:rPr>
          <w:rFonts w:hint="eastAsia" w:ascii="Times New Roman" w:hAnsi="Times New Roman" w:eastAsia="仿宋_GB2312" w:cs="仿宋_GB2312"/>
          <w:sz w:val="32"/>
          <w:szCs w:val="32"/>
          <w:lang w:val="en-US" w:eastAsia="zh-CN"/>
        </w:rPr>
        <w:t>5.79</w:t>
      </w:r>
      <w:r>
        <w:rPr>
          <w:rFonts w:hint="eastAsia" w:ascii="Times New Roman" w:hAnsi="Times New Roman" w:eastAsia="仿宋_GB2312" w:cs="仿宋_GB2312"/>
          <w:sz w:val="32"/>
          <w:szCs w:val="32"/>
        </w:rPr>
        <w:t>%。具体情况如下：</w:t>
      </w:r>
    </w:p>
    <w:p w14:paraId="1077CC60">
      <w:pPr>
        <w:pStyle w:val="192"/>
        <w:ind w:firstLine="0"/>
        <w:jc w:val="center"/>
        <w:rPr>
          <w:rFonts w:ascii="Times New Roman"/>
        </w:rPr>
      </w:pPr>
    </w:p>
    <w:p w14:paraId="2AED419B">
      <w:pPr>
        <w:pStyle w:val="192"/>
        <w:ind w:firstLine="0"/>
        <w:jc w:val="center"/>
        <w:rPr>
          <w:rFonts w:ascii="Times New Roman"/>
        </w:rPr>
      </w:pPr>
    </w:p>
    <w:p w14:paraId="72D16001">
      <w:pPr>
        <w:pStyle w:val="192"/>
        <w:ind w:firstLine="0"/>
        <w:jc w:val="center"/>
        <w:rPr>
          <w:rFonts w:ascii="Times New Roman"/>
        </w:rPr>
      </w:pPr>
    </w:p>
    <w:p w14:paraId="7931D89E">
      <w:pPr>
        <w:pStyle w:val="192"/>
        <w:ind w:firstLine="0"/>
        <w:jc w:val="center"/>
        <w:rPr>
          <w:rFonts w:ascii="Times New Roman"/>
        </w:rPr>
      </w:pPr>
    </w:p>
    <w:p w14:paraId="01414151">
      <w:pPr>
        <w:pStyle w:val="192"/>
        <w:ind w:firstLine="0"/>
        <w:jc w:val="center"/>
        <w:rPr>
          <w:rFonts w:ascii="Times New Roman"/>
        </w:rPr>
      </w:pPr>
      <w:r>
        <w:rPr>
          <w:rFonts w:hint="eastAsia" w:ascii="仿宋" w:hAnsi="仿宋" w:eastAsia="仿宋"/>
          <w:color w:val="000000"/>
          <w:sz w:val="32"/>
          <w:szCs w:val="32"/>
          <w:lang w:eastAsia="zh-CN"/>
        </w:rPr>
        <w:drawing>
          <wp:anchor distT="0" distB="0" distL="114300" distR="114300" simplePos="0" relativeHeight="251662336" behindDoc="0" locked="0" layoutInCell="1" allowOverlap="1">
            <wp:simplePos x="0" y="0"/>
            <wp:positionH relativeFrom="column">
              <wp:posOffset>384810</wp:posOffset>
            </wp:positionH>
            <wp:positionV relativeFrom="paragraph">
              <wp:posOffset>221615</wp:posOffset>
            </wp:positionV>
            <wp:extent cx="4975860" cy="3315970"/>
            <wp:effectExtent l="4445" t="4445" r="10795" b="1333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3DDEF6A">
      <w:pPr>
        <w:pStyle w:val="192"/>
        <w:ind w:firstLine="0"/>
        <w:jc w:val="center"/>
        <w:rPr>
          <w:rFonts w:ascii="Times New Roman"/>
        </w:rPr>
      </w:pPr>
    </w:p>
    <w:p w14:paraId="0F53A4A7">
      <w:pPr>
        <w:pStyle w:val="192"/>
        <w:ind w:firstLine="0"/>
        <w:jc w:val="center"/>
        <w:rPr>
          <w:rFonts w:ascii="Times New Roman"/>
        </w:rPr>
      </w:pPr>
    </w:p>
    <w:p w14:paraId="6E0C0690">
      <w:pPr>
        <w:pStyle w:val="192"/>
        <w:ind w:firstLine="0"/>
        <w:jc w:val="center"/>
        <w:rPr>
          <w:rFonts w:ascii="Times New Roman"/>
        </w:rPr>
      </w:pPr>
    </w:p>
    <w:p w14:paraId="5EFBC5EE">
      <w:pPr>
        <w:pStyle w:val="192"/>
        <w:ind w:firstLine="0"/>
        <w:jc w:val="center"/>
        <w:rPr>
          <w:rFonts w:ascii="Times New Roman"/>
        </w:rPr>
      </w:pPr>
    </w:p>
    <w:p w14:paraId="18A77FF3">
      <w:pPr>
        <w:pStyle w:val="192"/>
        <w:ind w:firstLine="0"/>
        <w:jc w:val="center"/>
        <w:rPr>
          <w:rFonts w:ascii="Times New Roman"/>
        </w:rPr>
      </w:pPr>
    </w:p>
    <w:p w14:paraId="0DC25320">
      <w:pPr>
        <w:pStyle w:val="192"/>
        <w:ind w:firstLine="0"/>
        <w:jc w:val="center"/>
        <w:rPr>
          <w:rFonts w:ascii="Times New Roman"/>
        </w:rPr>
      </w:pPr>
    </w:p>
    <w:p w14:paraId="2A6D614D">
      <w:pPr>
        <w:pStyle w:val="192"/>
        <w:ind w:firstLine="0"/>
        <w:jc w:val="center"/>
        <w:rPr>
          <w:rFonts w:ascii="Times New Roman"/>
        </w:rPr>
      </w:pPr>
    </w:p>
    <w:p w14:paraId="5D478E3F">
      <w:pPr>
        <w:pStyle w:val="192"/>
        <w:ind w:firstLine="0"/>
        <w:jc w:val="center"/>
        <w:rPr>
          <w:rFonts w:ascii="Times New Roman"/>
        </w:rPr>
      </w:pPr>
    </w:p>
    <w:p w14:paraId="49F712B5">
      <w:pPr>
        <w:pStyle w:val="192"/>
        <w:ind w:firstLine="0"/>
        <w:jc w:val="center"/>
        <w:rPr>
          <w:rFonts w:ascii="Times New Roman"/>
        </w:rPr>
      </w:pPr>
    </w:p>
    <w:p w14:paraId="36F59079">
      <w:pPr>
        <w:pStyle w:val="192"/>
        <w:ind w:firstLine="0"/>
        <w:jc w:val="center"/>
        <w:rPr>
          <w:rFonts w:ascii="Times New Roman"/>
        </w:rPr>
      </w:pPr>
    </w:p>
    <w:p w14:paraId="789E17A5">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（图7：“三公”经费财政拨款支出结构）（饼状图）</w:t>
      </w:r>
    </w:p>
    <w:p w14:paraId="2442BE53">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1、因公出国（境）经费支出0万元，</w:t>
      </w:r>
      <w:r>
        <w:rPr>
          <w:rStyle w:val="209"/>
          <w:rFonts w:hint="eastAsia" w:ascii="Times New Roman" w:hAnsi="Times New Roman" w:eastAsia="仿宋_GB2312" w:cs="仿宋_GB2312"/>
          <w:b/>
          <w:bCs/>
          <w:sz w:val="32"/>
          <w:szCs w:val="32"/>
        </w:rPr>
        <w:t>完成预算</w:t>
      </w:r>
      <w:r>
        <w:rPr>
          <w:rStyle w:val="209"/>
          <w:rFonts w:hint="eastAsia" w:ascii="Times New Roman" w:hAnsi="Times New Roman" w:eastAsia="仿宋_GB2312" w:cs="仿宋_GB2312"/>
          <w:b/>
          <w:bCs/>
          <w:sz w:val="32"/>
          <w:szCs w:val="32"/>
          <w:lang w:val="en-US" w:eastAsia="zh-CN"/>
        </w:rPr>
        <w:t>100</w:t>
      </w:r>
      <w:r>
        <w:rPr>
          <w:rStyle w:val="209"/>
          <w:rFonts w:hint="eastAsia" w:ascii="Times New Roman" w:hAnsi="Times New Roman" w:eastAsia="仿宋_GB2312" w:cs="仿宋_GB2312"/>
          <w:b/>
          <w:bCs/>
          <w:sz w:val="32"/>
          <w:szCs w:val="32"/>
        </w:rPr>
        <w:t>%。</w:t>
      </w:r>
      <w:r>
        <w:rPr>
          <w:rFonts w:hint="eastAsia" w:ascii="Times New Roman" w:hAnsi="Times New Roman" w:eastAsia="仿宋_GB2312" w:cs="仿宋_GB2312"/>
          <w:sz w:val="32"/>
          <w:szCs w:val="32"/>
        </w:rPr>
        <w:t>全年安排因公出国（境）团组0次，出国（境）0人。因公出国（境）支出决算</w:t>
      </w:r>
      <w:r>
        <w:rPr>
          <w:rFonts w:hint="eastAsia" w:ascii="Times New Roman" w:hAnsi="Times New Roman" w:eastAsia="仿宋_GB2312" w:cs="仿宋_GB2312"/>
          <w:sz w:val="32"/>
          <w:szCs w:val="32"/>
          <w:lang w:eastAsia="zh-CN"/>
        </w:rPr>
        <w:t>与</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年持平。</w:t>
      </w:r>
    </w:p>
    <w:p w14:paraId="60A63486">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2、公务用车购置及运行维护费支出4.</w:t>
      </w:r>
      <w:r>
        <w:rPr>
          <w:rFonts w:hint="eastAsia" w:ascii="Times New Roman" w:hAnsi="Times New Roman" w:eastAsia="仿宋_GB2312" w:cs="仿宋_GB2312"/>
          <w:b/>
          <w:bCs/>
          <w:sz w:val="32"/>
          <w:szCs w:val="32"/>
          <w:lang w:val="en-US" w:eastAsia="zh-CN"/>
        </w:rPr>
        <w:t>72</w:t>
      </w:r>
      <w:r>
        <w:rPr>
          <w:rFonts w:hint="eastAsia" w:ascii="Times New Roman" w:hAnsi="Times New Roman" w:eastAsia="仿宋_GB2312" w:cs="仿宋_GB2312"/>
          <w:b/>
          <w:bCs/>
          <w:sz w:val="32"/>
          <w:szCs w:val="32"/>
        </w:rPr>
        <w:t>万元,完成预算100%。</w:t>
      </w:r>
      <w:r>
        <w:rPr>
          <w:rFonts w:hint="eastAsia" w:ascii="Times New Roman" w:hAnsi="Times New Roman" w:eastAsia="仿宋_GB2312" w:cs="仿宋_GB2312"/>
          <w:sz w:val="32"/>
          <w:szCs w:val="32"/>
        </w:rPr>
        <w:t>公务用车购置及运行维护费支出决算比202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年度减少0.</w:t>
      </w:r>
      <w:r>
        <w:rPr>
          <w:rFonts w:hint="eastAsia" w:ascii="Times New Roman" w:hAnsi="Times New Roman" w:eastAsia="仿宋_GB2312" w:cs="仿宋_GB2312"/>
          <w:sz w:val="32"/>
          <w:szCs w:val="32"/>
          <w:lang w:val="en-US" w:eastAsia="zh-CN"/>
        </w:rPr>
        <w:t>23</w:t>
      </w:r>
      <w:r>
        <w:rPr>
          <w:rFonts w:hint="eastAsia" w:ascii="Times New Roman" w:hAnsi="Times New Roman" w:eastAsia="仿宋_GB2312" w:cs="仿宋_GB2312"/>
          <w:sz w:val="32"/>
          <w:szCs w:val="32"/>
        </w:rPr>
        <w:t>万元，下降</w:t>
      </w:r>
      <w:r>
        <w:rPr>
          <w:rFonts w:hint="eastAsia" w:ascii="Times New Roman" w:hAnsi="Times New Roman" w:eastAsia="仿宋_GB2312" w:cs="仿宋_GB2312"/>
          <w:sz w:val="32"/>
          <w:szCs w:val="32"/>
          <w:lang w:val="en-US" w:eastAsia="zh-CN"/>
        </w:rPr>
        <w:t>4.59</w:t>
      </w:r>
      <w:r>
        <w:rPr>
          <w:rFonts w:hint="eastAsia" w:ascii="Times New Roman" w:hAnsi="Times New Roman" w:eastAsia="仿宋_GB2312" w:cs="仿宋_GB2312"/>
          <w:sz w:val="32"/>
          <w:szCs w:val="32"/>
        </w:rPr>
        <w:t>%。主要原因是单位</w:t>
      </w:r>
      <w:r>
        <w:rPr>
          <w:rFonts w:hint="eastAsia" w:ascii="Times New Roman" w:hAnsi="Times New Roman" w:eastAsia="仿宋_GB2312" w:cs="仿宋_GB2312"/>
          <w:sz w:val="32"/>
          <w:szCs w:val="32"/>
          <w:lang w:eastAsia="zh-CN"/>
        </w:rPr>
        <w:t>厉行节约</w:t>
      </w:r>
      <w:r>
        <w:rPr>
          <w:rFonts w:hint="eastAsia" w:ascii="Times New Roman" w:hAnsi="Times New Roman" w:eastAsia="仿宋_GB2312" w:cs="仿宋_GB2312"/>
          <w:sz w:val="32"/>
          <w:szCs w:val="32"/>
        </w:rPr>
        <w:t>，缩减开支。</w:t>
      </w:r>
    </w:p>
    <w:p w14:paraId="3CA742B9">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其中：公务用车购置支出0万元。全年按规定更新购置公务用车0辆，其中：轿车0辆、金额0万元，越野车0辆、金额0万元，载客汽车0辆、金额0万元。截至202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年12月31日，单位共有公务用车1辆，其中：轿车1辆、越野车0辆、载客汽车0辆。</w:t>
      </w:r>
    </w:p>
    <w:p w14:paraId="68707AB6">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公务用车运行维护费支出4.</w:t>
      </w:r>
      <w:r>
        <w:rPr>
          <w:rFonts w:hint="eastAsia" w:ascii="Times New Roman" w:hAnsi="Times New Roman" w:eastAsia="仿宋_GB2312" w:cs="仿宋_GB2312"/>
          <w:sz w:val="32"/>
          <w:szCs w:val="32"/>
          <w:lang w:val="en-US" w:eastAsia="zh-CN"/>
        </w:rPr>
        <w:t>72</w:t>
      </w:r>
      <w:r>
        <w:rPr>
          <w:rFonts w:hint="eastAsia" w:ascii="Times New Roman" w:hAnsi="Times New Roman" w:eastAsia="仿宋_GB2312" w:cs="仿宋_GB2312"/>
          <w:sz w:val="32"/>
          <w:szCs w:val="32"/>
        </w:rPr>
        <w:t>万元。主要用于保障单位工作人员执行公务活动、农民工就业创业服务等工作开展所需的公务用车燃料费、维修费、过路过桥费、保险费等支出。</w:t>
      </w:r>
    </w:p>
    <w:p w14:paraId="4814044C">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rPr>
        <w:t>3</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b/>
          <w:bCs/>
          <w:sz w:val="32"/>
          <w:szCs w:val="32"/>
        </w:rPr>
        <w:t>公务接待费支出0.</w:t>
      </w:r>
      <w:r>
        <w:rPr>
          <w:rFonts w:hint="eastAsia" w:ascii="Times New Roman" w:hAnsi="Times New Roman" w:eastAsia="仿宋_GB2312" w:cs="仿宋_GB2312"/>
          <w:b/>
          <w:bCs/>
          <w:sz w:val="32"/>
          <w:szCs w:val="32"/>
          <w:lang w:val="en-US" w:eastAsia="zh-CN"/>
        </w:rPr>
        <w:t>29</w:t>
      </w:r>
      <w:r>
        <w:rPr>
          <w:rFonts w:hint="eastAsia" w:ascii="Times New Roman" w:hAnsi="Times New Roman" w:eastAsia="仿宋_GB2312" w:cs="仿宋_GB2312"/>
          <w:b/>
          <w:bCs/>
          <w:sz w:val="32"/>
          <w:szCs w:val="32"/>
        </w:rPr>
        <w:t>万元，完成预算100%。</w:t>
      </w:r>
      <w:r>
        <w:rPr>
          <w:rFonts w:hint="eastAsia" w:ascii="Times New Roman" w:hAnsi="Times New Roman" w:eastAsia="仿宋_GB2312" w:cs="仿宋_GB2312"/>
          <w:sz w:val="32"/>
          <w:szCs w:val="32"/>
        </w:rPr>
        <w:t>公务接待费支出决算比202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年度</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rPr>
        <w:t>0.</w:t>
      </w: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增长</w:t>
      </w:r>
      <w:r>
        <w:rPr>
          <w:rFonts w:hint="eastAsia" w:ascii="Times New Roman" w:hAnsi="Times New Roman" w:eastAsia="仿宋_GB2312" w:cs="仿宋_GB2312"/>
          <w:sz w:val="32"/>
          <w:szCs w:val="32"/>
          <w:lang w:val="en-US" w:eastAsia="zh-CN"/>
        </w:rPr>
        <w:t>99.44</w:t>
      </w:r>
      <w:r>
        <w:rPr>
          <w:rFonts w:hint="eastAsia" w:ascii="Times New Roman" w:hAnsi="Times New Roman" w:eastAsia="仿宋_GB2312" w:cs="仿宋_GB2312"/>
          <w:sz w:val="32"/>
          <w:szCs w:val="32"/>
        </w:rPr>
        <w:t>%。主要原因是</w:t>
      </w:r>
      <w:r>
        <w:rPr>
          <w:rFonts w:hint="eastAsia" w:ascii="Times New Roman" w:hAnsi="Times New Roman" w:eastAsia="仿宋_GB2312" w:cs="仿宋_GB2312"/>
          <w:sz w:val="32"/>
          <w:szCs w:val="32"/>
          <w:lang w:val="en-US" w:eastAsia="zh-CN"/>
        </w:rPr>
        <w:t>为了做好农民工转移就业，组织跨地区劳务协作交流</w:t>
      </w:r>
      <w:r>
        <w:rPr>
          <w:rFonts w:hint="eastAsia" w:ascii="Times New Roman" w:hAnsi="Times New Roman" w:eastAsia="仿宋_GB2312" w:cs="仿宋_GB2312"/>
          <w:sz w:val="32"/>
          <w:szCs w:val="32"/>
        </w:rPr>
        <w:t>。其中：</w:t>
      </w:r>
    </w:p>
    <w:p w14:paraId="04962A7D">
      <w:pPr>
        <w:spacing w:line="560" w:lineRule="exact"/>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国内公务接待支出0.</w:t>
      </w:r>
      <w:r>
        <w:rPr>
          <w:rFonts w:hint="eastAsia" w:ascii="Times New Roman" w:hAnsi="Times New Roman" w:eastAsia="仿宋_GB2312" w:cs="仿宋_GB2312"/>
          <w:sz w:val="32"/>
          <w:szCs w:val="32"/>
          <w:lang w:val="en-US" w:eastAsia="zh-CN"/>
        </w:rPr>
        <w:t>29</w:t>
      </w:r>
      <w:r>
        <w:rPr>
          <w:rFonts w:hint="eastAsia" w:ascii="Times New Roman" w:hAnsi="Times New Roman" w:eastAsia="仿宋_GB2312" w:cs="仿宋_GB2312"/>
          <w:sz w:val="32"/>
          <w:szCs w:val="32"/>
        </w:rPr>
        <w:t>万元，主要用于上级部门检查、调研、用工企业招工等的交通费、住宿费、用餐费等。国内公务接待2批次，</w:t>
      </w:r>
      <w:r>
        <w:rPr>
          <w:rFonts w:hint="eastAsia" w:ascii="Times New Roman" w:hAnsi="Times New Roman" w:eastAsia="仿宋_GB2312" w:cs="仿宋_GB2312"/>
          <w:sz w:val="32"/>
          <w:szCs w:val="32"/>
          <w:lang w:val="en-US" w:eastAsia="zh-CN"/>
        </w:rPr>
        <w:t>26</w:t>
      </w:r>
      <w:r>
        <w:rPr>
          <w:rFonts w:hint="eastAsia" w:ascii="Times New Roman" w:hAnsi="Times New Roman" w:eastAsia="仿宋_GB2312" w:cs="仿宋_GB2312"/>
          <w:sz w:val="32"/>
          <w:szCs w:val="32"/>
        </w:rPr>
        <w:t>人次（不包括陪同人员），共计支出0.</w:t>
      </w:r>
      <w:r>
        <w:rPr>
          <w:rFonts w:hint="eastAsia" w:ascii="Times New Roman" w:hAnsi="Times New Roman" w:eastAsia="仿宋_GB2312" w:cs="仿宋_GB2312"/>
          <w:sz w:val="32"/>
          <w:szCs w:val="32"/>
          <w:lang w:val="en-US" w:eastAsia="zh-CN"/>
        </w:rPr>
        <w:t>29</w:t>
      </w:r>
      <w:r>
        <w:rPr>
          <w:rFonts w:hint="eastAsia" w:ascii="Times New Roman" w:hAnsi="Times New Roman" w:eastAsia="仿宋_GB2312" w:cs="仿宋_GB2312"/>
          <w:sz w:val="32"/>
          <w:szCs w:val="32"/>
        </w:rPr>
        <w:t>万元，具体内容包括：接待石狮市</w:t>
      </w:r>
      <w:r>
        <w:rPr>
          <w:rFonts w:hint="eastAsia" w:ascii="Times New Roman" w:hAnsi="Times New Roman" w:eastAsia="仿宋_GB2312" w:cs="仿宋_GB2312"/>
          <w:sz w:val="32"/>
          <w:szCs w:val="32"/>
          <w:lang w:val="en-US" w:eastAsia="zh-CN"/>
        </w:rPr>
        <w:t>跨地区劳务协作交流</w:t>
      </w:r>
      <w:r>
        <w:rPr>
          <w:rFonts w:hint="eastAsia" w:ascii="Times New Roman" w:hAnsi="Times New Roman" w:eastAsia="仿宋_GB2312" w:cs="仿宋_GB2312"/>
          <w:sz w:val="32"/>
          <w:szCs w:val="32"/>
        </w:rPr>
        <w:t>一次，金额</w:t>
      </w:r>
      <w:r>
        <w:rPr>
          <w:rFonts w:hint="eastAsia" w:ascii="Times New Roman" w:hAnsi="Times New Roman" w:eastAsia="仿宋_GB2312" w:cs="仿宋_GB2312"/>
          <w:sz w:val="32"/>
          <w:szCs w:val="32"/>
          <w:lang w:val="en-US" w:eastAsia="zh-CN"/>
        </w:rPr>
        <w:t>0.21万</w:t>
      </w:r>
      <w:r>
        <w:rPr>
          <w:rFonts w:hint="eastAsia" w:ascii="Times New Roman" w:hAnsi="Times New Roman" w:eastAsia="仿宋_GB2312" w:cs="仿宋_GB2312"/>
          <w:sz w:val="32"/>
          <w:szCs w:val="32"/>
        </w:rPr>
        <w:t>元；上级部门检查</w:t>
      </w:r>
      <w:r>
        <w:rPr>
          <w:rFonts w:hint="eastAsia" w:ascii="Times New Roman" w:hAnsi="Times New Roman" w:eastAsia="仿宋_GB2312" w:cs="仿宋_GB2312"/>
          <w:sz w:val="32"/>
          <w:szCs w:val="32"/>
          <w:lang w:val="en-US" w:eastAsia="zh-CN"/>
        </w:rPr>
        <w:t>农民工工作</w:t>
      </w:r>
      <w:r>
        <w:rPr>
          <w:rFonts w:hint="eastAsia" w:ascii="Times New Roman" w:hAnsi="Times New Roman" w:eastAsia="仿宋_GB2312" w:cs="仿宋_GB2312"/>
          <w:sz w:val="32"/>
          <w:szCs w:val="32"/>
        </w:rPr>
        <w:t>一次，金额</w:t>
      </w:r>
      <w:r>
        <w:rPr>
          <w:rFonts w:hint="eastAsia" w:ascii="Times New Roman" w:hAnsi="Times New Roman" w:eastAsia="仿宋_GB2312" w:cs="仿宋_GB2312"/>
          <w:sz w:val="32"/>
          <w:szCs w:val="32"/>
          <w:lang w:val="en-US" w:eastAsia="zh-CN"/>
        </w:rPr>
        <w:t>0.08万</w:t>
      </w:r>
      <w:r>
        <w:rPr>
          <w:rFonts w:hint="eastAsia" w:ascii="Times New Roman" w:hAnsi="Times New Roman" w:eastAsia="仿宋_GB2312" w:cs="仿宋_GB2312"/>
          <w:sz w:val="32"/>
          <w:szCs w:val="32"/>
        </w:rPr>
        <w:t>元。</w:t>
      </w:r>
    </w:p>
    <w:p w14:paraId="224AE763">
      <w:pPr>
        <w:spacing w:line="560" w:lineRule="exact"/>
        <w:ind w:firstLine="632"/>
        <w:rPr>
          <w:rFonts w:eastAsia="黑体"/>
          <w:szCs w:val="32"/>
        </w:rPr>
      </w:pPr>
      <w:r>
        <w:rPr>
          <w:rFonts w:hint="eastAsia" w:ascii="Times New Roman" w:hAnsi="Times New Roman" w:eastAsia="仿宋_GB2312" w:cs="仿宋_GB2312"/>
          <w:sz w:val="32"/>
          <w:szCs w:val="32"/>
        </w:rPr>
        <w:t>外事接待支出0万元。外事接待0批次，0人次（不包括陪同人员），共计支出0万元。</w:t>
      </w:r>
      <w:bookmarkStart w:id="53" w:name="_Toc15377218"/>
      <w:bookmarkStart w:id="54" w:name="_Toc15396610"/>
    </w:p>
    <w:p w14:paraId="4A865A4F">
      <w:pPr>
        <w:spacing w:line="560" w:lineRule="exact"/>
        <w:ind w:firstLine="640"/>
        <w:outlineLvl w:val="1"/>
        <w:rPr>
          <w:rStyle w:val="194"/>
          <w:rFonts w:ascii="Times New Roman" w:hAnsi="Times New Roman" w:eastAsia="黑体"/>
          <w:b w:val="0"/>
          <w:i w:val="0"/>
        </w:rPr>
      </w:pPr>
      <w:bookmarkStart w:id="55" w:name="_Toc21605"/>
      <w:r>
        <w:rPr>
          <w:rFonts w:eastAsia="黑体"/>
          <w:szCs w:val="32"/>
        </w:rPr>
        <w:t>八、</w:t>
      </w:r>
      <w:r>
        <w:rPr>
          <w:rStyle w:val="194"/>
          <w:rFonts w:ascii="Times New Roman" w:hAnsi="Times New Roman" w:eastAsia="黑体"/>
          <w:b w:val="0"/>
          <w:i w:val="0"/>
        </w:rPr>
        <w:t>政府性基金预算支出决算情况说明</w:t>
      </w:r>
      <w:bookmarkEnd w:id="53"/>
      <w:bookmarkEnd w:id="54"/>
      <w:bookmarkEnd w:id="55"/>
    </w:p>
    <w:p w14:paraId="754F16CE">
      <w:pPr>
        <w:spacing w:line="560" w:lineRule="exact"/>
        <w:ind w:firstLine="632"/>
        <w:rPr>
          <w:rFonts w:hint="eastAsia" w:ascii="Times New Roman" w:hAnsi="Times New Roman" w:eastAsia="仿宋_GB2312" w:cs="仿宋_GB2312"/>
          <w:sz w:val="32"/>
          <w:szCs w:val="32"/>
          <w:lang w:val="en-US" w:eastAsia="zh-CN"/>
        </w:rPr>
      </w:pPr>
      <w:bookmarkStart w:id="56" w:name="_Toc15396611"/>
      <w:bookmarkStart w:id="57" w:name="_Toc15377219"/>
      <w:r>
        <w:rPr>
          <w:rFonts w:hint="eastAsia" w:ascii="Times New Roman" w:hAnsi="Times New Roman" w:eastAsia="仿宋_GB2312" w:cs="仿宋_GB2312"/>
          <w:sz w:val="32"/>
          <w:szCs w:val="32"/>
          <w:lang w:val="en-US" w:eastAsia="zh-CN"/>
        </w:rPr>
        <w:t>2024年度政府性基金预算财政拨款支出0万元。</w:t>
      </w:r>
    </w:p>
    <w:p w14:paraId="1E13036B">
      <w:pPr>
        <w:spacing w:line="560" w:lineRule="exact"/>
        <w:ind w:firstLine="640"/>
        <w:outlineLvl w:val="1"/>
        <w:rPr>
          <w:rStyle w:val="194"/>
          <w:rFonts w:ascii="Times New Roman" w:hAnsi="Times New Roman" w:eastAsia="黑体"/>
          <w:b w:val="0"/>
          <w:i w:val="0"/>
        </w:rPr>
      </w:pPr>
      <w:bookmarkStart w:id="58" w:name="_Toc32114"/>
      <w:r>
        <w:rPr>
          <w:rStyle w:val="194"/>
          <w:rFonts w:hint="eastAsia" w:ascii="Times New Roman" w:hAnsi="Times New Roman" w:eastAsia="黑体"/>
          <w:b w:val="0"/>
          <w:i w:val="0"/>
          <w:lang w:val="en-US" w:eastAsia="zh-CN"/>
        </w:rPr>
        <w:t>九、</w:t>
      </w:r>
      <w:r>
        <w:rPr>
          <w:rStyle w:val="194"/>
          <w:rFonts w:ascii="Times New Roman" w:hAnsi="Times New Roman" w:eastAsia="黑体"/>
          <w:b w:val="0"/>
          <w:i w:val="0"/>
        </w:rPr>
        <w:t>国有资本经营预算支出决算情况说明</w:t>
      </w:r>
      <w:bookmarkEnd w:id="56"/>
      <w:bookmarkEnd w:id="57"/>
      <w:bookmarkEnd w:id="58"/>
    </w:p>
    <w:p w14:paraId="6DDEB0BC">
      <w:pPr>
        <w:spacing w:line="560" w:lineRule="exact"/>
        <w:ind w:firstLine="632"/>
        <w:rPr>
          <w:rFonts w:hint="eastAsia" w:ascii="Times New Roman" w:hAnsi="Times New Roman" w:eastAsia="仿宋_GB2312" w:cs="仿宋_GB2312"/>
          <w:sz w:val="32"/>
          <w:szCs w:val="32"/>
          <w:lang w:val="en-US" w:eastAsia="zh-CN"/>
        </w:rPr>
      </w:pPr>
      <w:bookmarkStart w:id="59" w:name="_Toc15377221"/>
      <w:bookmarkStart w:id="60" w:name="_Toc15396612"/>
      <w:r>
        <w:rPr>
          <w:rFonts w:hint="eastAsia" w:ascii="Times New Roman" w:hAnsi="Times New Roman" w:eastAsia="仿宋_GB2312" w:cs="仿宋_GB2312"/>
          <w:sz w:val="32"/>
          <w:szCs w:val="32"/>
          <w:lang w:val="en-US" w:eastAsia="zh-CN"/>
        </w:rPr>
        <w:t>2024年度国有资本经营预算财政拨款支出0万元。</w:t>
      </w:r>
    </w:p>
    <w:p w14:paraId="4686EF7D">
      <w:pPr>
        <w:spacing w:line="560" w:lineRule="exact"/>
        <w:ind w:firstLine="640"/>
        <w:outlineLvl w:val="1"/>
        <w:rPr>
          <w:rStyle w:val="194"/>
          <w:rFonts w:hint="eastAsia" w:ascii="Times New Roman" w:hAnsi="Times New Roman" w:eastAsia="黑体"/>
          <w:b w:val="0"/>
          <w:i w:val="0"/>
          <w:lang w:val="en-US" w:eastAsia="zh-CN"/>
        </w:rPr>
      </w:pPr>
      <w:bookmarkStart w:id="61" w:name="_Toc13293"/>
      <w:r>
        <w:rPr>
          <w:rStyle w:val="194"/>
          <w:rFonts w:hint="eastAsia" w:ascii="Times New Roman" w:hAnsi="Times New Roman" w:eastAsia="黑体"/>
          <w:b w:val="0"/>
          <w:i w:val="0"/>
          <w:lang w:val="en-US" w:eastAsia="zh-CN"/>
        </w:rPr>
        <w:t>十、其他重要事项的情况说明</w:t>
      </w:r>
      <w:bookmarkEnd w:id="59"/>
      <w:bookmarkEnd w:id="60"/>
      <w:bookmarkEnd w:id="61"/>
    </w:p>
    <w:p w14:paraId="6D2AF0EA">
      <w:pPr>
        <w:spacing w:line="560" w:lineRule="exact"/>
        <w:ind w:firstLine="632"/>
        <w:jc w:val="left"/>
        <w:outlineLvl w:val="2"/>
        <w:rPr>
          <w:rFonts w:eastAsia="楷体_GB2312"/>
          <w:b w:val="0"/>
          <w:bCs w:val="0"/>
          <w:szCs w:val="32"/>
        </w:rPr>
      </w:pPr>
      <w:bookmarkStart w:id="62" w:name="_Toc15377222"/>
      <w:bookmarkStart w:id="63" w:name="_Toc28998"/>
      <w:r>
        <w:rPr>
          <w:rFonts w:eastAsia="楷体_GB2312"/>
          <w:b w:val="0"/>
          <w:bCs w:val="0"/>
          <w:szCs w:val="32"/>
        </w:rPr>
        <w:t>（一）机关运行经费支出情况</w:t>
      </w:r>
      <w:bookmarkEnd w:id="62"/>
      <w:bookmarkEnd w:id="63"/>
    </w:p>
    <w:p w14:paraId="7DAEF800">
      <w:pPr>
        <w:spacing w:line="600" w:lineRule="exact"/>
        <w:ind w:firstLine="632"/>
        <w:rPr>
          <w:rFonts w:hint="eastAsia" w:ascii="仿宋_GB2312" w:eastAsia="仿宋_GB2312"/>
          <w:color w:val="000000"/>
          <w:sz w:val="32"/>
          <w:szCs w:val="32"/>
          <w:highlight w:val="none"/>
          <w:lang w:eastAsia="zh-CN"/>
        </w:rPr>
      </w:pPr>
      <w:bookmarkStart w:id="64" w:name="_Toc15377223"/>
      <w:r>
        <w:rPr>
          <w:rFonts w:hint="eastAsia" w:ascii="Times New Roman" w:hAnsi="Times New Roman" w:eastAsia="仿宋_GB2312" w:cs="仿宋_GB2312"/>
          <w:sz w:val="32"/>
          <w:szCs w:val="32"/>
          <w:lang w:val="en-US" w:eastAsia="zh-CN"/>
        </w:rPr>
        <w:t>2024年度，农民工服务中心机关运行经费支出0万元。主要原因是区农民工服务中心属事业单位，无机关运行经费。</w:t>
      </w:r>
    </w:p>
    <w:p w14:paraId="134F897D">
      <w:pPr>
        <w:spacing w:line="560" w:lineRule="exact"/>
        <w:ind w:firstLine="632"/>
        <w:jc w:val="left"/>
        <w:outlineLvl w:val="2"/>
        <w:rPr>
          <w:rFonts w:eastAsia="楷体_GB2312"/>
          <w:b w:val="0"/>
          <w:bCs w:val="0"/>
          <w:szCs w:val="32"/>
        </w:rPr>
      </w:pPr>
      <w:bookmarkStart w:id="65" w:name="_Toc30155"/>
      <w:r>
        <w:rPr>
          <w:rFonts w:eastAsia="楷体_GB2312"/>
          <w:b w:val="0"/>
          <w:bCs w:val="0"/>
          <w:szCs w:val="32"/>
        </w:rPr>
        <w:t>（二）政府采购支出情况</w:t>
      </w:r>
      <w:bookmarkEnd w:id="64"/>
      <w:bookmarkEnd w:id="65"/>
    </w:p>
    <w:p w14:paraId="1350B1ED">
      <w:pPr>
        <w:spacing w:line="560" w:lineRule="exact"/>
        <w:ind w:firstLine="632"/>
        <w:rPr>
          <w:szCs w:val="32"/>
        </w:rPr>
      </w:pPr>
      <w:r>
        <w:rPr>
          <w:rFonts w:hint="eastAsia" w:ascii="Times New Roman" w:hAnsi="Times New Roman" w:eastAsia="仿宋_GB2312" w:cs="仿宋_GB2312"/>
          <w:sz w:val="32"/>
          <w:szCs w:val="32"/>
          <w:lang w:val="en-US" w:eastAsia="zh-CN"/>
        </w:rPr>
        <w:t>2024年度，遂宁市安居区农民工服务中心政府采购支出总额0.59万元，其中：政府采购货物支出0.59万元、政府采购工程支出0万元、政府采购服务支出0万元。授予中小企业合同金额0万元，占政府采购支出总额的0%，其中：授予小微企业合同金额0万元，占政府采购支出总额的0%。</w:t>
      </w:r>
    </w:p>
    <w:p w14:paraId="1762E3FB">
      <w:pPr>
        <w:spacing w:line="560" w:lineRule="exact"/>
        <w:ind w:firstLine="632"/>
        <w:jc w:val="left"/>
        <w:outlineLvl w:val="2"/>
        <w:rPr>
          <w:rFonts w:eastAsia="楷体_GB2312"/>
          <w:b w:val="0"/>
          <w:bCs w:val="0"/>
          <w:szCs w:val="32"/>
        </w:rPr>
      </w:pPr>
      <w:bookmarkStart w:id="66" w:name="_Toc15377224"/>
      <w:bookmarkStart w:id="67" w:name="_Toc21952"/>
      <w:r>
        <w:rPr>
          <w:rFonts w:eastAsia="楷体_GB2312"/>
          <w:b w:val="0"/>
          <w:bCs w:val="0"/>
          <w:szCs w:val="32"/>
        </w:rPr>
        <w:t>（三）国有资产占有使用情况</w:t>
      </w:r>
      <w:bookmarkEnd w:id="66"/>
      <w:bookmarkEnd w:id="67"/>
    </w:p>
    <w:p w14:paraId="433034FB">
      <w:pPr>
        <w:spacing w:line="560" w:lineRule="exact"/>
        <w:ind w:firstLine="632"/>
        <w:jc w:val="left"/>
        <w:rPr>
          <w:szCs w:val="32"/>
        </w:rPr>
      </w:pPr>
      <w:r>
        <w:rPr>
          <w:rFonts w:hint="eastAsia" w:ascii="Times New Roman" w:hAnsi="Times New Roman" w:eastAsia="仿宋_GB2312" w:cs="仿宋_GB2312"/>
          <w:sz w:val="32"/>
          <w:szCs w:val="32"/>
          <w:lang w:val="en-US" w:eastAsia="zh-CN"/>
        </w:rPr>
        <w:t>截至2024年12月31日，遂宁市安居区农民工服务中心共有车辆1辆，其中：主要领导干部用车0辆、机要通信用车0辆、应急保障用车0辆、其他用车1辆，其他用车主要是用于保障单位工作人员执行公务活动、农民工就业创业服务等工作。单价100万元以上设备（不含车辆）0台（套）。</w:t>
      </w:r>
    </w:p>
    <w:p w14:paraId="41C04CCD">
      <w:pPr>
        <w:spacing w:line="560" w:lineRule="exact"/>
        <w:ind w:firstLine="632"/>
        <w:jc w:val="left"/>
        <w:outlineLvl w:val="2"/>
        <w:rPr>
          <w:rFonts w:eastAsia="楷体_GB2312"/>
          <w:b w:val="0"/>
          <w:bCs w:val="0"/>
          <w:szCs w:val="32"/>
        </w:rPr>
      </w:pPr>
      <w:bookmarkStart w:id="68" w:name="_Toc17351"/>
      <w:r>
        <w:rPr>
          <w:rFonts w:eastAsia="楷体_GB2312"/>
          <w:b w:val="0"/>
          <w:bCs w:val="0"/>
          <w:szCs w:val="32"/>
        </w:rPr>
        <w:t>（四）预算绩效管理情况</w:t>
      </w:r>
      <w:bookmarkEnd w:id="68"/>
    </w:p>
    <w:p w14:paraId="6481D43C">
      <w:pPr>
        <w:spacing w:line="560" w:lineRule="exact"/>
        <w:ind w:firstLine="632"/>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预算绩效管理要求，本部门在2024年度预算编制阶段，组织对促进农民工稳定就业、维护农民工合法权益等2个项目开展了预算事前绩效评估，对2个项目编制了绩效目标，预算执行过程中，选取2个项目开展绩效监控。</w:t>
      </w:r>
    </w:p>
    <w:p w14:paraId="3A15346B">
      <w:pPr>
        <w:spacing w:line="560" w:lineRule="exact"/>
        <w:ind w:firstLine="632"/>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组织对2024年度一般公共预算、政府性基金预算、国有资本经营预算、社会保险基金预算以及资本资产、债券资金等全面开展绩效自评，形成遂宁市安居区农民工服务中心部门整体（含部门预算项目）绩效自评报告、促进农民工稳定就业、维护农民工合法权益专项预算项目绩效自评报告，其中，遂宁市安居区农民工服务中心部门整体（含部门预算项目）绩效自评得分为97分，绩效自评综述：绩效目标要素完整、绩效指标细化量化。按预定目标完成绩效目标任务，预算编制科学合理，部门公用经费在预定目标中开支，绩效监控结果按预定应用到预算调整中，在执行过程中七八月进度稍有缓慢，部门预算项目年终预算执行按照预定目标完成，部门未出现预算管理方面违纪违规问题，能及时自觉向社会公开部门整体绩效自评情况，对出现的问题能及时反馈及时整改；</w:t>
      </w:r>
      <w:r>
        <w:rPr>
          <w:rFonts w:hint="eastAsia" w:ascii="Times New Roman" w:hAnsi="Times New Roman" w:eastAsia="仿宋_GB2312" w:cs="仿宋_GB2312"/>
          <w:sz w:val="32"/>
          <w:szCs w:val="32"/>
          <w:lang w:val="zh-CN" w:eastAsia="zh-CN"/>
        </w:rPr>
        <w:t>促进农民工稳定就业</w:t>
      </w:r>
      <w:r>
        <w:rPr>
          <w:rFonts w:hint="eastAsia" w:ascii="Times New Roman" w:hAnsi="Times New Roman" w:eastAsia="仿宋_GB2312" w:cs="仿宋_GB2312"/>
          <w:sz w:val="32"/>
          <w:szCs w:val="32"/>
          <w:lang w:val="en-US" w:eastAsia="zh-CN"/>
        </w:rPr>
        <w:t>专项预算项目绩效自评得分为97分，绩效自评综述：按照既定目标有序开展劳务品牌培训，培训230人次。开展跨区域劳务协作3场，大型专项就业服务活动3场。提升农民工就业技能还稍有欠缺，主要是培训人员老龄化，影响了就业率和就业岗位的选择；维护农民工合法权益专项预算项目绩效自评得分为100分，绩效自评综述：为了维护农民工合法权益，建立了驻外农民工服务工作站和村级农民工综合服务站，由于经费有限，站点运转情况稍有欠缺，服务达不到全覆盖。绩效自评报告详见附件。</w:t>
      </w:r>
    </w:p>
    <w:p w14:paraId="1B690E4F">
      <w:pPr>
        <w:pStyle w:val="2"/>
        <w:rPr>
          <w:rFonts w:hint="eastAsia" w:ascii="Times New Roman" w:hAnsi="Times New Roman" w:eastAsia="仿宋_GB2312" w:cs="仿宋_GB2312"/>
          <w:sz w:val="32"/>
          <w:szCs w:val="32"/>
          <w:lang w:val="en-US" w:eastAsia="zh-CN"/>
        </w:rPr>
      </w:pPr>
    </w:p>
    <w:p w14:paraId="3E03268A">
      <w:pPr>
        <w:rPr>
          <w:rFonts w:hint="eastAsia" w:ascii="Times New Roman" w:hAnsi="Times New Roman" w:eastAsia="仿宋_GB2312" w:cs="仿宋_GB2312"/>
          <w:sz w:val="32"/>
          <w:szCs w:val="32"/>
          <w:lang w:val="en-US" w:eastAsia="zh-CN"/>
        </w:rPr>
      </w:pPr>
    </w:p>
    <w:p w14:paraId="4685A969">
      <w:pPr>
        <w:pStyle w:val="2"/>
        <w:rPr>
          <w:rFonts w:hint="eastAsia" w:ascii="Times New Roman" w:hAnsi="Times New Roman" w:eastAsia="仿宋_GB2312" w:cs="仿宋_GB2312"/>
          <w:sz w:val="32"/>
          <w:szCs w:val="32"/>
          <w:lang w:val="en-US" w:eastAsia="zh-CN"/>
        </w:rPr>
      </w:pPr>
    </w:p>
    <w:p w14:paraId="73B6BA19">
      <w:pPr>
        <w:rPr>
          <w:rFonts w:hint="eastAsia" w:ascii="Times New Roman" w:hAnsi="Times New Roman" w:eastAsia="仿宋_GB2312" w:cs="仿宋_GB2312"/>
          <w:sz w:val="32"/>
          <w:szCs w:val="32"/>
          <w:lang w:val="en-US" w:eastAsia="zh-CN"/>
        </w:rPr>
      </w:pPr>
    </w:p>
    <w:p w14:paraId="44F0EF27">
      <w:pPr>
        <w:pStyle w:val="2"/>
        <w:rPr>
          <w:rFonts w:hint="eastAsia" w:ascii="Times New Roman" w:hAnsi="Times New Roman" w:eastAsia="仿宋_GB2312" w:cs="仿宋_GB2312"/>
          <w:sz w:val="32"/>
          <w:szCs w:val="32"/>
          <w:lang w:val="en-US" w:eastAsia="zh-CN"/>
        </w:rPr>
      </w:pPr>
    </w:p>
    <w:p w14:paraId="7ABEC990">
      <w:pPr>
        <w:rPr>
          <w:rFonts w:hint="eastAsia" w:ascii="Times New Roman" w:hAnsi="Times New Roman" w:eastAsia="仿宋_GB2312" w:cs="仿宋_GB2312"/>
          <w:sz w:val="32"/>
          <w:szCs w:val="32"/>
          <w:lang w:val="en-US" w:eastAsia="zh-CN"/>
        </w:rPr>
      </w:pPr>
    </w:p>
    <w:p w14:paraId="612F6A6F">
      <w:pPr>
        <w:pStyle w:val="2"/>
        <w:rPr>
          <w:rFonts w:hint="eastAsia"/>
          <w:lang w:val="en-US" w:eastAsia="zh-CN"/>
        </w:rPr>
      </w:pPr>
    </w:p>
    <w:p w14:paraId="7997E178">
      <w:pPr>
        <w:widowControl/>
        <w:ind w:firstLine="632"/>
        <w:jc w:val="left"/>
        <w:rPr>
          <w:color w:val="FF0000"/>
          <w:szCs w:val="32"/>
        </w:rPr>
      </w:pPr>
    </w:p>
    <w:p w14:paraId="1CC0FF1F">
      <w:pPr>
        <w:spacing w:line="600" w:lineRule="exact"/>
        <w:jc w:val="center"/>
        <w:outlineLvl w:val="0"/>
        <w:rPr>
          <w:rFonts w:eastAsia="方正小标宋简体"/>
          <w:sz w:val="44"/>
          <w:szCs w:val="44"/>
        </w:rPr>
      </w:pPr>
      <w:bookmarkStart w:id="69" w:name="_Toc3245"/>
      <w:bookmarkStart w:id="70" w:name="_Toc15396613"/>
      <w:bookmarkStart w:id="71" w:name="_Toc15377225"/>
    </w:p>
    <w:p w14:paraId="5BAC4DB2">
      <w:pPr>
        <w:spacing w:line="600" w:lineRule="exact"/>
        <w:jc w:val="center"/>
        <w:outlineLvl w:val="0"/>
        <w:rPr>
          <w:rStyle w:val="193"/>
          <w:rFonts w:eastAsia="黑体"/>
          <w:b w:val="0"/>
          <w:bCs w:val="0"/>
        </w:rPr>
      </w:pPr>
      <w:r>
        <w:rPr>
          <w:rFonts w:eastAsia="方正小标宋简体"/>
          <w:sz w:val="44"/>
          <w:szCs w:val="44"/>
        </w:rPr>
        <w:t>第三部分 名</w:t>
      </w:r>
      <w:r>
        <w:rPr>
          <w:rStyle w:val="193"/>
          <w:rFonts w:eastAsia="方正小标宋简体"/>
          <w:b w:val="0"/>
          <w:bCs w:val="0"/>
        </w:rPr>
        <w:t>词解释</w:t>
      </w:r>
      <w:bookmarkEnd w:id="69"/>
      <w:bookmarkEnd w:id="70"/>
      <w:bookmarkEnd w:id="71"/>
    </w:p>
    <w:p w14:paraId="48FD3E65">
      <w:pPr>
        <w:spacing w:line="600" w:lineRule="exact"/>
        <w:jc w:val="left"/>
        <w:rPr>
          <w:sz w:val="44"/>
          <w:szCs w:val="44"/>
        </w:rPr>
      </w:pPr>
    </w:p>
    <w:p w14:paraId="45324B2E">
      <w:pPr>
        <w:pStyle w:val="217"/>
        <w:numPr>
          <w:ilvl w:val="0"/>
          <w:numId w:val="3"/>
        </w:numPr>
        <w:spacing w:line="560" w:lineRule="exact"/>
        <w:ind w:firstLine="632"/>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财政拨款收入：指单位从同级财政部门取得的财政预算资金。</w:t>
      </w:r>
    </w:p>
    <w:p w14:paraId="4664CA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使用非财政拨款结余（含专用结余）：指事业单位使用以前年度积累的非财政拨款结余弥补当年收支差额的金额。 </w:t>
      </w:r>
    </w:p>
    <w:p w14:paraId="76737A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年初结转和结余：指以前年度尚未完成、结转到本年按有关规定继续使用的资金。 </w:t>
      </w:r>
    </w:p>
    <w:p w14:paraId="78CE2B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结余分配：指事业单位按照会计制度规定缴纳的所得税、提取的专用结余以及转入非财政拨款结余的金额等。</w:t>
      </w:r>
    </w:p>
    <w:p w14:paraId="3E6E04A0">
      <w:pPr>
        <w:pStyle w:val="217"/>
        <w:numPr>
          <w:ilvl w:val="0"/>
          <w:numId w:val="0"/>
        </w:numPr>
        <w:spacing w:line="560" w:lineRule="exac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367720D5">
      <w:pPr>
        <w:ind w:firstLine="632"/>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5</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rPr>
        <w:t>社会保障和就业支出（208）人力资源和社会保障管理事务（01）信息化建设（0</w:t>
      </w:r>
      <w:r>
        <w:rPr>
          <w:rFonts w:hint="eastAsia" w:ascii="Times New Roman" w:hAnsi="Times New Roman" w:eastAsia="仿宋_GB2312" w:cs="仿宋_GB2312"/>
          <w:color w:val="000000"/>
          <w:sz w:val="32"/>
          <w:szCs w:val="32"/>
          <w:lang w:val="en-US" w:eastAsia="zh-CN"/>
        </w:rPr>
        <w:t>8</w:t>
      </w:r>
      <w:r>
        <w:rPr>
          <w:rFonts w:hint="eastAsia" w:ascii="Times New Roman" w:hAnsi="Times New Roman" w:eastAsia="仿宋_GB2312" w:cs="仿宋_GB2312"/>
          <w:color w:val="000000"/>
          <w:sz w:val="32"/>
          <w:szCs w:val="32"/>
        </w:rPr>
        <w:t>）：指人力资源和社会保障</w:t>
      </w:r>
      <w:r>
        <w:rPr>
          <w:rFonts w:hint="eastAsia" w:ascii="Times New Roman" w:hAnsi="Times New Roman" w:eastAsia="仿宋_GB2312" w:cs="仿宋_GB2312"/>
          <w:color w:val="000000"/>
          <w:sz w:val="32"/>
          <w:szCs w:val="32"/>
          <w:lang w:eastAsia="zh-CN"/>
        </w:rPr>
        <w:t>部门用于信息化建设、运行维护和数据分析等方面的支出、如金保工程、社会保障卡建设和运行维护、人力资源市场信息化等支出</w:t>
      </w:r>
    </w:p>
    <w:p w14:paraId="5E47DD7D">
      <w:pPr>
        <w:ind w:firstLine="632"/>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、社会保障和就业（208）人力资源和社会保障管理事务（01）事业运行（50）：指</w:t>
      </w:r>
      <w:r>
        <w:rPr>
          <w:rFonts w:hint="eastAsia" w:ascii="Times New Roman" w:hAnsi="Times New Roman" w:eastAsia="仿宋_GB2312" w:cs="仿宋_GB2312"/>
          <w:color w:val="000000"/>
          <w:sz w:val="32"/>
          <w:szCs w:val="32"/>
        </w:rPr>
        <w:t>事业单位的基本支出，不包括行政单位（包括实行公务员管理的事业单位）后勤服务中心、医务室等附属事业单位。</w:t>
      </w:r>
    </w:p>
    <w:p w14:paraId="2C698ECB">
      <w:pPr>
        <w:pStyle w:val="213"/>
        <w:ind w:firstLine="632"/>
        <w:jc w:val="both"/>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lang w:val="en-US" w:eastAsia="zh-CN"/>
        </w:rPr>
        <w:t>7</w:t>
      </w:r>
      <w:r>
        <w:rPr>
          <w:rFonts w:hint="eastAsia" w:ascii="Times New Roman" w:hAnsi="Times New Roman" w:cs="仿宋_GB2312"/>
          <w:color w:val="000000"/>
          <w:sz w:val="32"/>
          <w:szCs w:val="32"/>
          <w:lang w:val="en-US" w:eastAsia="zh-CN"/>
        </w:rPr>
        <w:t>、</w:t>
      </w:r>
      <w:r>
        <w:rPr>
          <w:rFonts w:hint="eastAsia" w:ascii="Times New Roman" w:hAnsi="Times New Roman" w:eastAsia="仿宋_GB2312" w:cs="仿宋_GB2312"/>
          <w:color w:val="000000"/>
          <w:sz w:val="32"/>
          <w:szCs w:val="32"/>
        </w:rPr>
        <w:t>社会保障和就业（208）人力资源和社会保障管理事务（01）其他人力资源和社会保障管理事务支出（99）：</w:t>
      </w:r>
      <w:r>
        <w:rPr>
          <w:rFonts w:hint="eastAsia" w:ascii="Times New Roman" w:hAnsi="Times New Roman" w:eastAsia="仿宋_GB2312" w:cs="仿宋_GB2312"/>
          <w:color w:val="000000"/>
          <w:sz w:val="32"/>
          <w:szCs w:val="32"/>
          <w:lang w:eastAsia="zh-CN"/>
        </w:rPr>
        <w:t>指</w:t>
      </w:r>
      <w:r>
        <w:rPr>
          <w:rFonts w:hint="eastAsia" w:ascii="Times New Roman" w:hAnsi="Times New Roman" w:cs="仿宋_GB2312"/>
          <w:color w:val="000000"/>
          <w:sz w:val="32"/>
          <w:szCs w:val="32"/>
          <w:lang w:eastAsia="zh-CN"/>
        </w:rPr>
        <w:t>其它用于</w:t>
      </w:r>
      <w:r>
        <w:rPr>
          <w:rFonts w:hint="eastAsia" w:ascii="Times New Roman" w:hAnsi="Times New Roman" w:eastAsia="仿宋_GB2312" w:cs="仿宋_GB2312"/>
          <w:color w:val="000000"/>
          <w:sz w:val="32"/>
          <w:szCs w:val="32"/>
        </w:rPr>
        <w:t>人力资源和社会保障管理事务方面的支出。</w:t>
      </w:r>
    </w:p>
    <w:p w14:paraId="4B59227F">
      <w:pPr>
        <w:ind w:firstLine="632"/>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、社会保障和就业（208）行政事业单位养老支出（05）机关事业单位基本养老保险缴费支出（05）：</w:t>
      </w:r>
      <w:r>
        <w:rPr>
          <w:rFonts w:hint="eastAsia" w:ascii="Times New Roman" w:hAnsi="Times New Roman" w:eastAsia="仿宋_GB2312" w:cs="仿宋_GB2312"/>
          <w:color w:val="000000"/>
          <w:sz w:val="32"/>
          <w:szCs w:val="32"/>
        </w:rPr>
        <w:t>指机关事业单位实施养老保险制度由单位缴纳的基本养老保险费支出</w:t>
      </w:r>
      <w:r>
        <w:rPr>
          <w:rFonts w:hint="eastAsia" w:ascii="Times New Roman" w:hAnsi="Times New Roman" w:eastAsia="仿宋_GB2312" w:cs="仿宋_GB2312"/>
          <w:color w:val="000000"/>
          <w:sz w:val="32"/>
          <w:szCs w:val="32"/>
          <w:lang w:eastAsia="zh-CN"/>
        </w:rPr>
        <w:t>。</w:t>
      </w:r>
    </w:p>
    <w:p w14:paraId="5B756269">
      <w:pPr>
        <w:pStyle w:val="27"/>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9</w:t>
      </w:r>
      <w:r>
        <w:rPr>
          <w:rFonts w:hint="eastAsia" w:ascii="Times New Roman" w:hAnsi="Times New Roman" w:cs="仿宋_GB2312"/>
          <w:sz w:val="32"/>
          <w:szCs w:val="32"/>
          <w:lang w:val="en-US" w:eastAsia="zh-CN"/>
        </w:rPr>
        <w:t>、</w:t>
      </w:r>
      <w:r>
        <w:rPr>
          <w:rFonts w:hint="eastAsia" w:ascii="Times New Roman" w:hAnsi="Times New Roman" w:eastAsia="仿宋_GB2312" w:cs="仿宋_GB2312"/>
          <w:sz w:val="32"/>
          <w:szCs w:val="32"/>
        </w:rPr>
        <w:t>社会保障和就业（208）行政事业单位养老支出（05）事业单位离退休（0</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：指事业开支的</w:t>
      </w:r>
      <w:r>
        <w:rPr>
          <w:rFonts w:hint="eastAsia" w:ascii="Times New Roman" w:hAnsi="Times New Roman" w:eastAsia="仿宋_GB2312" w:cs="仿宋_GB2312"/>
          <w:sz w:val="32"/>
          <w:szCs w:val="32"/>
        </w:rPr>
        <w:t>离退休</w:t>
      </w:r>
      <w:r>
        <w:rPr>
          <w:rFonts w:hint="eastAsia" w:ascii="Times New Roman" w:hAnsi="Times New Roman" w:eastAsia="仿宋_GB2312" w:cs="仿宋_GB2312"/>
          <w:sz w:val="32"/>
          <w:szCs w:val="32"/>
          <w:lang w:eastAsia="zh-CN"/>
        </w:rPr>
        <w:t>经费。</w:t>
      </w:r>
    </w:p>
    <w:p w14:paraId="340FC0BF">
      <w:pPr>
        <w:ind w:firstLine="632"/>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、社会保障和就业（208）行政事业单位养老支出（05）其他行政事业单位养老支出（99）：</w:t>
      </w:r>
      <w:r>
        <w:rPr>
          <w:rFonts w:hint="eastAsia" w:ascii="Times New Roman" w:hAnsi="Times New Roman" w:eastAsia="仿宋_GB2312" w:cs="仿宋_GB2312"/>
          <w:color w:val="000000"/>
          <w:sz w:val="32"/>
          <w:szCs w:val="32"/>
        </w:rPr>
        <w:t>指除行政单位离退休、事业单位离退休、离退休人员管理机构、机关事业单位基本养老保险费支出、机关事业单位职业年金缴费支出、对机关事业单位基本养老保险基金的补助、对机关事业单位职业年金的补助项目以外</w:t>
      </w:r>
      <w:r>
        <w:rPr>
          <w:rFonts w:hint="eastAsia" w:ascii="Times New Roman" w:hAnsi="Times New Roman" w:cs="仿宋_GB2312"/>
          <w:color w:val="000000"/>
          <w:sz w:val="32"/>
          <w:szCs w:val="32"/>
          <w:lang w:eastAsia="zh-CN"/>
        </w:rPr>
        <w:t>其它用于</w:t>
      </w:r>
      <w:r>
        <w:rPr>
          <w:rFonts w:hint="eastAsia" w:ascii="Times New Roman" w:hAnsi="Times New Roman" w:eastAsia="仿宋_GB2312" w:cs="仿宋_GB2312"/>
          <w:sz w:val="32"/>
          <w:szCs w:val="32"/>
        </w:rPr>
        <w:t>行政事业单位养老方面的支出。</w:t>
      </w:r>
    </w:p>
    <w:p w14:paraId="41C2B0C4">
      <w:pPr>
        <w:ind w:firstLine="632"/>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、社会保障和就业（208）就业补助（07）其他就业补助支出（99）：</w:t>
      </w:r>
      <w:r>
        <w:rPr>
          <w:rFonts w:hint="eastAsia" w:ascii="Times New Roman" w:hAnsi="Times New Roman" w:eastAsia="仿宋_GB2312" w:cs="仿宋_GB2312"/>
          <w:color w:val="000000"/>
          <w:sz w:val="32"/>
          <w:szCs w:val="32"/>
        </w:rPr>
        <w:t>指除就业创业服务补贴、职业培训补贴、社会保险补贴、公益性岗位补贴、职业技能鉴定补贴、就业见习补贴、高技能人才培养补助、促进创业补贴项目以外按规定确定的</w:t>
      </w:r>
      <w:r>
        <w:rPr>
          <w:rFonts w:hint="eastAsia" w:ascii="Times New Roman" w:hAnsi="Times New Roman" w:cs="仿宋_GB2312"/>
          <w:color w:val="000000"/>
          <w:sz w:val="32"/>
          <w:szCs w:val="32"/>
          <w:lang w:eastAsia="zh-CN"/>
        </w:rPr>
        <w:t>其它用于</w:t>
      </w:r>
      <w:r>
        <w:rPr>
          <w:rFonts w:hint="eastAsia" w:ascii="Times New Roman" w:hAnsi="Times New Roman" w:eastAsia="仿宋_GB2312" w:cs="仿宋_GB2312"/>
          <w:color w:val="000000"/>
          <w:sz w:val="32"/>
          <w:szCs w:val="32"/>
        </w:rPr>
        <w:t>促进就业的补助支出。</w:t>
      </w:r>
    </w:p>
    <w:p w14:paraId="4965D9CC">
      <w:pPr>
        <w:ind w:firstLine="632"/>
        <w:rPr>
          <w:rFonts w:hint="eastAsia" w:ascii="Times New Roman" w:hAnsi="Times New Roman" w:eastAsia="仿宋_GB2312" w:cs="仿宋_GB2312"/>
          <w:color w:val="000000"/>
          <w:sz w:val="32"/>
          <w:szCs w:val="32"/>
        </w:rPr>
      </w:pP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、社会保障和就业（208）其他社会保障和就业支出（99）其他就业补助支出（99）：</w:t>
      </w:r>
      <w:r>
        <w:rPr>
          <w:rFonts w:hint="eastAsia" w:ascii="Times New Roman" w:hAnsi="Times New Roman" w:eastAsia="仿宋_GB2312" w:cs="仿宋_GB2312"/>
          <w:color w:val="000000"/>
          <w:sz w:val="32"/>
          <w:szCs w:val="32"/>
        </w:rPr>
        <w:t>指除指除社会保障和就业支出项目以外</w:t>
      </w:r>
      <w:r>
        <w:rPr>
          <w:rFonts w:hint="eastAsia" w:ascii="Times New Roman" w:hAnsi="Times New Roman" w:cs="仿宋_GB2312"/>
          <w:color w:val="000000"/>
          <w:sz w:val="32"/>
          <w:szCs w:val="32"/>
          <w:lang w:eastAsia="zh-CN"/>
        </w:rPr>
        <w:t>其它用于</w:t>
      </w:r>
      <w:r>
        <w:rPr>
          <w:rFonts w:hint="eastAsia" w:ascii="Times New Roman" w:hAnsi="Times New Roman" w:eastAsia="仿宋_GB2312" w:cs="仿宋_GB2312"/>
          <w:color w:val="000000"/>
          <w:sz w:val="32"/>
          <w:szCs w:val="32"/>
        </w:rPr>
        <w:t>社会保障和就业方面的支出。</w:t>
      </w:r>
    </w:p>
    <w:p w14:paraId="2561846A">
      <w:pPr>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13</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住房保障（210）</w:t>
      </w:r>
      <w:r>
        <w:rPr>
          <w:rFonts w:hint="eastAsia" w:ascii="Times New Roman" w:hAnsi="Times New Roman" w:eastAsia="仿宋_GB2312" w:cs="仿宋_GB2312"/>
          <w:color w:val="000000"/>
          <w:sz w:val="32"/>
          <w:szCs w:val="32"/>
        </w:rPr>
        <w:t>住房改革支出</w:t>
      </w:r>
      <w:r>
        <w:rPr>
          <w:rFonts w:hint="eastAsia" w:ascii="Times New Roman" w:hAnsi="Times New Roman" w:eastAsia="仿宋_GB2312" w:cs="仿宋_GB2312"/>
          <w:sz w:val="32"/>
          <w:szCs w:val="32"/>
        </w:rPr>
        <w:t>（11）</w:t>
      </w:r>
      <w:r>
        <w:rPr>
          <w:rFonts w:hint="eastAsia" w:ascii="Times New Roman" w:hAnsi="Times New Roman" w:eastAsia="仿宋_GB2312" w:cs="仿宋_GB2312"/>
          <w:color w:val="000000"/>
          <w:sz w:val="32"/>
          <w:szCs w:val="32"/>
        </w:rPr>
        <w:t>住房公积金</w:t>
      </w:r>
      <w:r>
        <w:rPr>
          <w:rFonts w:hint="eastAsia" w:ascii="Times New Roman" w:hAnsi="Times New Roman" w:eastAsia="仿宋_GB2312" w:cs="仿宋_GB2312"/>
          <w:sz w:val="32"/>
          <w:szCs w:val="32"/>
        </w:rPr>
        <w:t>（02）：指</w:t>
      </w:r>
      <w:r>
        <w:rPr>
          <w:rFonts w:hint="eastAsia" w:ascii="Times New Roman" w:hAnsi="Times New Roman" w:eastAsia="仿宋_GB2312" w:cs="仿宋_GB2312"/>
          <w:color w:val="000000"/>
          <w:sz w:val="32"/>
          <w:szCs w:val="32"/>
        </w:rPr>
        <w:t>反映行政事业单位按人力资源和社会保障部、财政部规定的基本工资和津贴补贴以及规定比例为职工缴纳的住房公积金</w:t>
      </w:r>
      <w:r>
        <w:rPr>
          <w:rFonts w:hint="eastAsia" w:ascii="Times New Roman" w:hAnsi="Times New Roman" w:eastAsia="仿宋_GB2312" w:cs="仿宋_GB2312"/>
          <w:sz w:val="32"/>
          <w:szCs w:val="32"/>
        </w:rPr>
        <w:t>。</w:t>
      </w:r>
    </w:p>
    <w:p w14:paraId="722F3D41">
      <w:pPr>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、基本支出：指为保障机构正常运转、完成日常工作任务而发生的人员支出和公用支出。</w:t>
      </w:r>
    </w:p>
    <w:p w14:paraId="09CAE5C3">
      <w:pPr>
        <w:ind w:firstLine="632"/>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 xml:space="preserve">、项目支出：指在基本支出之外为完成特定行政任务和事业发展目标所发生的支出。 </w:t>
      </w:r>
    </w:p>
    <w:p w14:paraId="4880C567">
      <w:pPr>
        <w:pStyle w:val="217"/>
        <w:spacing w:line="560" w:lineRule="exact"/>
        <w:ind w:firstLine="632"/>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52E9056">
      <w:pPr>
        <w:pStyle w:val="217"/>
        <w:spacing w:line="560" w:lineRule="exact"/>
        <w:ind w:firstLine="632"/>
        <w:rPr>
          <w:rFonts w:ascii="Times New Roman" w:hAnsi="Times New Roman" w:eastAsia="仿宋_GB2312" w:cs="Times New Roman"/>
          <w:color w:val="000000"/>
          <w:sz w:val="32"/>
          <w:szCs w:val="32"/>
        </w:rPr>
      </w:pPr>
    </w:p>
    <w:p w14:paraId="41264562">
      <w:pPr>
        <w:spacing w:line="600" w:lineRule="exact"/>
        <w:jc w:val="center"/>
        <w:outlineLvl w:val="0"/>
        <w:rPr>
          <w:rFonts w:eastAsia="方正小标宋简体"/>
          <w:sz w:val="44"/>
          <w:szCs w:val="44"/>
        </w:rPr>
      </w:pPr>
      <w:bookmarkStart w:id="72" w:name="_Toc15396614"/>
      <w:bookmarkStart w:id="73" w:name="_Toc766"/>
      <w:bookmarkStart w:id="74" w:name="_Toc15377226"/>
    </w:p>
    <w:p w14:paraId="19FA944D">
      <w:pPr>
        <w:spacing w:line="600" w:lineRule="exact"/>
        <w:jc w:val="center"/>
        <w:outlineLvl w:val="0"/>
        <w:rPr>
          <w:rFonts w:eastAsia="方正小标宋简体"/>
          <w:sz w:val="44"/>
          <w:szCs w:val="44"/>
        </w:rPr>
      </w:pPr>
    </w:p>
    <w:p w14:paraId="3D111E63">
      <w:pPr>
        <w:spacing w:line="600" w:lineRule="exact"/>
        <w:jc w:val="center"/>
        <w:outlineLvl w:val="0"/>
        <w:rPr>
          <w:rFonts w:eastAsia="方正小标宋简体"/>
          <w:sz w:val="44"/>
          <w:szCs w:val="44"/>
        </w:rPr>
      </w:pPr>
    </w:p>
    <w:p w14:paraId="0E4AB2FA">
      <w:pPr>
        <w:pStyle w:val="2"/>
        <w:rPr>
          <w:rFonts w:eastAsia="方正小标宋简体"/>
          <w:sz w:val="44"/>
          <w:szCs w:val="44"/>
        </w:rPr>
      </w:pPr>
    </w:p>
    <w:p w14:paraId="1B4629D4">
      <w:pPr>
        <w:rPr>
          <w:rFonts w:eastAsia="方正小标宋简体"/>
          <w:sz w:val="44"/>
          <w:szCs w:val="44"/>
        </w:rPr>
      </w:pPr>
    </w:p>
    <w:p w14:paraId="63DAD9F6">
      <w:pPr>
        <w:pStyle w:val="2"/>
        <w:rPr>
          <w:rFonts w:eastAsia="方正小标宋简体"/>
          <w:sz w:val="44"/>
          <w:szCs w:val="44"/>
        </w:rPr>
      </w:pPr>
    </w:p>
    <w:p w14:paraId="469D2D59">
      <w:pPr>
        <w:rPr>
          <w:rFonts w:eastAsia="方正小标宋简体"/>
          <w:sz w:val="44"/>
          <w:szCs w:val="44"/>
        </w:rPr>
      </w:pPr>
    </w:p>
    <w:p w14:paraId="796AE949">
      <w:pPr>
        <w:pStyle w:val="2"/>
        <w:rPr>
          <w:rFonts w:eastAsia="方正小标宋简体"/>
          <w:sz w:val="44"/>
          <w:szCs w:val="44"/>
        </w:rPr>
      </w:pPr>
    </w:p>
    <w:p w14:paraId="7B55B8B3">
      <w:pPr>
        <w:rPr>
          <w:rFonts w:eastAsia="方正小标宋简体"/>
          <w:sz w:val="44"/>
          <w:szCs w:val="44"/>
        </w:rPr>
      </w:pPr>
    </w:p>
    <w:p w14:paraId="49A129A9">
      <w:pPr>
        <w:pStyle w:val="2"/>
        <w:rPr>
          <w:rFonts w:eastAsia="方正小标宋简体"/>
          <w:sz w:val="44"/>
          <w:szCs w:val="44"/>
        </w:rPr>
      </w:pPr>
    </w:p>
    <w:p w14:paraId="6772D49D">
      <w:pPr>
        <w:rPr>
          <w:rFonts w:eastAsia="方正小标宋简体"/>
          <w:sz w:val="44"/>
          <w:szCs w:val="44"/>
        </w:rPr>
      </w:pPr>
    </w:p>
    <w:p w14:paraId="31931B31">
      <w:pPr>
        <w:pStyle w:val="2"/>
      </w:pPr>
    </w:p>
    <w:p w14:paraId="4D38ADCB">
      <w:pPr>
        <w:spacing w:line="600" w:lineRule="exact"/>
        <w:jc w:val="center"/>
        <w:outlineLvl w:val="0"/>
        <w:rPr>
          <w:rFonts w:eastAsia="方正小标宋简体"/>
          <w:sz w:val="44"/>
          <w:szCs w:val="44"/>
        </w:rPr>
      </w:pPr>
    </w:p>
    <w:p w14:paraId="0ED3E87F">
      <w:pPr>
        <w:spacing w:line="600" w:lineRule="exact"/>
        <w:jc w:val="center"/>
        <w:outlineLvl w:val="0"/>
        <w:rPr>
          <w:rFonts w:eastAsia="方正小标宋简体"/>
          <w:sz w:val="44"/>
          <w:szCs w:val="44"/>
        </w:rPr>
      </w:pPr>
    </w:p>
    <w:p w14:paraId="0E40FDC5">
      <w:pPr>
        <w:spacing w:line="600" w:lineRule="exact"/>
        <w:jc w:val="center"/>
        <w:outlineLvl w:val="0"/>
        <w:rPr>
          <w:rStyle w:val="193"/>
          <w:rFonts w:eastAsia="方正小标宋简体"/>
          <w:b w:val="0"/>
          <w:bCs w:val="0"/>
        </w:rPr>
      </w:pPr>
      <w:r>
        <w:rPr>
          <w:rFonts w:eastAsia="方正小标宋简体"/>
          <w:sz w:val="44"/>
          <w:szCs w:val="44"/>
        </w:rPr>
        <w:t>第</w:t>
      </w:r>
      <w:r>
        <w:rPr>
          <w:rStyle w:val="193"/>
          <w:rFonts w:eastAsia="方正小标宋简体"/>
          <w:b w:val="0"/>
          <w:bCs w:val="0"/>
        </w:rPr>
        <w:t>四部分</w:t>
      </w:r>
      <w:r>
        <w:rPr>
          <w:rStyle w:val="193"/>
          <w:rFonts w:hint="eastAsia" w:eastAsia="方正小标宋简体"/>
          <w:b w:val="0"/>
          <w:bCs w:val="0"/>
          <w:lang w:val="en-US" w:eastAsia="zh-CN"/>
        </w:rPr>
        <w:t xml:space="preserve"> </w:t>
      </w:r>
      <w:r>
        <w:rPr>
          <w:rStyle w:val="193"/>
          <w:rFonts w:eastAsia="方正小标宋简体"/>
          <w:b w:val="0"/>
          <w:bCs w:val="0"/>
        </w:rPr>
        <w:t xml:space="preserve"> 附件</w:t>
      </w:r>
      <w:bookmarkEnd w:id="72"/>
      <w:bookmarkEnd w:id="73"/>
    </w:p>
    <w:p w14:paraId="3643A2EF">
      <w:pPr>
        <w:spacing w:line="572" w:lineRule="exact"/>
        <w:jc w:val="left"/>
        <w:outlineLvl w:val="9"/>
        <w:rPr>
          <w:rFonts w:eastAsia="黑体"/>
          <w:color w:val="FF0000"/>
          <w:szCs w:val="32"/>
        </w:rPr>
      </w:pPr>
    </w:p>
    <w:p w14:paraId="09300F00">
      <w:pPr>
        <w:spacing w:line="572" w:lineRule="exact"/>
        <w:jc w:val="left"/>
        <w:outlineLvl w:val="0"/>
        <w:rPr>
          <w:rFonts w:hint="eastAsia" w:ascii="Times New Roman" w:hAnsi="Times New Roman" w:eastAsia="黑体" w:cs="黑体"/>
          <w:sz w:val="32"/>
          <w:szCs w:val="32"/>
        </w:rPr>
      </w:pPr>
      <w:bookmarkStart w:id="75" w:name="_Toc20274"/>
      <w:r>
        <w:rPr>
          <w:rFonts w:hint="eastAsia" w:ascii="Times New Roman" w:hAnsi="Times New Roman" w:eastAsia="黑体" w:cs="黑体"/>
          <w:sz w:val="32"/>
          <w:szCs w:val="32"/>
        </w:rPr>
        <w:t>附件1</w:t>
      </w:r>
      <w:bookmarkEnd w:id="75"/>
    </w:p>
    <w:p w14:paraId="4B460CD6">
      <w:pPr>
        <w:keepNext w:val="0"/>
        <w:keepLines w:val="0"/>
        <w:pageBreakBefore w:val="0"/>
        <w:widowControl w:val="0"/>
        <w:kinsoku/>
        <w:wordWrap/>
        <w:overflowPunct/>
        <w:topLinePunct w:val="0"/>
        <w:autoSpaceDE/>
        <w:autoSpaceDN/>
        <w:bidi w:val="0"/>
        <w:adjustRightInd/>
        <w:snapToGrid/>
        <w:spacing w:line="700" w:lineRule="exact"/>
        <w:ind w:left="0" w:leftChars="0" w:right="0"/>
        <w:jc w:val="center"/>
        <w:textAlignment w:val="auto"/>
        <w:rPr>
          <w:rFonts w:hint="eastAsia" w:ascii="Times New Roman" w:hAnsi="Times New Roman" w:eastAsia="方正小标宋简体" w:cs="方正小标宋简体"/>
          <w:b w:val="0"/>
          <w:bCs/>
          <w:color w:val="000000"/>
          <w:spacing w:val="-6"/>
          <w:sz w:val="44"/>
          <w:szCs w:val="44"/>
          <w:lang w:val="en-US" w:eastAsia="zh-CN"/>
        </w:rPr>
      </w:pPr>
      <w:r>
        <w:rPr>
          <w:rFonts w:hint="eastAsia" w:ascii="Times New Roman" w:hAnsi="Times New Roman" w:eastAsia="方正小标宋简体" w:cs="方正小标宋简体"/>
          <w:sz w:val="44"/>
          <w:szCs w:val="44"/>
        </w:rPr>
        <w:t>202</w:t>
      </w:r>
      <w:r>
        <w:rPr>
          <w:rFonts w:hint="eastAsia" w:ascii="Times New Roman" w:hAnsi="Times New Roman" w:eastAsia="方正小标宋简体" w:cs="方正小标宋简体"/>
          <w:sz w:val="44"/>
          <w:szCs w:val="44"/>
          <w:lang w:val="en-US" w:eastAsia="zh-CN"/>
        </w:rPr>
        <w:t>4</w:t>
      </w:r>
      <w:r>
        <w:rPr>
          <w:rFonts w:hint="eastAsia" w:ascii="Times New Roman" w:hAnsi="Times New Roman" w:eastAsia="方正小标宋简体" w:cs="方正小标宋简体"/>
          <w:sz w:val="44"/>
          <w:szCs w:val="44"/>
        </w:rPr>
        <w:t>年</w:t>
      </w:r>
      <w:r>
        <w:rPr>
          <w:rFonts w:hint="eastAsia" w:ascii="Times New Roman" w:hAnsi="Times New Roman" w:eastAsia="方正小标宋简体" w:cs="方正小标宋简体"/>
          <w:b w:val="0"/>
          <w:bCs/>
          <w:color w:val="000000"/>
          <w:spacing w:val="-6"/>
          <w:sz w:val="44"/>
          <w:szCs w:val="44"/>
          <w:lang w:val="en-US" w:eastAsia="zh-CN"/>
        </w:rPr>
        <w:t>遂宁市安居区农民工服务中心</w:t>
      </w:r>
    </w:p>
    <w:p w14:paraId="0DE7CAB3">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部门</w:t>
      </w:r>
      <w:r>
        <w:rPr>
          <w:rFonts w:hint="eastAsia" w:ascii="Times New Roman" w:hAnsi="Times New Roman" w:eastAsia="方正小标宋简体" w:cs="方正小标宋简体"/>
          <w:sz w:val="44"/>
          <w:szCs w:val="44"/>
        </w:rPr>
        <w:t>整体支出绩效</w:t>
      </w:r>
      <w:r>
        <w:rPr>
          <w:rFonts w:hint="eastAsia" w:ascii="Times New Roman" w:hAnsi="Times New Roman" w:eastAsia="方正小标宋简体" w:cs="方正小标宋简体"/>
          <w:sz w:val="44"/>
          <w:szCs w:val="44"/>
          <w:lang w:eastAsia="zh-CN"/>
        </w:rPr>
        <w:t>评价</w:t>
      </w:r>
      <w:r>
        <w:rPr>
          <w:rFonts w:hint="eastAsia" w:ascii="Times New Roman" w:hAnsi="Times New Roman" w:eastAsia="方正小标宋简体" w:cs="方正小标宋简体"/>
          <w:sz w:val="44"/>
          <w:szCs w:val="44"/>
        </w:rPr>
        <w:t>报告</w:t>
      </w:r>
    </w:p>
    <w:p w14:paraId="28C9EB09">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Times New Roman" w:hAnsi="Times New Roman" w:eastAsia="仿宋" w:cs="仿宋"/>
          <w:sz w:val="15"/>
          <w:szCs w:val="15"/>
        </w:rPr>
      </w:pPr>
    </w:p>
    <w:p w14:paraId="5BB7F4EF">
      <w:pPr>
        <w:widowControl/>
        <w:spacing w:line="578" w:lineRule="exact"/>
        <w:ind w:firstLine="640" w:firstLineChars="200"/>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一、部门（单位）基本情况</w:t>
      </w:r>
    </w:p>
    <w:p w14:paraId="33A986D3">
      <w:pPr>
        <w:widowControl/>
        <w:spacing w:line="578" w:lineRule="exact"/>
        <w:ind w:firstLine="632"/>
        <w:contextualSpacing/>
        <w:jc w:val="left"/>
        <w:rPr>
          <w:rFonts w:eastAsia="楷体_GB2312"/>
          <w:b w:val="0"/>
          <w:bCs w:val="0"/>
          <w:color w:val="000000"/>
          <w:szCs w:val="32"/>
          <w:shd w:val="clear" w:color="auto" w:fill="FFFFFF"/>
          <w:lang w:val="zh-CN"/>
        </w:rPr>
      </w:pPr>
      <w:r>
        <w:rPr>
          <w:rFonts w:eastAsia="楷体_GB2312"/>
          <w:b w:val="0"/>
          <w:bCs w:val="0"/>
          <w:color w:val="000000"/>
          <w:szCs w:val="32"/>
          <w:shd w:val="clear" w:color="auto" w:fill="FFFFFF"/>
          <w:lang w:val="zh-CN"/>
        </w:rPr>
        <w:t>（一）机构组成</w:t>
      </w:r>
    </w:p>
    <w:p w14:paraId="0C9C2E2D">
      <w:pPr>
        <w:widowControl/>
        <w:spacing w:line="578" w:lineRule="exact"/>
        <w:ind w:firstLine="632"/>
        <w:contextualSpacing/>
        <w:jc w:val="left"/>
        <w:rPr>
          <w:color w:val="000000"/>
          <w:szCs w:val="32"/>
          <w:shd w:val="clear" w:color="auto" w:fill="FFFFFF"/>
        </w:rPr>
      </w:pPr>
      <w:r>
        <w:rPr>
          <w:rFonts w:hint="eastAsia" w:ascii="Times New Roman" w:hAnsi="Times New Roman" w:eastAsia="仿宋_GB2312" w:cs="仿宋_GB2312"/>
          <w:color w:val="000000"/>
          <w:sz w:val="32"/>
          <w:szCs w:val="32"/>
        </w:rPr>
        <w:t>遂宁市安居区农民工服务中心于2019年8月成立，为区政府直属正科级事业单位，归口</w:t>
      </w:r>
      <w:r>
        <w:rPr>
          <w:rFonts w:hint="eastAsia" w:ascii="Times New Roman" w:hAnsi="Times New Roman" w:cs="仿宋_GB2312"/>
          <w:color w:val="000000"/>
          <w:sz w:val="32"/>
          <w:szCs w:val="32"/>
          <w:lang w:eastAsia="zh-CN"/>
        </w:rPr>
        <w:t>区人力资源和社会保障局</w:t>
      </w:r>
      <w:r>
        <w:rPr>
          <w:rFonts w:hint="eastAsia" w:ascii="Times New Roman" w:hAnsi="Times New Roman" w:eastAsia="仿宋_GB2312" w:cs="仿宋_GB2312"/>
          <w:color w:val="000000"/>
          <w:sz w:val="32"/>
          <w:szCs w:val="32"/>
        </w:rPr>
        <w:t>领导和管理，中心内设机构4个：办公室、就业开发股</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回引创业股、服务保障股。</w:t>
      </w:r>
      <w:r>
        <w:rPr>
          <w:rFonts w:hint="eastAsia" w:ascii="Times New Roman" w:hAnsi="Times New Roman" w:eastAsia="仿宋_GB2312" w:cs="仿宋_GB2312"/>
          <w:color w:val="000000"/>
          <w:sz w:val="32"/>
          <w:szCs w:val="32"/>
          <w:shd w:val="clear" w:color="auto" w:fill="FFFFFF"/>
        </w:rPr>
        <w:t>无下属单位。</w:t>
      </w:r>
    </w:p>
    <w:p w14:paraId="2538CCAE">
      <w:pPr>
        <w:widowControl/>
        <w:spacing w:line="578" w:lineRule="exact"/>
        <w:ind w:firstLine="632"/>
        <w:contextualSpacing/>
        <w:jc w:val="left"/>
        <w:rPr>
          <w:rFonts w:eastAsia="楷体_GB2312"/>
          <w:b w:val="0"/>
          <w:bCs w:val="0"/>
          <w:color w:val="000000"/>
          <w:szCs w:val="32"/>
          <w:shd w:val="clear" w:color="auto" w:fill="FFFFFF"/>
          <w:lang w:val="zh-CN"/>
        </w:rPr>
      </w:pPr>
      <w:r>
        <w:rPr>
          <w:rFonts w:hint="eastAsia" w:eastAsia="楷体_GB2312"/>
          <w:b w:val="0"/>
          <w:bCs w:val="0"/>
          <w:color w:val="000000"/>
          <w:szCs w:val="32"/>
          <w:shd w:val="clear" w:color="auto" w:fill="FFFFFF"/>
          <w:lang w:val="zh-CN"/>
        </w:rPr>
        <w:t>（</w:t>
      </w:r>
      <w:r>
        <w:rPr>
          <w:rFonts w:hint="eastAsia" w:eastAsia="楷体_GB2312"/>
          <w:b w:val="0"/>
          <w:bCs w:val="0"/>
          <w:color w:val="000000"/>
          <w:szCs w:val="32"/>
          <w:shd w:val="clear" w:color="auto" w:fill="FFFFFF"/>
          <w:lang w:val="en-US" w:eastAsia="zh-CN"/>
        </w:rPr>
        <w:t>二</w:t>
      </w:r>
      <w:r>
        <w:rPr>
          <w:rFonts w:hint="eastAsia" w:eastAsia="楷体_GB2312"/>
          <w:b w:val="0"/>
          <w:bCs w:val="0"/>
          <w:color w:val="000000"/>
          <w:szCs w:val="32"/>
          <w:shd w:val="clear" w:color="auto" w:fill="FFFFFF"/>
          <w:lang w:val="zh-CN"/>
        </w:rPr>
        <w:t>）</w:t>
      </w:r>
      <w:r>
        <w:rPr>
          <w:rFonts w:eastAsia="楷体_GB2312"/>
          <w:b w:val="0"/>
          <w:bCs w:val="0"/>
          <w:color w:val="000000"/>
          <w:szCs w:val="32"/>
          <w:shd w:val="clear" w:color="auto" w:fill="FFFFFF"/>
          <w:lang w:val="zh-CN"/>
        </w:rPr>
        <w:t>机构职能</w:t>
      </w:r>
    </w:p>
    <w:p w14:paraId="21FB8EB2">
      <w:pPr>
        <w:widowControl/>
        <w:spacing w:line="578" w:lineRule="exact"/>
        <w:ind w:firstLine="632"/>
        <w:contextualSpacing/>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1、负责宣传贯彻农民工服务工作法律法规和政策；</w:t>
      </w:r>
    </w:p>
    <w:p w14:paraId="5A620AB9">
      <w:pPr>
        <w:widowControl/>
        <w:spacing w:line="578" w:lineRule="exact"/>
        <w:ind w:firstLine="632"/>
        <w:contextualSpacing/>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w:t>
      </w:r>
      <w:r>
        <w:rPr>
          <w:rFonts w:hint="eastAsia" w:ascii="Times New Roman" w:hAnsi="Times New Roman" w:eastAsia="仿宋_GB2312" w:cs="仿宋_GB2312"/>
          <w:color w:val="000000"/>
          <w:sz w:val="32"/>
          <w:szCs w:val="32"/>
          <w:lang w:eastAsia="zh-CN"/>
        </w:rPr>
        <w:t>负责拟定全区</w:t>
      </w:r>
      <w:r>
        <w:rPr>
          <w:rFonts w:hint="eastAsia" w:ascii="Times New Roman" w:hAnsi="Times New Roman" w:eastAsia="仿宋_GB2312" w:cs="仿宋_GB2312"/>
          <w:color w:val="000000"/>
          <w:sz w:val="32"/>
          <w:szCs w:val="32"/>
        </w:rPr>
        <w:t>农民工服务工作规划、年度计划，并组织实施和监督检查；</w:t>
      </w:r>
    </w:p>
    <w:p w14:paraId="67DA644B">
      <w:pPr>
        <w:widowControl/>
        <w:spacing w:line="578" w:lineRule="exact"/>
        <w:ind w:firstLine="632"/>
        <w:contextualSpacing/>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3、负责开展农民工就业创业服务；</w:t>
      </w:r>
    </w:p>
    <w:p w14:paraId="0678E0EE">
      <w:pPr>
        <w:widowControl/>
        <w:spacing w:line="578" w:lineRule="exact"/>
        <w:ind w:firstLine="632"/>
        <w:contextualSpacing/>
        <w:jc w:val="left"/>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4、统筹、协调全区农村劳动力转移输出、农民工维权救助等服务工作；</w:t>
      </w:r>
    </w:p>
    <w:p w14:paraId="1B006811">
      <w:pPr>
        <w:widowControl/>
        <w:spacing w:line="578" w:lineRule="exact"/>
        <w:ind w:firstLine="632"/>
        <w:contextualSpacing/>
        <w:jc w:val="left"/>
        <w:rPr>
          <w:rFonts w:hint="eastAsia" w:ascii="Times New Roman" w:hAnsi="Times New Roman" w:eastAsia="仿宋_GB2312" w:cs="仿宋_GB2312"/>
          <w:color w:val="000000"/>
          <w:sz w:val="32"/>
          <w:szCs w:val="32"/>
          <w:lang w:val="zh-CN"/>
        </w:rPr>
      </w:pPr>
      <w:r>
        <w:rPr>
          <w:rFonts w:hint="eastAsia" w:ascii="Times New Roman" w:hAnsi="Times New Roman" w:eastAsia="仿宋_GB2312" w:cs="仿宋_GB2312"/>
          <w:color w:val="000000"/>
          <w:sz w:val="32"/>
          <w:szCs w:val="32"/>
        </w:rPr>
        <w:t>5、完成区委、区政府交办的其他任务。</w:t>
      </w:r>
    </w:p>
    <w:p w14:paraId="6EA22496">
      <w:pPr>
        <w:widowControl/>
        <w:spacing w:line="578" w:lineRule="exact"/>
        <w:ind w:firstLine="632"/>
        <w:contextualSpacing/>
        <w:jc w:val="left"/>
        <w:rPr>
          <w:rFonts w:hint="eastAsia" w:eastAsia="楷体_GB2312"/>
          <w:b w:val="0"/>
          <w:bCs w:val="0"/>
          <w:color w:val="000000"/>
          <w:szCs w:val="32"/>
          <w:shd w:val="clear" w:color="auto" w:fill="FFFFFF"/>
          <w:lang w:val="zh-CN"/>
        </w:rPr>
      </w:pPr>
      <w:r>
        <w:rPr>
          <w:rFonts w:hint="eastAsia" w:eastAsia="楷体_GB2312"/>
          <w:b w:val="0"/>
          <w:bCs w:val="0"/>
          <w:color w:val="000000"/>
          <w:szCs w:val="32"/>
          <w:shd w:val="clear" w:color="auto" w:fill="FFFFFF"/>
          <w:lang w:val="zh-CN"/>
        </w:rPr>
        <w:t>（三）人员概况</w:t>
      </w:r>
    </w:p>
    <w:p w14:paraId="22BDFD69">
      <w:pPr>
        <w:widowControl/>
        <w:spacing w:line="578" w:lineRule="exact"/>
        <w:ind w:firstLine="632"/>
        <w:contextualSpacing/>
        <w:jc w:val="left"/>
        <w:rPr>
          <w:szCs w:val="32"/>
        </w:rPr>
      </w:pPr>
      <w:r>
        <w:rPr>
          <w:rFonts w:hint="eastAsia" w:ascii="Times New Roman" w:hAnsi="Times New Roman" w:eastAsia="仿宋_GB2312" w:cs="仿宋_GB2312"/>
          <w:color w:val="000000"/>
          <w:sz w:val="32"/>
          <w:szCs w:val="32"/>
        </w:rPr>
        <w:t>截至202</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年末，</w:t>
      </w:r>
      <w:r>
        <w:rPr>
          <w:rFonts w:hint="eastAsia" w:ascii="Times New Roman" w:hAnsi="Times New Roman" w:eastAsia="仿宋_GB2312" w:cs="仿宋_GB2312"/>
          <w:color w:val="000000"/>
          <w:sz w:val="32"/>
          <w:szCs w:val="32"/>
          <w:lang w:val="zh-CN"/>
        </w:rPr>
        <w:t>遂宁市安居区农民工服务中心事业编制</w:t>
      </w:r>
      <w:r>
        <w:rPr>
          <w:rFonts w:hint="eastAsia" w:ascii="Times New Roman" w:hAnsi="Times New Roman" w:eastAsia="仿宋_GB2312" w:cs="仿宋_GB2312"/>
          <w:color w:val="000000"/>
          <w:sz w:val="32"/>
          <w:szCs w:val="32"/>
        </w:rPr>
        <w:t>8</w:t>
      </w:r>
      <w:r>
        <w:rPr>
          <w:rFonts w:hint="eastAsia" w:ascii="Times New Roman" w:hAnsi="Times New Roman" w:eastAsia="仿宋_GB2312" w:cs="仿宋_GB2312"/>
          <w:color w:val="000000"/>
          <w:sz w:val="32"/>
          <w:szCs w:val="32"/>
          <w:lang w:val="zh-CN"/>
        </w:rPr>
        <w:t>名，在职实有人数</w:t>
      </w:r>
      <w:r>
        <w:rPr>
          <w:rFonts w:hint="eastAsia" w:ascii="Times New Roman" w:hAnsi="Times New Roman" w:eastAsia="仿宋_GB2312" w:cs="仿宋_GB2312"/>
          <w:color w:val="000000"/>
          <w:sz w:val="32"/>
          <w:szCs w:val="32"/>
        </w:rPr>
        <w:t>8</w:t>
      </w:r>
      <w:r>
        <w:rPr>
          <w:rFonts w:hint="eastAsia" w:ascii="Times New Roman" w:hAnsi="Times New Roman" w:eastAsia="仿宋_GB2312" w:cs="仿宋_GB2312"/>
          <w:color w:val="000000"/>
          <w:sz w:val="32"/>
          <w:szCs w:val="32"/>
          <w:lang w:val="zh-CN"/>
        </w:rPr>
        <w:t>人</w:t>
      </w:r>
      <w:r>
        <w:rPr>
          <w:rFonts w:hint="eastAsia" w:ascii="Times New Roman" w:hAnsi="Times New Roman" w:eastAsia="仿宋_GB2312" w:cs="仿宋_GB2312"/>
          <w:color w:val="000000"/>
          <w:sz w:val="32"/>
          <w:szCs w:val="32"/>
        </w:rPr>
        <w:t>。</w:t>
      </w:r>
    </w:p>
    <w:p w14:paraId="0A74268B">
      <w:pPr>
        <w:widowControl/>
        <w:spacing w:line="578" w:lineRule="exact"/>
        <w:ind w:firstLine="640" w:firstLineChars="200"/>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二、部门资金收支情况</w:t>
      </w:r>
    </w:p>
    <w:p w14:paraId="6E3E5D14">
      <w:pPr>
        <w:widowControl/>
        <w:spacing w:line="578" w:lineRule="exact"/>
        <w:ind w:firstLine="632"/>
        <w:contextualSpacing/>
        <w:jc w:val="left"/>
        <w:rPr>
          <w:rFonts w:hint="eastAsia" w:ascii="Times New Roman" w:hAnsi="Times New Roman" w:eastAsia="仿宋_GB2312" w:cs="仿宋_GB2312"/>
          <w:color w:val="000000"/>
          <w:sz w:val="32"/>
          <w:szCs w:val="32"/>
          <w:shd w:val="clear" w:color="auto" w:fill="FFFFFF"/>
        </w:rPr>
      </w:pPr>
      <w:r>
        <w:rPr>
          <w:rFonts w:eastAsia="楷体_GB2312"/>
          <w:b w:val="0"/>
          <w:bCs w:val="0"/>
          <w:color w:val="000000"/>
          <w:szCs w:val="32"/>
          <w:shd w:val="clear" w:color="auto" w:fill="FFFFFF"/>
          <w:lang w:val="zh-CN"/>
        </w:rPr>
        <w:t>（一）收入情况。</w:t>
      </w:r>
      <w:r>
        <w:rPr>
          <w:rFonts w:hint="eastAsia" w:ascii="Times New Roman" w:hAnsi="Times New Roman" w:eastAsia="仿宋_GB2312" w:cs="仿宋_GB2312"/>
          <w:color w:val="000000"/>
          <w:sz w:val="32"/>
          <w:szCs w:val="32"/>
        </w:rPr>
        <w:t>遂宁市安居区农民工服务中心</w:t>
      </w:r>
      <w:r>
        <w:rPr>
          <w:rFonts w:hint="eastAsia" w:ascii="Times New Roman" w:hAnsi="Times New Roman" w:eastAsia="仿宋_GB2312" w:cs="仿宋_GB2312"/>
          <w:sz w:val="32"/>
          <w:szCs w:val="32"/>
        </w:rPr>
        <w:t>部门202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年年初预算收入</w:t>
      </w:r>
      <w:r>
        <w:rPr>
          <w:rFonts w:hint="eastAsia" w:ascii="Times New Roman" w:hAnsi="Times New Roman" w:eastAsia="仿宋_GB2312" w:cs="仿宋_GB2312"/>
          <w:sz w:val="32"/>
          <w:szCs w:val="32"/>
          <w:lang w:val="en-US" w:eastAsia="zh-CN"/>
        </w:rPr>
        <w:t>233.56</w:t>
      </w:r>
      <w:r>
        <w:rPr>
          <w:rFonts w:hint="eastAsia" w:ascii="Times New Roman" w:hAnsi="Times New Roman" w:eastAsia="仿宋_GB2312" w:cs="仿宋_GB2312"/>
          <w:sz w:val="32"/>
          <w:szCs w:val="32"/>
        </w:rPr>
        <w:t>万元、决算报表收入3</w:t>
      </w:r>
      <w:r>
        <w:rPr>
          <w:rFonts w:hint="eastAsia" w:ascii="Times New Roman" w:hAnsi="Times New Roman" w:eastAsia="仿宋_GB2312" w:cs="仿宋_GB2312"/>
          <w:sz w:val="32"/>
          <w:szCs w:val="32"/>
          <w:lang w:val="en-US" w:eastAsia="zh-CN"/>
        </w:rPr>
        <w:t>09.1</w:t>
      </w:r>
      <w:r>
        <w:rPr>
          <w:rFonts w:hint="eastAsia" w:ascii="Times New Roman" w:hAnsi="Times New Roman" w:eastAsia="仿宋_GB2312" w:cs="仿宋_GB2312"/>
          <w:sz w:val="32"/>
          <w:szCs w:val="32"/>
        </w:rPr>
        <w:t>万元。</w:t>
      </w:r>
    </w:p>
    <w:p w14:paraId="717473EA">
      <w:pPr>
        <w:widowControl/>
        <w:spacing w:line="578" w:lineRule="exact"/>
        <w:ind w:firstLine="632"/>
        <w:contextualSpacing/>
        <w:jc w:val="left"/>
        <w:rPr>
          <w:szCs w:val="32"/>
          <w:lang w:val="zh-CN"/>
        </w:rPr>
      </w:pPr>
      <w:r>
        <w:rPr>
          <w:rFonts w:eastAsia="楷体_GB2312"/>
          <w:b w:val="0"/>
          <w:bCs w:val="0"/>
          <w:color w:val="000000"/>
          <w:szCs w:val="32"/>
          <w:shd w:val="clear" w:color="auto" w:fill="FFFFFF"/>
          <w:lang w:val="zh-CN"/>
        </w:rPr>
        <w:t>（二）支出情况。</w:t>
      </w:r>
      <w:r>
        <w:rPr>
          <w:rFonts w:hint="eastAsia" w:ascii="Times New Roman" w:hAnsi="Times New Roman" w:eastAsia="仿宋_GB2312" w:cs="仿宋_GB2312"/>
          <w:color w:val="000000"/>
          <w:sz w:val="32"/>
          <w:szCs w:val="32"/>
        </w:rPr>
        <w:t>遂宁市安居区农民工服务中心部门202</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年年初预算支出</w:t>
      </w:r>
      <w:r>
        <w:rPr>
          <w:rFonts w:hint="eastAsia" w:ascii="Times New Roman" w:hAnsi="Times New Roman" w:eastAsia="仿宋_GB2312" w:cs="仿宋_GB2312"/>
          <w:color w:val="000000"/>
          <w:sz w:val="32"/>
          <w:szCs w:val="32"/>
          <w:lang w:val="en-US" w:eastAsia="zh-CN"/>
        </w:rPr>
        <w:t>233.56</w:t>
      </w:r>
      <w:r>
        <w:rPr>
          <w:rFonts w:hint="eastAsia" w:ascii="Times New Roman" w:hAnsi="Times New Roman" w:eastAsia="仿宋_GB2312" w:cs="仿宋_GB2312"/>
          <w:color w:val="000000"/>
          <w:sz w:val="32"/>
          <w:szCs w:val="32"/>
        </w:rPr>
        <w:t>万元、决算报表支出3</w:t>
      </w:r>
      <w:r>
        <w:rPr>
          <w:rFonts w:hint="eastAsia" w:ascii="Times New Roman" w:hAnsi="Times New Roman" w:eastAsia="仿宋_GB2312" w:cs="仿宋_GB2312"/>
          <w:color w:val="000000"/>
          <w:sz w:val="32"/>
          <w:szCs w:val="32"/>
          <w:lang w:val="en-US" w:eastAsia="zh-CN"/>
        </w:rPr>
        <w:t>09.1</w:t>
      </w:r>
      <w:r>
        <w:rPr>
          <w:rFonts w:hint="eastAsia" w:ascii="Times New Roman" w:hAnsi="Times New Roman" w:eastAsia="仿宋_GB2312" w:cs="仿宋_GB2312"/>
          <w:color w:val="000000"/>
          <w:sz w:val="32"/>
          <w:szCs w:val="32"/>
        </w:rPr>
        <w:t>万元。</w:t>
      </w:r>
    </w:p>
    <w:p w14:paraId="2D96D1F2">
      <w:pPr>
        <w:widowControl/>
        <w:spacing w:line="578" w:lineRule="exact"/>
        <w:ind w:firstLine="632"/>
        <w:contextualSpacing/>
        <w:jc w:val="left"/>
        <w:rPr>
          <w:rFonts w:hint="eastAsia" w:ascii="Times New Roman" w:hAnsi="Times New Roman" w:eastAsia="仿宋_GB2312" w:cs="仿宋_GB2312"/>
          <w:color w:val="000000"/>
          <w:sz w:val="32"/>
          <w:szCs w:val="32"/>
        </w:rPr>
      </w:pPr>
      <w:r>
        <w:rPr>
          <w:rFonts w:eastAsia="楷体_GB2312"/>
          <w:b w:val="0"/>
          <w:bCs w:val="0"/>
          <w:color w:val="000000"/>
          <w:szCs w:val="32"/>
          <w:shd w:val="clear" w:color="auto" w:fill="FFFFFF"/>
          <w:lang w:val="zh-CN"/>
        </w:rPr>
        <w:t>（三）结余分配和结转结余情况。</w:t>
      </w:r>
      <w:r>
        <w:rPr>
          <w:rFonts w:hint="eastAsia" w:ascii="Times New Roman" w:hAnsi="Times New Roman" w:eastAsia="仿宋_GB2312" w:cs="仿宋_GB2312"/>
          <w:color w:val="000000"/>
          <w:sz w:val="32"/>
          <w:szCs w:val="32"/>
        </w:rPr>
        <w:t>遂宁市安居区农民工服务中心202</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年决算报表无结转结余情况。</w:t>
      </w:r>
    </w:p>
    <w:p w14:paraId="7005B7F1">
      <w:pPr>
        <w:widowControl/>
        <w:spacing w:line="578" w:lineRule="exact"/>
        <w:ind w:firstLine="640" w:firstLineChars="200"/>
        <w:contextualSpacing/>
        <w:jc w:val="left"/>
        <w:rPr>
          <w:rFonts w:eastAsia="黑体"/>
          <w:color w:val="000000"/>
          <w:szCs w:val="32"/>
          <w:shd w:val="clear" w:color="auto" w:fill="FFFFFF"/>
          <w:lang w:val="zh-CN"/>
        </w:rPr>
      </w:pPr>
      <w:r>
        <w:rPr>
          <w:rFonts w:eastAsia="黑体"/>
          <w:color w:val="000000"/>
          <w:szCs w:val="32"/>
          <w:shd w:val="clear" w:color="auto" w:fill="FFFFFF"/>
          <w:lang w:val="zh-CN"/>
        </w:rPr>
        <w:t>三、部门预算绩效分析</w:t>
      </w:r>
    </w:p>
    <w:p w14:paraId="4567D513">
      <w:pPr>
        <w:spacing w:line="578" w:lineRule="exact"/>
        <w:ind w:firstLine="632"/>
        <w:contextualSpacing/>
        <w:jc w:val="left"/>
        <w:rPr>
          <w:rFonts w:hint="eastAsia" w:ascii="仿宋_GB2312" w:hAnsi="仿宋_GB2312" w:eastAsia="仿宋_GB2312" w:cs="仿宋_GB2312"/>
          <w:color w:val="000000"/>
          <w:szCs w:val="32"/>
          <w:shd w:val="clear" w:color="auto" w:fill="FFFFFF"/>
          <w:lang w:val="zh-CN"/>
        </w:rPr>
      </w:pPr>
      <w:r>
        <w:rPr>
          <w:rFonts w:eastAsia="楷体_GB2312"/>
          <w:b w:val="0"/>
          <w:bCs w:val="0"/>
          <w:color w:val="000000"/>
          <w:szCs w:val="32"/>
          <w:shd w:val="clear" w:color="auto" w:fill="FFFFFF"/>
          <w:lang w:val="zh-CN"/>
        </w:rPr>
        <w:t>（一）部门预算总体绩效分析。</w:t>
      </w:r>
      <w:r>
        <w:rPr>
          <w:rFonts w:hint="eastAsia" w:ascii="仿宋_GB2312" w:hAnsi="仿宋_GB2312" w:eastAsia="仿宋_GB2312" w:cs="仿宋_GB2312"/>
          <w:szCs w:val="32"/>
          <w:lang w:val="zh-CN"/>
        </w:rPr>
        <w:t>根据部门预算绩效评价指标体系“总体绩效”涉及二、三级指标进行逐项绩效分析并评分，依次包括履职效能、预算管理、财务管理、资产管理、采购管理等情况。</w:t>
      </w:r>
    </w:p>
    <w:p w14:paraId="28C70D72">
      <w:pPr>
        <w:spacing w:line="578" w:lineRule="exact"/>
        <w:ind w:firstLine="632"/>
        <w:contextualSpacing/>
        <w:jc w:val="left"/>
        <w:rPr>
          <w:rFonts w:hint="eastAsia" w:ascii="Times New Roman" w:hAnsi="Times New Roman" w:eastAsia="仿宋_GB2312" w:cs="仿宋_GB2312"/>
          <w:color w:val="000000"/>
          <w:sz w:val="32"/>
          <w:szCs w:val="32"/>
          <w:shd w:val="clear" w:color="auto" w:fill="FFFFFF"/>
          <w:lang w:val="zh-CN"/>
        </w:rPr>
      </w:pPr>
      <w:r>
        <w:rPr>
          <w:rFonts w:hint="eastAsia" w:ascii="Times New Roman" w:hAnsi="Times New Roman" w:eastAsia="仿宋_GB2312" w:cs="仿宋_GB2312"/>
          <w:color w:val="000000"/>
          <w:sz w:val="32"/>
          <w:szCs w:val="32"/>
          <w:shd w:val="clear" w:color="auto" w:fill="FFFFFF"/>
        </w:rPr>
        <w:t>1、</w:t>
      </w:r>
      <w:r>
        <w:rPr>
          <w:rFonts w:hint="eastAsia" w:ascii="Times New Roman" w:hAnsi="Times New Roman" w:eastAsia="仿宋_GB2312" w:cs="仿宋_GB2312"/>
          <w:color w:val="000000"/>
          <w:sz w:val="32"/>
          <w:szCs w:val="32"/>
          <w:shd w:val="clear" w:color="auto" w:fill="FFFFFF"/>
          <w:lang w:val="zh-CN"/>
        </w:rPr>
        <w:t>履职效能。</w:t>
      </w:r>
    </w:p>
    <w:p w14:paraId="4E7DF3B2">
      <w:pPr>
        <w:keepNext w:val="0"/>
        <w:keepLines w:val="0"/>
        <w:widowControl w:val="0"/>
        <w:suppressLineNumbers w:val="0"/>
        <w:autoSpaceDE w:val="0"/>
        <w:autoSpaceDN/>
        <w:spacing w:before="0" w:beforeAutospacing="0" w:after="0" w:afterAutospacing="0" w:line="580" w:lineRule="exact"/>
        <w:ind w:left="0" w:leftChars="0" w:right="0" w:firstLine="643" w:firstLineChars="200"/>
        <w:jc w:val="both"/>
        <w:rPr>
          <w:rFonts w:hint="default" w:ascii="Times New Roman" w:hAnsi="Times New Roman" w:cs="仿宋_GB2312"/>
          <w:b w:val="0"/>
          <w:bCs w:val="0"/>
          <w:kern w:val="2"/>
          <w:sz w:val="32"/>
          <w:szCs w:val="32"/>
          <w:lang w:eastAsia="zh-CN" w:bidi="ar"/>
          <w:woUserID w:val="7"/>
        </w:rPr>
      </w:pPr>
      <w:r>
        <w:rPr>
          <w:rFonts w:hint="eastAsia" w:ascii="仿宋_GB2312" w:hAnsi="仿宋_GB2312" w:eastAsia="仿宋_GB2312" w:cs="仿宋_GB2312"/>
          <w:b/>
          <w:bCs/>
          <w:sz w:val="32"/>
          <w:szCs w:val="32"/>
          <w:lang w:eastAsia="zh-CN"/>
          <w:woUserID w:val="4"/>
        </w:rPr>
        <w:t>服务保障：</w:t>
      </w:r>
      <w:r>
        <w:rPr>
          <w:rFonts w:hint="eastAsia" w:ascii="仿宋_GB2312" w:hAnsi="仿宋_GB2312" w:eastAsia="仿宋_GB2312" w:cs="仿宋_GB2312"/>
          <w:b/>
          <w:bCs w:val="0"/>
          <w:kern w:val="2"/>
          <w:sz w:val="32"/>
          <w:szCs w:val="32"/>
          <w:lang w:val="en-US" w:eastAsia="zh-CN" w:bidi="ar"/>
          <w:woUserID w:val="4"/>
        </w:rPr>
        <w:t>一是稳妥推进</w:t>
      </w:r>
      <w:r>
        <w:rPr>
          <w:rFonts w:hint="eastAsia" w:ascii="仿宋_GB2312" w:hAnsi="仿宋_GB2312" w:eastAsia="仿宋_GB2312" w:cs="仿宋_GB2312"/>
          <w:b/>
          <w:bCs w:val="0"/>
          <w:kern w:val="2"/>
          <w:sz w:val="32"/>
          <w:szCs w:val="32"/>
          <w:lang w:eastAsia="zh-CN" w:bidi="ar"/>
          <w:woUserID w:val="8"/>
        </w:rPr>
        <w:t>去冬今春服务保障农民工“七大专项</w:t>
      </w:r>
      <w:r>
        <w:rPr>
          <w:rFonts w:hint="eastAsia" w:ascii="仿宋_GB2312" w:hAnsi="仿宋_GB2312" w:eastAsia="仿宋_GB2312" w:cs="仿宋_GB2312"/>
          <w:b/>
          <w:bCs w:val="0"/>
          <w:kern w:val="2"/>
          <w:sz w:val="32"/>
          <w:szCs w:val="32"/>
          <w:lang w:val="en-US" w:eastAsia="zh-CN" w:bidi="ar"/>
          <w:woUserID w:val="4"/>
        </w:rPr>
        <w:t>”</w:t>
      </w:r>
      <w:r>
        <w:rPr>
          <w:rFonts w:hint="eastAsia" w:ascii="仿宋_GB2312" w:hAnsi="仿宋_GB2312" w:eastAsia="仿宋_GB2312" w:cs="仿宋_GB2312"/>
          <w:b/>
          <w:bCs w:val="0"/>
          <w:kern w:val="2"/>
          <w:sz w:val="32"/>
          <w:szCs w:val="32"/>
          <w:lang w:eastAsia="zh-CN" w:bidi="ar"/>
          <w:woUserID w:val="8"/>
        </w:rPr>
        <w:t>行动</w:t>
      </w:r>
      <w:r>
        <w:rPr>
          <w:rFonts w:hint="eastAsia" w:ascii="仿宋_GB2312" w:hAnsi="仿宋_GB2312" w:eastAsia="仿宋_GB2312" w:cs="仿宋_GB2312"/>
          <w:b/>
          <w:bCs w:val="0"/>
          <w:kern w:val="2"/>
          <w:sz w:val="32"/>
          <w:szCs w:val="32"/>
          <w:lang w:val="en-US" w:eastAsia="zh-CN" w:bidi="ar"/>
          <w:woUserID w:val="4"/>
        </w:rPr>
        <w:t>。</w:t>
      </w:r>
      <w:r>
        <w:rPr>
          <w:rFonts w:hint="default" w:ascii="Times New Roman" w:hAnsi="Times New Roman" w:eastAsia="仿宋_GB2312" w:cs="仿宋_GB2312"/>
          <w:b w:val="0"/>
          <w:bCs w:val="0"/>
          <w:kern w:val="2"/>
          <w:sz w:val="32"/>
          <w:szCs w:val="32"/>
          <w:lang w:eastAsia="zh-CN" w:bidi="ar"/>
          <w:woUserID w:val="7"/>
        </w:rPr>
        <w:t>春节</w:t>
      </w:r>
      <w:r>
        <w:rPr>
          <w:rFonts w:hint="default" w:ascii="Times New Roman" w:hAnsi="Times New Roman" w:cs="仿宋_GB2312"/>
          <w:b w:val="0"/>
          <w:bCs w:val="0"/>
          <w:kern w:val="2"/>
          <w:sz w:val="32"/>
          <w:szCs w:val="32"/>
          <w:lang w:eastAsia="zh-CN" w:bidi="ar"/>
          <w:woUserID w:val="7"/>
        </w:rPr>
        <w:t>前后，</w:t>
      </w:r>
      <w:r>
        <w:rPr>
          <w:rFonts w:hint="default" w:ascii="Times New Roman" w:hAnsi="Times New Roman" w:cs="仿宋_GB2312"/>
          <w:b w:val="0"/>
          <w:bCs w:val="0"/>
          <w:kern w:val="2"/>
          <w:sz w:val="32"/>
          <w:szCs w:val="32"/>
          <w:lang w:eastAsia="zh-CN" w:bidi="ar"/>
          <w:woUserID w:val="4"/>
        </w:rPr>
        <w:t>整合多部门力量对</w:t>
      </w:r>
      <w:r>
        <w:rPr>
          <w:rFonts w:hint="default" w:ascii="Times New Roman" w:hAnsi="Times New Roman" w:eastAsia="仿宋_GB2312" w:cs="仿宋_GB2312"/>
          <w:b w:val="0"/>
          <w:bCs w:val="0"/>
          <w:kern w:val="2"/>
          <w:sz w:val="32"/>
          <w:szCs w:val="32"/>
          <w:lang w:eastAsia="zh-CN" w:bidi="ar"/>
          <w:woUserID w:val="4"/>
        </w:rPr>
        <w:t>农民工及家属</w:t>
      </w:r>
      <w:r>
        <w:rPr>
          <w:rFonts w:hint="default" w:ascii="Times New Roman" w:hAnsi="Times New Roman" w:cs="仿宋_GB2312"/>
          <w:b w:val="0"/>
          <w:bCs w:val="0"/>
          <w:kern w:val="2"/>
          <w:sz w:val="32"/>
          <w:szCs w:val="32"/>
          <w:lang w:eastAsia="zh-CN" w:bidi="ar"/>
          <w:woUserID w:val="6"/>
        </w:rPr>
        <w:t>进行走访慰问</w:t>
      </w:r>
      <w:r>
        <w:rPr>
          <w:rFonts w:hint="default" w:ascii="Times New Roman" w:hAnsi="Times New Roman" w:eastAsia="仿宋_GB2312" w:cs="仿宋_GB2312"/>
          <w:b w:val="0"/>
          <w:bCs w:val="0"/>
          <w:kern w:val="2"/>
          <w:sz w:val="32"/>
          <w:szCs w:val="32"/>
          <w:lang w:eastAsia="zh-CN" w:bidi="ar"/>
          <w:woUserID w:val="4"/>
        </w:rPr>
        <w:t>;</w:t>
      </w:r>
      <w:r>
        <w:rPr>
          <w:rFonts w:hint="default" w:ascii="Times New Roman" w:hAnsi="Times New Roman" w:cs="仿宋_GB2312"/>
          <w:b w:val="0"/>
          <w:bCs w:val="0"/>
          <w:kern w:val="2"/>
          <w:sz w:val="32"/>
          <w:szCs w:val="32"/>
          <w:lang w:eastAsia="zh-CN" w:bidi="ar"/>
          <w:woUserID w:val="8"/>
        </w:rPr>
        <w:t>联合</w:t>
      </w:r>
      <w:r>
        <w:rPr>
          <w:rFonts w:hint="default" w:ascii="Times New Roman" w:hAnsi="Times New Roman" w:cs="仿宋_GB2312"/>
          <w:b w:val="0"/>
          <w:bCs w:val="0"/>
          <w:kern w:val="2"/>
          <w:sz w:val="32"/>
          <w:szCs w:val="32"/>
          <w:lang w:eastAsia="zh-CN" w:bidi="ar"/>
          <w:woUserID w:val="6"/>
        </w:rPr>
        <w:t>交运部门</w:t>
      </w:r>
      <w:r>
        <w:rPr>
          <w:rFonts w:hint="default" w:ascii="Times New Roman" w:hAnsi="Times New Roman" w:eastAsia="仿宋_GB2312" w:cs="仿宋_GB2312"/>
          <w:b w:val="0"/>
          <w:bCs w:val="0"/>
          <w:kern w:val="2"/>
          <w:sz w:val="32"/>
          <w:szCs w:val="32"/>
          <w:lang w:eastAsia="zh-CN" w:bidi="ar"/>
          <w:woUserID w:val="4"/>
        </w:rPr>
        <w:t>开通遂宁火车站至安居</w:t>
      </w:r>
      <w:r>
        <w:rPr>
          <w:rFonts w:hint="default" w:ascii="Times New Roman" w:hAnsi="Times New Roman" w:cs="仿宋_GB2312"/>
          <w:b w:val="0"/>
          <w:bCs w:val="0"/>
          <w:kern w:val="2"/>
          <w:sz w:val="32"/>
          <w:szCs w:val="32"/>
          <w:lang w:eastAsia="zh-CN" w:bidi="ar"/>
          <w:woUserID w:val="6"/>
        </w:rPr>
        <w:t>夜间</w:t>
      </w:r>
      <w:r>
        <w:rPr>
          <w:rFonts w:hint="default" w:ascii="Times New Roman" w:hAnsi="Times New Roman" w:eastAsia="仿宋_GB2312" w:cs="仿宋_GB2312"/>
          <w:b w:val="0"/>
          <w:bCs w:val="0"/>
          <w:kern w:val="2"/>
          <w:sz w:val="32"/>
          <w:szCs w:val="32"/>
          <w:lang w:eastAsia="zh-CN" w:bidi="ar"/>
          <w:woUserID w:val="4"/>
        </w:rPr>
        <w:t>接驳延时服务专车、安居城区至乡镇专车35辆，确保农民工安全有序返乡返岗</w:t>
      </w:r>
      <w:r>
        <w:rPr>
          <w:rFonts w:hint="default" w:ascii="Times New Roman" w:hAnsi="Times New Roman" w:cs="仿宋_GB2312"/>
          <w:b w:val="0"/>
          <w:bCs w:val="0"/>
          <w:kern w:val="2"/>
          <w:sz w:val="32"/>
          <w:szCs w:val="32"/>
          <w:lang w:eastAsia="zh-CN" w:bidi="ar"/>
          <w:woUserID w:val="4"/>
        </w:rPr>
        <w:t>；</w:t>
      </w:r>
      <w:r>
        <w:rPr>
          <w:rFonts w:hint="default" w:ascii="Times New Roman" w:hAnsi="Times New Roman" w:cs="仿宋_GB2312"/>
          <w:b w:val="0"/>
          <w:bCs w:val="0"/>
          <w:kern w:val="2"/>
          <w:sz w:val="32"/>
          <w:szCs w:val="32"/>
          <w:lang w:eastAsia="zh-CN" w:bidi="ar"/>
          <w:woUserID w:val="6"/>
        </w:rPr>
        <w:t>协调文旅部门</w:t>
      </w:r>
      <w:r>
        <w:rPr>
          <w:rFonts w:hint="default" w:ascii="Times New Roman" w:hAnsi="Times New Roman" w:eastAsia="仿宋_GB2312" w:cs="仿宋_GB2312"/>
          <w:b w:val="0"/>
          <w:bCs w:val="0"/>
          <w:kern w:val="2"/>
          <w:sz w:val="32"/>
          <w:szCs w:val="32"/>
          <w:lang w:eastAsia="zh-CN" w:bidi="ar"/>
          <w:woUserID w:val="4"/>
        </w:rPr>
        <w:t>开展</w:t>
      </w:r>
      <w:r>
        <w:rPr>
          <w:rFonts w:hint="default" w:ascii="Times New Roman" w:hAnsi="Times New Roman" w:cs="仿宋_GB2312"/>
          <w:b w:val="0"/>
          <w:bCs w:val="0"/>
          <w:kern w:val="2"/>
          <w:sz w:val="32"/>
          <w:szCs w:val="32"/>
          <w:lang w:eastAsia="zh-CN" w:bidi="ar"/>
          <w:woUserID w:val="6"/>
        </w:rPr>
        <w:t>送文化下乡等</w:t>
      </w:r>
      <w:r>
        <w:rPr>
          <w:rFonts w:hint="default" w:ascii="Times New Roman" w:hAnsi="Times New Roman" w:eastAsia="仿宋_GB2312" w:cs="仿宋_GB2312"/>
          <w:b w:val="0"/>
          <w:bCs w:val="0"/>
          <w:kern w:val="2"/>
          <w:sz w:val="32"/>
          <w:szCs w:val="32"/>
          <w:lang w:eastAsia="zh-CN" w:bidi="ar"/>
          <w:woUserID w:val="4"/>
        </w:rPr>
        <w:t>形式多样的文体活动;设立返乡人员服务站，为返乡农民工提供就业、创业、培训、社保、医保等</w:t>
      </w:r>
      <w:r>
        <w:rPr>
          <w:rFonts w:hint="default" w:ascii="Times New Roman" w:hAnsi="Times New Roman" w:cs="仿宋_GB2312"/>
          <w:b w:val="0"/>
          <w:bCs w:val="0"/>
          <w:kern w:val="2"/>
          <w:sz w:val="32"/>
          <w:szCs w:val="32"/>
          <w:lang w:eastAsia="zh-CN" w:bidi="ar"/>
          <w:woUserID w:val="4"/>
        </w:rPr>
        <w:t>政策咨询</w:t>
      </w:r>
      <w:r>
        <w:rPr>
          <w:rFonts w:hint="default" w:ascii="Times New Roman" w:hAnsi="Times New Roman" w:eastAsia="仿宋_GB2312" w:cs="仿宋_GB2312"/>
          <w:b w:val="0"/>
          <w:bCs w:val="0"/>
          <w:kern w:val="2"/>
          <w:sz w:val="32"/>
          <w:szCs w:val="32"/>
          <w:lang w:eastAsia="zh-CN" w:bidi="ar"/>
          <w:woUserID w:val="4"/>
        </w:rPr>
        <w:t>服务。</w:t>
      </w:r>
      <w:r>
        <w:rPr>
          <w:rFonts w:hint="default" w:ascii="仿宋_GB2312" w:hAnsi="仿宋_GB2312" w:eastAsia="仿宋_GB2312" w:cs="仿宋_GB2312"/>
          <w:b/>
          <w:bCs/>
          <w:sz w:val="32"/>
          <w:szCs w:val="32"/>
          <w:lang w:eastAsia="zh-CN"/>
          <w:woUserID w:val="4"/>
        </w:rPr>
        <w:t>二是抓实抓细服务保障常态工作。</w:t>
      </w:r>
      <w:r>
        <w:rPr>
          <w:rFonts w:hint="default" w:ascii="Times New Roman" w:hAnsi="Times New Roman" w:cs="仿宋_GB2312"/>
          <w:b w:val="0"/>
          <w:bCs w:val="0"/>
          <w:kern w:val="2"/>
          <w:sz w:val="32"/>
          <w:szCs w:val="32"/>
          <w:lang w:eastAsia="zh-CN" w:bidi="ar"/>
          <w:woUserID w:val="7"/>
        </w:rPr>
        <w:t>进一步健全完善农村劳动力实名制信息数据库和电子信息档案38.98万人次; 联合团区委、区妇联、区总工会等部门开展“红领巾、爱祖国”、“夏日送清凉、关爱农民工”等主题活动，慰问农民工及子女107人，发放慰问物资3.21万元;2024年新增建立重庆、上海驻外农民工服务工作站，</w:t>
      </w:r>
      <w:r>
        <w:rPr>
          <w:rFonts w:hint="eastAsia" w:ascii="Times New Roman" w:hAnsi="Times New Roman" w:cs="仿宋_GB2312"/>
          <w:b w:val="0"/>
          <w:bCs w:val="0"/>
          <w:kern w:val="2"/>
          <w:sz w:val="32"/>
          <w:szCs w:val="32"/>
          <w:lang w:eastAsia="zh-CN" w:bidi="ar"/>
          <w:woUserID w:val="7"/>
        </w:rPr>
        <w:t>截至目前</w:t>
      </w:r>
      <w:r>
        <w:rPr>
          <w:rFonts w:hint="default" w:ascii="Times New Roman" w:hAnsi="Times New Roman" w:cs="仿宋_GB2312"/>
          <w:b w:val="0"/>
          <w:bCs w:val="0"/>
          <w:kern w:val="2"/>
          <w:sz w:val="32"/>
          <w:szCs w:val="32"/>
          <w:lang w:eastAsia="zh-CN" w:bidi="ar"/>
          <w:woUserID w:val="7"/>
        </w:rPr>
        <w:t>已建立7个驻外农民工服务工作站;2024年新增建立村(社区)农民工综合服务站124个;开展农民工才艺作品选送工作，共选送65件作品参加四川省第二届“蜀你最靓”农民工网络才艺大赛，获奖7件。</w:t>
      </w:r>
    </w:p>
    <w:p w14:paraId="44E616E9">
      <w:pPr>
        <w:keepNext w:val="0"/>
        <w:keepLines w:val="0"/>
        <w:pageBreakBefore w:val="0"/>
        <w:kinsoku/>
        <w:wordWrap/>
        <w:overflowPunct/>
        <w:topLinePunct w:val="0"/>
        <w:autoSpaceDE/>
        <w:autoSpaceDN/>
        <w:bidi w:val="0"/>
        <w:spacing w:line="580" w:lineRule="exact"/>
        <w:ind w:firstLine="643" w:firstLineChars="200"/>
        <w:jc w:val="both"/>
        <w:textAlignment w:val="auto"/>
        <w:rPr>
          <w:rFonts w:hint="default" w:ascii="Times New Roman" w:hAnsi="Times New Roman" w:cs="仿宋_GB2312"/>
          <w:b w:val="0"/>
          <w:bCs w:val="0"/>
          <w:kern w:val="2"/>
          <w:sz w:val="32"/>
          <w:szCs w:val="32"/>
          <w:lang w:val="en-US" w:eastAsia="zh-CN" w:bidi="ar"/>
          <w:woUserID w:val="7"/>
        </w:rPr>
      </w:pPr>
      <w:r>
        <w:rPr>
          <w:rFonts w:hint="default" w:ascii="仿宋_GB2312" w:hAnsi="仿宋_GB2312" w:eastAsia="仿宋_GB2312" w:cs="仿宋_GB2312"/>
          <w:b/>
          <w:bCs/>
          <w:sz w:val="32"/>
          <w:szCs w:val="32"/>
          <w:lang w:eastAsia="zh-CN"/>
          <w:woUserID w:val="4"/>
        </w:rPr>
        <w:t>就业开发：</w:t>
      </w:r>
      <w:r>
        <w:rPr>
          <w:rFonts w:hint="eastAsia" w:ascii="仿宋_GB2312" w:hAnsi="仿宋_GB2312" w:eastAsia="仿宋_GB2312" w:cs="仿宋_GB2312"/>
          <w:b/>
          <w:bCs/>
          <w:sz w:val="32"/>
          <w:szCs w:val="32"/>
          <w:lang w:val="en-US" w:eastAsia="zh-CN"/>
          <w:woUserID w:val="4"/>
        </w:rPr>
        <w:t>一</w:t>
      </w:r>
      <w:r>
        <w:rPr>
          <w:rFonts w:hint="default" w:ascii="仿宋_GB2312" w:hAnsi="仿宋_GB2312" w:eastAsia="仿宋_GB2312" w:cs="仿宋_GB2312"/>
          <w:b/>
          <w:bCs/>
          <w:sz w:val="32"/>
          <w:szCs w:val="32"/>
          <w:lang w:val="en-US" w:eastAsia="zh-CN"/>
          <w:woUserID w:val="4"/>
        </w:rPr>
        <w:t>是有序推进县乡村三级劳务体系建设。</w:t>
      </w:r>
      <w:r>
        <w:rPr>
          <w:rFonts w:hint="default" w:ascii="Times New Roman" w:hAnsi="Times New Roman" w:cs="仿宋_GB2312"/>
          <w:b w:val="0"/>
          <w:bCs w:val="0"/>
          <w:kern w:val="2"/>
          <w:sz w:val="32"/>
          <w:szCs w:val="32"/>
          <w:lang w:val="en-US" w:eastAsia="zh-CN" w:bidi="ar"/>
          <w:woUserID w:val="7"/>
        </w:rPr>
        <w:t>2024年在常理、东禅等5个镇新建镇级劳务专合社5个，培育村级劳务经济人85人，累计建成镇级劳务专合社11个，建成率占全区总数61%，专合社所辖村（社区）劳务经纪人培训率达100%，培育率占全区总数71%；</w:t>
      </w:r>
      <w:r>
        <w:rPr>
          <w:rFonts w:hint="eastAsia" w:ascii="Times New Roman" w:hAnsi="Times New Roman" w:cs="仿宋_GB2312"/>
          <w:b w:val="0"/>
          <w:bCs w:val="0"/>
          <w:kern w:val="2"/>
          <w:sz w:val="32"/>
          <w:szCs w:val="32"/>
          <w:lang w:val="en-US" w:eastAsia="zh-CN" w:bidi="ar"/>
          <w:woUserID w:val="7"/>
        </w:rPr>
        <w:t>制作三级劳务服务体系专题宣传片，</w:t>
      </w:r>
      <w:r>
        <w:rPr>
          <w:rFonts w:hint="default" w:ascii="Times New Roman" w:hAnsi="Times New Roman" w:cs="仿宋_GB2312"/>
          <w:b w:val="0"/>
          <w:bCs w:val="0"/>
          <w:kern w:val="2"/>
          <w:sz w:val="32"/>
          <w:szCs w:val="32"/>
          <w:lang w:val="en-US" w:eastAsia="zh-CN" w:bidi="ar"/>
          <w:woUserID w:val="7"/>
        </w:rPr>
        <w:t>积极推行“蜀我·会找活”数智平台</w:t>
      </w:r>
      <w:r>
        <w:rPr>
          <w:rFonts w:hint="eastAsia" w:ascii="Times New Roman" w:hAnsi="Times New Roman" w:cs="仿宋_GB2312"/>
          <w:b w:val="0"/>
          <w:bCs w:val="0"/>
          <w:kern w:val="2"/>
          <w:sz w:val="32"/>
          <w:szCs w:val="32"/>
          <w:lang w:val="en-US" w:eastAsia="zh-CN" w:bidi="ar"/>
          <w:woUserID w:val="7"/>
        </w:rPr>
        <w:t>的推广使用</w:t>
      </w:r>
      <w:r>
        <w:rPr>
          <w:rFonts w:hint="default" w:ascii="Times New Roman" w:hAnsi="Times New Roman" w:cs="仿宋_GB2312"/>
          <w:b w:val="0"/>
          <w:bCs w:val="0"/>
          <w:kern w:val="2"/>
          <w:sz w:val="32"/>
          <w:szCs w:val="32"/>
          <w:lang w:val="en-US" w:eastAsia="zh-CN" w:bidi="ar"/>
          <w:woUserID w:val="7"/>
        </w:rPr>
        <w:t>。截止</w:t>
      </w:r>
      <w:r>
        <w:rPr>
          <w:rFonts w:hint="default" w:ascii="Times New Roman" w:hAnsi="Times New Roman" w:cs="仿宋_GB2312"/>
          <w:b w:val="0"/>
          <w:bCs w:val="0"/>
          <w:kern w:val="2"/>
          <w:sz w:val="32"/>
          <w:szCs w:val="32"/>
          <w:lang w:eastAsia="zh-CN" w:bidi="ar"/>
          <w:woUserID w:val="7"/>
        </w:rPr>
        <w:t>2024年12月底</w:t>
      </w:r>
      <w:r>
        <w:rPr>
          <w:rFonts w:hint="default" w:ascii="Times New Roman" w:hAnsi="Times New Roman" w:cs="仿宋_GB2312"/>
          <w:b w:val="0"/>
          <w:bCs w:val="0"/>
          <w:kern w:val="2"/>
          <w:sz w:val="32"/>
          <w:szCs w:val="32"/>
          <w:lang w:val="en-US" w:eastAsia="zh-CN" w:bidi="ar"/>
          <w:woUserID w:val="7"/>
        </w:rPr>
        <w:t>，1家区级劳务平台公司、11家劳务专合社和234名劳务经纪人已全部入驻“蜀我·会找活”平台系统，入驻社员</w:t>
      </w:r>
      <w:r>
        <w:rPr>
          <w:rFonts w:hint="default" w:ascii="Times New Roman" w:hAnsi="Times New Roman" w:cs="仿宋_GB2312"/>
          <w:b w:val="0"/>
          <w:bCs w:val="0"/>
          <w:kern w:val="2"/>
          <w:sz w:val="32"/>
          <w:szCs w:val="32"/>
          <w:lang w:eastAsia="zh-CN" w:bidi="ar"/>
          <w:woUserID w:val="7"/>
        </w:rPr>
        <w:t>21328</w:t>
      </w:r>
      <w:r>
        <w:rPr>
          <w:rFonts w:hint="default" w:ascii="Times New Roman" w:hAnsi="Times New Roman" w:cs="仿宋_GB2312"/>
          <w:b w:val="0"/>
          <w:bCs w:val="0"/>
          <w:kern w:val="2"/>
          <w:sz w:val="32"/>
          <w:szCs w:val="32"/>
          <w:lang w:val="en-US" w:eastAsia="zh-CN" w:bidi="ar"/>
          <w:woUserID w:val="7"/>
        </w:rPr>
        <w:t>人、各类用工主体183个。</w:t>
      </w:r>
      <w:r>
        <w:rPr>
          <w:rFonts w:hint="eastAsia" w:ascii="仿宋_GB2312" w:hAnsi="仿宋_GB2312" w:eastAsia="仿宋_GB2312" w:cs="仿宋_GB2312"/>
          <w:b/>
          <w:bCs/>
          <w:sz w:val="32"/>
          <w:szCs w:val="32"/>
          <w:lang w:val="en-US" w:eastAsia="zh-CN"/>
          <w:woUserID w:val="4"/>
        </w:rPr>
        <w:t>二</w:t>
      </w:r>
      <w:r>
        <w:rPr>
          <w:rFonts w:hint="default" w:ascii="仿宋_GB2312" w:hAnsi="仿宋_GB2312" w:eastAsia="仿宋_GB2312" w:cs="仿宋_GB2312"/>
          <w:b/>
          <w:bCs/>
          <w:sz w:val="32"/>
          <w:szCs w:val="32"/>
          <w:lang w:val="en-US" w:eastAsia="zh-CN"/>
          <w:woUserID w:val="4"/>
        </w:rPr>
        <w:t>是针对性开展劳务品牌培训。</w:t>
      </w:r>
      <w:r>
        <w:rPr>
          <w:rFonts w:hint="default" w:ascii="Times New Roman" w:hAnsi="Times New Roman" w:cs="仿宋_GB2312"/>
          <w:b w:val="0"/>
          <w:bCs w:val="0"/>
          <w:kern w:val="2"/>
          <w:sz w:val="32"/>
          <w:szCs w:val="32"/>
          <w:lang w:val="en-US" w:eastAsia="zh-CN" w:bidi="ar"/>
          <w:woUserID w:val="7"/>
        </w:rPr>
        <w:t>2024年劳务品牌培训工种以电商、建筑、餐饮、服务为切入点，开设网络直播销售、架子工、中式面点及育婴员等实用技能工种，切实增加</w:t>
      </w:r>
      <w:r>
        <w:rPr>
          <w:rFonts w:hint="eastAsia" w:ascii="Times New Roman" w:hAnsi="Times New Roman" w:cs="仿宋_GB2312"/>
          <w:b w:val="0"/>
          <w:bCs w:val="0"/>
          <w:kern w:val="2"/>
          <w:sz w:val="32"/>
          <w:szCs w:val="32"/>
          <w:lang w:val="en-US" w:eastAsia="zh-CN" w:bidi="ar"/>
          <w:woUserID w:val="7"/>
        </w:rPr>
        <w:t>农民工</w:t>
      </w:r>
      <w:r>
        <w:rPr>
          <w:rFonts w:hint="default" w:ascii="Times New Roman" w:hAnsi="Times New Roman" w:cs="仿宋_GB2312"/>
          <w:b w:val="0"/>
          <w:bCs w:val="0"/>
          <w:kern w:val="2"/>
          <w:sz w:val="32"/>
          <w:szCs w:val="32"/>
          <w:lang w:val="en-US" w:eastAsia="zh-CN" w:bidi="ar"/>
          <w:woUserID w:val="7"/>
        </w:rPr>
        <w:t>就业率。</w:t>
      </w:r>
      <w:r>
        <w:rPr>
          <w:rFonts w:hint="default" w:ascii="Times New Roman" w:hAnsi="Times New Roman" w:cs="仿宋_GB2312"/>
          <w:b w:val="0"/>
          <w:bCs w:val="0"/>
          <w:kern w:val="2"/>
          <w:sz w:val="32"/>
          <w:szCs w:val="32"/>
          <w:lang w:eastAsia="zh-CN" w:bidi="ar"/>
          <w:woUserID w:val="7"/>
        </w:rPr>
        <w:t>全年</w:t>
      </w:r>
      <w:r>
        <w:rPr>
          <w:rFonts w:hint="default" w:ascii="Times New Roman" w:hAnsi="Times New Roman" w:cs="仿宋_GB2312"/>
          <w:b w:val="0"/>
          <w:bCs w:val="0"/>
          <w:kern w:val="2"/>
          <w:sz w:val="32"/>
          <w:szCs w:val="32"/>
          <w:lang w:val="en-US" w:eastAsia="zh-CN" w:bidi="ar"/>
          <w:woUserID w:val="7"/>
        </w:rPr>
        <w:t>共开设劳务品牌培训四期230人次，完成</w:t>
      </w:r>
      <w:r>
        <w:rPr>
          <w:rFonts w:hint="eastAsia" w:ascii="Times New Roman" w:hAnsi="Times New Roman" w:cs="仿宋_GB2312"/>
          <w:b w:val="0"/>
          <w:bCs w:val="0"/>
          <w:kern w:val="2"/>
          <w:sz w:val="32"/>
          <w:szCs w:val="32"/>
          <w:lang w:val="en-US" w:eastAsia="zh-CN" w:bidi="ar"/>
          <w:woUserID w:val="7"/>
        </w:rPr>
        <w:t>市级下达</w:t>
      </w:r>
      <w:r>
        <w:rPr>
          <w:rFonts w:hint="default" w:ascii="Times New Roman" w:hAnsi="Times New Roman" w:cs="仿宋_GB2312"/>
          <w:b w:val="0"/>
          <w:bCs w:val="0"/>
          <w:kern w:val="2"/>
          <w:sz w:val="32"/>
          <w:szCs w:val="32"/>
          <w:lang w:val="en-US" w:eastAsia="zh-CN" w:bidi="ar"/>
          <w:woUserID w:val="7"/>
        </w:rPr>
        <w:t>年度目标任务160人的143%。</w:t>
      </w:r>
      <w:r>
        <w:rPr>
          <w:rFonts w:hint="default" w:ascii="仿宋_GB2312" w:hAnsi="仿宋_GB2312" w:eastAsia="仿宋_GB2312" w:cs="仿宋_GB2312"/>
          <w:b/>
          <w:bCs/>
          <w:sz w:val="32"/>
          <w:szCs w:val="32"/>
          <w:lang w:val="en-US" w:eastAsia="zh-CN"/>
          <w:woUserID w:val="4"/>
        </w:rPr>
        <w:t>三是扎实做好就业服务。</w:t>
      </w:r>
      <w:r>
        <w:rPr>
          <w:rFonts w:hint="default" w:ascii="Times New Roman" w:hAnsi="Times New Roman" w:cs="仿宋_GB2312"/>
          <w:b w:val="0"/>
          <w:bCs w:val="0"/>
          <w:kern w:val="2"/>
          <w:sz w:val="32"/>
          <w:szCs w:val="32"/>
          <w:lang w:val="en-US" w:eastAsia="zh-CN" w:bidi="ar"/>
          <w:woUserID w:val="7"/>
        </w:rPr>
        <w:t>开展“村支书</w:t>
      </w:r>
      <w:r>
        <w:rPr>
          <w:rFonts w:hint="default" w:ascii="Times New Roman" w:hAnsi="Times New Roman" w:cs="仿宋_GB2312"/>
          <w:b w:val="0"/>
          <w:bCs w:val="0"/>
          <w:kern w:val="2"/>
          <w:sz w:val="32"/>
          <w:szCs w:val="32"/>
          <w:lang w:eastAsia="zh-CN" w:bidi="ar"/>
          <w:woUserID w:val="7"/>
        </w:rPr>
        <w:t>暨农民工</w:t>
      </w:r>
      <w:r>
        <w:rPr>
          <w:rFonts w:hint="default" w:ascii="Times New Roman" w:hAnsi="Times New Roman" w:cs="仿宋_GB2312"/>
          <w:b w:val="0"/>
          <w:bCs w:val="0"/>
          <w:kern w:val="2"/>
          <w:sz w:val="32"/>
          <w:szCs w:val="32"/>
          <w:lang w:val="en-US" w:eastAsia="zh-CN" w:bidi="ar"/>
          <w:woUserID w:val="7"/>
        </w:rPr>
        <w:t>进企业”招工帮扶活动，邀请村（社区）书记</w:t>
      </w:r>
      <w:r>
        <w:rPr>
          <w:rFonts w:hint="default" w:ascii="Times New Roman" w:hAnsi="Times New Roman" w:cs="仿宋_GB2312"/>
          <w:b w:val="0"/>
          <w:bCs w:val="0"/>
          <w:kern w:val="2"/>
          <w:sz w:val="32"/>
          <w:szCs w:val="32"/>
          <w:lang w:eastAsia="zh-CN" w:bidi="ar"/>
          <w:woUserID w:val="7"/>
        </w:rPr>
        <w:t>、劳务经纪人、农民工代表</w:t>
      </w:r>
      <w:r>
        <w:rPr>
          <w:rFonts w:hint="default" w:ascii="Times New Roman" w:hAnsi="Times New Roman" w:cs="仿宋_GB2312"/>
          <w:b w:val="0"/>
          <w:bCs w:val="0"/>
          <w:kern w:val="2"/>
          <w:sz w:val="32"/>
          <w:szCs w:val="32"/>
          <w:lang w:val="en-US" w:eastAsia="zh-CN" w:bidi="ar"/>
          <w:woUserID w:val="7"/>
        </w:rPr>
        <w:t>深入辖区用工企业了解企业生产环境、用工需求、薪资待遇等情况，将岗位信息传递到农民工手中。联合区人力资源市场积极开展“春风行动”暨服务农民工大型招聘会、秋季大型招聘会、返乡回流农民工专场招聘等各类招聘活动</w:t>
      </w:r>
      <w:r>
        <w:rPr>
          <w:rFonts w:hint="default" w:ascii="Times New Roman" w:hAnsi="Times New Roman" w:cs="仿宋_GB2312"/>
          <w:b w:val="0"/>
          <w:bCs w:val="0"/>
          <w:kern w:val="2"/>
          <w:sz w:val="32"/>
          <w:szCs w:val="32"/>
          <w:lang w:eastAsia="zh-CN" w:bidi="ar"/>
          <w:woUserID w:val="7"/>
        </w:rPr>
        <w:t>6</w:t>
      </w:r>
      <w:r>
        <w:rPr>
          <w:rFonts w:hint="default" w:ascii="Times New Roman" w:hAnsi="Times New Roman" w:cs="仿宋_GB2312"/>
          <w:b w:val="0"/>
          <w:bCs w:val="0"/>
          <w:kern w:val="2"/>
          <w:sz w:val="32"/>
          <w:szCs w:val="32"/>
          <w:lang w:val="en-US" w:eastAsia="zh-CN" w:bidi="ar"/>
          <w:woUserID w:val="7"/>
        </w:rPr>
        <w:t>1场次，提供就业岗位1.</w:t>
      </w:r>
      <w:r>
        <w:rPr>
          <w:rFonts w:hint="default" w:ascii="Times New Roman" w:hAnsi="Times New Roman" w:cs="仿宋_GB2312"/>
          <w:b w:val="0"/>
          <w:bCs w:val="0"/>
          <w:kern w:val="2"/>
          <w:sz w:val="32"/>
          <w:szCs w:val="32"/>
          <w:lang w:eastAsia="zh-CN" w:bidi="ar"/>
          <w:woUserID w:val="7"/>
        </w:rPr>
        <w:t>5</w:t>
      </w:r>
      <w:r>
        <w:rPr>
          <w:rFonts w:hint="default" w:ascii="Times New Roman" w:hAnsi="Times New Roman" w:cs="仿宋_GB2312"/>
          <w:b w:val="0"/>
          <w:bCs w:val="0"/>
          <w:kern w:val="2"/>
          <w:sz w:val="32"/>
          <w:szCs w:val="32"/>
          <w:lang w:val="en-US" w:eastAsia="zh-CN" w:bidi="ar"/>
          <w:woUserID w:val="7"/>
        </w:rPr>
        <w:t>万余个，累计达成</w:t>
      </w:r>
      <w:r>
        <w:rPr>
          <w:rFonts w:hint="eastAsia" w:ascii="Times New Roman" w:hAnsi="Times New Roman" w:cs="仿宋_GB2312"/>
          <w:b w:val="0"/>
          <w:bCs w:val="0"/>
          <w:kern w:val="2"/>
          <w:sz w:val="32"/>
          <w:szCs w:val="32"/>
          <w:lang w:val="en-US" w:eastAsia="zh-CN" w:bidi="ar"/>
          <w:woUserID w:val="7"/>
        </w:rPr>
        <w:t>区内企业</w:t>
      </w:r>
      <w:r>
        <w:rPr>
          <w:rFonts w:hint="default" w:ascii="Times New Roman" w:hAnsi="Times New Roman" w:cs="仿宋_GB2312"/>
          <w:b w:val="0"/>
          <w:bCs w:val="0"/>
          <w:kern w:val="2"/>
          <w:sz w:val="32"/>
          <w:szCs w:val="32"/>
          <w:lang w:val="en-US" w:eastAsia="zh-CN" w:bidi="ar"/>
          <w:woUserID w:val="7"/>
        </w:rPr>
        <w:t>就业意向2</w:t>
      </w:r>
      <w:r>
        <w:rPr>
          <w:rFonts w:hint="default" w:ascii="Times New Roman" w:hAnsi="Times New Roman" w:cs="仿宋_GB2312"/>
          <w:b w:val="0"/>
          <w:bCs w:val="0"/>
          <w:kern w:val="2"/>
          <w:sz w:val="32"/>
          <w:szCs w:val="32"/>
          <w:lang w:eastAsia="zh-CN" w:bidi="ar"/>
          <w:woUserID w:val="7"/>
        </w:rPr>
        <w:t>700余</w:t>
      </w:r>
      <w:r>
        <w:rPr>
          <w:rFonts w:hint="default" w:ascii="Times New Roman" w:hAnsi="Times New Roman" w:cs="仿宋_GB2312"/>
          <w:b w:val="0"/>
          <w:bCs w:val="0"/>
          <w:kern w:val="2"/>
          <w:sz w:val="32"/>
          <w:szCs w:val="32"/>
          <w:lang w:val="en-US" w:eastAsia="zh-CN" w:bidi="ar"/>
          <w:woUserID w:val="7"/>
        </w:rPr>
        <w:t>人。</w:t>
      </w:r>
      <w:r>
        <w:rPr>
          <w:rFonts w:hint="default" w:ascii="仿宋_GB2312" w:hAnsi="仿宋_GB2312" w:eastAsia="仿宋_GB2312" w:cs="仿宋_GB2312"/>
          <w:b/>
          <w:bCs/>
          <w:sz w:val="32"/>
          <w:szCs w:val="32"/>
          <w:lang w:val="en-US" w:eastAsia="zh-CN"/>
          <w:woUserID w:val="4"/>
        </w:rPr>
        <w:t>四是切实推进对外劳务协作。</w:t>
      </w:r>
      <w:r>
        <w:rPr>
          <w:rFonts w:hint="default" w:ascii="Times New Roman" w:hAnsi="Times New Roman" w:cs="仿宋_GB2312"/>
          <w:b w:val="0"/>
          <w:bCs w:val="0"/>
          <w:kern w:val="2"/>
          <w:sz w:val="32"/>
          <w:szCs w:val="32"/>
          <w:lang w:val="en-US" w:eastAsia="zh-CN" w:bidi="ar"/>
          <w:woUserID w:val="7"/>
        </w:rPr>
        <w:t>积极对接省外用工集中地，2024年与江苏省常州市、福建省石狮市、浙江省平湖区等地</w:t>
      </w:r>
      <w:r>
        <w:rPr>
          <w:rFonts w:hint="eastAsia" w:ascii="Times New Roman" w:hAnsi="Times New Roman" w:cs="仿宋_GB2312"/>
          <w:b w:val="0"/>
          <w:bCs w:val="0"/>
          <w:kern w:val="2"/>
          <w:sz w:val="32"/>
          <w:szCs w:val="32"/>
          <w:lang w:val="en-US" w:eastAsia="zh-CN" w:bidi="ar"/>
          <w:woUserID w:val="7"/>
        </w:rPr>
        <w:t>人力资源社会保障部</w:t>
      </w:r>
      <w:r>
        <w:rPr>
          <w:rFonts w:hint="default" w:ascii="Times New Roman" w:hAnsi="Times New Roman" w:cs="仿宋_GB2312"/>
          <w:b w:val="0"/>
          <w:bCs w:val="0"/>
          <w:kern w:val="2"/>
          <w:sz w:val="32"/>
          <w:szCs w:val="32"/>
          <w:lang w:val="en-US" w:eastAsia="zh-CN" w:bidi="ar"/>
          <w:woUserID w:val="7"/>
        </w:rPr>
        <w:t>门成功签订《劳务合作协议书》4份，通过微信工作群、公众号等方式推送省外务工信息27</w:t>
      </w:r>
      <w:r>
        <w:rPr>
          <w:rFonts w:hint="default" w:ascii="Times New Roman" w:hAnsi="Times New Roman" w:cs="仿宋_GB2312"/>
          <w:b w:val="0"/>
          <w:bCs w:val="0"/>
          <w:kern w:val="2"/>
          <w:sz w:val="32"/>
          <w:szCs w:val="32"/>
          <w:lang w:eastAsia="zh-CN" w:bidi="ar"/>
          <w:woUserID w:val="7"/>
        </w:rPr>
        <w:t>期</w:t>
      </w:r>
      <w:r>
        <w:rPr>
          <w:rFonts w:hint="default" w:ascii="Times New Roman" w:hAnsi="Times New Roman" w:cs="仿宋_GB2312"/>
          <w:b w:val="0"/>
          <w:bCs w:val="0"/>
          <w:kern w:val="2"/>
          <w:sz w:val="32"/>
          <w:szCs w:val="32"/>
          <w:lang w:val="en-US" w:eastAsia="zh-CN" w:bidi="ar"/>
          <w:woUserID w:val="7"/>
        </w:rPr>
        <w:t>，</w:t>
      </w:r>
      <w:r>
        <w:rPr>
          <w:rFonts w:hint="default" w:ascii="Times New Roman" w:hAnsi="Times New Roman" w:cs="仿宋_GB2312"/>
          <w:b w:val="0"/>
          <w:bCs w:val="0"/>
          <w:kern w:val="2"/>
          <w:sz w:val="32"/>
          <w:szCs w:val="32"/>
          <w:lang w:eastAsia="zh-CN" w:bidi="ar"/>
          <w:woUserID w:val="7"/>
        </w:rPr>
        <w:t>涉及</w:t>
      </w:r>
      <w:r>
        <w:rPr>
          <w:rFonts w:hint="default" w:ascii="Times New Roman" w:hAnsi="Times New Roman" w:cs="仿宋_GB2312"/>
          <w:b w:val="0"/>
          <w:bCs w:val="0"/>
          <w:kern w:val="2"/>
          <w:sz w:val="32"/>
          <w:szCs w:val="32"/>
          <w:lang w:val="en-US" w:eastAsia="zh-CN" w:bidi="ar"/>
          <w:woUserID w:val="7"/>
        </w:rPr>
        <w:t>岗位1</w:t>
      </w:r>
      <w:r>
        <w:rPr>
          <w:rFonts w:hint="default" w:ascii="Times New Roman" w:hAnsi="Times New Roman" w:cs="仿宋_GB2312"/>
          <w:b w:val="0"/>
          <w:bCs w:val="0"/>
          <w:kern w:val="2"/>
          <w:sz w:val="32"/>
          <w:szCs w:val="32"/>
          <w:lang w:eastAsia="zh-CN" w:bidi="ar"/>
          <w:woUserID w:val="7"/>
        </w:rPr>
        <w:t>.8万余</w:t>
      </w:r>
      <w:r>
        <w:rPr>
          <w:rFonts w:hint="default" w:ascii="Times New Roman" w:hAnsi="Times New Roman" w:cs="仿宋_GB2312"/>
          <w:b w:val="0"/>
          <w:bCs w:val="0"/>
          <w:kern w:val="2"/>
          <w:sz w:val="32"/>
          <w:szCs w:val="32"/>
          <w:lang w:val="en-US" w:eastAsia="zh-CN" w:bidi="ar"/>
          <w:woUserID w:val="7"/>
        </w:rPr>
        <w:t>个，进一步畅通了农民工外出务工渠道</w:t>
      </w:r>
      <w:r>
        <w:rPr>
          <w:rFonts w:hint="default" w:ascii="Times New Roman" w:hAnsi="Times New Roman" w:cs="仿宋_GB2312"/>
          <w:b w:val="0"/>
          <w:bCs w:val="0"/>
          <w:kern w:val="2"/>
          <w:sz w:val="32"/>
          <w:szCs w:val="32"/>
          <w:lang w:eastAsia="zh-CN" w:bidi="ar"/>
          <w:woUserID w:val="7"/>
        </w:rPr>
        <w:t>，</w:t>
      </w:r>
      <w:r>
        <w:rPr>
          <w:rFonts w:hint="default" w:ascii="Times New Roman" w:hAnsi="Times New Roman" w:cs="仿宋_GB2312"/>
          <w:b w:val="0"/>
          <w:bCs w:val="0"/>
          <w:kern w:val="2"/>
          <w:sz w:val="32"/>
          <w:szCs w:val="32"/>
          <w:lang w:val="en-US" w:eastAsia="zh-CN" w:bidi="ar"/>
          <w:woUserID w:val="7"/>
        </w:rPr>
        <w:t>农村劳动力动态输出32.08万人次。</w:t>
      </w:r>
    </w:p>
    <w:p w14:paraId="6A054F1D">
      <w:pPr>
        <w:keepNext w:val="0"/>
        <w:keepLines w:val="0"/>
        <w:pageBreakBefore w:val="0"/>
        <w:kinsoku/>
        <w:wordWrap/>
        <w:overflowPunct/>
        <w:topLinePunct w:val="0"/>
        <w:autoSpaceDE/>
        <w:autoSpaceDN/>
        <w:bidi w:val="0"/>
        <w:spacing w:line="580" w:lineRule="exact"/>
        <w:ind w:firstLine="643" w:firstLineChars="200"/>
        <w:jc w:val="both"/>
        <w:textAlignment w:val="auto"/>
        <w:rPr>
          <w:rFonts w:hint="default" w:ascii="Times New Roman" w:hAnsi="Times New Roman" w:cs="仿宋_GB2312"/>
          <w:b w:val="0"/>
          <w:bCs w:val="0"/>
          <w:kern w:val="2"/>
          <w:sz w:val="32"/>
          <w:szCs w:val="32"/>
          <w:lang w:val="en-US" w:eastAsia="zh-CN" w:bidi="ar"/>
          <w:woUserID w:val="7"/>
        </w:rPr>
      </w:pPr>
      <w:r>
        <w:rPr>
          <w:rFonts w:hint="default" w:ascii="仿宋_GB2312" w:hAnsi="仿宋_GB2312" w:eastAsia="仿宋_GB2312" w:cs="仿宋_GB2312"/>
          <w:b/>
          <w:bCs/>
          <w:sz w:val="32"/>
          <w:szCs w:val="32"/>
          <w:lang w:val="en-US" w:eastAsia="zh-CN"/>
          <w:woUserID w:val="4"/>
        </w:rPr>
        <w:t>回引创业：一是问卷调查，收集企业需求。</w:t>
      </w:r>
      <w:r>
        <w:rPr>
          <w:rFonts w:hint="default" w:ascii="Times New Roman" w:hAnsi="Times New Roman" w:cs="仿宋_GB2312"/>
          <w:b w:val="0"/>
          <w:bCs w:val="0"/>
          <w:kern w:val="2"/>
          <w:sz w:val="32"/>
          <w:szCs w:val="32"/>
          <w:lang w:val="en-US" w:eastAsia="zh-CN" w:bidi="ar"/>
          <w:woUserID w:val="7"/>
        </w:rPr>
        <w:t>以《返乡创业企业需求调查问卷》的形式收集返乡创业问题及建议，共五大类64个；针对性开展返乡创业产品展示、返乡创业项目推介、专家巡诊问诊等各类返创服务活动共18场次；</w:t>
      </w:r>
      <w:r>
        <w:rPr>
          <w:rFonts w:hint="default" w:ascii="仿宋_GB2312" w:hAnsi="仿宋_GB2312" w:eastAsia="仿宋_GB2312" w:cs="仿宋_GB2312"/>
          <w:b/>
          <w:bCs/>
          <w:sz w:val="32"/>
          <w:szCs w:val="32"/>
          <w:lang w:val="en-US" w:eastAsia="zh-CN"/>
          <w:woUserID w:val="4"/>
        </w:rPr>
        <w:t>二是整合资源，优化创业环境。</w:t>
      </w:r>
      <w:r>
        <w:rPr>
          <w:rFonts w:hint="default" w:ascii="Times New Roman" w:hAnsi="Times New Roman" w:cs="仿宋_GB2312"/>
          <w:b w:val="0"/>
          <w:bCs w:val="0"/>
          <w:kern w:val="2"/>
          <w:sz w:val="32"/>
          <w:szCs w:val="32"/>
          <w:lang w:val="en-US" w:eastAsia="zh-CN" w:bidi="ar"/>
          <w:woUserID w:val="7"/>
        </w:rPr>
        <w:t>联合区委组织部、团区委举办直播电商“新农人”培育示范营培训班，与区司法局、区热线办联合开展新</w:t>
      </w:r>
      <w:r>
        <w:rPr>
          <w:rFonts w:hint="eastAsia" w:ascii="Times New Roman" w:hAnsi="Times New Roman" w:cs="仿宋_GB2312"/>
          <w:b w:val="0"/>
          <w:bCs w:val="0"/>
          <w:kern w:val="2"/>
          <w:sz w:val="32"/>
          <w:szCs w:val="32"/>
          <w:lang w:val="en-US" w:eastAsia="zh-CN" w:bidi="ar"/>
          <w:woUserID w:val="7"/>
        </w:rPr>
        <w:t>《中华人民共和国公司法》</w:t>
      </w:r>
      <w:r>
        <w:rPr>
          <w:rFonts w:hint="default" w:ascii="Times New Roman" w:hAnsi="Times New Roman" w:cs="仿宋_GB2312"/>
          <w:b w:val="0"/>
          <w:bCs w:val="0"/>
          <w:kern w:val="2"/>
          <w:sz w:val="32"/>
          <w:szCs w:val="32"/>
          <w:lang w:val="en-US" w:eastAsia="zh-CN" w:bidi="ar"/>
          <w:woUserID w:val="7"/>
        </w:rPr>
        <w:t>讲座、营商环境座谈会等活动</w:t>
      </w:r>
      <w:r>
        <w:rPr>
          <w:rFonts w:hint="eastAsia" w:ascii="Times New Roman" w:hAnsi="Times New Roman" w:cs="仿宋_GB2312"/>
          <w:b w:val="0"/>
          <w:bCs w:val="0"/>
          <w:kern w:val="2"/>
          <w:sz w:val="32"/>
          <w:szCs w:val="32"/>
          <w:lang w:val="en-US" w:eastAsia="zh-CN" w:bidi="ar"/>
          <w:woUserID w:val="7"/>
        </w:rPr>
        <w:t>。</w:t>
      </w:r>
      <w:r>
        <w:rPr>
          <w:rFonts w:hint="default" w:ascii="仿宋_GB2312" w:hAnsi="仿宋_GB2312" w:eastAsia="仿宋_GB2312" w:cs="仿宋_GB2312"/>
          <w:b/>
          <w:bCs/>
          <w:sz w:val="32"/>
          <w:szCs w:val="32"/>
          <w:lang w:val="en-US" w:eastAsia="zh-CN"/>
          <w:woUserID w:val="4"/>
        </w:rPr>
        <w:t>三是严格审核，确保补贴规范。</w:t>
      </w:r>
      <w:r>
        <w:rPr>
          <w:rFonts w:hint="default" w:ascii="Times New Roman" w:hAnsi="Times New Roman" w:cs="仿宋_GB2312"/>
          <w:b w:val="0"/>
          <w:bCs w:val="0"/>
          <w:kern w:val="2"/>
          <w:sz w:val="32"/>
          <w:szCs w:val="32"/>
          <w:lang w:val="en-US" w:eastAsia="zh-CN" w:bidi="ar"/>
          <w:woUserID w:val="7"/>
        </w:rPr>
        <w:t>全年共审核农民工返乡创业补贴申报资料106份，电话回访2023 - 2024年领取返乡创业补贴的人员331人，确保补贴发放准确合规。</w:t>
      </w:r>
    </w:p>
    <w:p w14:paraId="28F3308F">
      <w:pPr>
        <w:spacing w:line="578" w:lineRule="exact"/>
        <w:ind w:firstLine="632"/>
        <w:contextualSpacing/>
        <w:jc w:val="left"/>
        <w:rPr>
          <w:rFonts w:hint="eastAsia" w:ascii="Times New Roman" w:hAnsi="Times New Roman" w:eastAsia="仿宋_GB2312" w:cs="仿宋_GB2312"/>
          <w:color w:val="000000"/>
          <w:sz w:val="32"/>
          <w:szCs w:val="32"/>
          <w:shd w:val="clear" w:color="auto" w:fill="FFFFFF"/>
          <w:lang w:val="zh-CN"/>
        </w:rPr>
      </w:pPr>
      <w:r>
        <w:rPr>
          <w:rFonts w:hint="eastAsia" w:ascii="Times New Roman" w:hAnsi="Times New Roman" w:eastAsia="仿宋_GB2312" w:cs="仿宋_GB2312"/>
          <w:color w:val="000000"/>
          <w:sz w:val="32"/>
          <w:szCs w:val="32"/>
          <w:shd w:val="clear" w:color="auto" w:fill="FFFFFF"/>
          <w:lang w:val="en-US" w:eastAsia="zh-CN"/>
        </w:rPr>
        <w:t>2、</w:t>
      </w:r>
      <w:r>
        <w:rPr>
          <w:rFonts w:hint="eastAsia" w:ascii="Times New Roman" w:hAnsi="Times New Roman" w:eastAsia="仿宋_GB2312" w:cs="仿宋_GB2312"/>
          <w:color w:val="000000"/>
          <w:sz w:val="32"/>
          <w:szCs w:val="32"/>
          <w:shd w:val="clear" w:color="auto" w:fill="FFFFFF"/>
          <w:lang w:val="zh-CN"/>
        </w:rPr>
        <w:t>预算管理。</w:t>
      </w:r>
    </w:p>
    <w:p w14:paraId="1F62001D">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default" w:ascii="Times New Roman" w:hAnsi="Times New Roman" w:cs="仿宋_GB2312"/>
          <w:b w:val="0"/>
          <w:bCs w:val="0"/>
          <w:kern w:val="2"/>
          <w:sz w:val="32"/>
          <w:szCs w:val="32"/>
          <w:lang w:val="zh-CN" w:eastAsia="zh-CN" w:bidi="ar"/>
          <w:woUserID w:val="7"/>
        </w:rPr>
      </w:pPr>
      <w:r>
        <w:rPr>
          <w:rFonts w:hint="eastAsia" w:ascii="Times New Roman" w:hAnsi="Times New Roman" w:cs="仿宋_GB2312"/>
          <w:b w:val="0"/>
          <w:bCs w:val="0"/>
          <w:kern w:val="2"/>
          <w:sz w:val="32"/>
          <w:szCs w:val="32"/>
          <w:lang w:val="en-US" w:eastAsia="zh-CN" w:bidi="ar"/>
          <w:woUserID w:val="7"/>
        </w:rPr>
        <w:t>严格按照财政部门预算编制通知和有关要求，按时完成2024年预算编制工作，并按时提交部门预算草案和编制说明。按规定编制预算，预算编制全面、科学。</w:t>
      </w:r>
    </w:p>
    <w:p w14:paraId="3DFFED09">
      <w:pPr>
        <w:spacing w:line="578" w:lineRule="exact"/>
        <w:ind w:firstLine="632"/>
        <w:contextualSpacing/>
        <w:jc w:val="left"/>
        <w:rPr>
          <w:rFonts w:hint="eastAsia" w:ascii="Times New Roman" w:hAnsi="Times New Roman" w:eastAsia="仿宋_GB2312" w:cs="仿宋_GB2312"/>
          <w:color w:val="000000"/>
          <w:sz w:val="32"/>
          <w:szCs w:val="32"/>
          <w:shd w:val="clear" w:color="auto" w:fill="FFFFFF"/>
          <w:lang w:val="zh-CN" w:eastAsia="zh-CN"/>
        </w:rPr>
      </w:pPr>
      <w:r>
        <w:rPr>
          <w:rFonts w:hint="eastAsia" w:ascii="Times New Roman" w:hAnsi="Times New Roman" w:eastAsia="仿宋_GB2312" w:cs="仿宋_GB2312"/>
          <w:color w:val="000000"/>
          <w:sz w:val="32"/>
          <w:szCs w:val="32"/>
          <w:shd w:val="clear" w:color="auto" w:fill="FFFFFF"/>
          <w:lang w:val="en-US" w:eastAsia="zh-CN"/>
        </w:rPr>
        <w:t>3、</w:t>
      </w:r>
      <w:r>
        <w:rPr>
          <w:rFonts w:hint="eastAsia" w:ascii="Times New Roman" w:hAnsi="Times New Roman" w:eastAsia="仿宋_GB2312" w:cs="仿宋_GB2312"/>
          <w:color w:val="000000"/>
          <w:sz w:val="32"/>
          <w:szCs w:val="32"/>
          <w:shd w:val="clear" w:color="auto" w:fill="FFFFFF"/>
          <w:lang w:val="zh-CN" w:eastAsia="zh-CN"/>
        </w:rPr>
        <w:t>财务管理。</w:t>
      </w:r>
    </w:p>
    <w:p w14:paraId="0825DD18">
      <w:pPr>
        <w:spacing w:line="578" w:lineRule="exact"/>
        <w:ind w:firstLine="632"/>
        <w:contextualSpacing/>
        <w:jc w:val="left"/>
        <w:rPr>
          <w:rFonts w:hint="eastAsia" w:ascii="仿宋" w:hAnsi="仿宋" w:eastAsia="仿宋" w:cs="仿宋"/>
          <w:szCs w:val="32"/>
        </w:rPr>
      </w:pPr>
      <w:r>
        <w:rPr>
          <w:rFonts w:hint="eastAsia" w:ascii="Times New Roman" w:hAnsi="Times New Roman" w:cs="仿宋_GB2312"/>
          <w:b w:val="0"/>
          <w:bCs w:val="0"/>
          <w:kern w:val="2"/>
          <w:sz w:val="32"/>
          <w:szCs w:val="32"/>
          <w:lang w:val="en-US" w:eastAsia="zh-CN" w:bidi="ar"/>
          <w:woUserID w:val="7"/>
        </w:rPr>
        <w:t>为进一步加强财务管理，规范公务支付业务，减少现金支付结算，提高支付透明度，强化资金安全，制定了《财务管理制度》等内部控制制度，包括：预算管理、采购管理、结算管理、资产管理、财务机构、财务监督等管理事项。</w:t>
      </w:r>
    </w:p>
    <w:p w14:paraId="03BF67EE">
      <w:pPr>
        <w:spacing w:line="578" w:lineRule="exact"/>
        <w:ind w:firstLine="632"/>
        <w:contextualSpacing/>
        <w:jc w:val="left"/>
        <w:rPr>
          <w:rFonts w:hint="eastAsia" w:ascii="Times New Roman" w:hAnsi="Times New Roman" w:eastAsia="仿宋_GB2312" w:cs="仿宋_GB2312"/>
          <w:color w:val="000000"/>
          <w:sz w:val="32"/>
          <w:szCs w:val="32"/>
          <w:shd w:val="clear" w:color="auto" w:fill="FFFFFF"/>
          <w:lang w:val="zh-CN" w:eastAsia="zh-CN"/>
        </w:rPr>
      </w:pPr>
      <w:r>
        <w:rPr>
          <w:rFonts w:hint="eastAsia" w:ascii="Times New Roman" w:hAnsi="Times New Roman" w:eastAsia="仿宋_GB2312" w:cs="仿宋_GB2312"/>
          <w:color w:val="000000"/>
          <w:sz w:val="32"/>
          <w:szCs w:val="32"/>
          <w:shd w:val="clear" w:color="auto" w:fill="FFFFFF"/>
          <w:lang w:val="en-US" w:eastAsia="zh-CN"/>
        </w:rPr>
        <w:t>4、</w:t>
      </w:r>
      <w:r>
        <w:rPr>
          <w:rFonts w:hint="eastAsia" w:ascii="Times New Roman" w:hAnsi="Times New Roman" w:eastAsia="仿宋_GB2312" w:cs="仿宋_GB2312"/>
          <w:color w:val="000000"/>
          <w:sz w:val="32"/>
          <w:szCs w:val="32"/>
          <w:shd w:val="clear" w:color="auto" w:fill="FFFFFF"/>
          <w:lang w:val="zh-CN" w:eastAsia="zh-CN"/>
        </w:rPr>
        <w:t>资产管理。</w:t>
      </w:r>
    </w:p>
    <w:p w14:paraId="3C0FFD09">
      <w:pPr>
        <w:spacing w:line="578" w:lineRule="exact"/>
        <w:ind w:firstLine="632"/>
        <w:contextualSpacing/>
        <w:jc w:val="left"/>
        <w:rPr>
          <w:rFonts w:hint="eastAsia" w:ascii="Times New Roman" w:hAnsi="Times New Roman" w:cs="仿宋_GB2312"/>
          <w:b w:val="0"/>
          <w:bCs w:val="0"/>
          <w:kern w:val="2"/>
          <w:sz w:val="32"/>
          <w:szCs w:val="32"/>
          <w:lang w:val="zh-CN" w:eastAsia="zh-CN" w:bidi="ar"/>
          <w:woUserID w:val="7"/>
        </w:rPr>
      </w:pPr>
      <w:r>
        <w:rPr>
          <w:rFonts w:hint="eastAsia" w:ascii="Times New Roman" w:hAnsi="Times New Roman" w:cs="仿宋_GB2312"/>
          <w:b w:val="0"/>
          <w:bCs w:val="0"/>
          <w:kern w:val="2"/>
          <w:sz w:val="32"/>
          <w:szCs w:val="32"/>
          <w:lang w:val="zh-CN" w:eastAsia="zh-CN" w:bidi="ar"/>
          <w:woUserID w:val="7"/>
        </w:rPr>
        <w:t>围绕人均资产变化率、资产利用率、资产盘活率进行绩效分析。</w:t>
      </w:r>
    </w:p>
    <w:p w14:paraId="7B363D81">
      <w:pPr>
        <w:spacing w:line="578" w:lineRule="exact"/>
        <w:ind w:firstLine="632"/>
        <w:contextualSpacing/>
        <w:jc w:val="left"/>
        <w:rPr>
          <w:rFonts w:hint="eastAsia" w:ascii="Times New Roman" w:hAnsi="Times New Roman" w:cs="仿宋_GB2312"/>
          <w:b w:val="0"/>
          <w:bCs w:val="0"/>
          <w:kern w:val="2"/>
          <w:sz w:val="32"/>
          <w:szCs w:val="32"/>
          <w:lang w:val="en-US" w:eastAsia="zh-CN" w:bidi="ar"/>
          <w:woUserID w:val="7"/>
        </w:rPr>
      </w:pPr>
      <w:r>
        <w:rPr>
          <w:rFonts w:hint="eastAsia" w:ascii="Times New Roman" w:hAnsi="Times New Roman" w:cs="仿宋_GB2312"/>
          <w:b w:val="0"/>
          <w:bCs w:val="0"/>
          <w:kern w:val="2"/>
          <w:sz w:val="32"/>
          <w:szCs w:val="32"/>
          <w:lang w:val="zh-CN" w:eastAsia="zh-CN" w:bidi="ar"/>
          <w:woUserID w:val="7"/>
        </w:rPr>
        <w:t>截止</w:t>
      </w:r>
      <w:r>
        <w:rPr>
          <w:rFonts w:hint="eastAsia" w:ascii="Times New Roman" w:hAnsi="Times New Roman" w:cs="仿宋_GB2312"/>
          <w:b w:val="0"/>
          <w:bCs w:val="0"/>
          <w:kern w:val="2"/>
          <w:sz w:val="32"/>
          <w:szCs w:val="32"/>
          <w:lang w:val="en-US" w:eastAsia="zh-CN" w:bidi="ar"/>
          <w:woUserID w:val="7"/>
        </w:rPr>
        <w:t>2024年末，资产总值22.2万元，比2023年增长0.59万元，增幅2.73%。</w:t>
      </w:r>
      <w:r>
        <w:rPr>
          <w:rFonts w:hint="eastAsia" w:ascii="Times New Roman" w:hAnsi="Times New Roman" w:cs="仿宋_GB2312"/>
          <w:b w:val="0"/>
          <w:bCs w:val="0"/>
          <w:kern w:val="2"/>
          <w:sz w:val="32"/>
          <w:szCs w:val="32"/>
          <w:lang w:val="zh-CN" w:eastAsia="zh-CN" w:bidi="ar"/>
          <w:woUserID w:val="7"/>
        </w:rPr>
        <w:t>为了提高资产利用率，保证资产管理的安全性，将资产管理的各个权利和责任明确，提升单位资产管理的科学性。建立闲置资产盘活台账，落实专人专责，加大对办公设备、办公家具等闲置可用资产的回收力度，进一步提高资产使用率。单位</w:t>
      </w:r>
      <w:r>
        <w:rPr>
          <w:rFonts w:hint="eastAsia" w:ascii="Times New Roman" w:hAnsi="Times New Roman" w:cs="仿宋_GB2312"/>
          <w:b w:val="0"/>
          <w:bCs w:val="0"/>
          <w:kern w:val="2"/>
          <w:sz w:val="32"/>
          <w:szCs w:val="32"/>
          <w:lang w:val="en-US" w:eastAsia="zh-CN" w:bidi="ar"/>
          <w:woUserID w:val="7"/>
        </w:rPr>
        <w:t>无截留、挤占、挪用、虚列支出等情况。</w:t>
      </w:r>
    </w:p>
    <w:p w14:paraId="308CE074">
      <w:pPr>
        <w:spacing w:line="578" w:lineRule="exact"/>
        <w:ind w:firstLine="632"/>
        <w:contextualSpacing/>
        <w:jc w:val="left"/>
        <w:rPr>
          <w:rFonts w:hint="eastAsia" w:ascii="Times New Roman" w:hAnsi="Times New Roman" w:eastAsia="仿宋_GB2312" w:cs="仿宋_GB2312"/>
          <w:color w:val="000000"/>
          <w:sz w:val="32"/>
          <w:szCs w:val="32"/>
          <w:shd w:val="clear" w:color="auto" w:fill="FFFFFF"/>
          <w:lang w:val="zh-CN" w:eastAsia="zh-CN"/>
        </w:rPr>
      </w:pPr>
      <w:r>
        <w:rPr>
          <w:rFonts w:hint="eastAsia" w:ascii="Times New Roman" w:hAnsi="Times New Roman" w:eastAsia="仿宋_GB2312" w:cs="仿宋_GB2312"/>
          <w:color w:val="000000"/>
          <w:sz w:val="32"/>
          <w:szCs w:val="32"/>
          <w:shd w:val="clear" w:color="auto" w:fill="FFFFFF"/>
          <w:lang w:val="en-US" w:eastAsia="zh-CN"/>
        </w:rPr>
        <w:t>5、</w:t>
      </w:r>
      <w:r>
        <w:rPr>
          <w:rFonts w:hint="eastAsia" w:ascii="Times New Roman" w:hAnsi="Times New Roman" w:eastAsia="仿宋_GB2312" w:cs="仿宋_GB2312"/>
          <w:color w:val="000000"/>
          <w:sz w:val="32"/>
          <w:szCs w:val="32"/>
          <w:shd w:val="clear" w:color="auto" w:fill="FFFFFF"/>
          <w:lang w:val="zh-CN" w:eastAsia="zh-CN"/>
        </w:rPr>
        <w:t>采购管理。</w:t>
      </w:r>
    </w:p>
    <w:p w14:paraId="6ECB0699">
      <w:pPr>
        <w:spacing w:line="578" w:lineRule="exact"/>
        <w:ind w:firstLine="632"/>
        <w:contextualSpacing/>
        <w:jc w:val="left"/>
        <w:rPr>
          <w:rFonts w:hint="eastAsia" w:ascii="Times New Roman" w:hAnsi="Times New Roman" w:cs="仿宋_GB2312"/>
          <w:b w:val="0"/>
          <w:bCs w:val="0"/>
          <w:kern w:val="2"/>
          <w:sz w:val="32"/>
          <w:szCs w:val="32"/>
          <w:lang w:val="zh-CN" w:eastAsia="zh-CN" w:bidi="ar"/>
          <w:woUserID w:val="7"/>
        </w:rPr>
      </w:pPr>
      <w:r>
        <w:rPr>
          <w:rFonts w:hint="eastAsia" w:ascii="Times New Roman" w:hAnsi="Times New Roman" w:cs="仿宋_GB2312"/>
          <w:b w:val="0"/>
          <w:bCs w:val="0"/>
          <w:kern w:val="2"/>
          <w:sz w:val="32"/>
          <w:szCs w:val="32"/>
          <w:lang w:val="zh-CN" w:eastAsia="zh-CN" w:bidi="ar"/>
          <w:woUserID w:val="7"/>
        </w:rPr>
        <w:t>落实促进中小企业发展等政府采购政策，科学编制政府采购预</w:t>
      </w:r>
      <w:r>
        <w:rPr>
          <w:rFonts w:hint="eastAsia" w:ascii="Times New Roman" w:hAnsi="Times New Roman" w:cs="仿宋_GB2312"/>
          <w:b w:val="0"/>
          <w:bCs w:val="0"/>
          <w:kern w:val="2"/>
          <w:sz w:val="32"/>
          <w:szCs w:val="32"/>
          <w:lang w:val="en-US" w:eastAsia="zh-CN" w:bidi="ar"/>
          <w:woUserID w:val="7"/>
        </w:rPr>
        <w:t>算，建立本单位政府采购内部控制制度，实现“阳光采购”，确保采购过程公开透明，提高采购效率。</w:t>
      </w:r>
    </w:p>
    <w:p w14:paraId="5BA0C8F2">
      <w:pPr>
        <w:spacing w:line="578" w:lineRule="exact"/>
        <w:ind w:firstLine="632"/>
        <w:contextualSpacing/>
        <w:jc w:val="left"/>
        <w:rPr>
          <w:rFonts w:hint="eastAsia" w:ascii="Times New Roman" w:hAnsi="Times New Roman" w:cs="仿宋_GB2312"/>
          <w:b w:val="0"/>
          <w:bCs w:val="0"/>
          <w:kern w:val="2"/>
          <w:sz w:val="32"/>
          <w:szCs w:val="32"/>
          <w:lang w:val="en-US" w:eastAsia="zh-CN" w:bidi="ar"/>
          <w:woUserID w:val="7"/>
        </w:rPr>
      </w:pPr>
      <w:r>
        <w:rPr>
          <w:rFonts w:eastAsia="楷体_GB2312"/>
          <w:b w:val="0"/>
          <w:bCs w:val="0"/>
          <w:color w:val="000000"/>
          <w:szCs w:val="32"/>
          <w:shd w:val="clear" w:color="auto" w:fill="FFFFFF"/>
          <w:lang w:val="zh-CN"/>
        </w:rPr>
        <w:t>（二）部门预算项目绩效分析。</w:t>
      </w:r>
      <w:r>
        <w:rPr>
          <w:rFonts w:hint="eastAsia" w:ascii="Times New Roman" w:hAnsi="Times New Roman" w:cs="仿宋_GB2312"/>
          <w:b w:val="0"/>
          <w:bCs w:val="0"/>
          <w:kern w:val="2"/>
          <w:sz w:val="32"/>
          <w:szCs w:val="32"/>
          <w:lang w:val="zh-CN" w:eastAsia="zh-CN" w:bidi="ar"/>
          <w:woUserID w:val="7"/>
        </w:rPr>
        <w:t>填报以下数据，并根据部门预算绩效评价指标体系“项目绩效”涉及二、三级指标进行逐项绩效分析并评分，依次包括项目决策、项目执行、目标实现等情况。</w:t>
      </w:r>
      <w:r>
        <w:rPr>
          <w:rFonts w:hint="eastAsia" w:ascii="Times New Roman" w:hAnsi="Times New Roman" w:cs="仿宋_GB2312"/>
          <w:b w:val="0"/>
          <w:bCs w:val="0"/>
          <w:kern w:val="2"/>
          <w:sz w:val="32"/>
          <w:szCs w:val="32"/>
          <w:lang w:val="en-US" w:eastAsia="zh-CN" w:bidi="ar"/>
          <w:woUserID w:val="7"/>
        </w:rPr>
        <w:t xml:space="preserve">                                                                             </w:t>
      </w:r>
    </w:p>
    <w:p w14:paraId="4CA50DDF">
      <w:pPr>
        <w:spacing w:line="578" w:lineRule="exact"/>
        <w:ind w:firstLine="632"/>
        <w:contextualSpacing/>
        <w:jc w:val="left"/>
        <w:rPr>
          <w:rFonts w:hint="eastAsia" w:ascii="Times New Roman" w:hAnsi="Times New Roman" w:cs="仿宋_GB2312"/>
          <w:b w:val="0"/>
          <w:bCs w:val="0"/>
          <w:kern w:val="2"/>
          <w:sz w:val="32"/>
          <w:szCs w:val="32"/>
          <w:lang w:val="zh-CN" w:eastAsia="zh-CN" w:bidi="ar"/>
          <w:woUserID w:val="7"/>
        </w:rPr>
      </w:pPr>
      <w:r>
        <w:rPr>
          <w:rFonts w:hint="eastAsia" w:ascii="Times New Roman" w:hAnsi="Times New Roman" w:cs="仿宋_GB2312"/>
          <w:b w:val="0"/>
          <w:bCs w:val="0"/>
          <w:kern w:val="2"/>
          <w:sz w:val="32"/>
          <w:szCs w:val="32"/>
          <w:lang w:val="zh-CN" w:eastAsia="zh-CN" w:bidi="ar"/>
          <w:woUserID w:val="7"/>
        </w:rPr>
        <w:t>常年项目绩效分析。该类项目总数</w:t>
      </w:r>
      <w:r>
        <w:rPr>
          <w:rFonts w:hint="eastAsia" w:ascii="Times New Roman" w:hAnsi="Times New Roman" w:cs="仿宋_GB2312"/>
          <w:b w:val="0"/>
          <w:bCs w:val="0"/>
          <w:kern w:val="2"/>
          <w:sz w:val="32"/>
          <w:szCs w:val="32"/>
          <w:lang w:val="en-US" w:eastAsia="zh-CN" w:bidi="ar"/>
          <w:woUserID w:val="7"/>
        </w:rPr>
        <w:t>3</w:t>
      </w:r>
      <w:r>
        <w:rPr>
          <w:rFonts w:hint="eastAsia" w:ascii="Times New Roman" w:hAnsi="Times New Roman" w:cs="仿宋_GB2312"/>
          <w:b w:val="0"/>
          <w:bCs w:val="0"/>
          <w:kern w:val="2"/>
          <w:sz w:val="32"/>
          <w:szCs w:val="32"/>
          <w:lang w:val="zh-CN" w:eastAsia="zh-CN" w:bidi="ar"/>
          <w:woUserID w:val="7"/>
        </w:rPr>
        <w:t>个，涉及预算总金额</w:t>
      </w:r>
      <w:r>
        <w:rPr>
          <w:rFonts w:hint="eastAsia" w:ascii="Times New Roman" w:hAnsi="Times New Roman" w:cs="仿宋_GB2312"/>
          <w:b w:val="0"/>
          <w:bCs w:val="0"/>
          <w:kern w:val="2"/>
          <w:sz w:val="32"/>
          <w:szCs w:val="32"/>
          <w:lang w:val="en-US" w:eastAsia="zh-CN" w:bidi="ar"/>
          <w:woUserID w:val="7"/>
        </w:rPr>
        <w:t>45</w:t>
      </w:r>
      <w:r>
        <w:rPr>
          <w:rFonts w:hint="eastAsia" w:ascii="Times New Roman" w:hAnsi="Times New Roman" w:cs="仿宋_GB2312"/>
          <w:b w:val="0"/>
          <w:bCs w:val="0"/>
          <w:kern w:val="2"/>
          <w:sz w:val="32"/>
          <w:szCs w:val="32"/>
          <w:lang w:val="zh-CN" w:eastAsia="zh-CN" w:bidi="ar"/>
          <w:woUserID w:val="7"/>
        </w:rPr>
        <w:t>万元，1—12月预算执行总体进度为100 %，其中：预算结余率大于10%的项目共计0个。</w:t>
      </w:r>
    </w:p>
    <w:p w14:paraId="3C7C01E5">
      <w:pPr>
        <w:spacing w:line="578" w:lineRule="exact"/>
        <w:ind w:firstLine="632"/>
        <w:contextualSpacing/>
        <w:jc w:val="left"/>
        <w:rPr>
          <w:rFonts w:hint="eastAsia" w:ascii="Times New Roman" w:hAnsi="Times New Roman" w:cs="仿宋_GB2312"/>
          <w:b w:val="0"/>
          <w:bCs w:val="0"/>
          <w:kern w:val="2"/>
          <w:sz w:val="32"/>
          <w:szCs w:val="32"/>
          <w:lang w:val="zh-CN" w:eastAsia="zh-CN" w:bidi="ar"/>
          <w:woUserID w:val="7"/>
        </w:rPr>
      </w:pPr>
      <w:r>
        <w:rPr>
          <w:rFonts w:hint="eastAsia" w:ascii="Times New Roman" w:hAnsi="Times New Roman" w:cs="仿宋_GB2312"/>
          <w:b w:val="0"/>
          <w:bCs w:val="0"/>
          <w:kern w:val="2"/>
          <w:sz w:val="32"/>
          <w:szCs w:val="32"/>
          <w:lang w:val="zh-CN" w:eastAsia="zh-CN" w:bidi="ar"/>
          <w:woUserID w:val="7"/>
        </w:rPr>
        <w:t>1、项目决策。紧紧抓住涉及农民工切身利益的突出问题，以回引创业、就业培训、权益维护、关心关爱为重点制定年度目标。202</w:t>
      </w:r>
      <w:r>
        <w:rPr>
          <w:rFonts w:hint="eastAsia" w:ascii="Times New Roman" w:hAnsi="Times New Roman" w:cs="仿宋_GB2312"/>
          <w:b w:val="0"/>
          <w:bCs w:val="0"/>
          <w:kern w:val="2"/>
          <w:sz w:val="32"/>
          <w:szCs w:val="32"/>
          <w:lang w:val="en-US" w:eastAsia="zh-CN" w:bidi="ar"/>
          <w:woUserID w:val="7"/>
        </w:rPr>
        <w:t>4</w:t>
      </w:r>
      <w:r>
        <w:rPr>
          <w:rFonts w:hint="eastAsia" w:ascii="Times New Roman" w:hAnsi="Times New Roman" w:cs="仿宋_GB2312"/>
          <w:b w:val="0"/>
          <w:bCs w:val="0"/>
          <w:kern w:val="2"/>
          <w:sz w:val="32"/>
          <w:szCs w:val="32"/>
          <w:lang w:val="zh-CN" w:eastAsia="zh-CN" w:bidi="ar"/>
          <w:woUserID w:val="7"/>
        </w:rPr>
        <w:t>年计划转移劳务输出32万人次，劳务收入</w:t>
      </w:r>
      <w:r>
        <w:rPr>
          <w:rFonts w:hint="eastAsia" w:ascii="Times New Roman" w:hAnsi="Times New Roman" w:cs="仿宋_GB2312"/>
          <w:b w:val="0"/>
          <w:bCs w:val="0"/>
          <w:kern w:val="2"/>
          <w:sz w:val="32"/>
          <w:szCs w:val="32"/>
          <w:lang w:val="en-US" w:eastAsia="zh-CN" w:bidi="ar"/>
          <w:woUserID w:val="7"/>
        </w:rPr>
        <w:t>63</w:t>
      </w:r>
      <w:r>
        <w:rPr>
          <w:rFonts w:hint="eastAsia" w:ascii="Times New Roman" w:hAnsi="Times New Roman" w:cs="仿宋_GB2312"/>
          <w:b w:val="0"/>
          <w:bCs w:val="0"/>
          <w:kern w:val="2"/>
          <w:sz w:val="32"/>
          <w:szCs w:val="32"/>
          <w:lang w:val="zh-CN" w:eastAsia="zh-CN" w:bidi="ar"/>
          <w:woUserID w:val="7"/>
        </w:rPr>
        <w:t>亿元；完成市级下达劳务品牌培训目标任务；积极组织参加省、市举办的各类农民工技能大赛；持续推进安居区驻外农民工综合服务站进程，计划在上海、重庆建立安居区驻外农民工服务</w:t>
      </w:r>
      <w:r>
        <w:rPr>
          <w:rFonts w:hint="eastAsia" w:ascii="Times New Roman" w:hAnsi="Times New Roman" w:cs="仿宋_GB2312"/>
          <w:b w:val="0"/>
          <w:bCs w:val="0"/>
          <w:kern w:val="2"/>
          <w:sz w:val="32"/>
          <w:szCs w:val="32"/>
          <w:lang w:val="en-US" w:eastAsia="zh-CN" w:bidi="ar"/>
          <w:woUserID w:val="7"/>
        </w:rPr>
        <w:t>工作</w:t>
      </w:r>
      <w:r>
        <w:rPr>
          <w:rFonts w:hint="eastAsia" w:ascii="Times New Roman" w:hAnsi="Times New Roman" w:cs="仿宋_GB2312"/>
          <w:b w:val="0"/>
          <w:bCs w:val="0"/>
          <w:kern w:val="2"/>
          <w:sz w:val="32"/>
          <w:szCs w:val="32"/>
          <w:lang w:val="zh-CN" w:eastAsia="zh-CN" w:bidi="ar"/>
          <w:woUserID w:val="7"/>
        </w:rPr>
        <w:t>站，开展农民工关心关爱等工作。</w:t>
      </w:r>
    </w:p>
    <w:p w14:paraId="0A127CF3">
      <w:pPr>
        <w:spacing w:line="578" w:lineRule="exact"/>
        <w:ind w:firstLine="632"/>
        <w:contextualSpacing/>
        <w:jc w:val="left"/>
        <w:rPr>
          <w:rFonts w:hint="eastAsia" w:ascii="Times New Roman" w:hAnsi="Times New Roman" w:cs="仿宋_GB2312"/>
          <w:b w:val="0"/>
          <w:bCs w:val="0"/>
          <w:kern w:val="2"/>
          <w:sz w:val="32"/>
          <w:szCs w:val="32"/>
          <w:lang w:val="zh-CN" w:eastAsia="zh-CN" w:bidi="ar"/>
          <w:woUserID w:val="7"/>
        </w:rPr>
      </w:pPr>
      <w:r>
        <w:rPr>
          <w:rFonts w:hint="eastAsia" w:ascii="Times New Roman" w:hAnsi="Times New Roman" w:cs="仿宋_GB2312"/>
          <w:b w:val="0"/>
          <w:bCs w:val="0"/>
          <w:kern w:val="2"/>
          <w:sz w:val="32"/>
          <w:szCs w:val="32"/>
          <w:lang w:val="zh-CN" w:eastAsia="zh-CN" w:bidi="ar"/>
          <w:woUserID w:val="7"/>
        </w:rPr>
        <w:t>2、项目执行。围绕资金执行同向、项目调整、执行结果进行绩效分析。项目资金年初预算</w:t>
      </w:r>
      <w:r>
        <w:rPr>
          <w:rFonts w:hint="eastAsia" w:ascii="Times New Roman" w:hAnsi="Times New Roman" w:cs="仿宋_GB2312"/>
          <w:b w:val="0"/>
          <w:bCs w:val="0"/>
          <w:kern w:val="2"/>
          <w:sz w:val="32"/>
          <w:szCs w:val="32"/>
          <w:lang w:val="en-US" w:eastAsia="zh-CN" w:bidi="ar"/>
          <w:woUserID w:val="7"/>
        </w:rPr>
        <w:t>40</w:t>
      </w:r>
      <w:r>
        <w:rPr>
          <w:rFonts w:hint="eastAsia" w:ascii="Times New Roman" w:hAnsi="Times New Roman" w:cs="仿宋_GB2312"/>
          <w:b w:val="0"/>
          <w:bCs w:val="0"/>
          <w:kern w:val="2"/>
          <w:sz w:val="32"/>
          <w:szCs w:val="32"/>
          <w:lang w:val="zh-CN" w:eastAsia="zh-CN" w:bidi="ar"/>
          <w:woUserID w:val="7"/>
        </w:rPr>
        <w:t>万元，使用</w:t>
      </w:r>
      <w:r>
        <w:rPr>
          <w:rFonts w:hint="eastAsia" w:ascii="Times New Roman" w:hAnsi="Times New Roman" w:cs="仿宋_GB2312"/>
          <w:b w:val="0"/>
          <w:bCs w:val="0"/>
          <w:kern w:val="2"/>
          <w:sz w:val="32"/>
          <w:szCs w:val="32"/>
          <w:lang w:val="en-US" w:eastAsia="zh-CN" w:bidi="ar"/>
          <w:woUserID w:val="7"/>
        </w:rPr>
        <w:t>40</w:t>
      </w:r>
      <w:r>
        <w:rPr>
          <w:rFonts w:hint="eastAsia" w:ascii="Times New Roman" w:hAnsi="Times New Roman" w:cs="仿宋_GB2312"/>
          <w:b w:val="0"/>
          <w:bCs w:val="0"/>
          <w:kern w:val="2"/>
          <w:sz w:val="32"/>
          <w:szCs w:val="32"/>
          <w:lang w:val="zh-CN" w:eastAsia="zh-CN" w:bidi="ar"/>
          <w:woUserID w:val="7"/>
        </w:rPr>
        <w:t>万元（其中：预算支出</w:t>
      </w:r>
      <w:r>
        <w:rPr>
          <w:rFonts w:hint="eastAsia" w:ascii="Times New Roman" w:hAnsi="Times New Roman" w:cs="仿宋_GB2312"/>
          <w:b w:val="0"/>
          <w:bCs w:val="0"/>
          <w:kern w:val="2"/>
          <w:sz w:val="32"/>
          <w:szCs w:val="32"/>
          <w:lang w:val="en-US" w:eastAsia="zh-CN" w:bidi="ar"/>
          <w:woUserID w:val="7"/>
        </w:rPr>
        <w:t>40</w:t>
      </w:r>
      <w:r>
        <w:rPr>
          <w:rFonts w:hint="eastAsia" w:ascii="Times New Roman" w:hAnsi="Times New Roman" w:cs="仿宋_GB2312"/>
          <w:b w:val="0"/>
          <w:bCs w:val="0"/>
          <w:kern w:val="2"/>
          <w:sz w:val="32"/>
          <w:szCs w:val="32"/>
          <w:lang w:val="zh-CN" w:eastAsia="zh-CN" w:bidi="ar"/>
          <w:woUserID w:val="7"/>
        </w:rPr>
        <w:t>万元)。</w:t>
      </w:r>
    </w:p>
    <w:p w14:paraId="4CEFF2CD">
      <w:pPr>
        <w:spacing w:line="578" w:lineRule="exact"/>
        <w:ind w:firstLine="632"/>
        <w:contextualSpacing/>
        <w:jc w:val="left"/>
        <w:rPr>
          <w:rFonts w:hint="eastAsia" w:ascii="Times New Roman" w:hAnsi="Times New Roman" w:cs="仿宋_GB2312"/>
          <w:b w:val="0"/>
          <w:bCs w:val="0"/>
          <w:kern w:val="2"/>
          <w:sz w:val="32"/>
          <w:szCs w:val="32"/>
          <w:lang w:val="zh-CN" w:eastAsia="zh-CN" w:bidi="ar"/>
          <w:woUserID w:val="7"/>
        </w:rPr>
      </w:pPr>
      <w:r>
        <w:rPr>
          <w:rFonts w:hint="eastAsia" w:ascii="Times New Roman" w:hAnsi="Times New Roman" w:cs="仿宋_GB2312"/>
          <w:b w:val="0"/>
          <w:bCs w:val="0"/>
          <w:kern w:val="2"/>
          <w:sz w:val="32"/>
          <w:szCs w:val="32"/>
          <w:lang w:val="zh-CN" w:eastAsia="zh-CN" w:bidi="ar"/>
          <w:woUserID w:val="7"/>
        </w:rPr>
        <w:t>3、目标实现。项目目标基本达到预期目标，项目的开展和资金的拨付均按照原有计划进行，整体实现效果良好。</w:t>
      </w:r>
    </w:p>
    <w:p w14:paraId="600621C1">
      <w:pPr>
        <w:spacing w:line="600" w:lineRule="exact"/>
        <w:ind w:firstLine="632"/>
        <w:rPr>
          <w:rFonts w:hint="eastAsia" w:ascii="Times New Roman" w:hAnsi="Times New Roman" w:cs="仿宋_GB2312"/>
          <w:b w:val="0"/>
          <w:bCs w:val="0"/>
          <w:kern w:val="2"/>
          <w:sz w:val="32"/>
          <w:szCs w:val="32"/>
          <w:lang w:val="zh-CN" w:eastAsia="zh-CN" w:bidi="ar"/>
          <w:woUserID w:val="7"/>
        </w:rPr>
      </w:pPr>
      <w:r>
        <w:rPr>
          <w:rFonts w:eastAsia="楷体_GB2312"/>
          <w:b w:val="0"/>
          <w:bCs w:val="0"/>
          <w:color w:val="000000"/>
          <w:szCs w:val="32"/>
          <w:shd w:val="clear" w:color="auto" w:fill="FFFFFF"/>
          <w:lang w:val="zh-CN"/>
        </w:rPr>
        <w:t>（</w:t>
      </w:r>
      <w:r>
        <w:rPr>
          <w:rFonts w:hint="eastAsia" w:eastAsia="楷体_GB2312"/>
          <w:b w:val="0"/>
          <w:bCs w:val="0"/>
          <w:color w:val="000000"/>
          <w:szCs w:val="32"/>
          <w:shd w:val="clear" w:color="auto" w:fill="FFFFFF"/>
          <w:lang w:val="zh-CN" w:eastAsia="zh-CN"/>
        </w:rPr>
        <w:t>三</w:t>
      </w:r>
      <w:r>
        <w:rPr>
          <w:rFonts w:eastAsia="楷体_GB2312"/>
          <w:b w:val="0"/>
          <w:bCs w:val="0"/>
          <w:color w:val="000000"/>
          <w:szCs w:val="32"/>
          <w:shd w:val="clear" w:color="auto" w:fill="FFFFFF"/>
          <w:lang w:val="zh-CN"/>
        </w:rPr>
        <w:t>）绩效结果应用情况。</w:t>
      </w:r>
      <w:r>
        <w:rPr>
          <w:rFonts w:hint="eastAsia" w:ascii="Times New Roman" w:hAnsi="Times New Roman" w:cs="仿宋_GB2312"/>
          <w:b w:val="0"/>
          <w:bCs w:val="0"/>
          <w:kern w:val="2"/>
          <w:sz w:val="32"/>
          <w:szCs w:val="32"/>
          <w:lang w:val="zh-CN" w:eastAsia="zh-CN" w:bidi="ar"/>
          <w:woUserID w:val="7"/>
        </w:rPr>
        <w:t>除涉密信息外，由区财政局审核后，在8月2</w:t>
      </w:r>
      <w:r>
        <w:rPr>
          <w:rFonts w:hint="eastAsia" w:ascii="Times New Roman" w:hAnsi="Times New Roman" w:cs="仿宋_GB2312"/>
          <w:b w:val="0"/>
          <w:bCs w:val="0"/>
          <w:kern w:val="2"/>
          <w:sz w:val="32"/>
          <w:szCs w:val="32"/>
          <w:lang w:val="en-US" w:eastAsia="zh-CN" w:bidi="ar"/>
          <w:woUserID w:val="7"/>
        </w:rPr>
        <w:t>9</w:t>
      </w:r>
      <w:r>
        <w:rPr>
          <w:rFonts w:hint="eastAsia" w:ascii="Times New Roman" w:hAnsi="Times New Roman" w:cs="仿宋_GB2312"/>
          <w:b w:val="0"/>
          <w:bCs w:val="0"/>
          <w:kern w:val="2"/>
          <w:sz w:val="32"/>
          <w:szCs w:val="32"/>
          <w:lang w:val="zh-CN" w:eastAsia="zh-CN" w:bidi="ar"/>
          <w:woUserID w:val="7"/>
        </w:rPr>
        <w:t>日前通过行政审批局挂网向社会公开决算。</w:t>
      </w:r>
    </w:p>
    <w:p w14:paraId="025EBF08">
      <w:pPr>
        <w:widowControl/>
        <w:spacing w:line="578" w:lineRule="exact"/>
        <w:ind w:firstLine="632"/>
        <w:contextualSpacing/>
        <w:jc w:val="left"/>
        <w:rPr>
          <w:rFonts w:eastAsia="黑体"/>
          <w:color w:val="000000"/>
          <w:szCs w:val="32"/>
          <w:shd w:val="clear" w:color="auto" w:fill="FFFFFF"/>
          <w:lang w:val="zh-CN"/>
        </w:rPr>
      </w:pPr>
      <w:r>
        <w:rPr>
          <w:rFonts w:eastAsia="黑体"/>
          <w:color w:val="000000"/>
          <w:szCs w:val="32"/>
          <w:shd w:val="clear" w:color="auto" w:fill="FFFFFF"/>
          <w:lang w:val="zh-CN"/>
        </w:rPr>
        <w:t>四、评价结论及建议</w:t>
      </w:r>
    </w:p>
    <w:bookmarkEnd w:id="74"/>
    <w:p w14:paraId="33A62E0E">
      <w:pPr>
        <w:spacing w:line="600" w:lineRule="exact"/>
        <w:ind w:firstLine="632"/>
        <w:rPr>
          <w:rFonts w:eastAsia="楷体_GB2312"/>
          <w:b w:val="0"/>
          <w:bCs w:val="0"/>
          <w:color w:val="000000"/>
          <w:szCs w:val="32"/>
          <w:shd w:val="clear" w:color="auto" w:fill="FFFFFF"/>
          <w:lang w:val="zh-CN"/>
        </w:rPr>
      </w:pPr>
      <w:bookmarkStart w:id="76" w:name="_Hlk110546638"/>
      <w:r>
        <w:rPr>
          <w:rFonts w:eastAsia="楷体_GB2312"/>
          <w:b w:val="0"/>
          <w:bCs w:val="0"/>
          <w:color w:val="000000"/>
          <w:szCs w:val="32"/>
          <w:shd w:val="clear" w:color="auto" w:fill="FFFFFF"/>
          <w:lang w:val="zh-CN"/>
        </w:rPr>
        <w:t>（一）评价结论。</w:t>
      </w:r>
    </w:p>
    <w:p w14:paraId="273F79D8">
      <w:pPr>
        <w:spacing w:line="600" w:lineRule="exact"/>
        <w:ind w:firstLine="632"/>
        <w:rPr>
          <w:rFonts w:hint="default" w:ascii="Times New Roman" w:hAnsi="Times New Roman" w:cs="仿宋_GB2312"/>
          <w:b w:val="0"/>
          <w:bCs w:val="0"/>
          <w:kern w:val="2"/>
          <w:sz w:val="32"/>
          <w:szCs w:val="32"/>
          <w:lang w:val="en-US" w:eastAsia="zh-CN" w:bidi="ar"/>
          <w:woUserID w:val="7"/>
        </w:rPr>
      </w:pPr>
      <w:r>
        <w:rPr>
          <w:rFonts w:hint="eastAsia" w:ascii="Times New Roman" w:hAnsi="Times New Roman" w:cs="仿宋_GB2312"/>
          <w:b w:val="0"/>
          <w:bCs w:val="0"/>
          <w:kern w:val="2"/>
          <w:sz w:val="32"/>
          <w:szCs w:val="32"/>
          <w:lang w:val="en-US" w:eastAsia="zh-CN" w:bidi="ar"/>
          <w:woUserID w:val="7"/>
        </w:rPr>
        <w:t>区农民工服务中心2024年整体绩效目标评价得分</w:t>
      </w:r>
      <w:r>
        <w:rPr>
          <w:rFonts w:hint="default" w:ascii="Times New Roman" w:hAnsi="Times New Roman" w:cs="仿宋_GB2312"/>
          <w:b w:val="0"/>
          <w:bCs w:val="0"/>
          <w:kern w:val="2"/>
          <w:sz w:val="32"/>
          <w:szCs w:val="32"/>
          <w:lang w:val="zh-CN" w:eastAsia="zh-CN" w:bidi="ar"/>
          <w:woUserID w:val="7"/>
        </w:rPr>
        <w:t>97</w:t>
      </w:r>
      <w:r>
        <w:rPr>
          <w:rFonts w:hint="eastAsia" w:ascii="Times New Roman" w:hAnsi="Times New Roman" w:cs="仿宋_GB2312"/>
          <w:b w:val="0"/>
          <w:bCs w:val="0"/>
          <w:kern w:val="2"/>
          <w:sz w:val="32"/>
          <w:szCs w:val="32"/>
          <w:lang w:val="en-US" w:eastAsia="zh-CN" w:bidi="ar"/>
          <w:woUserID w:val="7"/>
        </w:rPr>
        <w:t>分，总体运行良好，圆满完成2024年年初既定绩效目标。</w:t>
      </w:r>
    </w:p>
    <w:p w14:paraId="29E2E1FB">
      <w:pPr>
        <w:spacing w:line="600" w:lineRule="exact"/>
        <w:ind w:firstLine="632"/>
        <w:rPr>
          <w:rFonts w:eastAsia="楷体_GB2312"/>
          <w:b w:val="0"/>
          <w:bCs w:val="0"/>
          <w:color w:val="000000"/>
          <w:szCs w:val="32"/>
          <w:shd w:val="clear" w:color="auto" w:fill="FFFFFF"/>
          <w:lang w:val="zh-CN"/>
        </w:rPr>
      </w:pPr>
      <w:r>
        <w:rPr>
          <w:rFonts w:hint="eastAsia" w:eastAsia="楷体_GB2312"/>
          <w:b w:val="0"/>
          <w:bCs w:val="0"/>
          <w:color w:val="000000"/>
          <w:szCs w:val="32"/>
          <w:shd w:val="clear" w:color="auto" w:fill="FFFFFF"/>
          <w:lang w:val="zh-CN"/>
        </w:rPr>
        <w:t>（二）</w:t>
      </w:r>
      <w:r>
        <w:rPr>
          <w:rFonts w:eastAsia="楷体_GB2312"/>
          <w:b w:val="0"/>
          <w:bCs w:val="0"/>
          <w:color w:val="000000"/>
          <w:szCs w:val="32"/>
          <w:shd w:val="clear" w:color="auto" w:fill="FFFFFF"/>
          <w:lang w:val="zh-CN"/>
        </w:rPr>
        <w:t>存在问题。</w:t>
      </w:r>
    </w:p>
    <w:p w14:paraId="1357F813">
      <w:pPr>
        <w:spacing w:line="600" w:lineRule="exact"/>
        <w:ind w:firstLine="632"/>
        <w:rPr>
          <w:rFonts w:hint="eastAsia" w:ascii="Times New Roman" w:hAnsi="Times New Roman" w:cs="仿宋_GB2312"/>
          <w:b w:val="0"/>
          <w:bCs w:val="0"/>
          <w:kern w:val="2"/>
          <w:sz w:val="32"/>
          <w:szCs w:val="32"/>
          <w:lang w:val="en-US" w:eastAsia="zh-CN" w:bidi="ar"/>
          <w:woUserID w:val="7"/>
        </w:rPr>
      </w:pPr>
      <w:r>
        <w:rPr>
          <w:rFonts w:hint="eastAsia" w:ascii="Times New Roman" w:hAnsi="Times New Roman" w:cs="仿宋_GB2312"/>
          <w:b w:val="0"/>
          <w:bCs w:val="0"/>
          <w:kern w:val="2"/>
          <w:sz w:val="32"/>
          <w:szCs w:val="32"/>
          <w:lang w:val="zh-CN" w:eastAsia="zh-CN" w:bidi="ar"/>
          <w:woUserID w:val="7"/>
        </w:rPr>
        <w:t>区农民工服务中心</w:t>
      </w:r>
      <w:r>
        <w:rPr>
          <w:rFonts w:hint="eastAsia" w:ascii="Times New Roman" w:hAnsi="Times New Roman" w:cs="仿宋_GB2312"/>
          <w:b w:val="0"/>
          <w:bCs w:val="0"/>
          <w:kern w:val="2"/>
          <w:sz w:val="32"/>
          <w:szCs w:val="32"/>
          <w:lang w:val="en-US" w:eastAsia="zh-CN" w:bidi="ar"/>
          <w:woUserID w:val="7"/>
        </w:rPr>
        <w:t>虽然能够按质按量完成财政安排的预算绩效管理工作，但在实际的操作过程中，还存在财务管理制度不完善、绩效目标设置浮于表面、绩效目标调整衔接不到位等问题。</w:t>
      </w:r>
    </w:p>
    <w:p w14:paraId="7777B52E">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right="0" w:rightChars="0" w:firstLine="640" w:firstLineChars="200"/>
        <w:contextualSpacing/>
        <w:jc w:val="both"/>
        <w:textAlignment w:val="auto"/>
        <w:outlineLvl w:val="9"/>
        <w:rPr>
          <w:rFonts w:eastAsia="楷体_GB2312"/>
          <w:b w:val="0"/>
          <w:bCs w:val="0"/>
          <w:color w:val="000000"/>
          <w:szCs w:val="32"/>
          <w:shd w:val="clear" w:color="auto" w:fill="FFFFFF"/>
          <w:lang w:val="zh-CN"/>
        </w:rPr>
      </w:pPr>
      <w:r>
        <w:rPr>
          <w:rFonts w:eastAsia="楷体_GB2312"/>
          <w:b w:val="0"/>
          <w:bCs w:val="0"/>
          <w:color w:val="000000"/>
          <w:szCs w:val="32"/>
          <w:shd w:val="clear" w:color="auto" w:fill="FFFFFF"/>
          <w:lang w:val="zh-CN"/>
        </w:rPr>
        <w:t>改进建议。</w:t>
      </w:r>
    </w:p>
    <w:p w14:paraId="4B82D56B">
      <w:pPr>
        <w:spacing w:line="600" w:lineRule="exact"/>
        <w:ind w:firstLine="632"/>
        <w:rPr>
          <w:rFonts w:hint="eastAsia" w:ascii="Times New Roman" w:hAnsi="Times New Roman" w:cs="仿宋_GB2312"/>
          <w:b w:val="0"/>
          <w:bCs w:val="0"/>
          <w:kern w:val="2"/>
          <w:sz w:val="32"/>
          <w:szCs w:val="32"/>
          <w:lang w:val="en-US" w:eastAsia="zh-CN" w:bidi="ar"/>
          <w:woUserID w:val="7"/>
        </w:rPr>
      </w:pPr>
      <w:r>
        <w:rPr>
          <w:rFonts w:hint="eastAsia" w:ascii="Times New Roman" w:hAnsi="Times New Roman" w:cs="仿宋_GB2312"/>
          <w:b w:val="0"/>
          <w:bCs w:val="0"/>
          <w:kern w:val="2"/>
          <w:sz w:val="32"/>
          <w:szCs w:val="32"/>
          <w:lang w:val="zh-CN" w:eastAsia="zh-CN" w:bidi="ar"/>
          <w:woUserID w:val="7"/>
        </w:rPr>
        <w:t>区农民工服务中心</w:t>
      </w:r>
      <w:r>
        <w:rPr>
          <w:rFonts w:hint="eastAsia" w:ascii="Times New Roman" w:hAnsi="Times New Roman" w:cs="仿宋_GB2312"/>
          <w:b w:val="0"/>
          <w:bCs w:val="0"/>
          <w:kern w:val="2"/>
          <w:sz w:val="32"/>
          <w:szCs w:val="32"/>
          <w:lang w:val="en-US" w:eastAsia="zh-CN" w:bidi="ar"/>
          <w:woUserID w:val="7"/>
        </w:rPr>
        <w:t>虽然能够按质按量完成财政安排的预算绩效管理工作，但在实际的操作过程中，还存在财务管理制度不完善、绩效目标设置浮于表面、绩效目标调整衔接不到位等问题。</w:t>
      </w:r>
    </w:p>
    <w:p w14:paraId="0F2B4060">
      <w:pPr>
        <w:pStyle w:val="2"/>
        <w:rPr>
          <w:rFonts w:hint="eastAsia" w:ascii="Calibri" w:hAnsi="Calibri" w:eastAsia="仿宋_GB2312" w:cs="Times New Roman"/>
          <w:sz w:val="32"/>
          <w:szCs w:val="24"/>
          <w:lang w:val="en-US" w:eastAsia="zh-CN" w:bidi="ar-SA"/>
        </w:rPr>
      </w:pPr>
      <w:r>
        <w:rPr>
          <w:rFonts w:hint="eastAsia"/>
          <w:lang w:val="en-US" w:eastAsia="zh-CN"/>
        </w:rPr>
        <w:t>附件：</w:t>
      </w:r>
      <w:r>
        <w:rPr>
          <w:rFonts w:hint="eastAsia" w:ascii="Calibri" w:hAnsi="Calibri" w:eastAsia="仿宋_GB2312" w:cs="Times New Roman"/>
          <w:sz w:val="32"/>
          <w:szCs w:val="24"/>
          <w:lang w:val="en-US" w:eastAsia="zh-CN" w:bidi="ar-SA"/>
        </w:rPr>
        <w:t>1.部门整体支出绩效自评表</w:t>
      </w:r>
    </w:p>
    <w:p w14:paraId="6D19A890">
      <w:pPr>
        <w:rPr>
          <w:rFonts w:hint="default" w:ascii="Calibri" w:hAnsi="Calibri" w:eastAsia="仿宋_GB2312" w:cs="Times New Roman"/>
          <w:sz w:val="32"/>
          <w:szCs w:val="24"/>
          <w:lang w:val="en-US" w:eastAsia="zh-CN" w:bidi="ar-SA"/>
        </w:rPr>
      </w:pPr>
      <w:r>
        <w:rPr>
          <w:rFonts w:hint="eastAsia" w:ascii="Calibri" w:hAnsi="Calibri" w:eastAsia="仿宋_GB2312" w:cs="Times New Roman"/>
          <w:sz w:val="32"/>
          <w:szCs w:val="24"/>
          <w:lang w:val="en-US" w:eastAsia="zh-CN" w:bidi="ar-SA"/>
        </w:rPr>
        <w:t xml:space="preserve">      2.部门预算项目支出绩效自评表</w:t>
      </w:r>
    </w:p>
    <w:p w14:paraId="06FA4C16">
      <w:pPr>
        <w:pStyle w:val="27"/>
        <w:numPr>
          <w:ilvl w:val="0"/>
          <w:numId w:val="0"/>
        </w:numPr>
        <w:ind w:left="632" w:leftChars="0"/>
        <w:rPr>
          <w:rFonts w:hint="eastAsia"/>
        </w:rPr>
      </w:pPr>
    </w:p>
    <w:p w14:paraId="131A5AC1">
      <w:pPr>
        <w:pStyle w:val="192"/>
        <w:spacing w:line="560" w:lineRule="exact"/>
        <w:rPr>
          <w:rFonts w:hint="eastAsia" w:ascii="Times New Roman"/>
          <w:lang w:val="zh-CN"/>
        </w:rPr>
      </w:pPr>
      <w:r>
        <w:rPr>
          <w:rFonts w:hint="eastAsia" w:ascii="Times New Roman"/>
          <w:lang w:val="zh-CN"/>
        </w:rPr>
        <w:t>附表</w:t>
      </w:r>
      <w:r>
        <w:rPr>
          <w:rFonts w:hint="eastAsia" w:ascii="Times New Roman"/>
          <w:lang w:val="en-US" w:eastAsia="zh-CN"/>
        </w:rPr>
        <w:t>1</w:t>
      </w:r>
      <w:r>
        <w:rPr>
          <w:rFonts w:hint="eastAsia" w:ascii="Times New Roman"/>
          <w:lang w:val="zh-CN"/>
        </w:rPr>
        <w:t>：部门整体支出绩效自评表</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576"/>
        <w:gridCol w:w="1096"/>
        <w:gridCol w:w="456"/>
        <w:gridCol w:w="1855"/>
        <w:gridCol w:w="3825"/>
        <w:gridCol w:w="426"/>
        <w:gridCol w:w="432"/>
      </w:tblGrid>
      <w:tr w14:paraId="32EF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00" w:type="pct"/>
            <w:gridSpan w:val="8"/>
            <w:tcBorders>
              <w:top w:val="nil"/>
              <w:left w:val="nil"/>
              <w:bottom w:val="nil"/>
              <w:right w:val="nil"/>
            </w:tcBorders>
            <w:shd w:val="clear" w:color="auto" w:fill="auto"/>
            <w:vAlign w:val="center"/>
          </w:tcPr>
          <w:p w14:paraId="25C2116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default" w:ascii="黑体" w:hAnsi="宋体" w:eastAsia="黑体" w:cs="黑体"/>
                <w:b w:val="0"/>
                <w:bCs/>
                <w:i w:val="0"/>
                <w:color w:val="000000"/>
                <w:kern w:val="0"/>
                <w:sz w:val="30"/>
                <w:szCs w:val="30"/>
                <w:u w:val="none"/>
                <w:lang w:val="en-US" w:eastAsia="zh-CN" w:bidi="ar"/>
              </w:rPr>
              <w:t>部门整体支出绩效自评表</w:t>
            </w:r>
          </w:p>
        </w:tc>
      </w:tr>
      <w:tr w14:paraId="51C2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449893">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绩效指标</w:t>
            </w:r>
          </w:p>
        </w:tc>
        <w:tc>
          <w:tcPr>
            <w:tcW w:w="10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7FF5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指标解释</w:t>
            </w:r>
          </w:p>
        </w:tc>
        <w:tc>
          <w:tcPr>
            <w:tcW w:w="21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4BA6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评分说明</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1C0E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自评得分</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0A5D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0CAF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6" w:type="pct"/>
            <w:tcBorders>
              <w:top w:val="single" w:color="000000" w:sz="4" w:space="0"/>
              <w:left w:val="single" w:color="000000" w:sz="4" w:space="0"/>
              <w:bottom w:val="single" w:color="000000" w:sz="4" w:space="0"/>
              <w:right w:val="nil"/>
            </w:tcBorders>
            <w:shd w:val="clear" w:color="auto" w:fill="auto"/>
            <w:vAlign w:val="center"/>
          </w:tcPr>
          <w:p w14:paraId="5CC677F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0BF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F0D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D71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指标分值</w:t>
            </w:r>
          </w:p>
        </w:tc>
        <w:tc>
          <w:tcPr>
            <w:tcW w:w="10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1DE6">
            <w:pPr>
              <w:jc w:val="center"/>
              <w:rPr>
                <w:rFonts w:hint="eastAsia" w:ascii="黑体" w:hAnsi="宋体" w:eastAsia="黑体" w:cs="黑体"/>
                <w:i w:val="0"/>
                <w:iCs w:val="0"/>
                <w:color w:val="000000"/>
                <w:sz w:val="24"/>
                <w:szCs w:val="24"/>
                <w:u w:val="none"/>
              </w:rPr>
            </w:pPr>
          </w:p>
        </w:tc>
        <w:tc>
          <w:tcPr>
            <w:tcW w:w="21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24B8A">
            <w:pPr>
              <w:jc w:val="center"/>
              <w:rPr>
                <w:rFonts w:hint="eastAsia" w:ascii="黑体" w:hAnsi="宋体" w:eastAsia="黑体" w:cs="黑体"/>
                <w:i w:val="0"/>
                <w:iCs w:val="0"/>
                <w:color w:val="000000"/>
                <w:sz w:val="24"/>
                <w:szCs w:val="24"/>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A10F9">
            <w:pPr>
              <w:jc w:val="center"/>
              <w:rPr>
                <w:rFonts w:hint="eastAsia" w:ascii="黑体" w:hAnsi="宋体" w:eastAsia="黑体" w:cs="黑体"/>
                <w:i w:val="0"/>
                <w:iCs w:val="0"/>
                <w:color w:val="000000"/>
                <w:sz w:val="24"/>
                <w:szCs w:val="24"/>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793B">
            <w:pPr>
              <w:jc w:val="center"/>
              <w:rPr>
                <w:rFonts w:hint="eastAsia" w:ascii="黑体" w:hAnsi="宋体" w:eastAsia="黑体" w:cs="黑体"/>
                <w:i w:val="0"/>
                <w:iCs w:val="0"/>
                <w:color w:val="000000"/>
                <w:sz w:val="24"/>
                <w:szCs w:val="24"/>
                <w:u w:val="none"/>
              </w:rPr>
            </w:pPr>
          </w:p>
        </w:tc>
      </w:tr>
      <w:tr w14:paraId="6196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5305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总体绩效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（65分）</w:t>
            </w:r>
          </w:p>
        </w:tc>
        <w:tc>
          <w:tcPr>
            <w:tcW w:w="243" w:type="pct"/>
            <w:vMerge w:val="restart"/>
            <w:tcBorders>
              <w:top w:val="single" w:color="000000" w:sz="4" w:space="0"/>
              <w:left w:val="single" w:color="000000" w:sz="4" w:space="0"/>
              <w:bottom w:val="nil"/>
              <w:right w:val="single" w:color="000000" w:sz="4" w:space="0"/>
            </w:tcBorders>
            <w:shd w:val="clear" w:color="auto" w:fill="auto"/>
            <w:vAlign w:val="center"/>
          </w:tcPr>
          <w:p w14:paraId="28FB441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履职效能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（19分）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61D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促进农民工就业</w:t>
            </w:r>
          </w:p>
        </w:tc>
        <w:tc>
          <w:tcPr>
            <w:tcW w:w="217" w:type="pct"/>
            <w:vMerge w:val="restart"/>
            <w:tcBorders>
              <w:top w:val="single" w:color="000000" w:sz="4" w:space="0"/>
              <w:left w:val="single" w:color="000000" w:sz="4" w:space="0"/>
              <w:bottom w:val="nil"/>
              <w:right w:val="single" w:color="000000" w:sz="4" w:space="0"/>
            </w:tcBorders>
            <w:shd w:val="clear" w:color="auto" w:fill="auto"/>
            <w:vAlign w:val="center"/>
          </w:tcPr>
          <w:p w14:paraId="39B7B79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1043" w:type="pct"/>
            <w:vMerge w:val="restart"/>
            <w:tcBorders>
              <w:top w:val="single" w:color="000000" w:sz="4" w:space="0"/>
              <w:left w:val="single" w:color="000000" w:sz="4" w:space="0"/>
              <w:bottom w:val="nil"/>
              <w:right w:val="single" w:color="000000" w:sz="4" w:space="0"/>
            </w:tcBorders>
            <w:shd w:val="clear" w:color="auto" w:fill="auto"/>
            <w:vAlign w:val="center"/>
          </w:tcPr>
          <w:p w14:paraId="6B5F173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部门整体绩效目标中选定4-6个核心职能目标，反映该项职能目标完成效果情况</w:t>
            </w:r>
          </w:p>
        </w:tc>
        <w:tc>
          <w:tcPr>
            <w:tcW w:w="2109" w:type="pct"/>
            <w:vMerge w:val="restart"/>
            <w:tcBorders>
              <w:top w:val="single" w:color="000000" w:sz="4" w:space="0"/>
              <w:left w:val="single" w:color="000000" w:sz="4" w:space="0"/>
              <w:bottom w:val="nil"/>
              <w:right w:val="single" w:color="000000" w:sz="4" w:space="0"/>
            </w:tcBorders>
            <w:shd w:val="clear" w:color="auto" w:fill="auto"/>
            <w:vAlign w:val="center"/>
          </w:tcPr>
          <w:p w14:paraId="49F3F86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216" w:type="pct"/>
            <w:vMerge w:val="restart"/>
            <w:tcBorders>
              <w:top w:val="single" w:color="000000" w:sz="4" w:space="0"/>
              <w:left w:val="single" w:color="000000" w:sz="4" w:space="0"/>
              <w:bottom w:val="nil"/>
              <w:right w:val="single" w:color="000000" w:sz="4" w:space="0"/>
            </w:tcBorders>
            <w:shd w:val="clear" w:color="auto" w:fill="auto"/>
            <w:vAlign w:val="center"/>
          </w:tcPr>
          <w:p w14:paraId="38628DB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w:t>
            </w:r>
          </w:p>
        </w:tc>
        <w:tc>
          <w:tcPr>
            <w:tcW w:w="271" w:type="pct"/>
            <w:vMerge w:val="restart"/>
            <w:tcBorders>
              <w:top w:val="single" w:color="000000" w:sz="4" w:space="0"/>
              <w:left w:val="single" w:color="000000" w:sz="4" w:space="0"/>
              <w:bottom w:val="nil"/>
              <w:right w:val="single" w:color="000000" w:sz="4" w:space="0"/>
            </w:tcBorders>
            <w:shd w:val="clear" w:color="auto" w:fill="auto"/>
            <w:vAlign w:val="center"/>
          </w:tcPr>
          <w:p w14:paraId="6F1EA8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51CF8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02A7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nil"/>
              <w:right w:val="single" w:color="000000" w:sz="4" w:space="0"/>
            </w:tcBorders>
            <w:shd w:val="clear" w:color="auto" w:fill="auto"/>
            <w:vAlign w:val="center"/>
          </w:tcPr>
          <w:p w14:paraId="2844DB4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7A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人员经费</w:t>
            </w: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28D0F4A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043" w:type="pct"/>
            <w:vMerge w:val="continue"/>
            <w:tcBorders>
              <w:top w:val="single" w:color="000000" w:sz="4" w:space="0"/>
              <w:left w:val="single" w:color="000000" w:sz="4" w:space="0"/>
              <w:bottom w:val="nil"/>
              <w:right w:val="single" w:color="000000" w:sz="4" w:space="0"/>
            </w:tcBorders>
            <w:shd w:val="clear" w:color="auto" w:fill="auto"/>
            <w:vAlign w:val="center"/>
          </w:tcPr>
          <w:p w14:paraId="2F60F1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109" w:type="pct"/>
            <w:vMerge w:val="continue"/>
            <w:tcBorders>
              <w:top w:val="single" w:color="000000" w:sz="4" w:space="0"/>
              <w:left w:val="single" w:color="000000" w:sz="4" w:space="0"/>
              <w:bottom w:val="nil"/>
              <w:right w:val="single" w:color="000000" w:sz="4" w:space="0"/>
            </w:tcBorders>
            <w:shd w:val="clear" w:color="auto" w:fill="auto"/>
            <w:vAlign w:val="center"/>
          </w:tcPr>
          <w:p w14:paraId="6163C55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4F6C37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71" w:type="pct"/>
            <w:vMerge w:val="continue"/>
            <w:tcBorders>
              <w:top w:val="single" w:color="000000" w:sz="4" w:space="0"/>
              <w:left w:val="single" w:color="000000" w:sz="4" w:space="0"/>
              <w:bottom w:val="nil"/>
              <w:right w:val="single" w:color="000000" w:sz="4" w:space="0"/>
            </w:tcBorders>
            <w:shd w:val="clear" w:color="auto" w:fill="auto"/>
            <w:vAlign w:val="center"/>
          </w:tcPr>
          <w:p w14:paraId="6B12B1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52C0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632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nil"/>
              <w:right w:val="single" w:color="000000" w:sz="4" w:space="0"/>
            </w:tcBorders>
            <w:shd w:val="clear" w:color="auto" w:fill="auto"/>
            <w:vAlign w:val="center"/>
          </w:tcPr>
          <w:p w14:paraId="4902639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B6D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落实农民工服务保障</w:t>
            </w: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07D3068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043" w:type="pct"/>
            <w:vMerge w:val="continue"/>
            <w:tcBorders>
              <w:top w:val="single" w:color="000000" w:sz="4" w:space="0"/>
              <w:left w:val="single" w:color="000000" w:sz="4" w:space="0"/>
              <w:bottom w:val="nil"/>
              <w:right w:val="single" w:color="000000" w:sz="4" w:space="0"/>
            </w:tcBorders>
            <w:shd w:val="clear" w:color="auto" w:fill="auto"/>
            <w:vAlign w:val="center"/>
          </w:tcPr>
          <w:p w14:paraId="4745BFE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109" w:type="pct"/>
            <w:vMerge w:val="continue"/>
            <w:tcBorders>
              <w:top w:val="single" w:color="000000" w:sz="4" w:space="0"/>
              <w:left w:val="single" w:color="000000" w:sz="4" w:space="0"/>
              <w:bottom w:val="nil"/>
              <w:right w:val="single" w:color="000000" w:sz="4" w:space="0"/>
            </w:tcBorders>
            <w:shd w:val="clear" w:color="auto" w:fill="auto"/>
            <w:vAlign w:val="center"/>
          </w:tcPr>
          <w:p w14:paraId="085712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724994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71" w:type="pct"/>
            <w:vMerge w:val="continue"/>
            <w:tcBorders>
              <w:top w:val="single" w:color="000000" w:sz="4" w:space="0"/>
              <w:left w:val="single" w:color="000000" w:sz="4" w:space="0"/>
              <w:bottom w:val="nil"/>
              <w:right w:val="single" w:color="000000" w:sz="4" w:space="0"/>
            </w:tcBorders>
            <w:shd w:val="clear" w:color="auto" w:fill="auto"/>
            <w:vAlign w:val="center"/>
          </w:tcPr>
          <w:p w14:paraId="43B345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13A9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CA0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nil"/>
              <w:right w:val="single" w:color="000000" w:sz="4" w:space="0"/>
            </w:tcBorders>
            <w:shd w:val="clear" w:color="auto" w:fill="auto"/>
            <w:vAlign w:val="center"/>
          </w:tcPr>
          <w:p w14:paraId="00E156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2F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公用经费</w:t>
            </w: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35EC53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043" w:type="pct"/>
            <w:vMerge w:val="continue"/>
            <w:tcBorders>
              <w:top w:val="single" w:color="000000" w:sz="4" w:space="0"/>
              <w:left w:val="single" w:color="000000" w:sz="4" w:space="0"/>
              <w:bottom w:val="nil"/>
              <w:right w:val="single" w:color="000000" w:sz="4" w:space="0"/>
            </w:tcBorders>
            <w:shd w:val="clear" w:color="auto" w:fill="auto"/>
            <w:vAlign w:val="center"/>
          </w:tcPr>
          <w:p w14:paraId="3FDC912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109" w:type="pct"/>
            <w:vMerge w:val="continue"/>
            <w:tcBorders>
              <w:top w:val="single" w:color="000000" w:sz="4" w:space="0"/>
              <w:left w:val="single" w:color="000000" w:sz="4" w:space="0"/>
              <w:bottom w:val="nil"/>
              <w:right w:val="single" w:color="000000" w:sz="4" w:space="0"/>
            </w:tcBorders>
            <w:shd w:val="clear" w:color="auto" w:fill="auto"/>
            <w:vAlign w:val="center"/>
          </w:tcPr>
          <w:p w14:paraId="10CAE5F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59DC16F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71" w:type="pct"/>
            <w:vMerge w:val="continue"/>
            <w:tcBorders>
              <w:top w:val="single" w:color="000000" w:sz="4" w:space="0"/>
              <w:left w:val="single" w:color="000000" w:sz="4" w:space="0"/>
              <w:bottom w:val="nil"/>
              <w:right w:val="single" w:color="000000" w:sz="4" w:space="0"/>
            </w:tcBorders>
            <w:shd w:val="clear" w:color="auto" w:fill="auto"/>
            <w:vAlign w:val="center"/>
          </w:tcPr>
          <w:p w14:paraId="4BD6D4D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3F0B0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123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64A1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（21分）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351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预算编制质量</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C78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D068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部门是否严格按要求编制年初部门预算，年初预算编制的科学性和准确性</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D09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该项指标得分=（1-财政拨款预算偏离度）×100%×8。偏离度=|预算执行数-调整预算数|÷调整预算数。</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812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5861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7428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52DA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3BC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32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支出执行进度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6F1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66BB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部门1至12月预算执行情况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C75E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该项指标得分=中省转移支付资金1至12月实际支出数÷1-12月预算数*3+专项债券资金实际支出数÷1-12月部门预算数*3+专项预算项目1至12月实际支出数÷1-12月预算数*3。</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3A2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9A92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2869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EDD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51F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D9C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预算年终结余</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21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73D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部门整体年终预算结余情况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BE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477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C187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3CAA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D5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C6A3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40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严控一般性支出</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045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FDC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部门严控“三公”经费、会议、培训、差旅、办节办展、办公设备购置、信息网络及软件购置更新、课题经费等8项一般性支出情况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101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该项指标得分=基础分值+加分值。</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1.基础分值。一般性支出财政拨款年初预算较上年实现压减得1.5分；一般性支出财政拨款预算执行较上年实现压减得1.5分。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BED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ADE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3BC5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630F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48D8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87C4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人均资产变化率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581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CE0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部门人均资产变化情况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CC4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91F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427F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7976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1BA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86C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862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资产利用率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BAB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A5E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部门资产超最低使用年限情况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5CAB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该项指标得分=（超最低使用年限的办公家具账面原值÷办公家具账面原值×100%×1.5）+（超最低使用年限的办公设备账面原值÷办公设备账面原值×100%×1.5）。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CF0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DA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4497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1AD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总体绩效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（65分）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A44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（9分）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1B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资产盘活率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CC5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12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部门闲置一年以上的资产盘活情况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63A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7F51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2E03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38B3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0FD0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EDC5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采购管理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77A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支持中小企业发展</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7E7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698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部门是否严格执行政府采购促进中小企业发展相关管理办法</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A3E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B32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AAB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5673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576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3FD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76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采购执行率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5E6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9D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部门政府采购项目资金支付比例情况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AB4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该项指标得分=当年政府采购实际支付总金额÷（当年政府采购总预算数-当年已完成采购项目节约金额）×100%×3。</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7F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902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1640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83E5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项目绩效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（35分）</w:t>
            </w:r>
          </w:p>
        </w:tc>
        <w:tc>
          <w:tcPr>
            <w:tcW w:w="243" w:type="pct"/>
            <w:vMerge w:val="restart"/>
            <w:tcBorders>
              <w:top w:val="single" w:color="000000" w:sz="4" w:space="0"/>
              <w:left w:val="single" w:color="000000" w:sz="4" w:space="0"/>
              <w:bottom w:val="nil"/>
              <w:right w:val="single" w:color="000000" w:sz="4" w:space="0"/>
            </w:tcBorders>
            <w:shd w:val="clear" w:color="auto" w:fill="auto"/>
            <w:vAlign w:val="center"/>
          </w:tcPr>
          <w:p w14:paraId="6E92414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项目决策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150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决策程序</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DD3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605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部门预算项目设立是否按规定履行评估论证、申报程序</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4C4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476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3865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5658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BE9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nil"/>
              <w:right w:val="single" w:color="000000" w:sz="4" w:space="0"/>
            </w:tcBorders>
            <w:shd w:val="clear" w:color="auto" w:fill="auto"/>
            <w:vAlign w:val="center"/>
          </w:tcPr>
          <w:p w14:paraId="515F82B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31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目标设置</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CC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1EC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98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851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4D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7AEC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EBF2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nil"/>
              <w:right w:val="single" w:color="000000" w:sz="4" w:space="0"/>
            </w:tcBorders>
            <w:shd w:val="clear" w:color="auto" w:fill="auto"/>
            <w:vAlign w:val="center"/>
          </w:tcPr>
          <w:p w14:paraId="5DBB521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903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项目入库</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59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2F3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部门预算项目是否在规定时间完成项目入库</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02E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18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DCC0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03F9D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089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restart"/>
            <w:tcBorders>
              <w:top w:val="single" w:color="000000" w:sz="4" w:space="0"/>
              <w:left w:val="single" w:color="000000" w:sz="4" w:space="0"/>
              <w:bottom w:val="nil"/>
              <w:right w:val="single" w:color="000000" w:sz="4" w:space="0"/>
            </w:tcBorders>
            <w:shd w:val="clear" w:color="auto" w:fill="auto"/>
            <w:vAlign w:val="center"/>
          </w:tcPr>
          <w:p w14:paraId="3219728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项目执行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（12分）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6ECD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执行同向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B56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ACB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部门预算项目实际列支内容是否与绩效目标设置方向相符</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DEB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25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35C5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7746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8BA5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nil"/>
              <w:right w:val="single" w:color="000000" w:sz="4" w:space="0"/>
            </w:tcBorders>
            <w:shd w:val="clear" w:color="auto" w:fill="auto"/>
            <w:vAlign w:val="center"/>
          </w:tcPr>
          <w:p w14:paraId="1E0430F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nil"/>
              <w:right w:val="single" w:color="000000" w:sz="4" w:space="0"/>
            </w:tcBorders>
            <w:shd w:val="clear" w:color="auto" w:fill="auto"/>
            <w:vAlign w:val="center"/>
          </w:tcPr>
          <w:p w14:paraId="3CD8422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项目调整</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980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442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部门预算项目是否采取对应调整措施</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1B61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C52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C63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365B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C007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nil"/>
              <w:right w:val="single" w:color="000000" w:sz="4" w:space="0"/>
            </w:tcBorders>
            <w:shd w:val="clear" w:color="auto" w:fill="auto"/>
            <w:vAlign w:val="center"/>
          </w:tcPr>
          <w:p w14:paraId="4352E63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E10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执行结果</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414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1AC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部门预算项目预算执行情况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487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ADF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828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01BCA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D1D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D6AC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目标实现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（11分）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C54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目标完成</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CEA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9DAB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部门预算项目绩效目标数量指标完成情况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74B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该项指标得分=完成绩效目标数量指标的部门预算阶段项目（含一次性项目）数量÷部门预算阶段项目（含一次性项目）总数×100%×6。</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112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11C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2717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EFAE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5A3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86F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目标偏离</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3E9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45E5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部门预算项目绩效目标数量指标实现程度与预期目标的偏离情况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97D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364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7CE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2519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BF9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6B4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D76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实现效果</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925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2B6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部门预算项目绩效目标效益指标实施效果</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E3C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该项指标得分=完成绩效目标效益指标的部门预算阶段项目（含一次性项目）数量÷部门预算阶段项目（含一次性项目）总数×100%×5。</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8084">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F0E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0539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680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扣分项</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4D5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财务管理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E70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财务管理制度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A3D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93B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部门财务管理制度建立情况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FAD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部门未制定内部财务管理制度等制度机制的,财务管理制度未得到落实，发现一处扣1分，扣完为止。</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C4DD">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E483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698D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109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21AA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9026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财务岗位设置</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98C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3A4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部门财务岗位设置是否符合相关财务管理制度要求</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7DE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部门未合理设置财务工作岗位，职责权限不明确，未严格实行不相容岗位分离，发现一处扣1分，扣完为止。</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259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4D4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06C0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E6AB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73D4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24B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资金使用规范</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113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F8B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部门资金使用是否符合相关财务管理制度规定</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349A">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部门资金使用不符合相关财务管理制度规定的，发现一处扣1分，扣完为止。</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F04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D3D8">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0225C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8B04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56E5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预算绩效存在问题</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AE6A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D05F">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预算管理和绩效管理工作存在问题</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C0A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316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E04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1692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666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8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89F7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被评价部门配合度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CA6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BF7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被评价对象工作配合情况</w:t>
            </w:r>
          </w:p>
        </w:tc>
        <w:tc>
          <w:tcPr>
            <w:tcW w:w="21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8E16">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评价工作开展过程中，被评价对象拖延推诿、提交资料不及时等拒不配合评价工作的，每发现一次扣1分，扣完为止。</w:t>
            </w:r>
          </w:p>
        </w:tc>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C4AB">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766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r w14:paraId="401A6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1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34F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分值</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2E5E">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18F9">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EEE7">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736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97</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ABD2">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r>
    </w:tbl>
    <w:p w14:paraId="3060694C">
      <w:pPr>
        <w:pStyle w:val="192"/>
        <w:spacing w:line="560" w:lineRule="exact"/>
        <w:ind w:left="0" w:leftChars="0" w:firstLine="0" w:firstLineChars="0"/>
        <w:rPr>
          <w:rFonts w:ascii="Times New Roman"/>
          <w:lang w:val="zh-CN"/>
        </w:rPr>
      </w:pPr>
    </w:p>
    <w:p w14:paraId="7512E4D5">
      <w:pPr>
        <w:pStyle w:val="192"/>
        <w:spacing w:line="560" w:lineRule="exact"/>
        <w:ind w:left="0" w:leftChars="0" w:firstLine="0" w:firstLineChars="0"/>
        <w:jc w:val="center"/>
        <w:rPr>
          <w:rFonts w:ascii="Times New Roman"/>
          <w:lang w:val="zh-CN"/>
        </w:rPr>
      </w:pPr>
    </w:p>
    <w:p w14:paraId="40D366DA">
      <w:pPr>
        <w:pStyle w:val="192"/>
        <w:spacing w:line="560" w:lineRule="exact"/>
        <w:ind w:left="0" w:leftChars="0" w:firstLine="0" w:firstLineChars="0"/>
        <w:jc w:val="both"/>
        <w:rPr>
          <w:rFonts w:hint="eastAsia" w:ascii="Times New Roman" w:eastAsia="黑体"/>
          <w:shd w:val="clear" w:color="auto" w:fill="FFFFFF"/>
        </w:rPr>
      </w:pPr>
      <w:r>
        <w:rPr>
          <w:rFonts w:ascii="Times New Roman"/>
          <w:lang w:val="zh-CN"/>
        </w:rPr>
        <w:t>附表</w:t>
      </w:r>
      <w:r>
        <w:rPr>
          <w:rFonts w:hint="eastAsia" w:ascii="Times New Roman"/>
          <w:lang w:val="en-US" w:eastAsia="zh-CN"/>
        </w:rPr>
        <w:t>2</w:t>
      </w:r>
      <w:r>
        <w:rPr>
          <w:rFonts w:ascii="Times New Roman"/>
          <w:lang w:val="zh-CN"/>
        </w:rPr>
        <w:t>：</w:t>
      </w:r>
      <w:r>
        <w:rPr>
          <w:rFonts w:ascii="Times New Roman"/>
        </w:rPr>
        <w:t>部门预算项目支出绩效自评表（202</w:t>
      </w:r>
      <w:r>
        <w:rPr>
          <w:rFonts w:hint="eastAsia" w:ascii="Times New Roman"/>
          <w:lang w:val="en-US" w:eastAsia="zh-CN"/>
        </w:rPr>
        <w:t>4</w:t>
      </w:r>
      <w:r>
        <w:rPr>
          <w:rFonts w:ascii="Times New Roman"/>
        </w:rPr>
        <w:t>年度）</w:t>
      </w:r>
    </w:p>
    <w:tbl>
      <w:tblPr>
        <w:tblStyle w:val="33"/>
        <w:tblW w:w="9857" w:type="dxa"/>
        <w:jc w:val="center"/>
        <w:tblLayout w:type="fixed"/>
        <w:tblCellMar>
          <w:top w:w="15" w:type="dxa"/>
          <w:left w:w="15" w:type="dxa"/>
          <w:bottom w:w="0" w:type="dxa"/>
          <w:right w:w="15" w:type="dxa"/>
        </w:tblCellMar>
      </w:tblPr>
      <w:tblGrid>
        <w:gridCol w:w="478"/>
        <w:gridCol w:w="1434"/>
        <w:gridCol w:w="1240"/>
        <w:gridCol w:w="1582"/>
        <w:gridCol w:w="364"/>
        <w:gridCol w:w="1172"/>
        <w:gridCol w:w="365"/>
        <w:gridCol w:w="762"/>
        <w:gridCol w:w="353"/>
        <w:gridCol w:w="318"/>
        <w:gridCol w:w="1789"/>
      </w:tblGrid>
      <w:tr w14:paraId="5E683136">
        <w:tblPrEx>
          <w:tblCellMar>
            <w:top w:w="15" w:type="dxa"/>
            <w:left w:w="15" w:type="dxa"/>
            <w:bottom w:w="0" w:type="dxa"/>
            <w:right w:w="15" w:type="dxa"/>
          </w:tblCellMar>
        </w:tblPrEx>
        <w:trPr>
          <w:trHeight w:val="390" w:hRule="atLeast"/>
          <w:jc w:val="center"/>
        </w:trPr>
        <w:tc>
          <w:tcPr>
            <w:tcW w:w="9857"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5B2C0">
            <w:pPr>
              <w:keepNext w:val="0"/>
              <w:keepLines w:val="0"/>
              <w:widowControl/>
              <w:suppressLineNumbers w:val="0"/>
              <w:jc w:val="center"/>
              <w:textAlignment w:val="center"/>
              <w:rPr>
                <w:rFonts w:ascii="黑体" w:hAnsi="宋体" w:eastAsia="黑体" w:cs="黑体"/>
                <w:b/>
                <w:color w:val="000000"/>
                <w:sz w:val="30"/>
                <w:szCs w:val="30"/>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660AEA9">
        <w:tblPrEx>
          <w:tblCellMar>
            <w:top w:w="15" w:type="dxa"/>
            <w:left w:w="15" w:type="dxa"/>
            <w:bottom w:w="0" w:type="dxa"/>
            <w:right w:w="15" w:type="dxa"/>
          </w:tblCellMar>
        </w:tblPrEx>
        <w:trPr>
          <w:trHeight w:val="270" w:hRule="atLeast"/>
          <w:jc w:val="center"/>
        </w:trPr>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D79D1">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项目名称</w:t>
            </w:r>
          </w:p>
        </w:tc>
        <w:tc>
          <w:tcPr>
            <w:tcW w:w="794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CB73E">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51090424T000011145215-（2024年）促进农民工就业</w:t>
            </w:r>
          </w:p>
        </w:tc>
      </w:tr>
      <w:tr w14:paraId="03C6EAB2">
        <w:tblPrEx>
          <w:tblCellMar>
            <w:top w:w="15" w:type="dxa"/>
            <w:left w:w="15" w:type="dxa"/>
            <w:bottom w:w="0" w:type="dxa"/>
            <w:right w:w="15" w:type="dxa"/>
          </w:tblCellMar>
        </w:tblPrEx>
        <w:trPr>
          <w:trHeight w:val="450" w:hRule="atLeast"/>
          <w:jc w:val="center"/>
        </w:trPr>
        <w:tc>
          <w:tcPr>
            <w:tcW w:w="19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A9A03">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主管部门</w:t>
            </w:r>
          </w:p>
        </w:tc>
        <w:tc>
          <w:tcPr>
            <w:tcW w:w="472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A63B8">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遂宁市安居区农民工服务中心部门</w:t>
            </w:r>
          </w:p>
        </w:tc>
        <w:tc>
          <w:tcPr>
            <w:tcW w:w="762" w:type="dxa"/>
            <w:tcBorders>
              <w:top w:val="nil"/>
              <w:left w:val="nil"/>
              <w:bottom w:val="nil"/>
              <w:right w:val="nil"/>
            </w:tcBorders>
            <w:noWrap w:val="0"/>
            <w:tcMar>
              <w:top w:w="15" w:type="dxa"/>
              <w:left w:w="15" w:type="dxa"/>
              <w:right w:w="15" w:type="dxa"/>
            </w:tcMar>
            <w:vAlign w:val="center"/>
          </w:tcPr>
          <w:p w14:paraId="530E4AE6">
            <w:pPr>
              <w:keepNext w:val="0"/>
              <w:keepLines w:val="0"/>
              <w:widowControl/>
              <w:suppressLineNumbers w:val="0"/>
              <w:jc w:val="left"/>
              <w:textAlignment w:val="center"/>
              <w:rPr>
                <w:rFonts w:ascii="黑体" w:hAnsi="黑体" w:eastAsia="黑体" w:cs="黑体"/>
                <w:color w:val="000000"/>
                <w:sz w:val="18"/>
                <w:szCs w:val="18"/>
              </w:rPr>
            </w:pPr>
            <w:r>
              <w:rPr>
                <w:rFonts w:hint="eastAsia" w:ascii="黑体" w:hAnsi="黑体" w:eastAsia="黑体" w:cs="黑体"/>
                <w:i w:val="0"/>
                <w:color w:val="000000"/>
                <w:kern w:val="0"/>
                <w:sz w:val="18"/>
                <w:szCs w:val="18"/>
                <w:u w:val="none"/>
                <w:lang w:val="en-US" w:eastAsia="zh-CN" w:bidi="ar"/>
              </w:rPr>
              <w:t>实施单位 （盖章）</w:t>
            </w:r>
          </w:p>
        </w:tc>
        <w:tc>
          <w:tcPr>
            <w:tcW w:w="24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B3F08">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遂宁市安居区农民工服务中心</w:t>
            </w:r>
          </w:p>
        </w:tc>
      </w:tr>
      <w:tr w14:paraId="7CF0F7DB">
        <w:tblPrEx>
          <w:tblCellMar>
            <w:top w:w="15" w:type="dxa"/>
            <w:left w:w="15" w:type="dxa"/>
            <w:bottom w:w="0" w:type="dxa"/>
            <w:right w:w="15" w:type="dxa"/>
          </w:tblCellMar>
        </w:tblPrEx>
        <w:trPr>
          <w:trHeight w:val="270" w:hRule="atLeast"/>
          <w:jc w:val="center"/>
        </w:trPr>
        <w:tc>
          <w:tcPr>
            <w:tcW w:w="4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14F2D">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项目基本情况</w:t>
            </w:r>
          </w:p>
        </w:tc>
        <w:tc>
          <w:tcPr>
            <w:tcW w:w="14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760A7">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1.项目年度目标完成情况</w:t>
            </w:r>
          </w:p>
        </w:tc>
        <w:tc>
          <w:tcPr>
            <w:tcW w:w="472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A794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项目年度目标</w:t>
            </w:r>
          </w:p>
        </w:tc>
        <w:tc>
          <w:tcPr>
            <w:tcW w:w="322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5C46F">
            <w:pPr>
              <w:keepNext w:val="0"/>
              <w:keepLines w:val="0"/>
              <w:widowControl/>
              <w:suppressLineNumbers w:val="0"/>
              <w:jc w:val="center"/>
              <w:textAlignment w:val="center"/>
              <w:rPr>
                <w:rFonts w:hint="eastAsia" w:ascii="黑体" w:hAnsi="黑体" w:eastAsia="黑体" w:cs="黑体"/>
                <w:color w:val="000000"/>
                <w:sz w:val="18"/>
                <w:szCs w:val="18"/>
              </w:rPr>
            </w:pPr>
            <w:r>
              <w:rPr>
                <w:rFonts w:hint="eastAsia" w:ascii="黑体" w:hAnsi="黑体" w:eastAsia="黑体" w:cs="黑体"/>
                <w:i w:val="0"/>
                <w:color w:val="000000"/>
                <w:kern w:val="0"/>
                <w:sz w:val="18"/>
                <w:szCs w:val="18"/>
                <w:u w:val="none"/>
                <w:lang w:val="en-US" w:eastAsia="zh-CN" w:bidi="ar"/>
              </w:rPr>
              <w:t>年度目标完成情况</w:t>
            </w:r>
          </w:p>
        </w:tc>
      </w:tr>
      <w:tr w14:paraId="2E429C2E">
        <w:tblPrEx>
          <w:tblCellMar>
            <w:top w:w="15" w:type="dxa"/>
            <w:left w:w="15" w:type="dxa"/>
            <w:bottom w:w="0" w:type="dxa"/>
            <w:right w:w="15" w:type="dxa"/>
          </w:tblCellMar>
        </w:tblPrEx>
        <w:trPr>
          <w:trHeight w:val="27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B50B8">
            <w:pPr>
              <w:rPr>
                <w:rFonts w:hint="eastAsia" w:ascii="宋体" w:hAnsi="宋体" w:eastAsia="宋体" w:cs="宋体"/>
                <w:color w:val="000000"/>
                <w:sz w:val="18"/>
                <w:szCs w:val="18"/>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D6982">
            <w:pPr>
              <w:rPr>
                <w:rFonts w:hint="eastAsia" w:ascii="宋体" w:hAnsi="宋体" w:eastAsia="宋体" w:cs="宋体"/>
                <w:color w:val="000000"/>
                <w:sz w:val="18"/>
                <w:szCs w:val="18"/>
              </w:rPr>
            </w:pPr>
          </w:p>
        </w:tc>
        <w:tc>
          <w:tcPr>
            <w:tcW w:w="472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818CE">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2024年预算30万元，用于农民工就业、创业和服务保障等方面工作，确保农民工稳定就业。</w:t>
            </w:r>
          </w:p>
        </w:tc>
        <w:tc>
          <w:tcPr>
            <w:tcW w:w="322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5F932">
            <w:pPr>
              <w:keepNext w:val="0"/>
              <w:keepLines w:val="0"/>
              <w:widowControl/>
              <w:suppressLineNumbers w:val="0"/>
              <w:jc w:val="left"/>
              <w:textAlignment w:val="center"/>
              <w:rPr>
                <w:rFonts w:hint="eastAsia" w:ascii="黑体" w:hAnsi="黑体" w:eastAsia="黑体" w:cs="黑体"/>
                <w:color w:val="000000"/>
                <w:sz w:val="18"/>
                <w:szCs w:val="18"/>
              </w:rPr>
            </w:pPr>
            <w:r>
              <w:rPr>
                <w:rFonts w:hint="eastAsia" w:ascii="黑体" w:hAnsi="黑体" w:eastAsia="黑体" w:cs="黑体"/>
                <w:i w:val="0"/>
                <w:color w:val="000000"/>
                <w:kern w:val="0"/>
                <w:sz w:val="18"/>
                <w:szCs w:val="18"/>
                <w:u w:val="none"/>
                <w:lang w:val="en-US" w:eastAsia="zh-CN" w:bidi="ar"/>
              </w:rPr>
              <w:t>2024年用于组织开展农民工就业招聘，开展农民工就业的节能培训和新职业新业态培训，举办返乡入乡创业系列活动，共计支付29.98万元。</w:t>
            </w:r>
          </w:p>
        </w:tc>
      </w:tr>
      <w:tr w14:paraId="683C9D27">
        <w:tblPrEx>
          <w:tblCellMar>
            <w:top w:w="15" w:type="dxa"/>
            <w:left w:w="15" w:type="dxa"/>
            <w:bottom w:w="0" w:type="dxa"/>
            <w:right w:w="15" w:type="dxa"/>
          </w:tblCellMar>
        </w:tblPrEx>
        <w:trPr>
          <w:trHeight w:val="675"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B7EF9">
            <w:pPr>
              <w:rPr>
                <w:rFonts w:hint="eastAsia" w:ascii="宋体" w:hAnsi="宋体" w:eastAsia="宋体" w:cs="宋体"/>
                <w:color w:val="000000"/>
                <w:sz w:val="18"/>
                <w:szCs w:val="18"/>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FB6C6">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2.项目实施内容及过程概述</w:t>
            </w:r>
          </w:p>
        </w:tc>
        <w:tc>
          <w:tcPr>
            <w:tcW w:w="794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A73080">
            <w:pPr>
              <w:keepNext w:val="0"/>
              <w:keepLines w:val="0"/>
              <w:widowControl/>
              <w:suppressLineNumbers w:val="0"/>
              <w:jc w:val="left"/>
              <w:textAlignment w:val="center"/>
              <w:rPr>
                <w:rFonts w:hint="eastAsia"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组织开展农民工就业招聘“春风行动”，加强农民工就业供需服务，保持农民工就业局势稳定；实施农民工技能提升行动，大力开展适合农民工就业的节能培训和新职业新业态培训，提升农民工综合素质；同事鼓励农民工返乡创业，举办返乡入乡创业系列活动，营造良好创业氛围。</w:t>
            </w:r>
          </w:p>
        </w:tc>
      </w:tr>
      <w:tr w14:paraId="72A4BDE0">
        <w:tblPrEx>
          <w:tblCellMar>
            <w:top w:w="15" w:type="dxa"/>
            <w:left w:w="15" w:type="dxa"/>
            <w:bottom w:w="0" w:type="dxa"/>
            <w:right w:w="15" w:type="dxa"/>
          </w:tblCellMar>
        </w:tblPrEx>
        <w:trPr>
          <w:trHeight w:val="450" w:hRule="atLeast"/>
          <w:jc w:val="center"/>
        </w:trPr>
        <w:tc>
          <w:tcPr>
            <w:tcW w:w="4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E63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预算执行情况（10分）</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4B24">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年度预算数（万元）</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0CBF2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年初预算</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61F8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调整后预算数</w:t>
            </w:r>
          </w:p>
        </w:tc>
        <w:tc>
          <w:tcPr>
            <w:tcW w:w="19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9DCA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预算执行数</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7625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预算执行率</w:t>
            </w: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E3C6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权重</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78517">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得分</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D5DB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原因</w:t>
            </w:r>
          </w:p>
        </w:tc>
      </w:tr>
      <w:tr w14:paraId="51F11F75">
        <w:tblPrEx>
          <w:tblCellMar>
            <w:top w:w="15" w:type="dxa"/>
            <w:left w:w="15" w:type="dxa"/>
            <w:bottom w:w="0" w:type="dxa"/>
            <w:right w:w="15" w:type="dxa"/>
          </w:tblCellMar>
        </w:tblPrEx>
        <w:trPr>
          <w:trHeight w:val="27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4FA07">
            <w:pPr>
              <w:jc w:val="center"/>
              <w:rPr>
                <w:rFonts w:hint="eastAsia" w:ascii="宋体" w:hAnsi="宋体" w:eastAsia="宋体" w:cs="宋体"/>
                <w:color w:val="000000"/>
                <w:sz w:val="18"/>
                <w:szCs w:val="18"/>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69457">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总额</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8379C">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30.00</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C1D9B">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29.98</w:t>
            </w:r>
          </w:p>
        </w:tc>
        <w:tc>
          <w:tcPr>
            <w:tcW w:w="19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09934">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29.98</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4E1FB">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100.00%</w:t>
            </w: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AADA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12BB">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FEC0D">
            <w:pPr>
              <w:keepNext w:val="0"/>
              <w:keepLines w:val="0"/>
              <w:widowControl/>
              <w:suppressLineNumbers w:val="0"/>
              <w:jc w:val="left"/>
              <w:textAlignment w:val="center"/>
              <w:rPr>
                <w:rFonts w:hint="eastAsia" w:ascii="宋体" w:hAnsi="宋体" w:eastAsia="宋体" w:cs="宋体"/>
                <w:color w:val="000000"/>
                <w:sz w:val="18"/>
                <w:szCs w:val="18"/>
                <w:lang w:bidi="ar"/>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0EA2E82">
        <w:tblPrEx>
          <w:tblCellMar>
            <w:top w:w="15" w:type="dxa"/>
            <w:left w:w="15" w:type="dxa"/>
            <w:bottom w:w="0" w:type="dxa"/>
            <w:right w:w="15" w:type="dxa"/>
          </w:tblCellMar>
        </w:tblPrEx>
        <w:trPr>
          <w:trHeight w:val="45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F575B">
            <w:pPr>
              <w:jc w:val="center"/>
              <w:rPr>
                <w:rFonts w:hint="eastAsia" w:ascii="宋体" w:hAnsi="宋体" w:eastAsia="宋体" w:cs="宋体"/>
                <w:color w:val="000000"/>
                <w:sz w:val="18"/>
                <w:szCs w:val="18"/>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7ADD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其中：财政资金</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D9D0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30.00</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85CB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29.98</w:t>
            </w:r>
          </w:p>
        </w:tc>
        <w:tc>
          <w:tcPr>
            <w:tcW w:w="19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6543E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29.98</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1377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100.00%</w:t>
            </w: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D0B8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A870B">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w:t>
            </w:r>
          </w:p>
        </w:tc>
        <w:tc>
          <w:tcPr>
            <w:tcW w:w="17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F3ECE">
            <w:pPr>
              <w:rPr>
                <w:rFonts w:hint="eastAsia" w:ascii="宋体" w:hAnsi="宋体" w:eastAsia="宋体" w:cs="宋体"/>
                <w:color w:val="000000"/>
                <w:sz w:val="18"/>
                <w:szCs w:val="18"/>
                <w:lang w:bidi="ar"/>
              </w:rPr>
            </w:pPr>
          </w:p>
        </w:tc>
      </w:tr>
      <w:tr w14:paraId="4D327E75">
        <w:tblPrEx>
          <w:tblCellMar>
            <w:top w:w="15" w:type="dxa"/>
            <w:left w:w="15" w:type="dxa"/>
            <w:bottom w:w="0" w:type="dxa"/>
            <w:right w:w="15" w:type="dxa"/>
          </w:tblCellMar>
        </w:tblPrEx>
        <w:trPr>
          <w:trHeight w:val="45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FBC16">
            <w:pPr>
              <w:jc w:val="center"/>
              <w:rPr>
                <w:rFonts w:hint="eastAsia" w:ascii="宋体" w:hAnsi="宋体" w:eastAsia="宋体" w:cs="宋体"/>
                <w:color w:val="000000"/>
                <w:sz w:val="18"/>
                <w:szCs w:val="18"/>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3CD5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财政专户管理资金</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EADC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E582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19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F8684">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C511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096D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0C9DE">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w:t>
            </w:r>
          </w:p>
        </w:tc>
        <w:tc>
          <w:tcPr>
            <w:tcW w:w="17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DC833">
            <w:pPr>
              <w:rPr>
                <w:rFonts w:hint="eastAsia" w:ascii="黑体" w:hAnsi="黑体" w:eastAsia="黑体" w:cs="黑体"/>
                <w:i/>
                <w:color w:val="000000"/>
                <w:sz w:val="18"/>
                <w:szCs w:val="18"/>
              </w:rPr>
            </w:pPr>
          </w:p>
        </w:tc>
      </w:tr>
      <w:tr w14:paraId="5BC1CC89">
        <w:tblPrEx>
          <w:tblCellMar>
            <w:top w:w="15" w:type="dxa"/>
            <w:left w:w="15" w:type="dxa"/>
            <w:bottom w:w="0" w:type="dxa"/>
            <w:right w:w="15" w:type="dxa"/>
          </w:tblCellMar>
        </w:tblPrEx>
        <w:trPr>
          <w:trHeight w:val="27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021D7">
            <w:pPr>
              <w:jc w:val="center"/>
              <w:rPr>
                <w:rFonts w:hint="eastAsia" w:ascii="宋体" w:hAnsi="宋体" w:eastAsia="宋体" w:cs="宋体"/>
                <w:color w:val="000000"/>
                <w:sz w:val="18"/>
                <w:szCs w:val="18"/>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55BF6">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单位资金</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AB1D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3195C">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19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BC4E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68DD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A897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A733F">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w:t>
            </w:r>
          </w:p>
        </w:tc>
        <w:tc>
          <w:tcPr>
            <w:tcW w:w="17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91B62">
            <w:pPr>
              <w:rPr>
                <w:rFonts w:hint="eastAsia" w:ascii="黑体" w:hAnsi="黑体" w:eastAsia="黑体" w:cs="黑体"/>
                <w:i/>
                <w:color w:val="000000"/>
                <w:sz w:val="18"/>
                <w:szCs w:val="18"/>
              </w:rPr>
            </w:pPr>
          </w:p>
        </w:tc>
      </w:tr>
      <w:tr w14:paraId="4422D2AA">
        <w:tblPrEx>
          <w:tblCellMar>
            <w:top w:w="15" w:type="dxa"/>
            <w:left w:w="15" w:type="dxa"/>
            <w:bottom w:w="0" w:type="dxa"/>
            <w:right w:w="15" w:type="dxa"/>
          </w:tblCellMar>
        </w:tblPrEx>
        <w:trPr>
          <w:trHeight w:val="27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D1CE6">
            <w:pPr>
              <w:jc w:val="center"/>
              <w:rPr>
                <w:rFonts w:hint="eastAsia" w:ascii="宋体" w:hAnsi="宋体" w:eastAsia="宋体" w:cs="宋体"/>
                <w:color w:val="000000"/>
                <w:sz w:val="18"/>
                <w:szCs w:val="18"/>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BB19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其他资金</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64FF">
            <w:pPr>
              <w:jc w:val="center"/>
              <w:rPr>
                <w:rFonts w:hint="eastAsia" w:ascii="微软雅黑" w:hAnsi="微软雅黑" w:eastAsia="微软雅黑" w:cs="微软雅黑"/>
                <w:i/>
                <w:color w:val="000000"/>
                <w:sz w:val="16"/>
                <w:szCs w:val="16"/>
              </w:rPr>
            </w:pP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4F505">
            <w:pPr>
              <w:jc w:val="center"/>
              <w:rPr>
                <w:rFonts w:hint="eastAsia" w:ascii="微软雅黑" w:hAnsi="微软雅黑" w:eastAsia="微软雅黑" w:cs="微软雅黑"/>
                <w:i/>
                <w:color w:val="000000"/>
                <w:sz w:val="16"/>
                <w:szCs w:val="16"/>
              </w:rPr>
            </w:pPr>
          </w:p>
        </w:tc>
        <w:tc>
          <w:tcPr>
            <w:tcW w:w="19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7C846">
            <w:pPr>
              <w:jc w:val="center"/>
              <w:rPr>
                <w:rFonts w:hint="eastAsia" w:ascii="微软雅黑" w:hAnsi="微软雅黑" w:eastAsia="微软雅黑" w:cs="微软雅黑"/>
                <w:i/>
                <w:color w:val="000000"/>
                <w:sz w:val="16"/>
                <w:szCs w:val="16"/>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B1DF75">
            <w:pPr>
              <w:jc w:val="center"/>
              <w:rPr>
                <w:rFonts w:hint="eastAsia" w:ascii="微软雅黑" w:hAnsi="微软雅黑" w:eastAsia="微软雅黑" w:cs="微软雅黑"/>
                <w:i/>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74E9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E485F">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w:t>
            </w:r>
          </w:p>
        </w:tc>
        <w:tc>
          <w:tcPr>
            <w:tcW w:w="17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F9C01">
            <w:pPr>
              <w:rPr>
                <w:rFonts w:hint="eastAsia" w:ascii="黑体" w:hAnsi="黑体" w:eastAsia="黑体" w:cs="黑体"/>
                <w:i/>
                <w:color w:val="000000"/>
                <w:sz w:val="18"/>
                <w:szCs w:val="18"/>
              </w:rPr>
            </w:pPr>
          </w:p>
        </w:tc>
      </w:tr>
      <w:tr w14:paraId="1C8A645C">
        <w:tblPrEx>
          <w:tblCellMar>
            <w:top w:w="15" w:type="dxa"/>
            <w:left w:w="15" w:type="dxa"/>
            <w:bottom w:w="0" w:type="dxa"/>
            <w:right w:w="15" w:type="dxa"/>
          </w:tblCellMar>
        </w:tblPrEx>
        <w:trPr>
          <w:trHeight w:val="450" w:hRule="atLeast"/>
          <w:jc w:val="center"/>
        </w:trPr>
        <w:tc>
          <w:tcPr>
            <w:tcW w:w="4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3D04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绩效指标（90分）</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FF73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一级指标</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88A4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二级指标</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78B4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三级指标</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58397">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指标性质</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A9B4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指标值</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89F97">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度量单位</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376A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完成值</w:t>
            </w: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FAA1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权重</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3F7F0">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得分</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F5F5E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未完成原因分析</w:t>
            </w:r>
          </w:p>
        </w:tc>
      </w:tr>
      <w:tr w14:paraId="16C32261">
        <w:tblPrEx>
          <w:tblCellMar>
            <w:top w:w="15" w:type="dxa"/>
            <w:left w:w="15" w:type="dxa"/>
            <w:bottom w:w="0" w:type="dxa"/>
            <w:right w:w="15" w:type="dxa"/>
          </w:tblCellMar>
        </w:tblPrEx>
        <w:trPr>
          <w:trHeight w:val="45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30739">
            <w:pPr>
              <w:jc w:val="center"/>
              <w:rPr>
                <w:rFonts w:hint="eastAsia" w:ascii="宋体" w:hAnsi="宋体" w:eastAsia="宋体" w:cs="宋体"/>
                <w:color w:val="000000"/>
                <w:sz w:val="18"/>
                <w:szCs w:val="18"/>
              </w:rPr>
            </w:pPr>
          </w:p>
        </w:tc>
        <w:tc>
          <w:tcPr>
            <w:tcW w:w="14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2465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产出指标</w:t>
            </w:r>
          </w:p>
        </w:tc>
        <w:tc>
          <w:tcPr>
            <w:tcW w:w="12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7C09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数量指标</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597E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开展跨地区劳务协作</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522F8">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F951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3</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F469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场</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2428E">
            <w:pPr>
              <w:jc w:val="center"/>
              <w:rPr>
                <w:rFonts w:hint="eastAsia" w:ascii="微软雅黑" w:hAnsi="微软雅黑" w:eastAsia="微软雅黑" w:cs="微软雅黑"/>
                <w:i/>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48F0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5</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E7871">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5</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9A80D">
            <w:pPr>
              <w:jc w:val="center"/>
              <w:rPr>
                <w:rFonts w:hint="eastAsia" w:ascii="微软雅黑" w:hAnsi="微软雅黑" w:eastAsia="微软雅黑" w:cs="微软雅黑"/>
                <w:i/>
                <w:color w:val="000000"/>
                <w:sz w:val="16"/>
                <w:szCs w:val="16"/>
              </w:rPr>
            </w:pPr>
          </w:p>
        </w:tc>
      </w:tr>
      <w:tr w14:paraId="6E07C4E8">
        <w:tblPrEx>
          <w:tblCellMar>
            <w:top w:w="15" w:type="dxa"/>
            <w:left w:w="15" w:type="dxa"/>
            <w:bottom w:w="0" w:type="dxa"/>
            <w:right w:w="15" w:type="dxa"/>
          </w:tblCellMar>
        </w:tblPrEx>
        <w:trPr>
          <w:trHeight w:val="27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B3004">
            <w:pPr>
              <w:jc w:val="center"/>
              <w:rPr>
                <w:rFonts w:hint="eastAsia" w:ascii="宋体" w:hAnsi="宋体" w:eastAsia="宋体" w:cs="宋体"/>
                <w:color w:val="000000"/>
                <w:sz w:val="18"/>
                <w:szCs w:val="18"/>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ED0E9">
            <w:pPr>
              <w:jc w:val="center"/>
              <w:rPr>
                <w:rFonts w:hint="eastAsia" w:ascii="宋体" w:hAnsi="宋体" w:eastAsia="宋体" w:cs="宋体"/>
                <w:color w:val="000000"/>
                <w:sz w:val="18"/>
                <w:szCs w:val="18"/>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AD571">
            <w:pPr>
              <w:jc w:val="center"/>
              <w:rPr>
                <w:rFonts w:hint="eastAsia" w:ascii="宋体" w:hAnsi="宋体" w:eastAsia="宋体" w:cs="宋体"/>
                <w:color w:val="000000"/>
                <w:sz w:val="18"/>
                <w:szCs w:val="18"/>
              </w:rPr>
            </w:pP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B7DF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召开回引优秀农民工返乡创业项目推荐会</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F6AB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91AEC">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3</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E326B">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场</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0F882">
            <w:pPr>
              <w:jc w:val="center"/>
              <w:rPr>
                <w:rFonts w:hint="eastAsia" w:ascii="微软雅黑" w:hAnsi="微软雅黑" w:eastAsia="微软雅黑" w:cs="微软雅黑"/>
                <w:i/>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89DB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5</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59BD7">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5</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7A40E">
            <w:pPr>
              <w:jc w:val="center"/>
              <w:rPr>
                <w:rFonts w:hint="eastAsia" w:ascii="微软雅黑" w:hAnsi="微软雅黑" w:eastAsia="微软雅黑" w:cs="微软雅黑"/>
                <w:i/>
                <w:color w:val="000000"/>
                <w:sz w:val="16"/>
                <w:szCs w:val="16"/>
              </w:rPr>
            </w:pPr>
          </w:p>
        </w:tc>
      </w:tr>
      <w:tr w14:paraId="3BF8313A">
        <w:tblPrEx>
          <w:tblCellMar>
            <w:top w:w="15" w:type="dxa"/>
            <w:left w:w="15" w:type="dxa"/>
            <w:bottom w:w="0" w:type="dxa"/>
            <w:right w:w="15" w:type="dxa"/>
          </w:tblCellMar>
        </w:tblPrEx>
        <w:trPr>
          <w:trHeight w:val="45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7490B">
            <w:pPr>
              <w:jc w:val="center"/>
              <w:rPr>
                <w:rFonts w:hint="eastAsia" w:ascii="宋体" w:hAnsi="宋体" w:eastAsia="宋体" w:cs="宋体"/>
                <w:color w:val="000000"/>
                <w:sz w:val="18"/>
                <w:szCs w:val="18"/>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E74343">
            <w:pPr>
              <w:jc w:val="center"/>
              <w:rPr>
                <w:rFonts w:hint="eastAsia" w:ascii="宋体" w:hAnsi="宋体" w:eastAsia="宋体" w:cs="宋体"/>
                <w:color w:val="000000"/>
                <w:sz w:val="18"/>
                <w:szCs w:val="18"/>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848C1">
            <w:pPr>
              <w:jc w:val="center"/>
              <w:rPr>
                <w:rFonts w:hint="eastAsia" w:ascii="宋体" w:hAnsi="宋体" w:eastAsia="宋体" w:cs="宋体"/>
                <w:color w:val="000000"/>
                <w:sz w:val="18"/>
                <w:szCs w:val="18"/>
              </w:rPr>
            </w:pP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7954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开展大型专项就业招聘活动</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14254">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83E9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2</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0DF6C">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场</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0B11B">
            <w:pPr>
              <w:jc w:val="center"/>
              <w:rPr>
                <w:rFonts w:hint="eastAsia" w:ascii="微软雅黑" w:hAnsi="微软雅黑" w:eastAsia="微软雅黑" w:cs="微软雅黑"/>
                <w:i/>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A5B3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5</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AAD90C">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5</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3A488">
            <w:pPr>
              <w:jc w:val="center"/>
              <w:rPr>
                <w:rFonts w:hint="eastAsia" w:ascii="微软雅黑" w:hAnsi="微软雅黑" w:eastAsia="微软雅黑" w:cs="微软雅黑"/>
                <w:i/>
                <w:color w:val="000000"/>
                <w:sz w:val="16"/>
                <w:szCs w:val="16"/>
              </w:rPr>
            </w:pPr>
          </w:p>
        </w:tc>
      </w:tr>
      <w:tr w14:paraId="4EA3D7E7">
        <w:tblPrEx>
          <w:tblCellMar>
            <w:top w:w="15" w:type="dxa"/>
            <w:left w:w="15" w:type="dxa"/>
            <w:bottom w:w="0" w:type="dxa"/>
            <w:right w:w="15" w:type="dxa"/>
          </w:tblCellMar>
        </w:tblPrEx>
        <w:trPr>
          <w:trHeight w:val="675"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4C593">
            <w:pPr>
              <w:jc w:val="center"/>
              <w:rPr>
                <w:rFonts w:hint="eastAsia" w:ascii="宋体" w:hAnsi="宋体" w:eastAsia="宋体" w:cs="宋体"/>
                <w:color w:val="000000"/>
                <w:sz w:val="18"/>
                <w:szCs w:val="18"/>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8B483">
            <w:pPr>
              <w:jc w:val="center"/>
              <w:rPr>
                <w:rFonts w:hint="eastAsia" w:ascii="宋体" w:hAnsi="宋体" w:eastAsia="宋体" w:cs="宋体"/>
                <w:color w:val="000000"/>
                <w:sz w:val="18"/>
                <w:szCs w:val="18"/>
              </w:rPr>
            </w:pPr>
          </w:p>
        </w:tc>
        <w:tc>
          <w:tcPr>
            <w:tcW w:w="12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6FF6B">
            <w:pPr>
              <w:keepNext w:val="0"/>
              <w:keepLines w:val="0"/>
              <w:widowControl/>
              <w:suppressLineNumbers w:val="0"/>
              <w:jc w:val="center"/>
              <w:textAlignment w:val="center"/>
              <w:rPr>
                <w:rFonts w:hint="eastAsia"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质量指标</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0022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劳务品牌和返乡创业培训学员验收合格率</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3E674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EE0A7">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90</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645A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C6E131">
            <w:pPr>
              <w:jc w:val="center"/>
              <w:rPr>
                <w:rFonts w:hint="eastAsia" w:ascii="微软雅黑" w:hAnsi="微软雅黑" w:eastAsia="微软雅黑" w:cs="微软雅黑"/>
                <w:i/>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E5CA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9DDEC">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9</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3AA15">
            <w:pPr>
              <w:jc w:val="center"/>
              <w:rPr>
                <w:rFonts w:hint="eastAsia" w:ascii="微软雅黑" w:hAnsi="微软雅黑" w:eastAsia="微软雅黑" w:cs="微软雅黑"/>
                <w:i/>
                <w:color w:val="000000"/>
                <w:sz w:val="16"/>
                <w:szCs w:val="16"/>
              </w:rPr>
            </w:pPr>
          </w:p>
        </w:tc>
      </w:tr>
      <w:tr w14:paraId="7E929BD2">
        <w:tblPrEx>
          <w:tblCellMar>
            <w:top w:w="15" w:type="dxa"/>
            <w:left w:w="15" w:type="dxa"/>
            <w:bottom w:w="0" w:type="dxa"/>
            <w:right w:w="15" w:type="dxa"/>
          </w:tblCellMar>
        </w:tblPrEx>
        <w:trPr>
          <w:trHeight w:val="45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CE96">
            <w:pPr>
              <w:jc w:val="center"/>
              <w:rPr>
                <w:rFonts w:hint="eastAsia" w:ascii="宋体" w:hAnsi="宋体" w:eastAsia="宋体" w:cs="宋体"/>
                <w:color w:val="000000"/>
                <w:sz w:val="18"/>
                <w:szCs w:val="18"/>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D3735">
            <w:pPr>
              <w:jc w:val="center"/>
              <w:rPr>
                <w:rFonts w:hint="eastAsia" w:ascii="宋体" w:hAnsi="宋体" w:eastAsia="宋体" w:cs="宋体"/>
                <w:color w:val="000000"/>
                <w:sz w:val="18"/>
                <w:szCs w:val="18"/>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A39CD">
            <w:pPr>
              <w:jc w:val="center"/>
              <w:rPr>
                <w:rFonts w:ascii="宋体" w:hAnsi="宋体" w:eastAsia="宋体" w:cs="宋体"/>
                <w:color w:val="000000"/>
                <w:sz w:val="18"/>
                <w:szCs w:val="18"/>
              </w:rPr>
            </w:pP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638A64">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培训计划按期完成率</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2877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5CED4">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90</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9755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55C91">
            <w:pPr>
              <w:jc w:val="center"/>
              <w:rPr>
                <w:rFonts w:hint="eastAsia" w:ascii="微软雅黑" w:hAnsi="微软雅黑" w:eastAsia="微软雅黑" w:cs="微软雅黑"/>
                <w:i/>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3317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365BF">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27FAA">
            <w:pPr>
              <w:jc w:val="center"/>
              <w:rPr>
                <w:rFonts w:hint="eastAsia" w:ascii="微软雅黑" w:hAnsi="微软雅黑" w:eastAsia="微软雅黑" w:cs="微软雅黑"/>
                <w:i/>
                <w:color w:val="000000"/>
                <w:sz w:val="16"/>
                <w:szCs w:val="16"/>
              </w:rPr>
            </w:pPr>
          </w:p>
        </w:tc>
      </w:tr>
      <w:tr w14:paraId="7F29AD9A">
        <w:tblPrEx>
          <w:tblCellMar>
            <w:top w:w="15" w:type="dxa"/>
            <w:left w:w="15" w:type="dxa"/>
            <w:bottom w:w="0" w:type="dxa"/>
            <w:right w:w="15" w:type="dxa"/>
          </w:tblCellMar>
        </w:tblPrEx>
        <w:trPr>
          <w:trHeight w:val="45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C713AC">
            <w:pPr>
              <w:jc w:val="center"/>
              <w:rPr>
                <w:rFonts w:hint="eastAsia" w:ascii="宋体" w:hAnsi="宋体" w:eastAsia="宋体" w:cs="宋体"/>
                <w:color w:val="000000"/>
                <w:sz w:val="18"/>
                <w:szCs w:val="18"/>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4FE5F8">
            <w:pPr>
              <w:jc w:val="center"/>
              <w:rPr>
                <w:rFonts w:hint="eastAsia" w:ascii="宋体" w:hAnsi="宋体" w:eastAsia="宋体" w:cs="宋体"/>
                <w:color w:val="000000"/>
                <w:sz w:val="18"/>
                <w:szCs w:val="18"/>
              </w:rPr>
            </w:pP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2F0C6">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时效指标</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1666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拨付返乡创业协会经费</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F280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定性</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EAE68">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2024年底前</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F10145">
            <w:pPr>
              <w:jc w:val="center"/>
              <w:rPr>
                <w:rFonts w:ascii="宋体" w:hAnsi="宋体" w:eastAsia="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EC68F">
            <w:pPr>
              <w:jc w:val="center"/>
              <w:rPr>
                <w:rFonts w:hint="eastAsia" w:ascii="微软雅黑" w:hAnsi="微软雅黑" w:eastAsia="微软雅黑" w:cs="微软雅黑"/>
                <w:i/>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25348">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5</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17416">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5</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B1317">
            <w:pPr>
              <w:jc w:val="center"/>
              <w:rPr>
                <w:rFonts w:hint="eastAsia" w:ascii="微软雅黑" w:hAnsi="微软雅黑" w:eastAsia="微软雅黑" w:cs="微软雅黑"/>
                <w:i/>
                <w:color w:val="000000"/>
                <w:sz w:val="16"/>
                <w:szCs w:val="16"/>
              </w:rPr>
            </w:pPr>
          </w:p>
        </w:tc>
      </w:tr>
      <w:tr w14:paraId="1606B755">
        <w:tblPrEx>
          <w:tblCellMar>
            <w:top w:w="15" w:type="dxa"/>
            <w:left w:w="15" w:type="dxa"/>
            <w:bottom w:w="0" w:type="dxa"/>
            <w:right w:w="15" w:type="dxa"/>
          </w:tblCellMar>
        </w:tblPrEx>
        <w:trPr>
          <w:trHeight w:val="45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50F07">
            <w:pPr>
              <w:jc w:val="center"/>
              <w:rPr>
                <w:rFonts w:hint="eastAsia" w:ascii="宋体" w:hAnsi="宋体" w:eastAsia="宋体" w:cs="宋体"/>
                <w:color w:val="000000"/>
                <w:sz w:val="18"/>
                <w:szCs w:val="18"/>
              </w:rPr>
            </w:pPr>
          </w:p>
        </w:tc>
        <w:tc>
          <w:tcPr>
            <w:tcW w:w="14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E56EB">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效益指标</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2B50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经济效益指标</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D0FE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回引优秀农民工回家乡创业，营造良好创业氛围</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9CA0D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定性</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E337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优良差</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14616">
            <w:pPr>
              <w:jc w:val="center"/>
              <w:rPr>
                <w:rFonts w:hint="eastAsia" w:ascii="宋体" w:hAnsi="宋体" w:eastAsia="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7A5D8E">
            <w:pPr>
              <w:jc w:val="center"/>
              <w:rPr>
                <w:rFonts w:hint="eastAsia" w:ascii="微软雅黑" w:hAnsi="微软雅黑" w:eastAsia="微软雅黑" w:cs="微软雅黑"/>
                <w:i/>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DFD0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15</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B0E6F">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15</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F21D0">
            <w:pPr>
              <w:jc w:val="center"/>
              <w:rPr>
                <w:rFonts w:hint="eastAsia" w:ascii="微软雅黑" w:hAnsi="微软雅黑" w:eastAsia="微软雅黑" w:cs="微软雅黑"/>
                <w:i/>
                <w:color w:val="000000"/>
                <w:sz w:val="16"/>
                <w:szCs w:val="16"/>
              </w:rPr>
            </w:pPr>
          </w:p>
        </w:tc>
      </w:tr>
      <w:tr w14:paraId="58C217FE">
        <w:tblPrEx>
          <w:tblCellMar>
            <w:top w:w="15" w:type="dxa"/>
            <w:left w:w="15" w:type="dxa"/>
            <w:bottom w:w="0" w:type="dxa"/>
            <w:right w:w="15" w:type="dxa"/>
          </w:tblCellMar>
        </w:tblPrEx>
        <w:trPr>
          <w:trHeight w:val="675"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D9156">
            <w:pPr>
              <w:jc w:val="center"/>
              <w:rPr>
                <w:rFonts w:hint="eastAsia" w:ascii="宋体" w:hAnsi="宋体" w:eastAsia="宋体" w:cs="宋体"/>
                <w:color w:val="000000"/>
                <w:sz w:val="18"/>
                <w:szCs w:val="18"/>
              </w:rPr>
            </w:pPr>
          </w:p>
        </w:tc>
        <w:tc>
          <w:tcPr>
            <w:tcW w:w="14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690D7">
            <w:pPr>
              <w:jc w:val="center"/>
              <w:rPr>
                <w:rFonts w:hint="eastAsia" w:ascii="宋体" w:hAnsi="宋体" w:eastAsia="宋体" w:cs="宋体"/>
                <w:color w:val="000000"/>
                <w:sz w:val="18"/>
                <w:szCs w:val="18"/>
              </w:rPr>
            </w:pP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C48D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社会效益指标</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8CBD4">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提升农民工就业技能</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A620C">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定性</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3E71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优良差</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6998AA">
            <w:pPr>
              <w:jc w:val="center"/>
              <w:rPr>
                <w:rFonts w:hint="eastAsia" w:ascii="宋体" w:hAnsi="宋体" w:eastAsia="宋体" w:cs="宋体"/>
                <w:color w:val="000000"/>
                <w:sz w:val="18"/>
                <w:szCs w:val="18"/>
              </w:rPr>
            </w:pP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908F7">
            <w:pPr>
              <w:jc w:val="center"/>
              <w:rPr>
                <w:rFonts w:hint="eastAsia" w:ascii="微软雅黑" w:hAnsi="微软雅黑" w:eastAsia="微软雅黑" w:cs="微软雅黑"/>
                <w:i/>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0CB66">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15</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07056">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13</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79E6FD">
            <w:pPr>
              <w:jc w:val="center"/>
              <w:rPr>
                <w:rFonts w:hint="eastAsia" w:ascii="微软雅黑" w:hAnsi="微软雅黑" w:eastAsia="微软雅黑" w:cs="微软雅黑"/>
                <w:i/>
                <w:color w:val="000000"/>
                <w:sz w:val="16"/>
                <w:szCs w:val="16"/>
              </w:rPr>
            </w:pPr>
          </w:p>
        </w:tc>
      </w:tr>
      <w:tr w14:paraId="20316CD0">
        <w:tblPrEx>
          <w:tblCellMar>
            <w:top w:w="15" w:type="dxa"/>
            <w:left w:w="15" w:type="dxa"/>
            <w:bottom w:w="0" w:type="dxa"/>
            <w:right w:w="15" w:type="dxa"/>
          </w:tblCellMar>
        </w:tblPrEx>
        <w:trPr>
          <w:trHeight w:val="270"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CC966">
            <w:pPr>
              <w:jc w:val="center"/>
              <w:rPr>
                <w:rFonts w:hint="eastAsia" w:ascii="宋体" w:hAnsi="宋体" w:eastAsia="宋体" w:cs="宋体"/>
                <w:color w:val="000000"/>
                <w:sz w:val="18"/>
                <w:szCs w:val="18"/>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3409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满意度指标</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4099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满意度指标</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9C8BC">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群众满意度</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A689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B0BE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95</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D7D0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8D01C">
            <w:pPr>
              <w:jc w:val="center"/>
              <w:rPr>
                <w:rFonts w:hint="eastAsia" w:ascii="微软雅黑" w:hAnsi="微软雅黑" w:eastAsia="微软雅黑" w:cs="微软雅黑"/>
                <w:i/>
                <w:color w:val="000000"/>
                <w:sz w:val="16"/>
                <w:szCs w:val="16"/>
              </w:rP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CB65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88EF0">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0A398">
            <w:pPr>
              <w:jc w:val="center"/>
              <w:rPr>
                <w:rFonts w:hint="eastAsia" w:ascii="微软雅黑" w:hAnsi="微软雅黑" w:eastAsia="微软雅黑" w:cs="微软雅黑"/>
                <w:i/>
                <w:color w:val="000000"/>
                <w:sz w:val="16"/>
                <w:szCs w:val="16"/>
              </w:rPr>
            </w:pPr>
          </w:p>
        </w:tc>
      </w:tr>
      <w:tr w14:paraId="41772C6A">
        <w:tblPrEx>
          <w:tblCellMar>
            <w:top w:w="15" w:type="dxa"/>
            <w:left w:w="15" w:type="dxa"/>
            <w:bottom w:w="0" w:type="dxa"/>
            <w:right w:w="15" w:type="dxa"/>
          </w:tblCellMar>
        </w:tblPrEx>
        <w:trPr>
          <w:trHeight w:val="675"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2325F">
            <w:pPr>
              <w:jc w:val="center"/>
              <w:rPr>
                <w:rFonts w:ascii="宋体" w:hAnsi="宋体" w:eastAsia="宋体" w:cs="宋体"/>
                <w:color w:val="000000"/>
                <w:sz w:val="18"/>
                <w:szCs w:val="18"/>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A9C98">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成本指标</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40833">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经济成本指标</w:t>
            </w:r>
          </w:p>
        </w:tc>
        <w:tc>
          <w:tcPr>
            <w:tcW w:w="15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3809C">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培训监督验收费用控制成本</w:t>
            </w:r>
          </w:p>
        </w:tc>
        <w:tc>
          <w:tcPr>
            <w:tcW w:w="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513E2">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w:t>
            </w:r>
          </w:p>
        </w:tc>
        <w:tc>
          <w:tcPr>
            <w:tcW w:w="11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D2729">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6</w:t>
            </w:r>
          </w:p>
        </w:tc>
        <w:tc>
          <w:tcPr>
            <w:tcW w:w="3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92971">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万元</w:t>
            </w:r>
          </w:p>
        </w:tc>
        <w:tc>
          <w:tcPr>
            <w:tcW w:w="7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C1AF3">
            <w:pPr>
              <w:jc w:val="center"/>
            </w:pP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9E147">
            <w:pPr>
              <w:keepNext w:val="0"/>
              <w:keepLines w:val="0"/>
              <w:widowControl/>
              <w:suppressLineNumbers w:val="0"/>
              <w:jc w:val="center"/>
              <w:textAlignment w:val="center"/>
              <w:rPr>
                <w:rFonts w:hint="eastAsia" w:ascii="微软雅黑" w:hAnsi="微软雅黑" w:eastAsia="微软雅黑" w:cs="微软雅黑"/>
                <w:i/>
                <w:color w:val="000000"/>
                <w:sz w:val="16"/>
                <w:szCs w:val="16"/>
              </w:rPr>
            </w:pPr>
            <w:r>
              <w:rPr>
                <w:rFonts w:hint="default" w:ascii="宋体" w:hAnsi="宋体" w:eastAsia="宋体" w:cs="宋体"/>
                <w:i w:val="0"/>
                <w:color w:val="000000"/>
                <w:kern w:val="0"/>
                <w:sz w:val="18"/>
                <w:szCs w:val="18"/>
                <w:u w:val="none"/>
                <w:lang w:val="en-US" w:eastAsia="zh-CN" w:bidi="ar"/>
              </w:rPr>
              <w:t>10</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941A7">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0B911E">
            <w:pPr>
              <w:jc w:val="center"/>
              <w:rPr>
                <w:rFonts w:hint="eastAsia" w:ascii="微软雅黑" w:hAnsi="微软雅黑" w:eastAsia="微软雅黑" w:cs="微软雅黑"/>
                <w:i/>
                <w:color w:val="000000"/>
                <w:sz w:val="16"/>
                <w:szCs w:val="16"/>
              </w:rPr>
            </w:pPr>
          </w:p>
        </w:tc>
      </w:tr>
      <w:tr w14:paraId="3D9BEF1F">
        <w:tblPrEx>
          <w:tblCellMar>
            <w:top w:w="15" w:type="dxa"/>
            <w:left w:w="15" w:type="dxa"/>
            <w:bottom w:w="0" w:type="dxa"/>
            <w:right w:w="15" w:type="dxa"/>
          </w:tblCellMar>
        </w:tblPrEx>
        <w:trPr>
          <w:trHeight w:val="270" w:hRule="atLeast"/>
          <w:jc w:val="center"/>
        </w:trPr>
        <w:tc>
          <w:tcPr>
            <w:tcW w:w="739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EAD96">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合计</w:t>
            </w:r>
          </w:p>
        </w:tc>
        <w:tc>
          <w:tcPr>
            <w:tcW w:w="3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2E3FEB">
            <w:pPr>
              <w:keepNext w:val="0"/>
              <w:keepLines w:val="0"/>
              <w:widowControl/>
              <w:suppressLineNumbers w:val="0"/>
              <w:jc w:val="center"/>
              <w:textAlignment w:val="center"/>
              <w:rPr>
                <w:rFonts w:hint="eastAsia"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w:t>
            </w:r>
          </w:p>
        </w:tc>
        <w:tc>
          <w:tcPr>
            <w:tcW w:w="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C9A9B">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97</w:t>
            </w:r>
          </w:p>
        </w:tc>
        <w:tc>
          <w:tcPr>
            <w:tcW w:w="17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47455"/>
        </w:tc>
      </w:tr>
      <w:tr w14:paraId="4AB7E010">
        <w:tblPrEx>
          <w:tblCellMar>
            <w:top w:w="15" w:type="dxa"/>
            <w:left w:w="15" w:type="dxa"/>
            <w:bottom w:w="0" w:type="dxa"/>
            <w:right w:w="15" w:type="dxa"/>
          </w:tblCellMar>
        </w:tblPrEx>
        <w:trPr>
          <w:trHeight w:val="270" w:hRule="atLeast"/>
          <w:jc w:val="center"/>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389EAB">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评价结论</w:t>
            </w:r>
          </w:p>
        </w:tc>
        <w:tc>
          <w:tcPr>
            <w:tcW w:w="937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A9C75">
            <w:pPr>
              <w:keepNext w:val="0"/>
              <w:keepLines w:val="0"/>
              <w:widowControl/>
              <w:suppressLineNumbers w:val="0"/>
              <w:jc w:val="left"/>
              <w:textAlignment w:val="center"/>
              <w:rPr>
                <w:rFonts w:hint="eastAsia" w:ascii="宋体" w:hAnsi="宋体" w:eastAsia="宋体" w:cs="宋体"/>
                <w:color w:val="000000"/>
                <w:sz w:val="18"/>
                <w:szCs w:val="18"/>
                <w:lang w:bidi="ar"/>
              </w:rPr>
            </w:pPr>
            <w:r>
              <w:rPr>
                <w:rFonts w:hint="eastAsia" w:ascii="微软雅黑" w:hAnsi="微软雅黑" w:eastAsia="微软雅黑" w:cs="微软雅黑"/>
                <w:i/>
                <w:color w:val="000000"/>
                <w:kern w:val="0"/>
                <w:sz w:val="16"/>
                <w:szCs w:val="16"/>
                <w:u w:val="none"/>
                <w:lang w:val="en-US" w:eastAsia="zh-CN" w:bidi="ar"/>
              </w:rPr>
              <w:t>根据政策合理运用资金，全面完成农民工就业创业服务工作。</w:t>
            </w:r>
          </w:p>
        </w:tc>
      </w:tr>
      <w:tr w14:paraId="6F5C18EF">
        <w:tblPrEx>
          <w:tblCellMar>
            <w:top w:w="15" w:type="dxa"/>
            <w:left w:w="15" w:type="dxa"/>
            <w:bottom w:w="0" w:type="dxa"/>
            <w:right w:w="15" w:type="dxa"/>
          </w:tblCellMar>
        </w:tblPrEx>
        <w:trPr>
          <w:trHeight w:val="270" w:hRule="atLeast"/>
          <w:jc w:val="center"/>
        </w:trPr>
        <w:tc>
          <w:tcPr>
            <w:tcW w:w="4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FFB6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存在问题</w:t>
            </w:r>
          </w:p>
        </w:tc>
        <w:tc>
          <w:tcPr>
            <w:tcW w:w="937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97ACA">
            <w:pPr>
              <w:keepNext w:val="0"/>
              <w:keepLines w:val="0"/>
              <w:widowControl/>
              <w:suppressLineNumbers w:val="0"/>
              <w:jc w:val="left"/>
              <w:textAlignment w:val="center"/>
              <w:rPr>
                <w:rFonts w:hint="eastAsia" w:ascii="宋体" w:hAnsi="宋体" w:eastAsia="宋体" w:cs="宋体"/>
                <w:color w:val="000000"/>
                <w:sz w:val="18"/>
                <w:szCs w:val="18"/>
                <w:lang w:bidi="ar"/>
              </w:rPr>
            </w:pPr>
            <w:r>
              <w:rPr>
                <w:rFonts w:hint="eastAsia" w:ascii="微软雅黑" w:hAnsi="微软雅黑" w:eastAsia="微软雅黑" w:cs="微软雅黑"/>
                <w:i/>
                <w:color w:val="000000"/>
                <w:kern w:val="0"/>
                <w:sz w:val="16"/>
                <w:szCs w:val="16"/>
                <w:u w:val="none"/>
                <w:lang w:val="en-US" w:eastAsia="zh-CN" w:bidi="ar"/>
              </w:rPr>
              <w:t>无</w:t>
            </w:r>
          </w:p>
        </w:tc>
      </w:tr>
      <w:tr w14:paraId="570C6870">
        <w:tblPrEx>
          <w:tblCellMar>
            <w:top w:w="15" w:type="dxa"/>
            <w:left w:w="15" w:type="dxa"/>
            <w:bottom w:w="0" w:type="dxa"/>
            <w:right w:w="15" w:type="dxa"/>
          </w:tblCellMar>
        </w:tblPrEx>
        <w:trPr>
          <w:trHeight w:val="270" w:hRule="atLeast"/>
          <w:jc w:val="center"/>
        </w:trPr>
        <w:tc>
          <w:tcPr>
            <w:tcW w:w="509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D160A">
            <w:pPr>
              <w:keepNext w:val="0"/>
              <w:keepLines w:val="0"/>
              <w:widowControl/>
              <w:suppressLineNumbers w:val="0"/>
              <w:jc w:val="left"/>
              <w:textAlignment w:val="center"/>
              <w:rPr>
                <w:rFonts w:ascii="宋体" w:hAnsi="宋体" w:eastAsia="宋体" w:cs="宋体"/>
                <w:color w:val="000000"/>
                <w:sz w:val="18"/>
                <w:szCs w:val="18"/>
              </w:rPr>
            </w:pPr>
            <w:r>
              <w:rPr>
                <w:rFonts w:hint="eastAsia" w:ascii="黑体" w:hAnsi="黑体" w:eastAsia="黑体" w:cs="黑体"/>
                <w:i w:val="0"/>
                <w:color w:val="000000"/>
                <w:kern w:val="0"/>
                <w:sz w:val="18"/>
                <w:szCs w:val="18"/>
                <w:u w:val="none"/>
                <w:lang w:val="en-US" w:eastAsia="zh-CN" w:bidi="ar"/>
              </w:rPr>
              <w:t>项目负责人：</w:t>
            </w:r>
            <w:r>
              <w:rPr>
                <w:rFonts w:hint="eastAsia" w:ascii="黑体" w:hAnsi="黑体" w:eastAsia="黑体" w:cs="黑体"/>
                <w:color w:val="000000"/>
                <w:sz w:val="18"/>
                <w:szCs w:val="18"/>
                <w:lang w:val="en-US" w:eastAsia="zh-CN" w:bidi="ar"/>
              </w:rPr>
              <w:t>白毅</w:t>
            </w:r>
          </w:p>
        </w:tc>
        <w:tc>
          <w:tcPr>
            <w:tcW w:w="4759"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305EC">
            <w:pPr>
              <w:keepNext w:val="0"/>
              <w:keepLines w:val="0"/>
              <w:widowControl/>
              <w:suppressLineNumbers w:val="0"/>
              <w:jc w:val="left"/>
              <w:textAlignment w:val="center"/>
              <w:rPr>
                <w:rFonts w:hint="default" w:ascii="宋体" w:hAnsi="宋体" w:eastAsia="宋体" w:cs="宋体"/>
                <w:color w:val="000000"/>
                <w:sz w:val="18"/>
                <w:szCs w:val="18"/>
                <w:lang w:val="en-US" w:bidi="ar"/>
              </w:rPr>
            </w:pPr>
            <w:r>
              <w:rPr>
                <w:rFonts w:hint="eastAsia" w:ascii="黑体" w:hAnsi="黑体" w:eastAsia="黑体" w:cs="黑体"/>
                <w:i w:val="0"/>
                <w:color w:val="000000"/>
                <w:kern w:val="0"/>
                <w:sz w:val="18"/>
                <w:szCs w:val="18"/>
                <w:u w:val="none"/>
                <w:lang w:val="en-US" w:eastAsia="zh-CN" w:bidi="ar"/>
              </w:rPr>
              <w:t>财务负责人：吴芸</w:t>
            </w:r>
          </w:p>
        </w:tc>
      </w:tr>
    </w:tbl>
    <w:p w14:paraId="42132C31">
      <w:pPr>
        <w:pStyle w:val="218"/>
        <w:spacing w:line="578" w:lineRule="exact"/>
        <w:jc w:val="both"/>
        <w:rPr>
          <w:rFonts w:ascii="Times New Roman" w:hAnsi="Times New Roman" w:eastAsia="方正小标宋简体"/>
          <w:color w:val="000000"/>
          <w:sz w:val="44"/>
          <w:szCs w:val="44"/>
          <w:lang w:val="en-US"/>
        </w:rPr>
      </w:pPr>
    </w:p>
    <w:p w14:paraId="38751547">
      <w:pPr>
        <w:pStyle w:val="218"/>
        <w:spacing w:line="578" w:lineRule="exact"/>
        <w:jc w:val="center"/>
        <w:rPr>
          <w:rFonts w:ascii="Times New Roman" w:hAnsi="Times New Roman" w:eastAsia="方正小标宋简体"/>
          <w:color w:val="000000"/>
          <w:sz w:val="44"/>
          <w:szCs w:val="44"/>
          <w:lang w:val="en-US"/>
        </w:rPr>
      </w:pPr>
    </w:p>
    <w:tbl>
      <w:tblPr>
        <w:tblStyle w:val="33"/>
        <w:tblW w:w="9787" w:type="dxa"/>
        <w:jc w:val="center"/>
        <w:tblLayout w:type="autofit"/>
        <w:tblCellMar>
          <w:top w:w="15" w:type="dxa"/>
          <w:left w:w="15" w:type="dxa"/>
          <w:bottom w:w="0" w:type="dxa"/>
          <w:right w:w="15" w:type="dxa"/>
        </w:tblCellMar>
      </w:tblPr>
      <w:tblGrid>
        <w:gridCol w:w="474"/>
        <w:gridCol w:w="1424"/>
        <w:gridCol w:w="1231"/>
        <w:gridCol w:w="1353"/>
        <w:gridCol w:w="218"/>
        <w:gridCol w:w="361"/>
        <w:gridCol w:w="1165"/>
        <w:gridCol w:w="362"/>
        <w:gridCol w:w="757"/>
        <w:gridCol w:w="350"/>
        <w:gridCol w:w="316"/>
        <w:gridCol w:w="1776"/>
      </w:tblGrid>
      <w:tr w14:paraId="1C3657C6">
        <w:tblPrEx>
          <w:tblCellMar>
            <w:top w:w="15" w:type="dxa"/>
            <w:left w:w="15" w:type="dxa"/>
            <w:bottom w:w="0" w:type="dxa"/>
            <w:right w:w="15" w:type="dxa"/>
          </w:tblCellMar>
        </w:tblPrEx>
        <w:trPr>
          <w:trHeight w:val="390" w:hRule="atLeast"/>
          <w:jc w:val="center"/>
        </w:trPr>
        <w:tc>
          <w:tcPr>
            <w:tcW w:w="9787"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270A0A">
            <w:pPr>
              <w:keepNext w:val="0"/>
              <w:keepLines w:val="0"/>
              <w:widowControl/>
              <w:suppressLineNumbers w:val="0"/>
              <w:jc w:val="center"/>
              <w:textAlignment w:val="center"/>
              <w:rPr>
                <w:rFonts w:ascii="黑体" w:hAnsi="宋体" w:eastAsia="黑体" w:cs="黑体"/>
                <w:b/>
                <w:color w:val="000000"/>
                <w:sz w:val="30"/>
                <w:szCs w:val="30"/>
              </w:rPr>
            </w:pPr>
            <w:bookmarkStart w:id="77" w:name="_Toc15396618"/>
            <w:bookmarkStart w:id="78" w:name="_Toc14542"/>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CD63F47">
        <w:tblPrEx>
          <w:tblCellMar>
            <w:top w:w="15" w:type="dxa"/>
            <w:left w:w="15" w:type="dxa"/>
            <w:bottom w:w="0" w:type="dxa"/>
            <w:right w:w="15" w:type="dxa"/>
          </w:tblCellMar>
        </w:tblPrEx>
        <w:trPr>
          <w:trHeight w:val="270" w:hRule="atLeast"/>
          <w:jc w:val="center"/>
        </w:trPr>
        <w:tc>
          <w:tcPr>
            <w:tcW w:w="18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6861A">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项目名称</w:t>
            </w:r>
          </w:p>
        </w:tc>
        <w:tc>
          <w:tcPr>
            <w:tcW w:w="788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6E970">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51090424T000011145517-（2024年）维护农民工合法权益</w:t>
            </w:r>
          </w:p>
        </w:tc>
      </w:tr>
      <w:tr w14:paraId="6807935E">
        <w:tblPrEx>
          <w:tblCellMar>
            <w:top w:w="15" w:type="dxa"/>
            <w:left w:w="15" w:type="dxa"/>
            <w:bottom w:w="0" w:type="dxa"/>
            <w:right w:w="15" w:type="dxa"/>
          </w:tblCellMar>
        </w:tblPrEx>
        <w:trPr>
          <w:trHeight w:val="450" w:hRule="atLeast"/>
          <w:jc w:val="center"/>
        </w:trPr>
        <w:tc>
          <w:tcPr>
            <w:tcW w:w="189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D5E638">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主管部门</w:t>
            </w:r>
          </w:p>
        </w:tc>
        <w:tc>
          <w:tcPr>
            <w:tcW w:w="469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A15FE">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遂宁市安居区农民工服务中心部门</w:t>
            </w:r>
          </w:p>
        </w:tc>
        <w:tc>
          <w:tcPr>
            <w:tcW w:w="757" w:type="dxa"/>
            <w:tcBorders>
              <w:top w:val="nil"/>
              <w:left w:val="nil"/>
              <w:bottom w:val="nil"/>
              <w:right w:val="nil"/>
            </w:tcBorders>
            <w:noWrap w:val="0"/>
            <w:tcMar>
              <w:top w:w="15" w:type="dxa"/>
              <w:left w:w="15" w:type="dxa"/>
              <w:right w:w="15" w:type="dxa"/>
            </w:tcMar>
            <w:vAlign w:val="center"/>
          </w:tcPr>
          <w:p w14:paraId="0339BD18">
            <w:pPr>
              <w:keepNext w:val="0"/>
              <w:keepLines w:val="0"/>
              <w:widowControl/>
              <w:suppressLineNumbers w:val="0"/>
              <w:jc w:val="left"/>
              <w:textAlignment w:val="center"/>
              <w:rPr>
                <w:rFonts w:ascii="黑体" w:hAnsi="黑体" w:eastAsia="黑体" w:cs="黑体"/>
                <w:color w:val="000000"/>
                <w:sz w:val="18"/>
                <w:szCs w:val="18"/>
              </w:rPr>
            </w:pPr>
            <w:r>
              <w:rPr>
                <w:rFonts w:hint="eastAsia" w:ascii="黑体" w:hAnsi="黑体" w:eastAsia="黑体" w:cs="黑体"/>
                <w:i w:val="0"/>
                <w:color w:val="000000"/>
                <w:kern w:val="0"/>
                <w:sz w:val="18"/>
                <w:szCs w:val="18"/>
                <w:u w:val="none"/>
                <w:lang w:val="en-US" w:eastAsia="zh-CN" w:bidi="ar"/>
              </w:rPr>
              <w:t>实施单位 （盖章）</w:t>
            </w:r>
          </w:p>
        </w:tc>
        <w:tc>
          <w:tcPr>
            <w:tcW w:w="244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B91E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遂宁市安居区农民工服务中心</w:t>
            </w:r>
          </w:p>
        </w:tc>
      </w:tr>
      <w:tr w14:paraId="6535BFE1">
        <w:tblPrEx>
          <w:tblCellMar>
            <w:top w:w="15" w:type="dxa"/>
            <w:left w:w="15" w:type="dxa"/>
            <w:bottom w:w="0" w:type="dxa"/>
            <w:right w:w="15" w:type="dxa"/>
          </w:tblCellMar>
        </w:tblPrEx>
        <w:trPr>
          <w:trHeight w:val="270" w:hRule="atLeast"/>
          <w:jc w:val="center"/>
        </w:trPr>
        <w:tc>
          <w:tcPr>
            <w:tcW w:w="4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6FAAC">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项目基本情况</w:t>
            </w:r>
          </w:p>
        </w:tc>
        <w:tc>
          <w:tcPr>
            <w:tcW w:w="14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4F323">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1.项目年度目标完成情况</w:t>
            </w:r>
          </w:p>
        </w:tc>
        <w:tc>
          <w:tcPr>
            <w:tcW w:w="469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6DF5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项目年度目标</w:t>
            </w:r>
          </w:p>
        </w:tc>
        <w:tc>
          <w:tcPr>
            <w:tcW w:w="319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D7760">
            <w:pPr>
              <w:keepNext w:val="0"/>
              <w:keepLines w:val="0"/>
              <w:widowControl/>
              <w:suppressLineNumbers w:val="0"/>
              <w:jc w:val="center"/>
              <w:textAlignment w:val="center"/>
              <w:rPr>
                <w:rFonts w:hint="eastAsia" w:ascii="黑体" w:hAnsi="黑体" w:eastAsia="黑体" w:cs="黑体"/>
                <w:color w:val="000000"/>
                <w:sz w:val="18"/>
                <w:szCs w:val="18"/>
              </w:rPr>
            </w:pPr>
            <w:r>
              <w:rPr>
                <w:rFonts w:hint="eastAsia" w:ascii="黑体" w:hAnsi="黑体" w:eastAsia="黑体" w:cs="黑体"/>
                <w:i w:val="0"/>
                <w:color w:val="000000"/>
                <w:kern w:val="0"/>
                <w:sz w:val="18"/>
                <w:szCs w:val="18"/>
                <w:u w:val="none"/>
                <w:lang w:val="en-US" w:eastAsia="zh-CN" w:bidi="ar"/>
              </w:rPr>
              <w:t>年度目标完成情况</w:t>
            </w:r>
          </w:p>
        </w:tc>
      </w:tr>
      <w:tr w14:paraId="0A285283">
        <w:tblPrEx>
          <w:tblCellMar>
            <w:top w:w="15" w:type="dxa"/>
            <w:left w:w="15" w:type="dxa"/>
            <w:bottom w:w="0" w:type="dxa"/>
            <w:right w:w="15" w:type="dxa"/>
          </w:tblCellMar>
        </w:tblPrEx>
        <w:trPr>
          <w:trHeight w:val="27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7738D">
            <w:pPr>
              <w:rPr>
                <w:rFonts w:hint="eastAsia" w:ascii="宋体" w:hAnsi="宋体" w:eastAsia="宋体" w:cs="宋体"/>
                <w:color w:val="000000"/>
                <w:sz w:val="18"/>
                <w:szCs w:val="18"/>
              </w:rPr>
            </w:pPr>
          </w:p>
        </w:tc>
        <w:tc>
          <w:tcPr>
            <w:tcW w:w="14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7B342">
            <w:pPr>
              <w:rPr>
                <w:rFonts w:hint="eastAsia" w:ascii="宋体" w:hAnsi="宋体" w:eastAsia="宋体" w:cs="宋体"/>
                <w:color w:val="000000"/>
                <w:sz w:val="18"/>
                <w:szCs w:val="18"/>
              </w:rPr>
            </w:pPr>
          </w:p>
        </w:tc>
        <w:tc>
          <w:tcPr>
            <w:tcW w:w="469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534B5">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加强农民工关心关爱和困难帮扶，提升农民工服务能力，切实增强农民工获得感、幸福感、安全感。</w:t>
            </w:r>
          </w:p>
        </w:tc>
        <w:tc>
          <w:tcPr>
            <w:tcW w:w="319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321D2">
            <w:pPr>
              <w:keepNext w:val="0"/>
              <w:keepLines w:val="0"/>
              <w:widowControl/>
              <w:suppressLineNumbers w:val="0"/>
              <w:jc w:val="left"/>
              <w:textAlignment w:val="center"/>
              <w:rPr>
                <w:rFonts w:hint="eastAsia" w:ascii="黑体" w:hAnsi="黑体" w:eastAsia="黑体" w:cs="黑体"/>
                <w:color w:val="000000"/>
                <w:sz w:val="18"/>
                <w:szCs w:val="18"/>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14:paraId="679D23AF">
        <w:tblPrEx>
          <w:tblCellMar>
            <w:top w:w="15" w:type="dxa"/>
            <w:left w:w="15" w:type="dxa"/>
            <w:bottom w:w="0" w:type="dxa"/>
            <w:right w:w="15" w:type="dxa"/>
          </w:tblCellMar>
        </w:tblPrEx>
        <w:trPr>
          <w:trHeight w:val="675"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93C29">
            <w:pPr>
              <w:rPr>
                <w:rFonts w:hint="eastAsia" w:ascii="宋体" w:hAnsi="宋体" w:eastAsia="宋体"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92D9E">
            <w:pPr>
              <w:keepNext w:val="0"/>
              <w:keepLines w:val="0"/>
              <w:widowControl/>
              <w:suppressLineNumbers w:val="0"/>
              <w:jc w:val="left"/>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2.项目实施内容及过程概述</w:t>
            </w:r>
          </w:p>
        </w:tc>
        <w:tc>
          <w:tcPr>
            <w:tcW w:w="788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0666D">
            <w:pPr>
              <w:keepNext w:val="0"/>
              <w:keepLines w:val="0"/>
              <w:widowControl/>
              <w:suppressLineNumbers w:val="0"/>
              <w:jc w:val="left"/>
              <w:textAlignment w:val="center"/>
              <w:rPr>
                <w:rFonts w:hint="eastAsia"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对农民工及农民工家属开展慰问、发放慰问物资，对农民工进行法律宣传，保障农民工合法权益。</w:t>
            </w:r>
          </w:p>
        </w:tc>
      </w:tr>
      <w:tr w14:paraId="00A14520">
        <w:tblPrEx>
          <w:tblCellMar>
            <w:top w:w="15" w:type="dxa"/>
            <w:left w:w="15" w:type="dxa"/>
            <w:bottom w:w="0" w:type="dxa"/>
            <w:right w:w="15" w:type="dxa"/>
          </w:tblCellMar>
        </w:tblPrEx>
        <w:trPr>
          <w:trHeight w:val="450" w:hRule="atLeast"/>
          <w:jc w:val="center"/>
        </w:trPr>
        <w:tc>
          <w:tcPr>
            <w:tcW w:w="4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6BFB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预算执行情况（10分）</w:t>
            </w: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22BE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年度预算数（万元）</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3C45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年初预算</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1099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调整后预算数</w:t>
            </w:r>
          </w:p>
        </w:tc>
        <w:tc>
          <w:tcPr>
            <w:tcW w:w="18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75A6A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预算执行数</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4935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预算执行率</w:t>
            </w: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F712C">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权重</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1702A">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得分</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A736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原因</w:t>
            </w:r>
          </w:p>
        </w:tc>
      </w:tr>
      <w:tr w14:paraId="15A12E50">
        <w:tblPrEx>
          <w:tblCellMar>
            <w:top w:w="15" w:type="dxa"/>
            <w:left w:w="15" w:type="dxa"/>
            <w:bottom w:w="0" w:type="dxa"/>
            <w:right w:w="15" w:type="dxa"/>
          </w:tblCellMar>
        </w:tblPrEx>
        <w:trPr>
          <w:trHeight w:val="27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32BF8">
            <w:pPr>
              <w:jc w:val="center"/>
              <w:rPr>
                <w:rFonts w:hint="eastAsia" w:ascii="宋体" w:hAnsi="宋体" w:eastAsia="宋体"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579A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总额</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1909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10.00</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D6C3B">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10.00</w:t>
            </w:r>
          </w:p>
        </w:tc>
        <w:tc>
          <w:tcPr>
            <w:tcW w:w="18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97A1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10.00</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CC00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100.00%</w:t>
            </w: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0231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2D122">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BB241">
            <w:pPr>
              <w:keepNext w:val="0"/>
              <w:keepLines w:val="0"/>
              <w:widowControl/>
              <w:suppressLineNumbers w:val="0"/>
              <w:jc w:val="left"/>
              <w:textAlignment w:val="center"/>
              <w:rPr>
                <w:rFonts w:hint="eastAsia" w:ascii="黑体" w:hAnsi="黑体" w:eastAsia="黑体" w:cs="黑体"/>
                <w:i/>
                <w:color w:val="000000"/>
                <w:sz w:val="18"/>
                <w:szCs w:val="18"/>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7AE8E9">
        <w:tblPrEx>
          <w:tblCellMar>
            <w:top w:w="15" w:type="dxa"/>
            <w:left w:w="15" w:type="dxa"/>
            <w:bottom w:w="0" w:type="dxa"/>
            <w:right w:w="15" w:type="dxa"/>
          </w:tblCellMar>
        </w:tblPrEx>
        <w:trPr>
          <w:trHeight w:val="45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07FAC">
            <w:pPr>
              <w:jc w:val="center"/>
              <w:rPr>
                <w:rFonts w:hint="eastAsia" w:ascii="宋体" w:hAnsi="宋体" w:eastAsia="宋体"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9FB3B">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其中：财政资金</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D89B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10.00</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00D7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10.00</w:t>
            </w:r>
          </w:p>
        </w:tc>
        <w:tc>
          <w:tcPr>
            <w:tcW w:w="18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1267D">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10.00</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F9FC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100.00%</w:t>
            </w: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B822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4CE28">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w:t>
            </w:r>
          </w:p>
        </w:tc>
        <w:tc>
          <w:tcPr>
            <w:tcW w:w="17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A55C3">
            <w:pPr>
              <w:rPr>
                <w:rFonts w:hint="eastAsia" w:ascii="黑体" w:hAnsi="黑体" w:eastAsia="黑体" w:cs="黑体"/>
                <w:i/>
                <w:color w:val="000000"/>
                <w:sz w:val="18"/>
                <w:szCs w:val="18"/>
              </w:rPr>
            </w:pPr>
          </w:p>
        </w:tc>
      </w:tr>
      <w:tr w14:paraId="7ABACC41">
        <w:tblPrEx>
          <w:tblCellMar>
            <w:top w:w="15" w:type="dxa"/>
            <w:left w:w="15" w:type="dxa"/>
            <w:bottom w:w="0" w:type="dxa"/>
            <w:right w:w="15" w:type="dxa"/>
          </w:tblCellMar>
        </w:tblPrEx>
        <w:trPr>
          <w:trHeight w:val="45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FB567">
            <w:pPr>
              <w:jc w:val="center"/>
              <w:rPr>
                <w:rFonts w:hint="eastAsia" w:ascii="宋体" w:hAnsi="宋体" w:eastAsia="宋体"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3E01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财政专户管理资金</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BE8E8">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A4787">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18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B6C4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DAA58">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EC126">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C3895">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w:t>
            </w:r>
          </w:p>
        </w:tc>
        <w:tc>
          <w:tcPr>
            <w:tcW w:w="17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3B0F4">
            <w:pPr>
              <w:rPr>
                <w:rFonts w:hint="eastAsia" w:ascii="黑体" w:hAnsi="黑体" w:eastAsia="黑体" w:cs="黑体"/>
                <w:i/>
                <w:color w:val="000000"/>
                <w:sz w:val="18"/>
                <w:szCs w:val="18"/>
              </w:rPr>
            </w:pPr>
          </w:p>
        </w:tc>
      </w:tr>
      <w:tr w14:paraId="14B022C6">
        <w:tblPrEx>
          <w:tblCellMar>
            <w:top w:w="15" w:type="dxa"/>
            <w:left w:w="15" w:type="dxa"/>
            <w:bottom w:w="0" w:type="dxa"/>
            <w:right w:w="15" w:type="dxa"/>
          </w:tblCellMar>
        </w:tblPrEx>
        <w:trPr>
          <w:trHeight w:val="27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EEC5F">
            <w:pPr>
              <w:jc w:val="center"/>
              <w:rPr>
                <w:rFonts w:hint="eastAsia" w:ascii="宋体" w:hAnsi="宋体" w:eastAsia="宋体"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6C3E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单位资金</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3129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07F0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18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A6A8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EB58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0.00%</w:t>
            </w: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F43D2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0B78B">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w:t>
            </w:r>
          </w:p>
        </w:tc>
        <w:tc>
          <w:tcPr>
            <w:tcW w:w="17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55E78">
            <w:pPr>
              <w:rPr>
                <w:rFonts w:hint="eastAsia" w:ascii="黑体" w:hAnsi="黑体" w:eastAsia="黑体" w:cs="黑体"/>
                <w:i/>
                <w:color w:val="000000"/>
                <w:sz w:val="18"/>
                <w:szCs w:val="18"/>
              </w:rPr>
            </w:pPr>
          </w:p>
        </w:tc>
      </w:tr>
      <w:tr w14:paraId="4FE0F5E6">
        <w:tblPrEx>
          <w:tblCellMar>
            <w:top w:w="15" w:type="dxa"/>
            <w:left w:w="15" w:type="dxa"/>
            <w:bottom w:w="0" w:type="dxa"/>
            <w:right w:w="15" w:type="dxa"/>
          </w:tblCellMar>
        </w:tblPrEx>
        <w:trPr>
          <w:trHeight w:val="27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F8FEC">
            <w:pPr>
              <w:jc w:val="center"/>
              <w:rPr>
                <w:rFonts w:hint="eastAsia" w:ascii="宋体" w:hAnsi="宋体" w:eastAsia="宋体"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F893C">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其他资金</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DFD005">
            <w:pPr>
              <w:jc w:val="center"/>
              <w:rPr>
                <w:rFonts w:hint="eastAsia" w:ascii="微软雅黑" w:hAnsi="微软雅黑" w:eastAsia="微软雅黑" w:cs="微软雅黑"/>
                <w:i/>
                <w:color w:val="000000"/>
                <w:sz w:val="16"/>
                <w:szCs w:val="16"/>
              </w:rPr>
            </w:pP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7D1CD">
            <w:pPr>
              <w:jc w:val="center"/>
              <w:rPr>
                <w:rFonts w:hint="eastAsia" w:ascii="微软雅黑" w:hAnsi="微软雅黑" w:eastAsia="微软雅黑" w:cs="微软雅黑"/>
                <w:i/>
                <w:color w:val="000000"/>
                <w:sz w:val="16"/>
                <w:szCs w:val="16"/>
              </w:rPr>
            </w:pPr>
          </w:p>
        </w:tc>
        <w:tc>
          <w:tcPr>
            <w:tcW w:w="188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B6997">
            <w:pPr>
              <w:jc w:val="center"/>
              <w:rPr>
                <w:rFonts w:hint="eastAsia" w:ascii="微软雅黑" w:hAnsi="微软雅黑" w:eastAsia="微软雅黑" w:cs="微软雅黑"/>
                <w:i/>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D99F1">
            <w:pPr>
              <w:jc w:val="center"/>
              <w:rPr>
                <w:rFonts w:hint="eastAsia" w:ascii="微软雅黑" w:hAnsi="微软雅黑" w:eastAsia="微软雅黑" w:cs="微软雅黑"/>
                <w:i/>
                <w:color w:val="000000"/>
                <w:sz w:val="16"/>
                <w:szCs w:val="16"/>
              </w:rPr>
            </w:pP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B9047">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2CDA1F">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w:t>
            </w:r>
          </w:p>
        </w:tc>
        <w:tc>
          <w:tcPr>
            <w:tcW w:w="17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84A62">
            <w:pPr>
              <w:rPr>
                <w:rFonts w:hint="eastAsia" w:ascii="黑体" w:hAnsi="黑体" w:eastAsia="黑体" w:cs="黑体"/>
                <w:i/>
                <w:color w:val="000000"/>
                <w:sz w:val="18"/>
                <w:szCs w:val="18"/>
              </w:rPr>
            </w:pPr>
          </w:p>
        </w:tc>
      </w:tr>
      <w:tr w14:paraId="18275CC7">
        <w:tblPrEx>
          <w:tblCellMar>
            <w:top w:w="15" w:type="dxa"/>
            <w:left w:w="15" w:type="dxa"/>
            <w:bottom w:w="0" w:type="dxa"/>
            <w:right w:w="15" w:type="dxa"/>
          </w:tblCellMar>
        </w:tblPrEx>
        <w:trPr>
          <w:trHeight w:val="450" w:hRule="atLeast"/>
          <w:jc w:val="center"/>
        </w:trPr>
        <w:tc>
          <w:tcPr>
            <w:tcW w:w="47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E34A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绩效指标（90分）</w:t>
            </w: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B926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一级指标</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D2266">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二级指标</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AFEA4">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三级指标</w:t>
            </w:r>
          </w:p>
        </w:tc>
        <w:tc>
          <w:tcPr>
            <w:tcW w:w="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B6AF7">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指标性质</w:t>
            </w: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C2958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指标值</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C253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度量单位</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7ADA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完成值</w:t>
            </w: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70DFD">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权重</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55732">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得分</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F9BA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未完成原因分析</w:t>
            </w:r>
          </w:p>
        </w:tc>
      </w:tr>
      <w:tr w14:paraId="6D5ABF06">
        <w:tblPrEx>
          <w:tblCellMar>
            <w:top w:w="15" w:type="dxa"/>
            <w:left w:w="15" w:type="dxa"/>
            <w:bottom w:w="0" w:type="dxa"/>
            <w:right w:w="15" w:type="dxa"/>
          </w:tblCellMar>
        </w:tblPrEx>
        <w:trPr>
          <w:trHeight w:val="45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33933">
            <w:pPr>
              <w:jc w:val="center"/>
              <w:rPr>
                <w:rFonts w:hint="eastAsia" w:ascii="宋体" w:hAnsi="宋体" w:eastAsia="宋体" w:cs="宋体"/>
                <w:color w:val="000000"/>
                <w:sz w:val="18"/>
                <w:szCs w:val="18"/>
              </w:rPr>
            </w:pPr>
          </w:p>
        </w:tc>
        <w:tc>
          <w:tcPr>
            <w:tcW w:w="14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C18C6">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产出指标</w:t>
            </w:r>
          </w:p>
        </w:tc>
        <w:tc>
          <w:tcPr>
            <w:tcW w:w="123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6AFE7">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数量指标</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6094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救助农民工困难家庭</w:t>
            </w:r>
          </w:p>
        </w:tc>
        <w:tc>
          <w:tcPr>
            <w:tcW w:w="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4E76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1F31BC">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2AD63">
            <w:pPr>
              <w:keepNext w:val="0"/>
              <w:keepLines w:val="0"/>
              <w:widowControl/>
              <w:suppressLineNumbers w:val="0"/>
              <w:jc w:val="center"/>
              <w:textAlignment w:val="center"/>
              <w:rPr>
                <w:rFonts w:hint="eastAsia" w:ascii="微软雅黑" w:hAnsi="微软雅黑" w:eastAsia="微软雅黑" w:cs="微软雅黑"/>
                <w:i/>
                <w:color w:val="000000"/>
                <w:sz w:val="16"/>
                <w:szCs w:val="16"/>
              </w:rPr>
            </w:pPr>
            <w:r>
              <w:rPr>
                <w:rFonts w:hint="default" w:ascii="宋体" w:hAnsi="宋体" w:eastAsia="宋体" w:cs="宋体"/>
                <w:i w:val="0"/>
                <w:color w:val="000000"/>
                <w:kern w:val="0"/>
                <w:sz w:val="18"/>
                <w:szCs w:val="18"/>
                <w:u w:val="none"/>
                <w:lang w:val="en-US" w:eastAsia="zh-CN" w:bidi="ar"/>
              </w:rPr>
              <w:t>户</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473B9">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A3D1E">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2FE30">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7CD43">
            <w:pPr>
              <w:jc w:val="center"/>
              <w:rPr>
                <w:rFonts w:hint="eastAsia" w:ascii="微软雅黑" w:hAnsi="微软雅黑" w:eastAsia="微软雅黑" w:cs="微软雅黑"/>
                <w:i/>
                <w:color w:val="000000"/>
                <w:sz w:val="16"/>
                <w:szCs w:val="16"/>
              </w:rPr>
            </w:pPr>
          </w:p>
        </w:tc>
      </w:tr>
      <w:tr w14:paraId="56723DAA">
        <w:tblPrEx>
          <w:tblCellMar>
            <w:top w:w="15" w:type="dxa"/>
            <w:left w:w="15" w:type="dxa"/>
            <w:bottom w:w="0" w:type="dxa"/>
            <w:right w:w="15" w:type="dxa"/>
          </w:tblCellMar>
        </w:tblPrEx>
        <w:trPr>
          <w:trHeight w:val="675"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01468">
            <w:pPr>
              <w:jc w:val="center"/>
              <w:rPr>
                <w:rFonts w:hint="eastAsia" w:ascii="宋体" w:hAnsi="宋体" w:eastAsia="宋体" w:cs="宋体"/>
                <w:color w:val="000000"/>
                <w:sz w:val="18"/>
                <w:szCs w:val="18"/>
              </w:rPr>
            </w:pPr>
          </w:p>
        </w:tc>
        <w:tc>
          <w:tcPr>
            <w:tcW w:w="14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86267">
            <w:pPr>
              <w:jc w:val="center"/>
              <w:rPr>
                <w:rFonts w:hint="eastAsia" w:ascii="宋体" w:hAnsi="宋体" w:eastAsia="宋体" w:cs="宋体"/>
                <w:color w:val="000000"/>
                <w:sz w:val="18"/>
                <w:szCs w:val="18"/>
              </w:rPr>
            </w:pPr>
          </w:p>
        </w:tc>
        <w:tc>
          <w:tcPr>
            <w:tcW w:w="12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523E4">
            <w:pPr>
              <w:jc w:val="center"/>
              <w:rPr>
                <w:rFonts w:hint="eastAsia" w:ascii="宋体" w:hAnsi="宋体" w:eastAsia="宋体" w:cs="宋体"/>
                <w:color w:val="000000"/>
                <w:sz w:val="18"/>
                <w:szCs w:val="18"/>
              </w:rPr>
            </w:pP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6243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慰问农民工</w:t>
            </w:r>
          </w:p>
        </w:tc>
        <w:tc>
          <w:tcPr>
            <w:tcW w:w="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75B1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B30B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100</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6CC78">
            <w:pPr>
              <w:keepNext w:val="0"/>
              <w:keepLines w:val="0"/>
              <w:widowControl/>
              <w:suppressLineNumbers w:val="0"/>
              <w:jc w:val="center"/>
              <w:textAlignment w:val="center"/>
              <w:rPr>
                <w:rFonts w:hint="eastAsia" w:ascii="微软雅黑" w:hAnsi="微软雅黑" w:eastAsia="微软雅黑" w:cs="微软雅黑"/>
                <w:i/>
                <w:color w:val="000000"/>
                <w:sz w:val="16"/>
                <w:szCs w:val="16"/>
              </w:rPr>
            </w:pPr>
            <w:r>
              <w:rPr>
                <w:rFonts w:hint="default" w:ascii="宋体" w:hAnsi="宋体" w:eastAsia="宋体" w:cs="宋体"/>
                <w:i w:val="0"/>
                <w:color w:val="000000"/>
                <w:kern w:val="0"/>
                <w:sz w:val="18"/>
                <w:szCs w:val="18"/>
                <w:u w:val="none"/>
                <w:lang w:val="en-US" w:eastAsia="zh-CN" w:bidi="ar"/>
              </w:rPr>
              <w:t>人</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57137">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916E2">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20D5F4">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1E2D4">
            <w:pPr>
              <w:jc w:val="center"/>
              <w:rPr>
                <w:rFonts w:hint="eastAsia" w:ascii="微软雅黑" w:hAnsi="微软雅黑" w:eastAsia="微软雅黑" w:cs="微软雅黑"/>
                <w:i/>
                <w:color w:val="000000"/>
                <w:sz w:val="16"/>
                <w:szCs w:val="16"/>
              </w:rPr>
            </w:pPr>
          </w:p>
        </w:tc>
      </w:tr>
      <w:tr w14:paraId="140D07CD">
        <w:tblPrEx>
          <w:tblCellMar>
            <w:top w:w="15" w:type="dxa"/>
            <w:left w:w="15" w:type="dxa"/>
            <w:bottom w:w="0" w:type="dxa"/>
            <w:right w:w="15" w:type="dxa"/>
          </w:tblCellMar>
        </w:tblPrEx>
        <w:trPr>
          <w:trHeight w:val="675"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EDF63">
            <w:pPr>
              <w:jc w:val="center"/>
              <w:rPr>
                <w:rFonts w:hint="eastAsia" w:ascii="宋体" w:hAnsi="宋体" w:eastAsia="宋体" w:cs="宋体"/>
                <w:color w:val="000000"/>
                <w:sz w:val="18"/>
                <w:szCs w:val="18"/>
              </w:rPr>
            </w:pPr>
          </w:p>
        </w:tc>
        <w:tc>
          <w:tcPr>
            <w:tcW w:w="14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671F8">
            <w:pPr>
              <w:jc w:val="center"/>
              <w:rPr>
                <w:rFonts w:hint="eastAsia" w:ascii="宋体" w:hAnsi="宋体" w:eastAsia="宋体" w:cs="宋体"/>
                <w:color w:val="000000"/>
                <w:sz w:val="18"/>
                <w:szCs w:val="18"/>
              </w:rPr>
            </w:pPr>
          </w:p>
        </w:tc>
        <w:tc>
          <w:tcPr>
            <w:tcW w:w="123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39736">
            <w:pPr>
              <w:jc w:val="center"/>
              <w:rPr>
                <w:rFonts w:ascii="宋体" w:hAnsi="宋体" w:eastAsia="宋体" w:cs="宋体"/>
                <w:color w:val="000000"/>
                <w:sz w:val="18"/>
                <w:szCs w:val="18"/>
              </w:rPr>
            </w:pP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CDF0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外出维权救助</w:t>
            </w:r>
          </w:p>
        </w:tc>
        <w:tc>
          <w:tcPr>
            <w:tcW w:w="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1F8D8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1FBBA">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10</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69D4F">
            <w:pPr>
              <w:keepNext w:val="0"/>
              <w:keepLines w:val="0"/>
              <w:widowControl/>
              <w:suppressLineNumbers w:val="0"/>
              <w:jc w:val="center"/>
              <w:textAlignment w:val="center"/>
              <w:rPr>
                <w:rFonts w:hint="eastAsia" w:ascii="微软雅黑" w:hAnsi="微软雅黑" w:eastAsia="微软雅黑" w:cs="微软雅黑"/>
                <w:i/>
                <w:color w:val="000000"/>
                <w:sz w:val="16"/>
                <w:szCs w:val="16"/>
              </w:rPr>
            </w:pPr>
            <w:r>
              <w:rPr>
                <w:rFonts w:hint="default" w:ascii="宋体" w:hAnsi="宋体" w:eastAsia="宋体" w:cs="宋体"/>
                <w:i w:val="0"/>
                <w:color w:val="000000"/>
                <w:kern w:val="0"/>
                <w:sz w:val="18"/>
                <w:szCs w:val="18"/>
                <w:u w:val="none"/>
                <w:lang w:val="en-US" w:eastAsia="zh-CN" w:bidi="ar"/>
              </w:rPr>
              <w:t>人次</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DBF65">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EF233">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7E1CA">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9EC7D">
            <w:pPr>
              <w:jc w:val="center"/>
              <w:rPr>
                <w:rFonts w:hint="eastAsia" w:ascii="微软雅黑" w:hAnsi="微软雅黑" w:eastAsia="微软雅黑" w:cs="微软雅黑"/>
                <w:i/>
                <w:color w:val="000000"/>
                <w:sz w:val="16"/>
                <w:szCs w:val="16"/>
              </w:rPr>
            </w:pPr>
          </w:p>
        </w:tc>
      </w:tr>
      <w:tr w14:paraId="3041FDF7">
        <w:tblPrEx>
          <w:tblCellMar>
            <w:top w:w="15" w:type="dxa"/>
            <w:left w:w="15" w:type="dxa"/>
            <w:bottom w:w="0" w:type="dxa"/>
            <w:right w:w="15" w:type="dxa"/>
          </w:tblCellMar>
        </w:tblPrEx>
        <w:trPr>
          <w:trHeight w:val="675"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C7BCB">
            <w:pPr>
              <w:jc w:val="center"/>
              <w:rPr>
                <w:rFonts w:hint="eastAsia" w:ascii="宋体" w:hAnsi="宋体" w:eastAsia="宋体" w:cs="宋体"/>
                <w:color w:val="000000"/>
                <w:sz w:val="18"/>
                <w:szCs w:val="18"/>
              </w:rPr>
            </w:pPr>
          </w:p>
        </w:tc>
        <w:tc>
          <w:tcPr>
            <w:tcW w:w="14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A60CB">
            <w:pPr>
              <w:jc w:val="center"/>
              <w:rPr>
                <w:rFonts w:hint="eastAsia" w:ascii="宋体" w:hAnsi="宋体" w:eastAsia="宋体" w:cs="宋体"/>
                <w:color w:val="000000"/>
                <w:sz w:val="18"/>
                <w:szCs w:val="18"/>
              </w:rPr>
            </w:pP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5E8A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质量指标</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DFF6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开展慰问座谈会</w:t>
            </w:r>
          </w:p>
        </w:tc>
        <w:tc>
          <w:tcPr>
            <w:tcW w:w="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1121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C33E2">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1</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0C5AF">
            <w:pPr>
              <w:keepNext w:val="0"/>
              <w:keepLines w:val="0"/>
              <w:widowControl/>
              <w:suppressLineNumbers w:val="0"/>
              <w:jc w:val="center"/>
              <w:textAlignment w:val="center"/>
              <w:rPr>
                <w:rFonts w:hint="eastAsia" w:ascii="微软雅黑" w:hAnsi="微软雅黑" w:eastAsia="微软雅黑" w:cs="微软雅黑"/>
                <w:i/>
                <w:color w:val="000000"/>
                <w:sz w:val="16"/>
                <w:szCs w:val="16"/>
              </w:rPr>
            </w:pPr>
            <w:r>
              <w:rPr>
                <w:rFonts w:hint="default" w:ascii="宋体" w:hAnsi="宋体" w:eastAsia="宋体" w:cs="宋体"/>
                <w:i w:val="0"/>
                <w:color w:val="000000"/>
                <w:kern w:val="0"/>
                <w:sz w:val="18"/>
                <w:szCs w:val="18"/>
                <w:u w:val="none"/>
                <w:lang w:val="en-US" w:eastAsia="zh-CN" w:bidi="ar"/>
              </w:rPr>
              <w:t>场</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AF30B">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81D813">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31221">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9488A">
            <w:pPr>
              <w:jc w:val="center"/>
              <w:rPr>
                <w:rFonts w:hint="eastAsia" w:ascii="微软雅黑" w:hAnsi="微软雅黑" w:eastAsia="微软雅黑" w:cs="微软雅黑"/>
                <w:i/>
                <w:color w:val="000000"/>
                <w:sz w:val="16"/>
                <w:szCs w:val="16"/>
              </w:rPr>
            </w:pPr>
          </w:p>
        </w:tc>
      </w:tr>
      <w:tr w14:paraId="1BAFB4F7">
        <w:tblPrEx>
          <w:tblCellMar>
            <w:top w:w="15" w:type="dxa"/>
            <w:left w:w="15" w:type="dxa"/>
            <w:bottom w:w="0" w:type="dxa"/>
            <w:right w:w="15" w:type="dxa"/>
          </w:tblCellMar>
        </w:tblPrEx>
        <w:trPr>
          <w:trHeight w:val="45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1B33E">
            <w:pPr>
              <w:jc w:val="center"/>
              <w:rPr>
                <w:rFonts w:hint="eastAsia" w:ascii="宋体" w:hAnsi="宋体" w:eastAsia="宋体" w:cs="宋体"/>
                <w:color w:val="000000"/>
                <w:sz w:val="18"/>
                <w:szCs w:val="18"/>
              </w:rPr>
            </w:pPr>
          </w:p>
        </w:tc>
        <w:tc>
          <w:tcPr>
            <w:tcW w:w="14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99F3FE">
            <w:pPr>
              <w:jc w:val="center"/>
              <w:rPr>
                <w:rFonts w:ascii="宋体" w:hAnsi="宋体" w:eastAsia="宋体" w:cs="宋体"/>
                <w:color w:val="000000"/>
                <w:sz w:val="18"/>
                <w:szCs w:val="18"/>
              </w:rPr>
            </w:pP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FB280">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时效指标</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C475B">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对生活困难农民工群体的帮扶</w:t>
            </w:r>
          </w:p>
        </w:tc>
        <w:tc>
          <w:tcPr>
            <w:tcW w:w="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1DD26">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定性</w:t>
            </w: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80F56">
            <w:pPr>
              <w:keepNext w:val="0"/>
              <w:keepLines w:val="0"/>
              <w:widowControl/>
              <w:suppressLineNumbers w:val="0"/>
              <w:jc w:val="center"/>
              <w:textAlignment w:val="center"/>
              <w:rPr>
                <w:rFonts w:hint="eastAsia"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2024年</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1F783">
            <w:pPr>
              <w:jc w:val="center"/>
              <w:rPr>
                <w:rFonts w:hint="eastAsia" w:ascii="微软雅黑" w:hAnsi="微软雅黑" w:eastAsia="微软雅黑" w:cs="微软雅黑"/>
                <w:i/>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2B878">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D2E5A">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C7D19">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26E76">
            <w:pPr>
              <w:jc w:val="center"/>
              <w:rPr>
                <w:rFonts w:hint="eastAsia" w:ascii="微软雅黑" w:hAnsi="微软雅黑" w:eastAsia="微软雅黑" w:cs="微软雅黑"/>
                <w:i/>
                <w:color w:val="000000"/>
                <w:sz w:val="16"/>
                <w:szCs w:val="16"/>
              </w:rPr>
            </w:pPr>
          </w:p>
        </w:tc>
      </w:tr>
      <w:tr w14:paraId="4305545E">
        <w:tblPrEx>
          <w:tblCellMar>
            <w:top w:w="15" w:type="dxa"/>
            <w:left w:w="15" w:type="dxa"/>
            <w:bottom w:w="0" w:type="dxa"/>
            <w:right w:w="15" w:type="dxa"/>
          </w:tblCellMar>
        </w:tblPrEx>
        <w:trPr>
          <w:trHeight w:val="45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26BD9">
            <w:pPr>
              <w:jc w:val="center"/>
              <w:rPr>
                <w:rFonts w:hint="eastAsia" w:ascii="宋体" w:hAnsi="宋体" w:eastAsia="宋体"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FE33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效益指标</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5DB5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社会效益指标</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0DC8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加强农民工关心关爱和困难帮扶，提升农民工服务能力，切实增强农民工获得感、幸福感、安全感。</w:t>
            </w:r>
          </w:p>
        </w:tc>
        <w:tc>
          <w:tcPr>
            <w:tcW w:w="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2FB53">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定性</w:t>
            </w: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F5449">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优良差</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1FA31">
            <w:pPr>
              <w:jc w:val="center"/>
              <w:rPr>
                <w:rFonts w:hint="eastAsia" w:ascii="微软雅黑" w:hAnsi="微软雅黑" w:eastAsia="微软雅黑" w:cs="微软雅黑"/>
                <w:i/>
                <w:color w:val="000000"/>
                <w:sz w:val="16"/>
                <w:szCs w:val="16"/>
              </w:rPr>
            </w:pP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A3514">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30936">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20</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7DA842">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20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4E09B">
            <w:pPr>
              <w:jc w:val="center"/>
              <w:rPr>
                <w:rFonts w:hint="eastAsia" w:ascii="微软雅黑" w:hAnsi="微软雅黑" w:eastAsia="微软雅黑" w:cs="微软雅黑"/>
                <w:i/>
                <w:color w:val="000000"/>
                <w:sz w:val="16"/>
                <w:szCs w:val="16"/>
              </w:rPr>
            </w:pPr>
          </w:p>
        </w:tc>
      </w:tr>
      <w:tr w14:paraId="69C8A751">
        <w:tblPrEx>
          <w:tblCellMar>
            <w:top w:w="15" w:type="dxa"/>
            <w:left w:w="15" w:type="dxa"/>
            <w:bottom w:w="0" w:type="dxa"/>
            <w:right w:w="15" w:type="dxa"/>
          </w:tblCellMar>
        </w:tblPrEx>
        <w:trPr>
          <w:trHeight w:val="675"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9D20CE">
            <w:pPr>
              <w:jc w:val="center"/>
              <w:rPr>
                <w:rFonts w:hint="eastAsia" w:ascii="宋体" w:hAnsi="宋体" w:eastAsia="宋体"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24EF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满意度指标</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296CE">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满意度指标</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E377F">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群众满意度</w:t>
            </w:r>
          </w:p>
        </w:tc>
        <w:tc>
          <w:tcPr>
            <w:tcW w:w="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AED838">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02375">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90</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5FCDC">
            <w:pPr>
              <w:keepNext w:val="0"/>
              <w:keepLines w:val="0"/>
              <w:widowControl/>
              <w:suppressLineNumbers w:val="0"/>
              <w:jc w:val="center"/>
              <w:textAlignment w:val="center"/>
              <w:rPr>
                <w:rFonts w:hint="eastAsia" w:ascii="微软雅黑" w:hAnsi="微软雅黑" w:eastAsia="微软雅黑" w:cs="微软雅黑"/>
                <w:i/>
                <w:color w:val="000000"/>
                <w:sz w:val="16"/>
                <w:szCs w:val="16"/>
              </w:rPr>
            </w:pPr>
            <w:r>
              <w:rPr>
                <w:rFonts w:hint="default" w:ascii="宋体" w:hAnsi="宋体" w:eastAsia="宋体" w:cs="宋体"/>
                <w:i w:val="0"/>
                <w:color w:val="000000"/>
                <w:kern w:val="0"/>
                <w:sz w:val="18"/>
                <w:szCs w:val="18"/>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4D6C09">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3AFC6">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53679">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95A3CD">
            <w:pPr>
              <w:jc w:val="center"/>
              <w:rPr>
                <w:rFonts w:hint="eastAsia" w:ascii="微软雅黑" w:hAnsi="微软雅黑" w:eastAsia="微软雅黑" w:cs="微软雅黑"/>
                <w:i/>
                <w:color w:val="000000"/>
                <w:sz w:val="16"/>
                <w:szCs w:val="16"/>
              </w:rPr>
            </w:pPr>
          </w:p>
        </w:tc>
      </w:tr>
      <w:tr w14:paraId="7B03BE8B">
        <w:tblPrEx>
          <w:tblCellMar>
            <w:top w:w="15" w:type="dxa"/>
            <w:left w:w="15" w:type="dxa"/>
            <w:bottom w:w="0" w:type="dxa"/>
            <w:right w:w="15" w:type="dxa"/>
          </w:tblCellMar>
        </w:tblPrEx>
        <w:trPr>
          <w:trHeight w:val="270" w:hRule="atLeast"/>
          <w:jc w:val="center"/>
        </w:trPr>
        <w:tc>
          <w:tcPr>
            <w:tcW w:w="47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6FCCB">
            <w:pPr>
              <w:jc w:val="center"/>
              <w:rPr>
                <w:rFonts w:ascii="宋体" w:hAnsi="宋体" w:eastAsia="宋体" w:cs="宋体"/>
                <w:color w:val="000000"/>
                <w:sz w:val="18"/>
                <w:szCs w:val="18"/>
              </w:rPr>
            </w:pP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EA389">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成本指标</w:t>
            </w:r>
          </w:p>
        </w:tc>
        <w:tc>
          <w:tcPr>
            <w:tcW w:w="12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A828F">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经济成本指标</w:t>
            </w:r>
          </w:p>
        </w:tc>
        <w:tc>
          <w:tcPr>
            <w:tcW w:w="1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4CDA58">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保障农民工合法权益</w:t>
            </w:r>
          </w:p>
        </w:tc>
        <w:tc>
          <w:tcPr>
            <w:tcW w:w="3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34416">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w:t>
            </w: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BD0C9">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15</w:t>
            </w:r>
          </w:p>
        </w:tc>
        <w:tc>
          <w:tcPr>
            <w:tcW w:w="3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926C8">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万元</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D6874">
            <w:pPr>
              <w:jc w:val="center"/>
              <w:rPr>
                <w:rFonts w:ascii="宋体" w:hAnsi="宋体" w:eastAsia="宋体" w:cs="宋体"/>
                <w:color w:val="000000"/>
                <w:sz w:val="18"/>
                <w:szCs w:val="18"/>
              </w:rPr>
            </w:pP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53700">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567BF">
            <w:pPr>
              <w:keepNext w:val="0"/>
              <w:keepLines w:val="0"/>
              <w:widowControl/>
              <w:suppressLineNumbers w:val="0"/>
              <w:jc w:val="center"/>
              <w:textAlignment w:val="center"/>
            </w:pPr>
            <w:r>
              <w:rPr>
                <w:rFonts w:hint="default" w:ascii="宋体" w:hAnsi="宋体" w:eastAsia="宋体" w:cs="宋体"/>
                <w:i w:val="0"/>
                <w:color w:val="000000"/>
                <w:kern w:val="0"/>
                <w:sz w:val="18"/>
                <w:szCs w:val="18"/>
                <w:u w:val="none"/>
                <w:lang w:val="en-US" w:eastAsia="zh-CN" w:bidi="ar"/>
              </w:rPr>
              <w:t>10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4D0B6">
            <w:pPr>
              <w:jc w:val="center"/>
              <w:rPr>
                <w:rFonts w:hint="eastAsia" w:ascii="宋体" w:hAnsi="宋体" w:eastAsia="宋体" w:cs="宋体"/>
                <w:color w:val="000000"/>
                <w:sz w:val="18"/>
                <w:szCs w:val="18"/>
              </w:rPr>
            </w:pPr>
          </w:p>
        </w:tc>
      </w:tr>
      <w:tr w14:paraId="4D6327A3">
        <w:tblPrEx>
          <w:tblCellMar>
            <w:top w:w="15" w:type="dxa"/>
            <w:left w:w="15" w:type="dxa"/>
            <w:bottom w:w="0" w:type="dxa"/>
            <w:right w:w="15" w:type="dxa"/>
          </w:tblCellMar>
        </w:tblPrEx>
        <w:trPr>
          <w:trHeight w:val="270" w:hRule="atLeast"/>
          <w:jc w:val="center"/>
        </w:trPr>
        <w:tc>
          <w:tcPr>
            <w:tcW w:w="7345"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0DFB8">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合计</w:t>
            </w:r>
          </w:p>
        </w:tc>
        <w:tc>
          <w:tcPr>
            <w:tcW w:w="3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5E624">
            <w:pPr>
              <w:keepNext w:val="0"/>
              <w:keepLines w:val="0"/>
              <w:widowControl/>
              <w:suppressLineNumbers w:val="0"/>
              <w:jc w:val="center"/>
              <w:textAlignment w:val="center"/>
              <w:rPr>
                <w:rFonts w:hint="eastAsia" w:ascii="宋体" w:hAnsi="宋体" w:eastAsia="宋体" w:cs="宋体"/>
                <w:color w:val="000000"/>
                <w:sz w:val="18"/>
                <w:szCs w:val="18"/>
                <w:lang w:bidi="ar"/>
              </w:rPr>
            </w:pPr>
            <w:r>
              <w:rPr>
                <w:rFonts w:hint="default" w:ascii="宋体" w:hAnsi="宋体" w:eastAsia="宋体" w:cs="宋体"/>
                <w:i w:val="0"/>
                <w:color w:val="000000"/>
                <w:kern w:val="0"/>
                <w:sz w:val="18"/>
                <w:szCs w:val="18"/>
                <w:u w:val="none"/>
                <w:lang w:val="en-US" w:eastAsia="zh-CN" w:bidi="ar"/>
              </w:rPr>
              <w:t>100</w:t>
            </w:r>
          </w:p>
        </w:tc>
        <w:tc>
          <w:tcPr>
            <w:tcW w:w="3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E64E9">
            <w:pPr>
              <w:keepNext w:val="0"/>
              <w:keepLines w:val="0"/>
              <w:widowControl/>
              <w:suppressLineNumbers w:val="0"/>
              <w:jc w:val="right"/>
              <w:textAlignment w:val="center"/>
            </w:pPr>
            <w:r>
              <w:rPr>
                <w:rFonts w:hint="default" w:ascii="宋体" w:hAnsi="宋体" w:eastAsia="宋体" w:cs="宋体"/>
                <w:i w:val="0"/>
                <w:color w:val="000000"/>
                <w:kern w:val="0"/>
                <w:sz w:val="18"/>
                <w:szCs w:val="18"/>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51773"/>
        </w:tc>
      </w:tr>
      <w:tr w14:paraId="0B834F1C">
        <w:tblPrEx>
          <w:tblCellMar>
            <w:top w:w="15" w:type="dxa"/>
            <w:left w:w="15" w:type="dxa"/>
            <w:bottom w:w="0" w:type="dxa"/>
            <w:right w:w="15" w:type="dxa"/>
          </w:tblCellMar>
        </w:tblPrEx>
        <w:trPr>
          <w:trHeight w:val="270" w:hRule="atLeast"/>
          <w:jc w:val="center"/>
        </w:trPr>
        <w:tc>
          <w:tcPr>
            <w:tcW w:w="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612C1">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评价结论</w:t>
            </w:r>
          </w:p>
        </w:tc>
        <w:tc>
          <w:tcPr>
            <w:tcW w:w="9313"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487E5">
            <w:pPr>
              <w:keepNext w:val="0"/>
              <w:keepLines w:val="0"/>
              <w:widowControl/>
              <w:suppressLineNumbers w:val="0"/>
              <w:jc w:val="left"/>
              <w:textAlignment w:val="center"/>
              <w:rPr>
                <w:rFonts w:hint="eastAsia" w:ascii="宋体" w:hAnsi="宋体" w:eastAsia="宋体" w:cs="宋体"/>
                <w:color w:val="000000"/>
                <w:sz w:val="18"/>
                <w:szCs w:val="18"/>
                <w:lang w:bidi="ar"/>
              </w:rPr>
            </w:pPr>
            <w:r>
              <w:rPr>
                <w:rFonts w:hint="eastAsia" w:ascii="微软雅黑" w:hAnsi="微软雅黑" w:eastAsia="微软雅黑" w:cs="微软雅黑"/>
                <w:i/>
                <w:color w:val="000000"/>
                <w:kern w:val="0"/>
                <w:sz w:val="16"/>
                <w:szCs w:val="16"/>
                <w:u w:val="none"/>
                <w:lang w:val="en-US" w:eastAsia="zh-CN" w:bidi="ar"/>
              </w:rPr>
              <w:t>协助区司法局进行农民工相关法律宣传，做好农民工服务保障工作。</w:t>
            </w:r>
          </w:p>
        </w:tc>
      </w:tr>
      <w:tr w14:paraId="515AF9B2">
        <w:tblPrEx>
          <w:tblCellMar>
            <w:top w:w="15" w:type="dxa"/>
            <w:left w:w="15" w:type="dxa"/>
            <w:bottom w:w="0" w:type="dxa"/>
            <w:right w:w="15" w:type="dxa"/>
          </w:tblCellMar>
        </w:tblPrEx>
        <w:trPr>
          <w:trHeight w:val="270" w:hRule="atLeast"/>
          <w:jc w:val="center"/>
        </w:trPr>
        <w:tc>
          <w:tcPr>
            <w:tcW w:w="4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1CE7C">
            <w:pPr>
              <w:keepNext w:val="0"/>
              <w:keepLines w:val="0"/>
              <w:widowControl/>
              <w:suppressLineNumbers w:val="0"/>
              <w:jc w:val="center"/>
              <w:textAlignment w:val="center"/>
              <w:rPr>
                <w:rFonts w:ascii="宋体" w:hAnsi="宋体" w:eastAsia="宋体" w:cs="宋体"/>
                <w:color w:val="000000"/>
                <w:sz w:val="18"/>
                <w:szCs w:val="18"/>
              </w:rPr>
            </w:pPr>
            <w:r>
              <w:rPr>
                <w:rFonts w:hint="default" w:ascii="宋体" w:hAnsi="宋体" w:eastAsia="宋体" w:cs="宋体"/>
                <w:i w:val="0"/>
                <w:color w:val="000000"/>
                <w:kern w:val="0"/>
                <w:sz w:val="18"/>
                <w:szCs w:val="18"/>
                <w:u w:val="none"/>
                <w:lang w:val="en-US" w:eastAsia="zh-CN" w:bidi="ar"/>
              </w:rPr>
              <w:t>存在问题</w:t>
            </w:r>
          </w:p>
        </w:tc>
        <w:tc>
          <w:tcPr>
            <w:tcW w:w="9313"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C6A22">
            <w:pPr>
              <w:keepNext w:val="0"/>
              <w:keepLines w:val="0"/>
              <w:widowControl/>
              <w:suppressLineNumbers w:val="0"/>
              <w:jc w:val="left"/>
              <w:textAlignment w:val="center"/>
              <w:rPr>
                <w:rFonts w:hint="eastAsia" w:ascii="宋体" w:hAnsi="宋体" w:eastAsia="宋体" w:cs="宋体"/>
                <w:color w:val="000000"/>
                <w:sz w:val="18"/>
                <w:szCs w:val="18"/>
                <w:lang w:bidi="ar"/>
              </w:rPr>
            </w:pPr>
            <w:r>
              <w:rPr>
                <w:rFonts w:hint="eastAsia" w:ascii="微软雅黑" w:hAnsi="微软雅黑" w:eastAsia="微软雅黑" w:cs="微软雅黑"/>
                <w:i/>
                <w:color w:val="000000"/>
                <w:kern w:val="0"/>
                <w:sz w:val="16"/>
                <w:szCs w:val="16"/>
                <w:u w:val="none"/>
                <w:lang w:val="en-US" w:eastAsia="zh-CN" w:bidi="ar"/>
              </w:rPr>
              <w:t>无</w:t>
            </w:r>
          </w:p>
        </w:tc>
      </w:tr>
      <w:tr w14:paraId="603D9888">
        <w:tblPrEx>
          <w:tblCellMar>
            <w:top w:w="15" w:type="dxa"/>
            <w:left w:w="15" w:type="dxa"/>
            <w:bottom w:w="0" w:type="dxa"/>
            <w:right w:w="15" w:type="dxa"/>
          </w:tblCellMar>
        </w:tblPrEx>
        <w:trPr>
          <w:trHeight w:val="270" w:hRule="atLeast"/>
          <w:jc w:val="center"/>
        </w:trPr>
        <w:tc>
          <w:tcPr>
            <w:tcW w:w="448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D8DB8">
            <w:pPr>
              <w:widowControl/>
              <w:jc w:val="left"/>
              <w:rPr>
                <w:rFonts w:hint="eastAsia" w:ascii="黑体" w:hAnsi="黑体" w:eastAsia="黑体" w:cs="黑体"/>
                <w:color w:val="000000"/>
                <w:sz w:val="18"/>
                <w:szCs w:val="18"/>
                <w:lang w:val="en-US" w:eastAsia="zh-CN"/>
              </w:rPr>
            </w:pPr>
            <w:r>
              <w:rPr>
                <w:rFonts w:hint="eastAsia" w:ascii="黑体" w:hAnsi="黑体" w:eastAsia="黑体" w:cs="黑体"/>
                <w:color w:val="000000"/>
                <w:sz w:val="18"/>
                <w:szCs w:val="18"/>
                <w:lang w:bidi="ar"/>
              </w:rPr>
              <w:t>项目负责人：</w:t>
            </w:r>
            <w:r>
              <w:rPr>
                <w:rFonts w:hint="eastAsia" w:ascii="黑体" w:hAnsi="黑体" w:eastAsia="黑体" w:cs="黑体"/>
                <w:color w:val="000000"/>
                <w:sz w:val="18"/>
                <w:szCs w:val="18"/>
                <w:lang w:val="en-US" w:eastAsia="zh-CN" w:bidi="ar"/>
              </w:rPr>
              <w:t>白毅</w:t>
            </w:r>
          </w:p>
        </w:tc>
        <w:tc>
          <w:tcPr>
            <w:tcW w:w="5305"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23554">
            <w:pPr>
              <w:widowControl/>
              <w:jc w:val="left"/>
              <w:rPr>
                <w:rFonts w:hint="default" w:ascii="黑体" w:hAnsi="黑体" w:eastAsia="黑体" w:cs="黑体"/>
                <w:color w:val="000000"/>
                <w:sz w:val="18"/>
                <w:szCs w:val="18"/>
                <w:lang w:val="en-US" w:eastAsia="zh-CN"/>
              </w:rPr>
            </w:pPr>
            <w:r>
              <w:rPr>
                <w:rFonts w:hint="eastAsia" w:ascii="黑体" w:hAnsi="黑体" w:eastAsia="黑体" w:cs="黑体"/>
                <w:color w:val="000000"/>
                <w:sz w:val="18"/>
                <w:szCs w:val="18"/>
                <w:lang w:bidi="ar"/>
              </w:rPr>
              <w:t>财务负责人：</w:t>
            </w:r>
            <w:r>
              <w:rPr>
                <w:rFonts w:hint="eastAsia" w:ascii="黑体" w:hAnsi="黑体" w:eastAsia="黑体" w:cs="黑体"/>
                <w:color w:val="000000"/>
                <w:sz w:val="18"/>
                <w:szCs w:val="18"/>
                <w:lang w:val="en-US" w:eastAsia="zh-CN" w:bidi="ar"/>
              </w:rPr>
              <w:t>吴芸</w:t>
            </w:r>
          </w:p>
        </w:tc>
      </w:tr>
    </w:tbl>
    <w:p w14:paraId="4F5E5FEB">
      <w:pPr>
        <w:spacing w:line="560" w:lineRule="exact"/>
        <w:jc w:val="both"/>
        <w:outlineLvl w:val="0"/>
        <w:rPr>
          <w:rFonts w:eastAsia="方正小标宋简体"/>
          <w:sz w:val="44"/>
          <w:szCs w:val="44"/>
        </w:rPr>
      </w:pPr>
    </w:p>
    <w:p w14:paraId="29294E39">
      <w:pPr>
        <w:spacing w:line="560" w:lineRule="exact"/>
        <w:jc w:val="center"/>
        <w:outlineLvl w:val="0"/>
        <w:rPr>
          <w:rFonts w:eastAsia="方正小标宋简体"/>
          <w:sz w:val="44"/>
          <w:szCs w:val="44"/>
        </w:rPr>
      </w:pPr>
    </w:p>
    <w:p w14:paraId="7B7E7D1A">
      <w:pPr>
        <w:pStyle w:val="2"/>
      </w:pPr>
    </w:p>
    <w:p w14:paraId="26B27846"/>
    <w:p w14:paraId="72A1FEFE">
      <w:pPr>
        <w:pStyle w:val="2"/>
      </w:pPr>
    </w:p>
    <w:p w14:paraId="26655872">
      <w:pPr>
        <w:spacing w:line="560" w:lineRule="exact"/>
        <w:jc w:val="both"/>
        <w:outlineLvl w:val="0"/>
        <w:rPr>
          <w:rFonts w:eastAsia="方正小标宋简体"/>
          <w:sz w:val="44"/>
          <w:szCs w:val="44"/>
        </w:rPr>
      </w:pPr>
    </w:p>
    <w:p w14:paraId="34F12D04">
      <w:pPr>
        <w:spacing w:line="560" w:lineRule="exact"/>
        <w:jc w:val="center"/>
        <w:outlineLvl w:val="0"/>
        <w:rPr>
          <w:rFonts w:eastAsia="方正小标宋简体"/>
        </w:rPr>
      </w:pPr>
      <w:r>
        <w:rPr>
          <w:rFonts w:eastAsia="方正小标宋简体"/>
          <w:sz w:val="44"/>
          <w:szCs w:val="44"/>
        </w:rPr>
        <w:t>第</w:t>
      </w:r>
      <w:r>
        <w:rPr>
          <w:rStyle w:val="193"/>
          <w:rFonts w:eastAsia="方正小标宋简体"/>
          <w:b w:val="0"/>
          <w:bCs w:val="0"/>
        </w:rPr>
        <w:t>五部分 附表</w:t>
      </w:r>
      <w:bookmarkEnd w:id="76"/>
      <w:bookmarkEnd w:id="77"/>
      <w:bookmarkEnd w:id="78"/>
    </w:p>
    <w:p w14:paraId="455D37F1">
      <w:pPr>
        <w:pStyle w:val="188"/>
        <w:spacing w:before="0" w:after="0" w:line="560" w:lineRule="exact"/>
        <w:outlineLvl w:val="9"/>
        <w:rPr>
          <w:rFonts w:ascii="Times New Roman" w:hAnsi="Times New Roman"/>
          <w:b w:val="0"/>
          <w:i w:val="0"/>
        </w:rPr>
      </w:pPr>
    </w:p>
    <w:p w14:paraId="41463F91">
      <w:pPr>
        <w:pStyle w:val="188"/>
        <w:spacing w:before="0" w:after="0" w:line="560" w:lineRule="exact"/>
        <w:rPr>
          <w:rFonts w:ascii="Times New Roman" w:hAnsi="Times New Roman"/>
          <w:b w:val="0"/>
          <w:i w:val="0"/>
        </w:rPr>
      </w:pPr>
      <w:bookmarkStart w:id="79" w:name="_Toc12137"/>
      <w:r>
        <w:rPr>
          <w:rFonts w:ascii="Times New Roman" w:hAnsi="Times New Roman"/>
          <w:b w:val="0"/>
          <w:i w:val="0"/>
        </w:rPr>
        <w:t>一、收</w:t>
      </w:r>
      <w:r>
        <w:rPr>
          <w:rStyle w:val="194"/>
          <w:rFonts w:ascii="Times New Roman" w:hAnsi="Times New Roman"/>
          <w:b w:val="0"/>
          <w:i w:val="0"/>
        </w:rPr>
        <w:t>入支出决算总表</w:t>
      </w:r>
      <w:bookmarkEnd w:id="79"/>
    </w:p>
    <w:p w14:paraId="0CE76E65">
      <w:pPr>
        <w:pStyle w:val="188"/>
        <w:spacing w:before="0" w:after="0" w:line="560" w:lineRule="exact"/>
        <w:rPr>
          <w:rFonts w:ascii="Times New Roman" w:hAnsi="Times New Roman"/>
          <w:b w:val="0"/>
          <w:i w:val="0"/>
        </w:rPr>
      </w:pPr>
      <w:bookmarkStart w:id="80" w:name="_Toc1841"/>
      <w:r>
        <w:rPr>
          <w:rFonts w:ascii="Times New Roman" w:hAnsi="Times New Roman"/>
          <w:b w:val="0"/>
          <w:i w:val="0"/>
        </w:rPr>
        <w:t>二、收</w:t>
      </w:r>
      <w:r>
        <w:rPr>
          <w:rStyle w:val="194"/>
          <w:rFonts w:ascii="Times New Roman" w:hAnsi="Times New Roman"/>
          <w:b w:val="0"/>
          <w:i w:val="0"/>
        </w:rPr>
        <w:t>入决算表</w:t>
      </w:r>
      <w:bookmarkEnd w:id="80"/>
    </w:p>
    <w:p w14:paraId="2E371CFF">
      <w:pPr>
        <w:pStyle w:val="188"/>
        <w:spacing w:before="0" w:after="0" w:line="560" w:lineRule="exact"/>
        <w:rPr>
          <w:rFonts w:ascii="Times New Roman" w:hAnsi="Times New Roman"/>
          <w:b w:val="0"/>
          <w:i w:val="0"/>
        </w:rPr>
      </w:pPr>
      <w:bookmarkStart w:id="81" w:name="_Toc10180"/>
      <w:r>
        <w:rPr>
          <w:rStyle w:val="194"/>
          <w:rFonts w:ascii="Times New Roman" w:hAnsi="Times New Roman"/>
          <w:b w:val="0"/>
          <w:i w:val="0"/>
        </w:rPr>
        <w:t>三、</w:t>
      </w:r>
      <w:r>
        <w:rPr>
          <w:rFonts w:ascii="Times New Roman" w:hAnsi="Times New Roman"/>
          <w:b w:val="0"/>
          <w:i w:val="0"/>
        </w:rPr>
        <w:t>支</w:t>
      </w:r>
      <w:r>
        <w:rPr>
          <w:rStyle w:val="194"/>
          <w:rFonts w:ascii="Times New Roman" w:hAnsi="Times New Roman"/>
          <w:b w:val="0"/>
          <w:i w:val="0"/>
        </w:rPr>
        <w:t>出决算表</w:t>
      </w:r>
      <w:bookmarkEnd w:id="81"/>
    </w:p>
    <w:p w14:paraId="3BEF1D04">
      <w:pPr>
        <w:pStyle w:val="188"/>
        <w:spacing w:before="0" w:after="0" w:line="560" w:lineRule="exact"/>
        <w:rPr>
          <w:rFonts w:ascii="Times New Roman" w:hAnsi="Times New Roman"/>
          <w:b w:val="0"/>
          <w:i w:val="0"/>
        </w:rPr>
      </w:pPr>
      <w:bookmarkStart w:id="82" w:name="_Toc32314"/>
      <w:r>
        <w:rPr>
          <w:rStyle w:val="194"/>
          <w:rFonts w:ascii="Times New Roman" w:hAnsi="Times New Roman"/>
          <w:b w:val="0"/>
          <w:i w:val="0"/>
        </w:rPr>
        <w:t>四、</w:t>
      </w:r>
      <w:r>
        <w:rPr>
          <w:rFonts w:ascii="Times New Roman" w:hAnsi="Times New Roman"/>
          <w:b w:val="0"/>
          <w:i w:val="0"/>
        </w:rPr>
        <w:t>财</w:t>
      </w:r>
      <w:r>
        <w:rPr>
          <w:rStyle w:val="194"/>
          <w:rFonts w:ascii="Times New Roman" w:hAnsi="Times New Roman"/>
          <w:b w:val="0"/>
          <w:i w:val="0"/>
        </w:rPr>
        <w:t>政拨款收入支出决算总表</w:t>
      </w:r>
      <w:bookmarkEnd w:id="82"/>
    </w:p>
    <w:p w14:paraId="2EE7AC0E">
      <w:pPr>
        <w:pStyle w:val="188"/>
        <w:spacing w:before="0" w:after="0" w:line="560" w:lineRule="exact"/>
        <w:rPr>
          <w:rStyle w:val="194"/>
          <w:rFonts w:ascii="Times New Roman" w:hAnsi="Times New Roman"/>
          <w:b w:val="0"/>
          <w:i w:val="0"/>
        </w:rPr>
      </w:pPr>
      <w:bookmarkStart w:id="83" w:name="_Toc637"/>
      <w:r>
        <w:rPr>
          <w:rStyle w:val="194"/>
          <w:rFonts w:ascii="Times New Roman" w:hAnsi="Times New Roman"/>
          <w:b w:val="0"/>
          <w:i w:val="0"/>
        </w:rPr>
        <w:t>五、</w:t>
      </w:r>
      <w:r>
        <w:rPr>
          <w:rFonts w:ascii="Times New Roman" w:hAnsi="Times New Roman"/>
          <w:b w:val="0"/>
          <w:i w:val="0"/>
        </w:rPr>
        <w:t>财</w:t>
      </w:r>
      <w:r>
        <w:rPr>
          <w:rStyle w:val="194"/>
          <w:rFonts w:ascii="Times New Roman" w:hAnsi="Times New Roman"/>
          <w:b w:val="0"/>
          <w:i w:val="0"/>
        </w:rPr>
        <w:t>政拨款支出决算明细表</w:t>
      </w:r>
      <w:bookmarkEnd w:id="83"/>
    </w:p>
    <w:p w14:paraId="5543459B">
      <w:pPr>
        <w:pStyle w:val="188"/>
        <w:spacing w:before="0" w:after="0" w:line="560" w:lineRule="exact"/>
        <w:rPr>
          <w:rFonts w:ascii="Times New Roman" w:hAnsi="Times New Roman"/>
          <w:b w:val="0"/>
          <w:i w:val="0"/>
        </w:rPr>
      </w:pPr>
      <w:bookmarkStart w:id="84" w:name="_Toc3636"/>
      <w:r>
        <w:rPr>
          <w:rStyle w:val="194"/>
          <w:rFonts w:ascii="Times New Roman" w:hAnsi="Times New Roman"/>
          <w:b w:val="0"/>
          <w:i w:val="0"/>
        </w:rPr>
        <w:t>六、</w:t>
      </w:r>
      <w:r>
        <w:rPr>
          <w:rFonts w:ascii="Times New Roman" w:hAnsi="Times New Roman"/>
          <w:b w:val="0"/>
          <w:i w:val="0"/>
        </w:rPr>
        <w:t>一</w:t>
      </w:r>
      <w:r>
        <w:rPr>
          <w:rStyle w:val="194"/>
          <w:rFonts w:ascii="Times New Roman" w:hAnsi="Times New Roman"/>
          <w:b w:val="0"/>
          <w:i w:val="0"/>
        </w:rPr>
        <w:t>般公共预算财政拨款支出决算表</w:t>
      </w:r>
      <w:bookmarkEnd w:id="84"/>
    </w:p>
    <w:p w14:paraId="18140A50">
      <w:pPr>
        <w:pStyle w:val="188"/>
        <w:spacing w:before="0" w:after="0" w:line="560" w:lineRule="exact"/>
        <w:rPr>
          <w:rFonts w:ascii="Times New Roman" w:hAnsi="Times New Roman"/>
          <w:b w:val="0"/>
          <w:i w:val="0"/>
        </w:rPr>
      </w:pPr>
      <w:bookmarkStart w:id="85" w:name="_Toc21307"/>
      <w:r>
        <w:rPr>
          <w:rStyle w:val="194"/>
          <w:rFonts w:ascii="Times New Roman" w:hAnsi="Times New Roman"/>
          <w:b w:val="0"/>
          <w:i w:val="0"/>
        </w:rPr>
        <w:t>七、</w:t>
      </w:r>
      <w:r>
        <w:rPr>
          <w:rFonts w:ascii="Times New Roman" w:hAnsi="Times New Roman"/>
          <w:b w:val="0"/>
          <w:i w:val="0"/>
        </w:rPr>
        <w:t>一</w:t>
      </w:r>
      <w:r>
        <w:rPr>
          <w:rStyle w:val="194"/>
          <w:rFonts w:ascii="Times New Roman" w:hAnsi="Times New Roman"/>
          <w:b w:val="0"/>
          <w:i w:val="0"/>
        </w:rPr>
        <w:t>般公共预算财政拨款支出决算明细表</w:t>
      </w:r>
      <w:bookmarkEnd w:id="85"/>
    </w:p>
    <w:p w14:paraId="06D0EB5F">
      <w:pPr>
        <w:pStyle w:val="188"/>
        <w:spacing w:before="0" w:after="0" w:line="560" w:lineRule="exact"/>
        <w:rPr>
          <w:rFonts w:ascii="Times New Roman" w:hAnsi="Times New Roman"/>
          <w:b w:val="0"/>
          <w:i w:val="0"/>
        </w:rPr>
      </w:pPr>
      <w:bookmarkStart w:id="86" w:name="_Toc30350"/>
      <w:r>
        <w:rPr>
          <w:rStyle w:val="194"/>
          <w:rFonts w:ascii="Times New Roman" w:hAnsi="Times New Roman"/>
          <w:b w:val="0"/>
          <w:i w:val="0"/>
        </w:rPr>
        <w:t>八、</w:t>
      </w:r>
      <w:r>
        <w:rPr>
          <w:rFonts w:ascii="Times New Roman" w:hAnsi="Times New Roman"/>
          <w:b w:val="0"/>
          <w:i w:val="0"/>
        </w:rPr>
        <w:t>一</w:t>
      </w:r>
      <w:r>
        <w:rPr>
          <w:rStyle w:val="194"/>
          <w:rFonts w:ascii="Times New Roman" w:hAnsi="Times New Roman"/>
          <w:b w:val="0"/>
          <w:i w:val="0"/>
        </w:rPr>
        <w:t>般公共预算财政拨款基本支出决算表</w:t>
      </w:r>
      <w:bookmarkEnd w:id="86"/>
    </w:p>
    <w:p w14:paraId="06459DA3">
      <w:pPr>
        <w:pStyle w:val="188"/>
        <w:spacing w:before="0" w:after="0" w:line="560" w:lineRule="exact"/>
        <w:rPr>
          <w:rFonts w:ascii="Times New Roman" w:hAnsi="Times New Roman"/>
          <w:b w:val="0"/>
          <w:i w:val="0"/>
        </w:rPr>
      </w:pPr>
      <w:bookmarkStart w:id="87" w:name="_Toc29843"/>
      <w:r>
        <w:rPr>
          <w:rStyle w:val="194"/>
          <w:rFonts w:ascii="Times New Roman" w:hAnsi="Times New Roman"/>
          <w:b w:val="0"/>
          <w:i w:val="0"/>
        </w:rPr>
        <w:t>九、</w:t>
      </w:r>
      <w:r>
        <w:rPr>
          <w:rFonts w:ascii="Times New Roman" w:hAnsi="Times New Roman"/>
          <w:b w:val="0"/>
          <w:i w:val="0"/>
        </w:rPr>
        <w:t>一</w:t>
      </w:r>
      <w:r>
        <w:rPr>
          <w:rStyle w:val="194"/>
          <w:rFonts w:ascii="Times New Roman" w:hAnsi="Times New Roman"/>
          <w:b w:val="0"/>
          <w:i w:val="0"/>
        </w:rPr>
        <w:t>般公共预算财政拨款项目支出决算表</w:t>
      </w:r>
      <w:bookmarkEnd w:id="87"/>
    </w:p>
    <w:p w14:paraId="4DC82906">
      <w:pPr>
        <w:pStyle w:val="188"/>
        <w:spacing w:before="0" w:after="0" w:line="560" w:lineRule="exact"/>
        <w:rPr>
          <w:rFonts w:ascii="Times New Roman" w:hAnsi="Times New Roman"/>
          <w:b w:val="0"/>
          <w:i w:val="0"/>
        </w:rPr>
      </w:pPr>
      <w:bookmarkStart w:id="88" w:name="_Toc17657"/>
      <w:r>
        <w:rPr>
          <w:rStyle w:val="194"/>
          <w:rFonts w:ascii="Times New Roman" w:hAnsi="Times New Roman"/>
          <w:b w:val="0"/>
          <w:i w:val="0"/>
        </w:rPr>
        <w:t>十、</w:t>
      </w:r>
      <w:r>
        <w:rPr>
          <w:rFonts w:ascii="Times New Roman" w:hAnsi="Times New Roman"/>
          <w:b w:val="0"/>
          <w:i w:val="0"/>
        </w:rPr>
        <w:t>政</w:t>
      </w:r>
      <w:r>
        <w:rPr>
          <w:rStyle w:val="194"/>
          <w:rFonts w:ascii="Times New Roman" w:hAnsi="Times New Roman"/>
          <w:b w:val="0"/>
          <w:i w:val="0"/>
        </w:rPr>
        <w:t>府性基金预算财政拨款收入支出决算表</w:t>
      </w:r>
      <w:bookmarkEnd w:id="88"/>
    </w:p>
    <w:p w14:paraId="244AA233">
      <w:pPr>
        <w:pStyle w:val="188"/>
        <w:spacing w:before="0" w:after="0" w:line="560" w:lineRule="exact"/>
        <w:rPr>
          <w:rFonts w:ascii="Times New Roman" w:hAnsi="Times New Roman"/>
          <w:b w:val="0"/>
          <w:i w:val="0"/>
        </w:rPr>
      </w:pPr>
      <w:bookmarkStart w:id="89" w:name="_Toc11540"/>
      <w:r>
        <w:rPr>
          <w:rStyle w:val="194"/>
          <w:rFonts w:ascii="Times New Roman" w:hAnsi="Times New Roman"/>
          <w:b w:val="0"/>
          <w:i w:val="0"/>
        </w:rPr>
        <w:t>十一、</w:t>
      </w:r>
      <w:r>
        <w:rPr>
          <w:rFonts w:ascii="Times New Roman" w:hAnsi="Times New Roman"/>
          <w:b w:val="0"/>
          <w:i w:val="0"/>
        </w:rPr>
        <w:t>国</w:t>
      </w:r>
      <w:r>
        <w:rPr>
          <w:rStyle w:val="194"/>
          <w:rFonts w:ascii="Times New Roman" w:hAnsi="Times New Roman"/>
          <w:b w:val="0"/>
          <w:i w:val="0"/>
        </w:rPr>
        <w:t>有资本经营预算财政拨款收入支出决算表</w:t>
      </w:r>
      <w:bookmarkEnd w:id="89"/>
    </w:p>
    <w:p w14:paraId="005EA6A3">
      <w:pPr>
        <w:pStyle w:val="188"/>
        <w:spacing w:before="0" w:after="0" w:line="560" w:lineRule="exact"/>
        <w:rPr>
          <w:rFonts w:ascii="Times New Roman" w:hAnsi="Times New Roman"/>
          <w:b w:val="0"/>
          <w:i w:val="0"/>
        </w:rPr>
      </w:pPr>
      <w:bookmarkStart w:id="90" w:name="_Toc32462"/>
      <w:r>
        <w:rPr>
          <w:rStyle w:val="194"/>
          <w:rFonts w:ascii="Times New Roman" w:hAnsi="Times New Roman"/>
          <w:b w:val="0"/>
          <w:i w:val="0"/>
        </w:rPr>
        <w:t>十二、国有资本经营预算财政拨款支出决算表</w:t>
      </w:r>
      <w:bookmarkEnd w:id="90"/>
    </w:p>
    <w:p w14:paraId="617FE0D9">
      <w:pPr>
        <w:pStyle w:val="188"/>
        <w:spacing w:before="0" w:after="0" w:line="560" w:lineRule="exact"/>
        <w:rPr>
          <w:rStyle w:val="194"/>
          <w:rFonts w:ascii="Times New Roman" w:hAnsi="Times New Roman"/>
          <w:b w:val="0"/>
          <w:i w:val="0"/>
        </w:rPr>
      </w:pPr>
      <w:bookmarkStart w:id="91" w:name="_Toc27058"/>
      <w:r>
        <w:rPr>
          <w:rStyle w:val="194"/>
          <w:rFonts w:ascii="Times New Roman" w:hAnsi="Times New Roman"/>
          <w:b w:val="0"/>
          <w:i w:val="0"/>
        </w:rPr>
        <w:t>十三、财政拨款“三公”经费支出决算表</w:t>
      </w:r>
      <w:bookmarkEnd w:id="91"/>
    </w:p>
    <w:p w14:paraId="5F41572C">
      <w:pPr>
        <w:spacing w:line="540" w:lineRule="exact"/>
      </w:pPr>
    </w:p>
    <w:p w14:paraId="215B37B6">
      <w:pPr>
        <w:tabs>
          <w:tab w:val="left" w:pos="970"/>
        </w:tabs>
        <w:spacing w:line="20" w:lineRule="exact"/>
        <w:jc w:val="left"/>
      </w:pPr>
      <w:r>
        <w:tab/>
      </w:r>
    </w:p>
    <w:p w14:paraId="47E05A31">
      <w:pPr>
        <w:spacing w:line="20" w:lineRule="exact"/>
        <w:jc w:val="left"/>
      </w:pPr>
    </w:p>
    <w:sectPr>
      <w:footerReference r:id="rId5" w:type="default"/>
      <w:pgSz w:w="11906" w:h="16838" w:orient="landscape"/>
      <w:pgMar w:top="1803" w:right="1440" w:bottom="1803" w:left="1440" w:header="851" w:footer="1701" w:gutter="0"/>
      <w:pgNumType w:fmt="decimal"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0CE37">
    <w:pPr>
      <w:pStyle w:val="20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CDD47">
    <w:pPr>
      <w:pStyle w:val="20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2B81C5A">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05lAUxgEAAKgDAAAOAAAAAAAAAAEAIAAAAB4BAABkcnMvZTJvRG9jLnht&#10;bFBLBQYAAAAABgAGAFkBAABWBQAAAAA=&#10;">
              <v:fill on="f" focussize="0,0"/>
              <v:stroke on="f"/>
              <v:imagedata o:title=""/>
              <o:lock v:ext="edit" aspectratio="f"/>
              <v:textbox inset="0mm,0mm,0mm,0mm" style="mso-fit-shape-to-text:t;">
                <w:txbxContent>
                  <w:p w14:paraId="72B81C5A">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112C">
    <w:pPr>
      <w:pStyle w:val="20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D36DF"/>
    <w:multiLevelType w:val="multilevel"/>
    <w:tmpl w:val="9A0D36DF"/>
    <w:lvl w:ilvl="0" w:tentative="0">
      <w:start w:val="1"/>
      <w:numFmt w:val="decimal"/>
      <w:pStyle w:val="195"/>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99922BD"/>
    <w:multiLevelType w:val="singleLevel"/>
    <w:tmpl w:val="099922BD"/>
    <w:lvl w:ilvl="0" w:tentative="0">
      <w:start w:val="1"/>
      <w:numFmt w:val="decimal"/>
      <w:suff w:val="nothing"/>
      <w:lvlText w:val="%1、"/>
      <w:lvlJc w:val="left"/>
    </w:lvl>
  </w:abstractNum>
  <w:abstractNum w:abstractNumId="2">
    <w:nsid w:val="3E580301"/>
    <w:multiLevelType w:val="singleLevel"/>
    <w:tmpl w:val="3E580301"/>
    <w:lvl w:ilvl="0" w:tentative="0">
      <w:start w:val="1"/>
      <w:numFmt w:val="chineseCounting"/>
      <w:suff w:val="space"/>
      <w:lvlText w:val="第%1部分"/>
      <w:lvlJc w:val="left"/>
      <w:rPr>
        <w:rFonts w:hint="eastAsia"/>
      </w:rPr>
    </w:lvl>
  </w:abstractNum>
  <w:abstractNum w:abstractNumId="3">
    <w:nsid w:val="6F9110A5"/>
    <w:multiLevelType w:val="singleLevel"/>
    <w:tmpl w:val="6F9110A5"/>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mirrorMargin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74BB5"/>
    <w:rsid w:val="04BA0275"/>
    <w:rsid w:val="058A40EC"/>
    <w:rsid w:val="06F00765"/>
    <w:rsid w:val="08184C06"/>
    <w:rsid w:val="09290516"/>
    <w:rsid w:val="09ED7DD4"/>
    <w:rsid w:val="0BC84275"/>
    <w:rsid w:val="0BFD5F76"/>
    <w:rsid w:val="0CD520F0"/>
    <w:rsid w:val="0DBA04C0"/>
    <w:rsid w:val="0E7B2B5B"/>
    <w:rsid w:val="101E2E2C"/>
    <w:rsid w:val="1319019E"/>
    <w:rsid w:val="13DE1D44"/>
    <w:rsid w:val="176533C3"/>
    <w:rsid w:val="19A3239E"/>
    <w:rsid w:val="1A5664B6"/>
    <w:rsid w:val="1ADA6A98"/>
    <w:rsid w:val="1C0310BC"/>
    <w:rsid w:val="1C7A01C9"/>
    <w:rsid w:val="1E2834BA"/>
    <w:rsid w:val="20F31F64"/>
    <w:rsid w:val="22D4654E"/>
    <w:rsid w:val="23053632"/>
    <w:rsid w:val="24316B30"/>
    <w:rsid w:val="257C4A29"/>
    <w:rsid w:val="29525EA3"/>
    <w:rsid w:val="35417A73"/>
    <w:rsid w:val="36D16422"/>
    <w:rsid w:val="37A662B4"/>
    <w:rsid w:val="38F01E4F"/>
    <w:rsid w:val="3AC57F93"/>
    <w:rsid w:val="3AF143FE"/>
    <w:rsid w:val="3E8D747B"/>
    <w:rsid w:val="400E49F6"/>
    <w:rsid w:val="40F63E08"/>
    <w:rsid w:val="42081652"/>
    <w:rsid w:val="422F00CF"/>
    <w:rsid w:val="43CF47AC"/>
    <w:rsid w:val="476926E3"/>
    <w:rsid w:val="47745A86"/>
    <w:rsid w:val="47B90762"/>
    <w:rsid w:val="493233E7"/>
    <w:rsid w:val="49FE60BB"/>
    <w:rsid w:val="4AF3760A"/>
    <w:rsid w:val="4CA13391"/>
    <w:rsid w:val="4D2C698A"/>
    <w:rsid w:val="4D4C24F6"/>
    <w:rsid w:val="51874608"/>
    <w:rsid w:val="55627866"/>
    <w:rsid w:val="5568451C"/>
    <w:rsid w:val="5588094F"/>
    <w:rsid w:val="55F66444"/>
    <w:rsid w:val="565642D8"/>
    <w:rsid w:val="57AE668F"/>
    <w:rsid w:val="58164DA8"/>
    <w:rsid w:val="594A2AEB"/>
    <w:rsid w:val="5A8F4E91"/>
    <w:rsid w:val="5ABC3575"/>
    <w:rsid w:val="5B1805F3"/>
    <w:rsid w:val="5D705170"/>
    <w:rsid w:val="5E6A2E85"/>
    <w:rsid w:val="604971B2"/>
    <w:rsid w:val="615628BC"/>
    <w:rsid w:val="634515E0"/>
    <w:rsid w:val="648624EA"/>
    <w:rsid w:val="65570839"/>
    <w:rsid w:val="67670D0C"/>
    <w:rsid w:val="69057CA3"/>
    <w:rsid w:val="6A6822FD"/>
    <w:rsid w:val="6ADA50BE"/>
    <w:rsid w:val="6EAB3BD4"/>
    <w:rsid w:val="6F6049BF"/>
    <w:rsid w:val="711870ED"/>
    <w:rsid w:val="75B75822"/>
    <w:rsid w:val="75FC6AC3"/>
    <w:rsid w:val="78495F24"/>
    <w:rsid w:val="78885797"/>
    <w:rsid w:val="78AE63F0"/>
    <w:rsid w:val="78F4247E"/>
    <w:rsid w:val="79686EA8"/>
    <w:rsid w:val="7D1E37C3"/>
    <w:rsid w:val="7E2013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12"/>
    <w:qFormat/>
    <w:uiPriority w:val="0"/>
    <w:pPr>
      <w:widowControl w:val="0"/>
      <w:jc w:val="both"/>
    </w:pPr>
    <w:rPr>
      <w:rFonts w:hint="default" w:ascii="Calibri" w:hAnsi="Calibri" w:eastAsia="仿宋_GB2312" w:cs="Times New Roman"/>
      <w:sz w:val="32"/>
      <w:szCs w:val="24"/>
      <w:lang w:val="en-US" w:eastAsia="zh-CN" w:bidi="ar-SA"/>
    </w:rPr>
  </w:style>
  <w:style w:type="paragraph" w:styleId="3">
    <w:name w:val="heading 1"/>
    <w:basedOn w:val="1"/>
    <w:next w:val="1"/>
    <w:link w:val="39"/>
    <w:qFormat/>
    <w:uiPriority w:val="9"/>
    <w:pPr>
      <w:keepNext/>
      <w:keepLines/>
      <w:spacing w:before="480" w:after="200"/>
      <w:outlineLvl w:val="0"/>
    </w:pPr>
    <w:rPr>
      <w:rFonts w:ascii="等线" w:hAnsi="等线" w:eastAsia="等线" w:cs="等线"/>
      <w:sz w:val="40"/>
      <w:szCs w:val="40"/>
    </w:rPr>
  </w:style>
  <w:style w:type="paragraph" w:styleId="2">
    <w:name w:val="heading 2"/>
    <w:basedOn w:val="1"/>
    <w:next w:val="1"/>
    <w:link w:val="40"/>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41"/>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2"/>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3"/>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4"/>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5"/>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6"/>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7"/>
    <w:unhideWhenUsed/>
    <w:qFormat/>
    <w:uiPriority w:val="9"/>
    <w:pPr>
      <w:keepNext/>
      <w:keepLines/>
      <w:spacing w:before="320" w:after="200"/>
      <w:outlineLvl w:val="8"/>
    </w:pPr>
    <w:rPr>
      <w:rFonts w:ascii="等线" w:hAnsi="等线" w:eastAsia="等线" w:cs="等线"/>
      <w:i/>
      <w:iCs/>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semiHidden/>
    <w:unhideWhenUsed/>
    <w:uiPriority w:val="99"/>
    <w:pPr>
      <w:jc w:val="left"/>
    </w:pPr>
  </w:style>
  <w:style w:type="paragraph" w:styleId="14">
    <w:name w:val="Body Text"/>
    <w:basedOn w:val="1"/>
    <w:next w:val="15"/>
    <w:qFormat/>
    <w:uiPriority w:val="0"/>
    <w:rPr>
      <w:sz w:val="32"/>
      <w:szCs w:val="32"/>
    </w:rPr>
  </w:style>
  <w:style w:type="paragraph" w:customStyle="1" w:styleId="15">
    <w:name w:val="正文文本缩进1"/>
    <w:basedOn w:val="1"/>
    <w:qFormat/>
    <w:uiPriority w:val="0"/>
    <w:pPr>
      <w:spacing w:after="120"/>
    </w:pPr>
    <w:rPr>
      <w:rFonts w:ascii="仿宋_GB2312"/>
      <w:szCs w:val="32"/>
    </w:rPr>
  </w:style>
  <w:style w:type="paragraph" w:styleId="16">
    <w:name w:val="Body Text Indent"/>
    <w:basedOn w:val="1"/>
    <w:next w:val="17"/>
    <w:qFormat/>
    <w:uiPriority w:val="0"/>
    <w:pPr>
      <w:spacing w:after="120"/>
      <w:ind w:leftChars="200"/>
    </w:pPr>
    <w:rPr>
      <w:rFonts w:ascii="仿宋_GB2312"/>
      <w:szCs w:val="32"/>
    </w:rPr>
  </w:style>
  <w:style w:type="paragraph" w:styleId="17">
    <w:name w:val="Body Text First Indent 2"/>
    <w:basedOn w:val="16"/>
    <w:unhideWhenUsed/>
    <w:qFormat/>
    <w:uiPriority w:val="99"/>
    <w:pPr>
      <w:ind w:firstLine="420" w:firstLineChars="200"/>
    </w:p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toc 8"/>
    <w:basedOn w:val="1"/>
    <w:next w:val="1"/>
    <w:unhideWhenUsed/>
    <w:qFormat/>
    <w:uiPriority w:val="39"/>
    <w:pPr>
      <w:spacing w:after="57"/>
      <w:ind w:left="1984" w:right="0" w:firstLine="0"/>
    </w:pPr>
  </w:style>
  <w:style w:type="paragraph" w:styleId="21">
    <w:name w:val="endnote text"/>
    <w:basedOn w:val="1"/>
    <w:link w:val="185"/>
    <w:semiHidden/>
    <w:unhideWhenUsed/>
    <w:qFormat/>
    <w:uiPriority w:val="99"/>
    <w:pPr>
      <w:spacing w:after="0" w:line="240" w:lineRule="auto"/>
    </w:pPr>
    <w:rPr>
      <w:sz w:val="20"/>
    </w:rPr>
  </w:style>
  <w:style w:type="paragraph" w:styleId="22">
    <w:name w:val="footer"/>
    <w:basedOn w:val="1"/>
    <w:link w:val="58"/>
    <w:unhideWhenUsed/>
    <w:qFormat/>
    <w:uiPriority w:val="99"/>
    <w:pPr>
      <w:tabs>
        <w:tab w:val="center" w:pos="7143"/>
        <w:tab w:val="right" w:pos="14287"/>
      </w:tabs>
      <w:spacing w:after="0" w:line="240" w:lineRule="auto"/>
    </w:pPr>
  </w:style>
  <w:style w:type="paragraph" w:styleId="23">
    <w:name w:val="header"/>
    <w:basedOn w:val="1"/>
    <w:link w:val="56"/>
    <w:unhideWhenUsed/>
    <w:qFormat/>
    <w:uiPriority w:val="99"/>
    <w:pPr>
      <w:tabs>
        <w:tab w:val="center" w:pos="7143"/>
        <w:tab w:val="right" w:pos="14287"/>
      </w:tabs>
      <w:spacing w:after="0" w:line="240" w:lineRule="auto"/>
    </w:pPr>
  </w:style>
  <w:style w:type="paragraph" w:styleId="24">
    <w:name w:val="toc 1"/>
    <w:basedOn w:val="1"/>
    <w:next w:val="1"/>
    <w:unhideWhenUsed/>
    <w:qFormat/>
    <w:uiPriority w:val="39"/>
    <w:pPr>
      <w:spacing w:after="57"/>
      <w:ind w:left="0" w:right="0" w:firstLine="0"/>
    </w:pPr>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51"/>
    <w:qFormat/>
    <w:uiPriority w:val="11"/>
    <w:pPr>
      <w:spacing w:before="200" w:after="200"/>
    </w:pPr>
    <w:rPr>
      <w:sz w:val="24"/>
      <w:szCs w:val="24"/>
    </w:rPr>
  </w:style>
  <w:style w:type="paragraph" w:styleId="27">
    <w:name w:val="footnote text"/>
    <w:basedOn w:val="1"/>
    <w:next w:val="17"/>
    <w:link w:val="184"/>
    <w:semiHidden/>
    <w:unhideWhenUsed/>
    <w:qFormat/>
    <w:uiPriority w:val="99"/>
    <w:pPr>
      <w:spacing w:after="40" w:line="240" w:lineRule="auto"/>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57"/>
      <w:ind w:left="283" w:right="0" w:firstLine="0"/>
    </w:pPr>
  </w:style>
  <w:style w:type="paragraph" w:styleId="31">
    <w:name w:val="toc 9"/>
    <w:basedOn w:val="1"/>
    <w:next w:val="1"/>
    <w:unhideWhenUsed/>
    <w:qFormat/>
    <w:uiPriority w:val="39"/>
    <w:pPr>
      <w:spacing w:after="57"/>
      <w:ind w:left="2268" w:right="0" w:firstLine="0"/>
    </w:pPr>
  </w:style>
  <w:style w:type="paragraph" w:styleId="32">
    <w:name w:val="Title"/>
    <w:basedOn w:val="1"/>
    <w:next w:val="1"/>
    <w:link w:val="50"/>
    <w:qFormat/>
    <w:uiPriority w:val="10"/>
    <w:pPr>
      <w:spacing w:before="300" w:after="200"/>
      <w:contextualSpacing/>
    </w:pPr>
    <w:rPr>
      <w:sz w:val="48"/>
      <w:szCs w:val="48"/>
    </w:rPr>
  </w:style>
  <w:style w:type="table" w:styleId="34">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6">
    <w:name w:val="endnote reference"/>
    <w:semiHidden/>
    <w:unhideWhenUsed/>
    <w:qFormat/>
    <w:uiPriority w:val="99"/>
    <w:rPr>
      <w:vertAlign w:val="superscript"/>
    </w:rPr>
  </w:style>
  <w:style w:type="character" w:styleId="37">
    <w:name w:val="Hyperlink"/>
    <w:unhideWhenUsed/>
    <w:qFormat/>
    <w:uiPriority w:val="99"/>
    <w:rPr>
      <w:color w:val="0000FF" w:themeColor="hyperlink"/>
      <w:u w:val="single"/>
      <w14:textFill>
        <w14:solidFill>
          <w14:schemeClr w14:val="hlink"/>
        </w14:solidFill>
      </w14:textFill>
    </w:rPr>
  </w:style>
  <w:style w:type="character" w:styleId="38">
    <w:name w:val="footnote reference"/>
    <w:unhideWhenUsed/>
    <w:qFormat/>
    <w:uiPriority w:val="99"/>
    <w:rPr>
      <w:vertAlign w:val="superscript"/>
    </w:rPr>
  </w:style>
  <w:style w:type="character" w:customStyle="1" w:styleId="39">
    <w:name w:val="Heading 1 Char"/>
    <w:link w:val="3"/>
    <w:qFormat/>
    <w:uiPriority w:val="9"/>
    <w:rPr>
      <w:rFonts w:ascii="等线" w:hAnsi="等线" w:eastAsia="等线" w:cs="等线"/>
      <w:sz w:val="40"/>
      <w:szCs w:val="40"/>
    </w:rPr>
  </w:style>
  <w:style w:type="character" w:customStyle="1" w:styleId="40">
    <w:name w:val="Heading 2 Char"/>
    <w:link w:val="2"/>
    <w:qFormat/>
    <w:uiPriority w:val="9"/>
    <w:rPr>
      <w:rFonts w:ascii="等线" w:hAnsi="等线" w:eastAsia="等线" w:cs="等线"/>
      <w:sz w:val="34"/>
    </w:rPr>
  </w:style>
  <w:style w:type="character" w:customStyle="1" w:styleId="41">
    <w:name w:val="Heading 3 Char"/>
    <w:link w:val="4"/>
    <w:qFormat/>
    <w:uiPriority w:val="9"/>
    <w:rPr>
      <w:rFonts w:ascii="等线" w:hAnsi="等线" w:eastAsia="等线" w:cs="等线"/>
      <w:sz w:val="30"/>
      <w:szCs w:val="30"/>
    </w:rPr>
  </w:style>
  <w:style w:type="character" w:customStyle="1" w:styleId="42">
    <w:name w:val="Heading 4 Char"/>
    <w:link w:val="5"/>
    <w:qFormat/>
    <w:uiPriority w:val="9"/>
    <w:rPr>
      <w:rFonts w:ascii="等线" w:hAnsi="等线" w:eastAsia="等线" w:cs="等线"/>
      <w:b/>
      <w:bCs/>
      <w:sz w:val="26"/>
      <w:szCs w:val="26"/>
    </w:rPr>
  </w:style>
  <w:style w:type="character" w:customStyle="1" w:styleId="43">
    <w:name w:val="Heading 5 Char"/>
    <w:link w:val="6"/>
    <w:qFormat/>
    <w:uiPriority w:val="9"/>
    <w:rPr>
      <w:rFonts w:ascii="等线" w:hAnsi="等线" w:eastAsia="等线" w:cs="等线"/>
      <w:b/>
      <w:bCs/>
      <w:sz w:val="24"/>
      <w:szCs w:val="24"/>
    </w:rPr>
  </w:style>
  <w:style w:type="character" w:customStyle="1" w:styleId="44">
    <w:name w:val="Heading 6 Char"/>
    <w:link w:val="7"/>
    <w:qFormat/>
    <w:uiPriority w:val="9"/>
    <w:rPr>
      <w:rFonts w:ascii="等线" w:hAnsi="等线" w:eastAsia="等线" w:cs="等线"/>
      <w:b/>
      <w:bCs/>
      <w:sz w:val="22"/>
      <w:szCs w:val="22"/>
    </w:rPr>
  </w:style>
  <w:style w:type="character" w:customStyle="1" w:styleId="45">
    <w:name w:val="Heading 7 Char"/>
    <w:link w:val="8"/>
    <w:qFormat/>
    <w:uiPriority w:val="9"/>
    <w:rPr>
      <w:rFonts w:ascii="等线" w:hAnsi="等线" w:eastAsia="等线" w:cs="等线"/>
      <w:b/>
      <w:bCs/>
      <w:i/>
      <w:iCs/>
      <w:sz w:val="22"/>
      <w:szCs w:val="22"/>
    </w:rPr>
  </w:style>
  <w:style w:type="character" w:customStyle="1" w:styleId="46">
    <w:name w:val="Heading 8 Char"/>
    <w:link w:val="9"/>
    <w:qFormat/>
    <w:uiPriority w:val="9"/>
    <w:rPr>
      <w:rFonts w:ascii="等线" w:hAnsi="等线" w:eastAsia="等线" w:cs="等线"/>
      <w:i/>
      <w:iCs/>
      <w:sz w:val="22"/>
      <w:szCs w:val="22"/>
    </w:rPr>
  </w:style>
  <w:style w:type="character" w:customStyle="1" w:styleId="47">
    <w:name w:val="Heading 9 Char"/>
    <w:link w:val="10"/>
    <w:qFormat/>
    <w:uiPriority w:val="9"/>
    <w:rPr>
      <w:rFonts w:ascii="等线" w:hAnsi="等线" w:eastAsia="等线" w:cs="等线"/>
      <w:i/>
      <w:iCs/>
      <w:sz w:val="21"/>
      <w:szCs w:val="21"/>
    </w:rPr>
  </w:style>
  <w:style w:type="paragraph" w:styleId="48">
    <w:name w:val="List Paragraph"/>
    <w:basedOn w:val="1"/>
    <w:qFormat/>
    <w:uiPriority w:val="34"/>
    <w:pPr>
      <w:ind w:left="720"/>
      <w:contextualSpacing/>
    </w:pPr>
  </w:style>
  <w:style w:type="paragraph" w:styleId="49">
    <w:name w:val="No Spacing"/>
    <w:qFormat/>
    <w:uiPriority w:val="1"/>
    <w:pPr>
      <w:spacing w:before="0" w:after="0" w:line="240" w:lineRule="auto"/>
    </w:pPr>
    <w:rPr>
      <w:rFonts w:hint="default" w:ascii="Calibri" w:hAnsi="Calibri" w:eastAsia="宋体" w:cs="Times New Roman"/>
    </w:rPr>
  </w:style>
  <w:style w:type="character" w:customStyle="1" w:styleId="50">
    <w:name w:val="Title Char"/>
    <w:link w:val="32"/>
    <w:qFormat/>
    <w:uiPriority w:val="10"/>
    <w:rPr>
      <w:sz w:val="48"/>
      <w:szCs w:val="48"/>
    </w:rPr>
  </w:style>
  <w:style w:type="character" w:customStyle="1" w:styleId="51">
    <w:name w:val="Subtitle Char"/>
    <w:link w:val="26"/>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Quote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5">
    <w:name w:val="Intense Quote Char"/>
    <w:link w:val="54"/>
    <w:qFormat/>
    <w:uiPriority w:val="30"/>
    <w:rPr>
      <w:i/>
    </w:rPr>
  </w:style>
  <w:style w:type="character" w:customStyle="1" w:styleId="56">
    <w:name w:val="Header Char"/>
    <w:link w:val="23"/>
    <w:qFormat/>
    <w:uiPriority w:val="99"/>
  </w:style>
  <w:style w:type="character" w:customStyle="1" w:styleId="57">
    <w:name w:val="Footer Char"/>
    <w:link w:val="22"/>
    <w:qFormat/>
    <w:uiPriority w:val="99"/>
  </w:style>
  <w:style w:type="character" w:customStyle="1" w:styleId="58">
    <w:name w:val="Caption Char"/>
    <w:link w:val="22"/>
    <w:qFormat/>
    <w:uiPriority w:val="99"/>
  </w:style>
  <w:style w:type="table" w:customStyle="1" w:styleId="59">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0">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2">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3">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4">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5">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6">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7">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8">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9">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70">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71">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72">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3">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4">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5">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6">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7">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8">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9">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0">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1">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2">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3">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4">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5">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6">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7">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8">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9">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0">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1">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2">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3">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4">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5">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6">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7">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8">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9">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00">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7">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8">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9">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0">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1">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2">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3">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4">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5">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6">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7">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8">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9">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0">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1">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2">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3">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4">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5">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6">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7">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8">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9">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0">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31">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32">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3">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4">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5">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6">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7">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8">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9">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0">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1">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2">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3">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4">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5">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6">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7">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8">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9">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0">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7">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8">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9">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0">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1">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2">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3">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4">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5">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6">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7">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8">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9">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0">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1">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2">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3">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4">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5">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6">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7">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8">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9">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80">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81">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82">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3">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4">
    <w:name w:val="Footnote Text Char"/>
    <w:link w:val="27"/>
    <w:qFormat/>
    <w:uiPriority w:val="99"/>
    <w:rPr>
      <w:sz w:val="18"/>
    </w:rPr>
  </w:style>
  <w:style w:type="character" w:customStyle="1" w:styleId="185">
    <w:name w:val="Endnote Text Char"/>
    <w:link w:val="21"/>
    <w:qFormat/>
    <w:uiPriority w:val="99"/>
    <w:rPr>
      <w:sz w:val="20"/>
    </w:rPr>
  </w:style>
  <w:style w:type="paragraph" w:customStyle="1" w:styleId="186">
    <w:name w:val="TOC Heading"/>
    <w:unhideWhenUsed/>
    <w:qFormat/>
    <w:uiPriority w:val="39"/>
    <w:rPr>
      <w:rFonts w:hint="default" w:ascii="Calibri" w:hAnsi="Calibri" w:eastAsia="宋体" w:cs="Times New Roman"/>
    </w:rPr>
  </w:style>
  <w:style w:type="paragraph" w:customStyle="1" w:styleId="187">
    <w:name w:val="标题 11"/>
    <w:basedOn w:val="1"/>
    <w:next w:val="1"/>
    <w:link w:val="193"/>
    <w:qFormat/>
    <w:uiPriority w:val="0"/>
    <w:pPr>
      <w:keepNext/>
      <w:keepLines/>
      <w:spacing w:before="340" w:after="330" w:line="578" w:lineRule="auto"/>
      <w:outlineLvl w:val="0"/>
    </w:pPr>
    <w:rPr>
      <w:b/>
      <w:bCs/>
      <w:sz w:val="44"/>
      <w:szCs w:val="44"/>
    </w:rPr>
  </w:style>
  <w:style w:type="paragraph" w:customStyle="1" w:styleId="188">
    <w:name w:val="标题 21"/>
    <w:basedOn w:val="1"/>
    <w:next w:val="1"/>
    <w:link w:val="194"/>
    <w:qFormat/>
    <w:uiPriority w:val="0"/>
    <w:pPr>
      <w:keepNext/>
      <w:spacing w:before="240" w:after="60"/>
      <w:outlineLvl w:val="1"/>
    </w:pPr>
    <w:rPr>
      <w:rFonts w:ascii="Arial" w:hAnsi="Arial"/>
      <w:b/>
      <w:i/>
    </w:rPr>
  </w:style>
  <w:style w:type="character" w:customStyle="1" w:styleId="189">
    <w:name w:val="默认段落字体1"/>
    <w:link w:val="1"/>
    <w:semiHidden/>
    <w:qFormat/>
    <w:uiPriority w:val="0"/>
  </w:style>
  <w:style w:type="table" w:customStyle="1" w:styleId="190">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91">
    <w:name w:val="脚注文本1"/>
    <w:basedOn w:val="1"/>
    <w:next w:val="192"/>
    <w:semiHidden/>
    <w:qFormat/>
    <w:uiPriority w:val="0"/>
    <w:pPr>
      <w:jc w:val="left"/>
    </w:pPr>
    <w:rPr>
      <w:sz w:val="18"/>
      <w:szCs w:val="18"/>
    </w:rPr>
  </w:style>
  <w:style w:type="paragraph" w:customStyle="1" w:styleId="192">
    <w:name w:val="正文首行缩进 21"/>
    <w:basedOn w:val="15"/>
    <w:unhideWhenUsed/>
    <w:qFormat/>
    <w:uiPriority w:val="99"/>
    <w:pPr>
      <w:ind w:firstLine="420"/>
    </w:pPr>
  </w:style>
  <w:style w:type="character" w:customStyle="1" w:styleId="193">
    <w:name w:val="标题 1 字符"/>
    <w:link w:val="187"/>
    <w:qFormat/>
    <w:uiPriority w:val="9"/>
    <w:rPr>
      <w:b/>
      <w:bCs/>
      <w:sz w:val="44"/>
      <w:szCs w:val="44"/>
    </w:rPr>
  </w:style>
  <w:style w:type="character" w:customStyle="1" w:styleId="194">
    <w:name w:val="标题 2 字符"/>
    <w:link w:val="188"/>
    <w:qFormat/>
    <w:uiPriority w:val="9"/>
    <w:rPr>
      <w:rFonts w:ascii="Arial" w:hAnsi="Arial"/>
      <w:b/>
      <w:i/>
    </w:rPr>
  </w:style>
  <w:style w:type="paragraph" w:customStyle="1" w:styleId="195">
    <w:name w:val="列表编号1"/>
    <w:basedOn w:val="1"/>
    <w:qFormat/>
    <w:uiPriority w:val="0"/>
    <w:pPr>
      <w:numPr>
        <w:ilvl w:val="0"/>
        <w:numId w:val="1"/>
      </w:numPr>
    </w:pPr>
  </w:style>
  <w:style w:type="paragraph" w:customStyle="1" w:styleId="196">
    <w:name w:val="批注文字1"/>
    <w:basedOn w:val="1"/>
    <w:link w:val="197"/>
    <w:qFormat/>
    <w:uiPriority w:val="0"/>
    <w:pPr>
      <w:jc w:val="left"/>
    </w:pPr>
  </w:style>
  <w:style w:type="character" w:customStyle="1" w:styleId="197">
    <w:name w:val="批注文字 字符"/>
    <w:link w:val="196"/>
    <w:qFormat/>
    <w:uiPriority w:val="0"/>
    <w:rPr>
      <w:rFonts w:eastAsia="仿宋_GB2312"/>
      <w:sz w:val="32"/>
      <w:szCs w:val="24"/>
    </w:rPr>
  </w:style>
  <w:style w:type="paragraph" w:customStyle="1" w:styleId="198">
    <w:name w:val="正文文本1"/>
    <w:basedOn w:val="1"/>
    <w:qFormat/>
    <w:uiPriority w:val="0"/>
    <w:pPr>
      <w:spacing w:before="93"/>
    </w:pPr>
    <w:rPr>
      <w:rFonts w:ascii="仿宋_GB2312"/>
      <w:sz w:val="30"/>
    </w:rPr>
  </w:style>
  <w:style w:type="paragraph" w:customStyle="1" w:styleId="199">
    <w:name w:val="日期1"/>
    <w:basedOn w:val="1"/>
    <w:next w:val="1"/>
    <w:qFormat/>
    <w:uiPriority w:val="0"/>
    <w:pPr>
      <w:ind w:left="100"/>
    </w:pPr>
  </w:style>
  <w:style w:type="paragraph" w:customStyle="1" w:styleId="200">
    <w:name w:val="正文文本缩进 21"/>
    <w:basedOn w:val="1"/>
    <w:qFormat/>
    <w:uiPriority w:val="0"/>
    <w:pPr>
      <w:spacing w:line="360" w:lineRule="auto"/>
      <w:ind w:firstLine="630"/>
    </w:pPr>
    <w:rPr>
      <w:rFonts w:ascii="楷体_GB2312" w:eastAsia="楷体_GB2312"/>
      <w:sz w:val="30"/>
    </w:rPr>
  </w:style>
  <w:style w:type="paragraph" w:customStyle="1" w:styleId="201">
    <w:name w:val="批注框文本1"/>
    <w:basedOn w:val="1"/>
    <w:semiHidden/>
    <w:qFormat/>
    <w:uiPriority w:val="0"/>
    <w:rPr>
      <w:sz w:val="18"/>
      <w:szCs w:val="18"/>
    </w:rPr>
  </w:style>
  <w:style w:type="paragraph" w:customStyle="1" w:styleId="202">
    <w:name w:val="页脚1"/>
    <w:basedOn w:val="1"/>
    <w:qFormat/>
    <w:uiPriority w:val="0"/>
    <w:pPr>
      <w:tabs>
        <w:tab w:val="center" w:pos="4153"/>
        <w:tab w:val="right" w:pos="8306"/>
      </w:tabs>
      <w:jc w:val="left"/>
    </w:pPr>
    <w:rPr>
      <w:sz w:val="18"/>
      <w:szCs w:val="18"/>
    </w:rPr>
  </w:style>
  <w:style w:type="paragraph" w:customStyle="1" w:styleId="203">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04">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205">
    <w:name w:val="目录 21"/>
    <w:basedOn w:val="1"/>
    <w:next w:val="1"/>
    <w:unhideWhenUsed/>
    <w:qFormat/>
    <w:uiPriority w:val="39"/>
    <w:pPr>
      <w:tabs>
        <w:tab w:val="right" w:leader="dot" w:pos="8296"/>
      </w:tabs>
      <w:ind w:left="420"/>
    </w:pPr>
  </w:style>
  <w:style w:type="paragraph" w:customStyle="1" w:styleId="206">
    <w:name w:val="批注主题1"/>
    <w:basedOn w:val="196"/>
    <w:next w:val="196"/>
    <w:link w:val="207"/>
    <w:qFormat/>
    <w:uiPriority w:val="0"/>
    <w:rPr>
      <w:b/>
      <w:bCs/>
    </w:rPr>
  </w:style>
  <w:style w:type="character" w:customStyle="1" w:styleId="207">
    <w:name w:val="批注主题 字符"/>
    <w:link w:val="206"/>
    <w:qFormat/>
    <w:uiPriority w:val="0"/>
    <w:rPr>
      <w:rFonts w:eastAsia="仿宋_GB2312"/>
      <w:b/>
      <w:bCs/>
      <w:sz w:val="32"/>
      <w:szCs w:val="24"/>
    </w:rPr>
  </w:style>
  <w:style w:type="table" w:customStyle="1" w:styleId="208">
    <w:name w:val="网格型1"/>
    <w:basedOn w:val="190"/>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9">
    <w:name w:val="要点1"/>
    <w:link w:val="1"/>
    <w:qFormat/>
    <w:uiPriority w:val="0"/>
    <w:rPr>
      <w:b/>
      <w:bCs/>
    </w:rPr>
  </w:style>
  <w:style w:type="character" w:customStyle="1" w:styleId="210">
    <w:name w:val="页码1"/>
    <w:link w:val="1"/>
    <w:qFormat/>
    <w:uiPriority w:val="0"/>
  </w:style>
  <w:style w:type="character" w:customStyle="1" w:styleId="211">
    <w:name w:val="超链接1"/>
    <w:link w:val="1"/>
    <w:unhideWhenUsed/>
    <w:qFormat/>
    <w:uiPriority w:val="99"/>
    <w:rPr>
      <w:color w:val="0000FF"/>
      <w:u w:val="single"/>
    </w:rPr>
  </w:style>
  <w:style w:type="character" w:customStyle="1" w:styleId="212">
    <w:name w:val="批注引用1"/>
    <w:link w:val="1"/>
    <w:qFormat/>
    <w:uiPriority w:val="0"/>
    <w:rPr>
      <w:sz w:val="21"/>
      <w:szCs w:val="21"/>
    </w:rPr>
  </w:style>
  <w:style w:type="paragraph" w:customStyle="1" w:styleId="213">
    <w:name w:val="章标题"/>
    <w:basedOn w:val="1"/>
    <w:next w:val="214"/>
    <w:qFormat/>
    <w:uiPriority w:val="0"/>
    <w:pPr>
      <w:widowControl/>
      <w:spacing w:before="158" w:after="153" w:line="323" w:lineRule="atLeast"/>
      <w:ind w:right="-120"/>
      <w:jc w:val="center"/>
    </w:pPr>
    <w:rPr>
      <w:color w:val="FF0000"/>
      <w:sz w:val="18"/>
      <w:szCs w:val="18"/>
    </w:rPr>
  </w:style>
  <w:style w:type="paragraph" w:customStyle="1" w:styleId="214">
    <w:name w:val="节标题"/>
    <w:basedOn w:val="1"/>
    <w:next w:val="1"/>
    <w:qFormat/>
    <w:uiPriority w:val="0"/>
    <w:pPr>
      <w:widowControl/>
      <w:spacing w:line="289" w:lineRule="atLeast"/>
      <w:jc w:val="center"/>
    </w:pPr>
    <w:rPr>
      <w:color w:val="000000"/>
      <w:sz w:val="28"/>
      <w:szCs w:val="28"/>
    </w:rPr>
  </w:style>
  <w:style w:type="paragraph" w:customStyle="1" w:styleId="215">
    <w:name w:val=" Char Char3 Char Char Char Char Char Char Char Char"/>
    <w:basedOn w:val="1"/>
    <w:next w:val="1"/>
    <w:qFormat/>
    <w:uiPriority w:val="0"/>
    <w:pPr>
      <w:spacing w:line="240" w:lineRule="atLeast"/>
      <w:ind w:left="420" w:firstLine="420"/>
      <w:jc w:val="left"/>
    </w:pPr>
    <w:rPr>
      <w:rFonts w:eastAsia="宋体"/>
      <w:sz w:val="21"/>
      <w:szCs w:val="21"/>
    </w:rPr>
  </w:style>
  <w:style w:type="paragraph" w:customStyle="1" w:styleId="216">
    <w:name w:val="列表段落"/>
    <w:basedOn w:val="1"/>
    <w:qFormat/>
    <w:uiPriority w:val="34"/>
    <w:pPr>
      <w:ind w:firstLine="420"/>
    </w:pPr>
  </w:style>
  <w:style w:type="paragraph" w:customStyle="1" w:styleId="217">
    <w:name w:val="Default"/>
    <w:qFormat/>
    <w:uiPriority w:val="0"/>
    <w:pPr>
      <w:widowControl w:val="0"/>
    </w:pPr>
    <w:rPr>
      <w:rFonts w:hint="default" w:ascii="仿宋" w:hAnsi="Calibri" w:eastAsia="仿宋" w:cs="仿宋"/>
      <w:color w:val="000000"/>
      <w:sz w:val="24"/>
      <w:szCs w:val="24"/>
      <w:lang w:val="en-US" w:eastAsia="zh-CN" w:bidi="ar-SA"/>
    </w:rPr>
  </w:style>
  <w:style w:type="paragraph" w:customStyle="1" w:styleId="218">
    <w:name w:val="四号正文"/>
    <w:basedOn w:val="1"/>
    <w:qFormat/>
    <w:uiPriority w:val="0"/>
    <w:pPr>
      <w:spacing w:line="360" w:lineRule="auto"/>
    </w:pPr>
    <w:rPr>
      <w:rFonts w:ascii="??" w:hAnsi="??" w:eastAsia="宋体"/>
      <w:color w:val="000000"/>
      <w:sz w:val="28"/>
      <w:szCs w:val="21"/>
      <w:lang w:val="zh-CN" w:eastAsia="zh-CN"/>
    </w:rPr>
  </w:style>
  <w:style w:type="paragraph" w:customStyle="1" w:styleId="219">
    <w:name w:val="修订"/>
    <w:unhideWhenUsed/>
    <w:qFormat/>
    <w:uiPriority w:val="99"/>
    <w:rPr>
      <w:rFonts w:hint="default" w:ascii="Calibri" w:hAnsi="Calibri" w:eastAsia="仿宋_GB2312" w:cs="Times New Roman"/>
      <w:sz w:val="32"/>
      <w:szCs w:val="24"/>
      <w:lang w:val="en-US" w:eastAsia="zh-CN" w:bidi="ar-SA"/>
    </w:rPr>
  </w:style>
  <w:style w:type="paragraph" w:customStyle="1" w:styleId="220">
    <w:name w:val="WPSOffice手动目录 1"/>
    <w:qFormat/>
    <w:uiPriority w:val="0"/>
    <w:pPr>
      <w:ind w:leftChars="0"/>
    </w:pPr>
    <w:rPr>
      <w:rFonts w:asciiTheme="minorHAnsi" w:hAnsiTheme="minorHAnsi" w:eastAsiaTheme="minorEastAsia" w:cstheme="minorBidi"/>
      <w:sz w:val="20"/>
      <w:szCs w:val="20"/>
    </w:rPr>
  </w:style>
  <w:style w:type="paragraph" w:customStyle="1" w:styleId="221">
    <w:name w:val="WPSOffice手动目录 2"/>
    <w:qFormat/>
    <w:uiPriority w:val="0"/>
    <w:pPr>
      <w:ind w:leftChars="200"/>
    </w:pPr>
    <w:rPr>
      <w:rFonts w:asciiTheme="minorHAnsi" w:hAnsiTheme="minorHAnsi" w:eastAsiaTheme="minorEastAsia" w:cstheme="minorBidi"/>
      <w:sz w:val="20"/>
      <w:szCs w:val="20"/>
    </w:rPr>
  </w:style>
  <w:style w:type="paragraph" w:customStyle="1" w:styleId="222">
    <w:name w:val="WPSOffice手动目录 3"/>
    <w:qFormat/>
    <w:uiPriority w:val="0"/>
    <w:pPr>
      <w:ind w:leftChars="400"/>
    </w:pPr>
    <w:rPr>
      <w:rFonts w:asciiTheme="minorHAnsi" w:hAnsiTheme="minorHAnsi" w:eastAsiaTheme="minorEastAsia" w:cstheme="minorBidi"/>
      <w:sz w:val="20"/>
      <w:szCs w:val="20"/>
    </w:rPr>
  </w:style>
  <w:style w:type="paragraph" w:customStyle="1" w:styleId="223">
    <w:name w:val="正文首行缩进1"/>
    <w:basedOn w:val="14"/>
    <w:qFormat/>
    <w:uiPriority w:val="0"/>
    <w:pPr>
      <w:adjustRightInd w:val="0"/>
      <w:spacing w:line="275" w:lineRule="atLeast"/>
      <w:ind w:firstLine="420"/>
      <w:textAlignment w:val="baseline"/>
    </w:pPr>
    <w:rPr>
      <w:rFonts w:eastAsia="楷体_GB2312" w:cs="Times New Roman"/>
      <w:sz w:val="24"/>
      <w:szCs w:val="20"/>
      <w:lang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1.emf"/><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收、支决算总计变动情况表</a:t>
            </a:r>
          </a:p>
        </c:rich>
      </c:tx>
      <c:layout/>
      <c:overlay val="0"/>
      <c:spPr>
        <a:noFill/>
        <a:ln>
          <a:noFill/>
        </a:ln>
        <a:effectLst/>
      </c:spPr>
    </c:title>
    <c:autoTitleDeleted val="0"/>
    <c:plotArea>
      <c:layout>
        <c:manualLayout>
          <c:layoutTarget val="inner"/>
          <c:xMode val="edge"/>
          <c:yMode val="edge"/>
          <c:x val="0.0707"/>
          <c:y val="0.122"/>
          <c:w val="0.9018"/>
          <c:h val="0.717233333333333"/>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收入（万元）</c:v>
                </c:pt>
                <c:pt idx="1">
                  <c:v>支出（万元）</c:v>
                </c:pt>
              </c:strCache>
            </c:strRef>
          </c:cat>
          <c:val>
            <c:numRef>
              <c:f>Sheet1!$B$2:$B$5</c:f>
              <c:numCache>
                <c:formatCode>General</c:formatCode>
                <c:ptCount val="4"/>
                <c:pt idx="0">
                  <c:v>309.1</c:v>
                </c:pt>
                <c:pt idx="1">
                  <c:v>309.1</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收入（万元）</c:v>
                </c:pt>
                <c:pt idx="1">
                  <c:v>支出（万元）</c:v>
                </c:pt>
              </c:strCache>
            </c:strRef>
          </c:cat>
          <c:val>
            <c:numRef>
              <c:f>Sheet1!$C$2:$C$5</c:f>
              <c:numCache>
                <c:formatCode>General</c:formatCode>
                <c:ptCount val="4"/>
                <c:pt idx="0">
                  <c:v>326.49</c:v>
                </c:pt>
                <c:pt idx="1">
                  <c:v>326.49</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收入（万元）</c:v>
                </c:pt>
                <c:pt idx="1">
                  <c:v>支出（万元）</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overlap val="0"/>
        <c:axId val="919106901"/>
        <c:axId val="364306829"/>
      </c:barChart>
      <c:catAx>
        <c:axId val="91910690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4306829"/>
        <c:crosses val="autoZero"/>
        <c:auto val="1"/>
        <c:lblAlgn val="ctr"/>
        <c:lblOffset val="100"/>
        <c:noMultiLvlLbl val="0"/>
      </c:catAx>
      <c:valAx>
        <c:axId val="36430682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910690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d5ab2bf-5746-4b5d-bb60-40dcb951c93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a:t>
                    </a:r>
                    <a:r>
                      <a:rPr lang="en-US" altLang="zh-CN"/>
                      <a:t>5.22</a:t>
                    </a:r>
                    <a:r>
                      <a:t> %</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4</a:t>
                    </a:r>
                    <a:r>
                      <a:rPr lang="en-US" altLang="zh-CN"/>
                      <a:t>4.78</a:t>
                    </a:r>
                    <a:r>
                      <a:t> %</a:t>
                    </a:r>
                  </a:p>
                </c:rich>
              </c:tx>
              <c:dLblPos val="bestFit"/>
              <c:showLegendKey val="0"/>
              <c:showVal val="1"/>
              <c:showCatName val="0"/>
              <c:showSerName val="0"/>
              <c:showPercent val="0"/>
              <c:showBubbleSize val="0"/>
              <c:extLst>
                <c:ext xmlns:c15="http://schemas.microsoft.com/office/drawing/2012/chart" uri="{CE6537A1-D6FC-4f65-9D91-7224C49458BB}"/>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55.22</c:v>
                </c:pt>
                <c:pt idx="1">
                  <c:v>44.78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5daf14-8614-4293-915a-a9ea51653c6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6666666667"/>
        </c:manualLayout>
      </c:layout>
      <c:overlay val="0"/>
      <c:spPr>
        <a:noFill/>
        <a:ln>
          <a:noFill/>
        </a:ln>
        <a:effectLst/>
      </c:spPr>
    </c:title>
    <c:autoTitleDeleted val="0"/>
    <c:plotArea>
      <c:layout>
        <c:manualLayout>
          <c:layoutTarget val="inner"/>
          <c:xMode val="edge"/>
          <c:yMode val="edge"/>
          <c:x val="0.0744124700239808"/>
          <c:y val="0.11530612244898"/>
          <c:w val="0.909040767386091"/>
          <c:h val="0.711122448979592"/>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收入（万元）</c:v>
                </c:pt>
                <c:pt idx="1">
                  <c:v>支出（万元）</c:v>
                </c:pt>
              </c:strCache>
            </c:strRef>
          </c:cat>
          <c:val>
            <c:numRef>
              <c:f>Sheet1!$B$2:$B$6</c:f>
              <c:numCache>
                <c:formatCode>General</c:formatCode>
                <c:ptCount val="5"/>
                <c:pt idx="0">
                  <c:v>309.1</c:v>
                </c:pt>
                <c:pt idx="1">
                  <c:v>309.1</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收入（万元）</c:v>
                </c:pt>
                <c:pt idx="1">
                  <c:v>支出（万元）</c:v>
                </c:pt>
              </c:strCache>
            </c:strRef>
          </c:cat>
          <c:val>
            <c:numRef>
              <c:f>Sheet1!$C$2:$C$6</c:f>
              <c:numCache>
                <c:formatCode>General</c:formatCode>
                <c:ptCount val="5"/>
                <c:pt idx="0">
                  <c:v>326.49</c:v>
                </c:pt>
                <c:pt idx="1">
                  <c:v>326.49</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Sheet1!$A$2:$A$6</c:f>
              <c:strCache>
                <c:ptCount val="5"/>
                <c:pt idx="0">
                  <c:v>收入（万元）</c:v>
                </c:pt>
                <c:pt idx="1">
                  <c:v>支出（万元）</c:v>
                </c:pt>
              </c:strCache>
            </c:strRef>
          </c:cat>
          <c:val>
            <c:numRef>
              <c:f>Sheet1!$D$2:$D$6</c:f>
              <c:numCache>
                <c:formatCode>General</c:formatCode>
                <c:ptCount val="5"/>
              </c:numCache>
            </c:numRef>
          </c:val>
        </c:ser>
        <c:dLbls>
          <c:showLegendKey val="0"/>
          <c:showVal val="1"/>
          <c:showCatName val="0"/>
          <c:showSerName val="0"/>
          <c:showPercent val="0"/>
          <c:showBubbleSize val="0"/>
        </c:dLbls>
        <c:gapWidth val="219"/>
        <c:overlap val="-27"/>
        <c:axId val="355055515"/>
        <c:axId val="700472549"/>
      </c:barChart>
      <c:catAx>
        <c:axId val="3550555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472549"/>
        <c:crosses val="autoZero"/>
        <c:auto val="1"/>
        <c:lblAlgn val="ctr"/>
        <c:lblOffset val="100"/>
        <c:noMultiLvlLbl val="0"/>
      </c:catAx>
      <c:valAx>
        <c:axId val="7004725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0555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04f377-be9e-4dd4-9e7d-fd043dc1c5cc}"/>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175"/>
          <c:y val="0.06"/>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2106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309.1</c:v>
                </c:pt>
                <c:pt idx="1">
                  <c:v>326.49</c:v>
                </c:pt>
              </c:numCache>
            </c:numRef>
          </c:val>
        </c:ser>
        <c:dLbls>
          <c:showLegendKey val="0"/>
          <c:showVal val="0"/>
          <c:showCatName val="0"/>
          <c:showSerName val="0"/>
          <c:showPercent val="0"/>
          <c:showBubbleSize val="0"/>
        </c:dLbls>
        <c:gapWidth val="219"/>
        <c:overlap val="-27"/>
        <c:axId val="361801296"/>
        <c:axId val="321196904"/>
      </c:barChart>
      <c:catAx>
        <c:axId val="36180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196904"/>
        <c:crosses val="autoZero"/>
        <c:auto val="1"/>
        <c:lblAlgn val="ctr"/>
        <c:lblOffset val="100"/>
        <c:noMultiLvlLbl val="0"/>
      </c:catAx>
      <c:valAx>
        <c:axId val="321196904"/>
        <c:scaling>
          <c:orientation val="minMax"/>
        </c:scaling>
        <c:delete val="0"/>
        <c:axPos val="l"/>
        <c:majorGridlines>
          <c:spPr>
            <a:ln w="9525" cap="flat" cmpd="sng" algn="ctr">
              <a:solidFill>
                <a:schemeClr val="tx1">
                  <a:lumMod val="15000"/>
                  <a:lumOff val="85000"/>
                </a:schemeClr>
              </a:solidFill>
              <a:round/>
            </a:ln>
            <a:effectLst/>
          </c:spPr>
        </c:majorGridlines>
        <c:numFmt formatCode="#,##0_ &quot;万&quot;&quot;元&quot;" sourceLinked="0"/>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801296"/>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a224a4c-325f-4294-98b9-dc43ec2be816}"/>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8125"/>
          <c:y val="0.118259252331787"/>
          <c:w val="0.638375"/>
          <c:h val="0.851166666666667"/>
        </c:manualLayout>
      </c:layout>
      <c:pieChart>
        <c:varyColors val="1"/>
        <c:ser>
          <c:idx val="0"/>
          <c:order val="0"/>
          <c:tx>
            <c:strRef>
              <c:f>Sheet1!$B$1</c:f>
              <c:strCache>
                <c:ptCount val="1"/>
                <c:pt idx="0">
                  <c:v>一般公共预算财政拨款支出决算结构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3.</a:t>
                    </a:r>
                    <a:r>
                      <a:rPr lang="en-US" altLang="zh-CN"/>
                      <a:t>8</a:t>
                    </a:r>
                    <a:r>
                      <a:t> %</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Sheet1!$A$2:$A$7</c15:sqref>
                  </c15:fullRef>
                </c:ext>
              </c:extLst>
              <c:f>Sheet1!$A$5:$A$7</c:f>
              <c:strCache>
                <c:ptCount val="3"/>
                <c:pt idx="0">
                  <c:v>社会保障和就业</c:v>
                </c:pt>
                <c:pt idx="1">
                  <c:v>卫生健康</c:v>
                </c:pt>
                <c:pt idx="2">
                  <c:v>住房保障</c:v>
                </c:pt>
              </c:strCache>
            </c:strRef>
          </c:cat>
          <c:val>
            <c:numRef>
              <c:extLst>
                <c:ext xmlns:c15="http://schemas.microsoft.com/office/drawing/2012/chart" uri="{02D57815-91ED-43cb-92C2-25804820EDAC}">
                  <c15:fullRef>
                    <c15:sqref>Sheet1!$B$2:$B$7</c15:sqref>
                  </c15:fullRef>
                </c:ext>
              </c:extLst>
              <c:f>Sheet1!$B$5:$B$7</c:f>
              <c:numCache>
                <c:formatCode>General</c:formatCode>
                <c:ptCount val="3"/>
                <c:pt idx="0">
                  <c:v>291.3</c:v>
                </c:pt>
                <c:pt idx="1">
                  <c:v>6.07</c:v>
                </c:pt>
                <c:pt idx="2">
                  <c:v>11.73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a148fb3-caa9-4d10-9914-874cf1b09402}"/>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79375"/>
          <c:y val="0.177449122945223"/>
          <c:w val="0.570625"/>
          <c:h val="0.760833333333333"/>
        </c:manualLayout>
      </c:layout>
      <c:pieChart>
        <c:varyColors val="1"/>
        <c:ser>
          <c:idx val="0"/>
          <c:order val="0"/>
          <c:tx>
            <c:strRef>
              <c:f>Sheet1!$B$1</c:f>
              <c:strCache>
                <c:ptCount val="1"/>
                <c:pt idx="0">
                  <c:v>“三公”经费财政拨款支出结构</c:v>
                </c:pt>
              </c:strCache>
            </c:strRef>
          </c:tx>
          <c:spPr>
            <a:effectLst/>
          </c:spPr>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Lbl>
              <c:idx val="1"/>
              <c:layout>
                <c:manualLayout>
                  <c:x val="0.0365426247580991"/>
                  <c:y val="-0.14251958816423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9</a:t>
                    </a:r>
                    <a:r>
                      <a:rPr lang="en-US" altLang="zh-CN"/>
                      <a:t>4.21%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a:t>
                    </a:r>
                    <a:r>
                      <a:rPr lang="en-US" altLang="zh-CN"/>
                      <a:t>.79</a:t>
                    </a:r>
                    <a:r>
                      <a:t> %</a:t>
                    </a:r>
                  </a:p>
                </c:rich>
              </c:tx>
              <c:dLblPos val="bestFit"/>
              <c:showLegendKey val="0"/>
              <c:showVal val="1"/>
              <c:showCatName val="0"/>
              <c:showSerName val="0"/>
              <c:showPercent val="0"/>
              <c:showBubbleSize val="0"/>
              <c:extLst>
                <c:ext xmlns:c15="http://schemas.microsoft.com/office/drawing/2012/chart" uri="{CE6537A1-D6FC-4f65-9D91-7224C49458BB}"/>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94.21</c:v>
                </c:pt>
                <c:pt idx="2">
                  <c:v>5.79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d05831d-786b-4bd7-ad26-a8a604f168d5}"/>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微软</Company>
  <Pages>31</Pages>
  <Words>8509</Words>
  <Characters>9152</Characters>
  <TotalTime>41</TotalTime>
  <ScaleCrop>false</ScaleCrop>
  <LinksUpToDate>false</LinksUpToDate>
  <CharactersWithSpaces>9353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2015-09-11T02:15:00Z</dcterms:created>
  <dc:creator>Lenovo</dc:creator>
  <cp:lastModifiedBy>Administrator</cp:lastModifiedBy>
  <dcterms:modified xsi:type="dcterms:W3CDTF">2025-09-19T06:01:12Z</dcterms:modified>
  <dc:title>遂宁市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eyJoZGlkIjoiMjcwYjc0NzEyMzZlNTZmOWU5MGU4MTc5MzFmMjczNTkifQ==</vt:lpwstr>
  </property>
  <property fmtid="{D5CDD505-2E9C-101B-9397-08002B2CF9AE}" pid="4" name="ICV">
    <vt:lpwstr>9E21EE807D33429F807129CED58DADCE_13</vt:lpwstr>
  </property>
</Properties>
</file>