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2AD3E">
      <w:pPr>
        <w:pStyle w:val="9"/>
        <w:jc w:val="center"/>
        <w:rPr>
          <w:rFonts w:hint="eastAsia" w:ascii="方正小标宋简体" w:hAnsi="宋体" w:eastAsia="方正小标宋简体" w:cs="Times New Roman"/>
          <w:color w:val="auto"/>
          <w:kern w:val="2"/>
          <w:sz w:val="44"/>
          <w:szCs w:val="44"/>
          <w:highlight w:val="none"/>
          <w:lang w:val="en-US" w:eastAsia="zh-CN" w:bidi="ar-SA"/>
        </w:rPr>
      </w:pPr>
    </w:p>
    <w:p w14:paraId="567D4E5D">
      <w:pPr>
        <w:pStyle w:val="9"/>
        <w:jc w:val="center"/>
        <w:rPr>
          <w:rFonts w:hint="eastAsia" w:ascii="方正小标宋简体" w:hAnsi="宋体" w:eastAsia="方正小标宋简体" w:cs="Times New Roman"/>
          <w:color w:val="auto"/>
          <w:kern w:val="2"/>
          <w:sz w:val="44"/>
          <w:szCs w:val="44"/>
          <w:highlight w:val="none"/>
          <w:lang w:val="en-US" w:eastAsia="zh-CN" w:bidi="ar-SA"/>
        </w:rPr>
      </w:pPr>
    </w:p>
    <w:p w14:paraId="03AE9A72">
      <w:pPr>
        <w:pStyle w:val="9"/>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2024年度</w:t>
      </w:r>
      <w:bookmarkStart w:id="0" w:name="_Toc15378442"/>
      <w:bookmarkStart w:id="1" w:name="_Toc15377426"/>
      <w:bookmarkStart w:id="2" w:name="_Toc15396476"/>
      <w:bookmarkStart w:id="3" w:name="_Toc15377194"/>
      <w:bookmarkStart w:id="4" w:name="_Toc15396598"/>
    </w:p>
    <w:p w14:paraId="299FDCF3">
      <w:pPr>
        <w:pStyle w:val="9"/>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四川省</w:t>
      </w:r>
      <w:bookmarkStart w:id="5" w:name="_Toc15306268"/>
      <w:r>
        <w:rPr>
          <w:rFonts w:hint="eastAsia" w:ascii="方正小标宋简体" w:hAnsi="宋体" w:eastAsia="方正小标宋简体" w:cs="Times New Roman"/>
          <w:color w:val="auto"/>
          <w:kern w:val="2"/>
          <w:sz w:val="44"/>
          <w:szCs w:val="44"/>
          <w:highlight w:val="none"/>
          <w:lang w:val="en-US" w:eastAsia="zh-CN" w:bidi="ar-SA"/>
        </w:rPr>
        <w:t>遂宁市安居区三家镇人民政府</w:t>
      </w:r>
    </w:p>
    <w:p w14:paraId="50AAF9ED">
      <w:pPr>
        <w:pStyle w:val="9"/>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部门决算</w:t>
      </w:r>
      <w:bookmarkEnd w:id="0"/>
      <w:bookmarkEnd w:id="1"/>
      <w:bookmarkEnd w:id="2"/>
      <w:bookmarkEnd w:id="3"/>
      <w:bookmarkEnd w:id="4"/>
      <w:bookmarkEnd w:id="5"/>
    </w:p>
    <w:p w14:paraId="67E6A9BC">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234440E7">
      <w:pPr>
        <w:widowControl/>
        <w:jc w:val="center"/>
        <w:rPr>
          <w:rFonts w:ascii="黑体" w:hAnsi="黑体" w:eastAsia="黑体" w:cs="Times New Roman"/>
          <w:color w:val="auto"/>
          <w:sz w:val="28"/>
          <w:szCs w:val="28"/>
          <w:highlight w:val="none"/>
        </w:rPr>
      </w:pPr>
    </w:p>
    <w:p w14:paraId="1C960C8B">
      <w:pPr>
        <w:pStyle w:val="13"/>
        <w:rPr>
          <w:color w:val="auto"/>
          <w:highlight w:val="none"/>
        </w:rPr>
      </w:pPr>
      <w:r>
        <w:rPr>
          <w:rFonts w:hint="eastAsia"/>
          <w:color w:val="auto"/>
          <w:highlight w:val="none"/>
        </w:rPr>
        <w:t>公开时间：20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p>
    <w:p w14:paraId="4DF8A443">
      <w:pPr>
        <w:rPr>
          <w:color w:val="auto"/>
          <w:highlight w:val="none"/>
        </w:rPr>
      </w:pPr>
    </w:p>
    <w:p w14:paraId="341273D6"/>
    <w:p w14:paraId="346CFF11"/>
    <w:p w14:paraId="7BF157DC">
      <w:pPr>
        <w:pStyle w:val="13"/>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TOC \o "1-2" \h \u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_Toc1627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 xml:space="preserve">第一部分 </w:t>
      </w:r>
      <w:r>
        <w:rPr>
          <w:rFonts w:hint="eastAsia" w:ascii="仿宋" w:hAnsi="仿宋" w:eastAsia="仿宋" w:cs="仿宋"/>
          <w:bCs w:val="0"/>
          <w:sz w:val="32"/>
          <w:szCs w:val="32"/>
          <w:highlight w:val="none"/>
        </w:rPr>
        <w:t>部门概况</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_Toc1627 \h </w:instrText>
      </w:r>
      <w:r>
        <w:rPr>
          <w:rFonts w:hint="eastAsia" w:ascii="仿宋" w:hAnsi="仿宋" w:eastAsia="仿宋" w:cs="仿宋"/>
          <w:sz w:val="32"/>
          <w:szCs w:val="32"/>
        </w:rPr>
        <w:fldChar w:fldCharType="separate"/>
      </w:r>
      <w:r>
        <w:rPr>
          <w:rFonts w:hint="eastAsia" w:ascii="仿宋" w:hAnsi="仿宋" w:eastAsia="仿宋" w:cs="仿宋"/>
          <w:sz w:val="32"/>
          <w:szCs w:val="32"/>
        </w:rPr>
        <w:t>4</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5656F8BB">
      <w:pPr>
        <w:pStyle w:val="16"/>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_Toc16534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lang w:eastAsia="zh-CN"/>
        </w:rPr>
        <w:t xml:space="preserve">一、 </w:t>
      </w:r>
      <w:r>
        <w:rPr>
          <w:rFonts w:hint="eastAsia" w:ascii="仿宋" w:hAnsi="仿宋" w:eastAsia="仿宋" w:cs="仿宋"/>
          <w:sz w:val="32"/>
          <w:szCs w:val="32"/>
          <w:highlight w:val="none"/>
          <w:lang w:eastAsia="zh-CN"/>
        </w:rPr>
        <w:t>部门职责</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_Toc16534 \h </w:instrText>
      </w:r>
      <w:r>
        <w:rPr>
          <w:rFonts w:hint="eastAsia" w:ascii="仿宋" w:hAnsi="仿宋" w:eastAsia="仿宋" w:cs="仿宋"/>
          <w:sz w:val="32"/>
          <w:szCs w:val="32"/>
        </w:rPr>
        <w:fldChar w:fldCharType="separate"/>
      </w:r>
      <w:r>
        <w:rPr>
          <w:rFonts w:hint="eastAsia" w:ascii="仿宋" w:hAnsi="仿宋" w:eastAsia="仿宋" w:cs="仿宋"/>
          <w:sz w:val="32"/>
          <w:szCs w:val="32"/>
        </w:rPr>
        <w:t>4</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6782D127">
      <w:pPr>
        <w:pStyle w:val="16"/>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_Toc31932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二、机</w:t>
      </w:r>
      <w:r>
        <w:rPr>
          <w:rFonts w:hint="eastAsia" w:ascii="仿宋" w:hAnsi="仿宋" w:eastAsia="仿宋" w:cs="仿宋"/>
          <w:bCs w:val="0"/>
          <w:sz w:val="32"/>
          <w:szCs w:val="32"/>
          <w:highlight w:val="none"/>
        </w:rPr>
        <w:t>构设置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_Toc31932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37E0ACBB">
      <w:pPr>
        <w:pStyle w:val="13"/>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_Toc18491 </w:instrText>
      </w:r>
      <w:r>
        <w:rPr>
          <w:rFonts w:hint="eastAsia" w:ascii="仿宋" w:hAnsi="仿宋" w:eastAsia="仿宋" w:cs="仿宋"/>
          <w:sz w:val="32"/>
          <w:szCs w:val="32"/>
          <w:highlight w:val="none"/>
        </w:rPr>
        <w:fldChar w:fldCharType="separate"/>
      </w:r>
      <w:r>
        <w:rPr>
          <w:rFonts w:hint="eastAsia" w:ascii="仿宋" w:hAnsi="仿宋" w:eastAsia="仿宋" w:cs="仿宋"/>
          <w:bCs/>
          <w:sz w:val="32"/>
          <w:szCs w:val="32"/>
          <w:highlight w:val="none"/>
        </w:rPr>
        <w:t xml:space="preserve">第二部分 </w:t>
      </w:r>
      <w:r>
        <w:rPr>
          <w:rFonts w:hint="eastAsia" w:cs="仿宋"/>
          <w:bCs/>
          <w:sz w:val="32"/>
          <w:szCs w:val="32"/>
          <w:highlight w:val="none"/>
          <w:lang w:val="en-US" w:eastAsia="zh-CN"/>
        </w:rPr>
        <w:t>2024年</w:t>
      </w:r>
      <w:r>
        <w:rPr>
          <w:rFonts w:hint="eastAsia" w:ascii="仿宋" w:hAnsi="仿宋" w:eastAsia="仿宋" w:cs="仿宋"/>
          <w:bCs/>
          <w:sz w:val="32"/>
          <w:szCs w:val="32"/>
          <w:highlight w:val="none"/>
          <w:lang w:val="en-US" w:eastAsia="zh-CN"/>
        </w:rPr>
        <w:t>度</w:t>
      </w:r>
      <w:r>
        <w:rPr>
          <w:rFonts w:hint="eastAsia" w:ascii="仿宋" w:hAnsi="仿宋" w:eastAsia="仿宋" w:cs="仿宋"/>
          <w:bCs/>
          <w:sz w:val="32"/>
          <w:szCs w:val="32"/>
          <w:highlight w:val="none"/>
        </w:rPr>
        <w:t>部门决算情况说明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_Toc18491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75F8EB33">
      <w:pPr>
        <w:pStyle w:val="16"/>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_Toc25757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一、 </w:t>
      </w:r>
      <w:r>
        <w:rPr>
          <w:rFonts w:hint="eastAsia" w:ascii="仿宋" w:hAnsi="仿宋" w:eastAsia="仿宋" w:cs="仿宋"/>
          <w:sz w:val="32"/>
          <w:szCs w:val="32"/>
          <w:highlight w:val="none"/>
        </w:rPr>
        <w:t>收入支出决算总体情况说明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_Toc25757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345D04B0">
      <w:pPr>
        <w:pStyle w:val="16"/>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_Toc22214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二、 </w:t>
      </w:r>
      <w:r>
        <w:rPr>
          <w:rFonts w:hint="eastAsia" w:ascii="仿宋" w:hAnsi="仿宋" w:eastAsia="仿宋" w:cs="仿宋"/>
          <w:sz w:val="32"/>
          <w:szCs w:val="32"/>
          <w:highlight w:val="none"/>
        </w:rPr>
        <w:t>收入决算情况说明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_Toc22214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47B75E69">
      <w:pPr>
        <w:pStyle w:val="16"/>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_Toc7821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三、 </w:t>
      </w:r>
      <w:r>
        <w:rPr>
          <w:rFonts w:hint="eastAsia" w:ascii="仿宋" w:hAnsi="仿宋" w:eastAsia="仿宋" w:cs="仿宋"/>
          <w:sz w:val="32"/>
          <w:szCs w:val="32"/>
          <w:highlight w:val="none"/>
        </w:rPr>
        <w:t>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_Toc7821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7D8E6129">
      <w:pPr>
        <w:pStyle w:val="16"/>
        <w:tabs>
          <w:tab w:val="right" w:leader="dot" w:pos="8306"/>
          <w:tab w:val="clear" w:pos="8296"/>
        </w:tabs>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_Toc20450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四、财政拨款收入支出决算总体情况说明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_Toc20450 \h </w:instrText>
      </w:r>
      <w:r>
        <w:rPr>
          <w:rFonts w:hint="eastAsia" w:ascii="仿宋" w:hAnsi="仿宋" w:eastAsia="仿宋" w:cs="仿宋"/>
          <w:sz w:val="32"/>
          <w:szCs w:val="32"/>
        </w:rPr>
        <w:fldChar w:fldCharType="separate"/>
      </w:r>
      <w:r>
        <w:rPr>
          <w:rFonts w:hint="eastAsia" w:ascii="仿宋" w:hAnsi="仿宋" w:eastAsia="仿宋" w:cs="仿宋"/>
          <w:sz w:val="32"/>
          <w:szCs w:val="32"/>
        </w:rPr>
        <w:t>10</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14:paraId="57C365AF">
      <w:pPr>
        <w:pStyle w:val="16"/>
        <w:tabs>
          <w:tab w:val="right" w:leader="dot" w:pos="8306"/>
          <w:tab w:val="clear" w:pos="8296"/>
        </w:tabs>
        <w:rPr>
          <w:rFonts w:hint="eastAsia"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_Toc14230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五、一般公共预算财政拨款支出决算情况说明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_Toc14230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0</w:t>
      </w:r>
    </w:p>
    <w:p w14:paraId="3084B7BA">
      <w:pPr>
        <w:pStyle w:val="16"/>
        <w:tabs>
          <w:tab w:val="right" w:leader="dot" w:pos="8306"/>
          <w:tab w:val="clear" w:pos="8296"/>
        </w:tabs>
        <w:rPr>
          <w:rFonts w:hint="eastAsia"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_Toc3153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六、一般公共预算财政拨款基本支出决算情况说明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_Toc3153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6</w:t>
      </w:r>
    </w:p>
    <w:p w14:paraId="5E726DB5">
      <w:pPr>
        <w:pStyle w:val="16"/>
        <w:tabs>
          <w:tab w:val="right" w:leader="dot" w:pos="8306"/>
          <w:tab w:val="clear" w:pos="8296"/>
        </w:tabs>
        <w:rPr>
          <w:rFonts w:hint="eastAsia"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_Toc11723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七、财政拨款“三公”经费支出决算情况说明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_Toc11723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6</w:t>
      </w:r>
    </w:p>
    <w:p w14:paraId="7F7C4FCE">
      <w:pPr>
        <w:pStyle w:val="16"/>
        <w:tabs>
          <w:tab w:val="right" w:leader="dot" w:pos="8306"/>
          <w:tab w:val="clear" w:pos="8296"/>
        </w:tabs>
        <w:rPr>
          <w:rFonts w:hint="eastAsia"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_Toc24780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八、政府性基金预算支出决算情况说明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_Toc24780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8</w:t>
      </w:r>
    </w:p>
    <w:p w14:paraId="206B7610">
      <w:pPr>
        <w:pStyle w:val="16"/>
        <w:tabs>
          <w:tab w:val="right" w:leader="dot" w:pos="8306"/>
          <w:tab w:val="clear" w:pos="8296"/>
        </w:tabs>
        <w:rPr>
          <w:rFonts w:hint="eastAsia" w:ascii="仿宋" w:hAnsi="仿宋" w:eastAsia="仿宋" w:cs="仿宋"/>
          <w:sz w:val="32"/>
          <w:szCs w:val="32"/>
          <w:lang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_Toc24108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九、 </w:t>
      </w:r>
      <w:r>
        <w:rPr>
          <w:rFonts w:hint="eastAsia" w:ascii="仿宋" w:hAnsi="仿宋" w:eastAsia="仿宋" w:cs="仿宋"/>
          <w:sz w:val="32"/>
          <w:szCs w:val="32"/>
          <w:highlight w:val="none"/>
        </w:rPr>
        <w:t>国有资本经营预算支出决算情况说明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_Toc24108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sz w:val="32"/>
          <w:szCs w:val="32"/>
          <w:lang w:val="en-US" w:eastAsia="zh-CN"/>
        </w:rPr>
        <w:t>9</w:t>
      </w:r>
    </w:p>
    <w:p w14:paraId="0B3B27D2">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_Toc19669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十、 </w:t>
      </w:r>
      <w:r>
        <w:rPr>
          <w:rFonts w:hint="eastAsia" w:ascii="仿宋" w:hAnsi="仿宋" w:eastAsia="仿宋" w:cs="仿宋"/>
          <w:sz w:val="32"/>
          <w:szCs w:val="32"/>
          <w:highlight w:val="none"/>
        </w:rPr>
        <w:t>其他重要事项的情况说明</w:t>
      </w:r>
      <w:r>
        <w:rPr>
          <w:rFonts w:hint="eastAsia" w:ascii="仿宋" w:hAnsi="仿宋" w:eastAsia="仿宋" w:cs="仿宋"/>
          <w:sz w:val="32"/>
          <w:szCs w:val="32"/>
        </w:rPr>
        <w:tab/>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19</w:t>
      </w:r>
    </w:p>
    <w:p w14:paraId="77756BF3">
      <w:pPr>
        <w:pStyle w:val="13"/>
        <w:tabs>
          <w:tab w:val="right" w:leader="dot" w:pos="8306"/>
          <w:tab w:val="clear" w:pos="8296"/>
        </w:tabs>
        <w:rPr>
          <w:rFonts w:hint="eastAsia" w:ascii="仿宋" w:hAnsi="仿宋" w:eastAsia="仿宋" w:cs="仿宋"/>
          <w:sz w:val="32"/>
          <w:szCs w:val="32"/>
          <w:lang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_Toc3755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第三部分 </w:t>
      </w:r>
      <w:r>
        <w:rPr>
          <w:rFonts w:hint="eastAsia" w:ascii="仿宋" w:hAnsi="仿宋" w:eastAsia="仿宋" w:cs="仿宋"/>
          <w:sz w:val="32"/>
          <w:szCs w:val="32"/>
          <w:highlight w:val="none"/>
        </w:rPr>
        <w:t>名词解释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_Toc3755 \h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cs="仿宋"/>
          <w:sz w:val="32"/>
          <w:szCs w:val="32"/>
          <w:lang w:val="en-US" w:eastAsia="zh-CN"/>
        </w:rPr>
        <w:t>4</w:t>
      </w:r>
    </w:p>
    <w:p w14:paraId="21502D76">
      <w:pPr>
        <w:pStyle w:val="13"/>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_Toc6442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第四部分 附件</w:t>
      </w:r>
      <w:r>
        <w:rPr>
          <w:rFonts w:hint="eastAsia" w:ascii="仿宋" w:hAnsi="仿宋" w:eastAsia="仿宋" w:cs="仿宋"/>
          <w:sz w:val="32"/>
          <w:szCs w:val="32"/>
        </w:rPr>
        <w:tab/>
      </w:r>
      <w:r>
        <w:rPr>
          <w:rFonts w:hint="eastAsia" w:ascii="仿宋" w:hAnsi="仿宋" w:eastAsia="仿宋" w:cs="仿宋"/>
          <w:color w:val="auto"/>
          <w:sz w:val="32"/>
          <w:szCs w:val="32"/>
          <w:highlight w:val="none"/>
        </w:rPr>
        <w:fldChar w:fldCharType="end"/>
      </w:r>
      <w:r>
        <w:rPr>
          <w:rFonts w:hint="eastAsia" w:cs="仿宋"/>
          <w:color w:val="auto"/>
          <w:sz w:val="32"/>
          <w:szCs w:val="32"/>
          <w:highlight w:val="none"/>
          <w:lang w:val="en-US" w:eastAsia="zh-CN"/>
        </w:rPr>
        <w:t>29</w:t>
      </w:r>
    </w:p>
    <w:p w14:paraId="5E7F322B">
      <w:pPr>
        <w:pStyle w:val="13"/>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_Toc23896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第五部分 附表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_Toc23896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cs="仿宋"/>
          <w:color w:val="auto"/>
          <w:sz w:val="32"/>
          <w:szCs w:val="32"/>
          <w:highlight w:val="none"/>
          <w:lang w:val="en-US" w:eastAsia="zh-CN"/>
        </w:rPr>
        <w:t>44</w:t>
      </w:r>
    </w:p>
    <w:p w14:paraId="47EC38DC">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_Toc10938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一、收</w:t>
      </w:r>
      <w:r>
        <w:rPr>
          <w:rFonts w:hint="eastAsia" w:ascii="仿宋" w:hAnsi="仿宋" w:eastAsia="仿宋" w:cs="仿宋"/>
          <w:bCs w:val="0"/>
          <w:sz w:val="32"/>
          <w:szCs w:val="32"/>
          <w:highlight w:val="none"/>
        </w:rPr>
        <w:t>入支出决算总表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_Toc10938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45BF53FC">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_Toc26116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二、收</w:t>
      </w:r>
      <w:r>
        <w:rPr>
          <w:rFonts w:hint="eastAsia" w:ascii="仿宋" w:hAnsi="仿宋" w:eastAsia="仿宋" w:cs="仿宋"/>
          <w:bCs w:val="0"/>
          <w:sz w:val="32"/>
          <w:szCs w:val="32"/>
          <w:highlight w:val="none"/>
        </w:rPr>
        <w:t>入决算表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_Toc26116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57DC5D85">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_Toc13892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三、</w:t>
      </w:r>
      <w:r>
        <w:rPr>
          <w:rFonts w:hint="eastAsia" w:ascii="仿宋" w:hAnsi="仿宋" w:eastAsia="仿宋" w:cs="仿宋"/>
          <w:sz w:val="32"/>
          <w:szCs w:val="32"/>
          <w:highlight w:val="none"/>
        </w:rPr>
        <w:t>支</w:t>
      </w:r>
      <w:r>
        <w:rPr>
          <w:rFonts w:hint="eastAsia" w:ascii="仿宋" w:hAnsi="仿宋" w:eastAsia="仿宋" w:cs="仿宋"/>
          <w:bCs w:val="0"/>
          <w:sz w:val="32"/>
          <w:szCs w:val="32"/>
          <w:highlight w:val="none"/>
        </w:rPr>
        <w:t>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_Toc13892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171E82BB">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_Toc14807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四、</w:t>
      </w:r>
      <w:r>
        <w:rPr>
          <w:rFonts w:hint="eastAsia" w:ascii="仿宋" w:hAnsi="仿宋" w:eastAsia="仿宋" w:cs="仿宋"/>
          <w:sz w:val="32"/>
          <w:szCs w:val="32"/>
          <w:highlight w:val="none"/>
        </w:rPr>
        <w:t>财</w:t>
      </w:r>
      <w:r>
        <w:rPr>
          <w:rFonts w:hint="eastAsia" w:ascii="仿宋" w:hAnsi="仿宋" w:eastAsia="仿宋" w:cs="仿宋"/>
          <w:bCs w:val="0"/>
          <w:sz w:val="32"/>
          <w:szCs w:val="32"/>
          <w:highlight w:val="none"/>
        </w:rPr>
        <w:t>政拨款收入支出决算总表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_Toc14807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52777096">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_Toc8725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五、</w:t>
      </w:r>
      <w:r>
        <w:rPr>
          <w:rFonts w:hint="eastAsia" w:ascii="仿宋" w:hAnsi="仿宋" w:eastAsia="仿宋" w:cs="仿宋"/>
          <w:sz w:val="32"/>
          <w:szCs w:val="32"/>
          <w:highlight w:val="none"/>
        </w:rPr>
        <w:t>财</w:t>
      </w:r>
      <w:r>
        <w:rPr>
          <w:rFonts w:hint="eastAsia" w:ascii="仿宋" w:hAnsi="仿宋" w:eastAsia="仿宋" w:cs="仿宋"/>
          <w:bCs w:val="0"/>
          <w:sz w:val="32"/>
          <w:szCs w:val="32"/>
          <w:highlight w:val="none"/>
        </w:rPr>
        <w:t>政拨款支出决算明细表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_Toc8725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3E287921">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_Toc24745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六、</w:t>
      </w:r>
      <w:r>
        <w:rPr>
          <w:rFonts w:hint="eastAsia" w:ascii="仿宋" w:hAnsi="仿宋" w:eastAsia="仿宋" w:cs="仿宋"/>
          <w:sz w:val="32"/>
          <w:szCs w:val="32"/>
          <w:highlight w:val="none"/>
        </w:rPr>
        <w:t>一</w:t>
      </w:r>
      <w:r>
        <w:rPr>
          <w:rFonts w:hint="eastAsia" w:ascii="仿宋" w:hAnsi="仿宋" w:eastAsia="仿宋" w:cs="仿宋"/>
          <w:bCs w:val="0"/>
          <w:sz w:val="32"/>
          <w:szCs w:val="32"/>
          <w:highlight w:val="none"/>
        </w:rPr>
        <w:t>般公共预算财政拨款支出决算表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_Toc24745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3ECBDF77">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_Toc3703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七、</w:t>
      </w:r>
      <w:r>
        <w:rPr>
          <w:rFonts w:hint="eastAsia" w:ascii="仿宋" w:hAnsi="仿宋" w:eastAsia="仿宋" w:cs="仿宋"/>
          <w:sz w:val="32"/>
          <w:szCs w:val="32"/>
          <w:highlight w:val="none"/>
        </w:rPr>
        <w:t>一</w:t>
      </w:r>
      <w:r>
        <w:rPr>
          <w:rFonts w:hint="eastAsia" w:ascii="仿宋" w:hAnsi="仿宋" w:eastAsia="仿宋" w:cs="仿宋"/>
          <w:bCs w:val="0"/>
          <w:sz w:val="32"/>
          <w:szCs w:val="32"/>
          <w:highlight w:val="none"/>
        </w:rPr>
        <w:t>般公共预算财政拨款支出决算明细表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_Toc3703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5A3D1D91">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_Toc6691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八、</w:t>
      </w:r>
      <w:r>
        <w:rPr>
          <w:rFonts w:hint="eastAsia" w:ascii="仿宋" w:hAnsi="仿宋" w:eastAsia="仿宋" w:cs="仿宋"/>
          <w:sz w:val="32"/>
          <w:szCs w:val="32"/>
          <w:highlight w:val="none"/>
        </w:rPr>
        <w:t>一</w:t>
      </w:r>
      <w:r>
        <w:rPr>
          <w:rFonts w:hint="eastAsia" w:ascii="仿宋" w:hAnsi="仿宋" w:eastAsia="仿宋" w:cs="仿宋"/>
          <w:bCs w:val="0"/>
          <w:sz w:val="32"/>
          <w:szCs w:val="32"/>
          <w:highlight w:val="none"/>
        </w:rPr>
        <w:t>般公共预算财政拨款基本支出决算表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_Toc6691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4F970DA0">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_Toc716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九、</w:t>
      </w:r>
      <w:r>
        <w:rPr>
          <w:rFonts w:hint="eastAsia" w:ascii="仿宋" w:hAnsi="仿宋" w:eastAsia="仿宋" w:cs="仿宋"/>
          <w:sz w:val="32"/>
          <w:szCs w:val="32"/>
          <w:highlight w:val="none"/>
        </w:rPr>
        <w:t>一</w:t>
      </w:r>
      <w:r>
        <w:rPr>
          <w:rFonts w:hint="eastAsia" w:ascii="仿宋" w:hAnsi="仿宋" w:eastAsia="仿宋" w:cs="仿宋"/>
          <w:bCs w:val="0"/>
          <w:sz w:val="32"/>
          <w:szCs w:val="32"/>
          <w:highlight w:val="none"/>
        </w:rPr>
        <w:t>般公共预算财政拨款项目支出决算表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_Toc716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7E41A6A3">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_Toc1269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十、</w:t>
      </w:r>
      <w:r>
        <w:rPr>
          <w:rFonts w:hint="eastAsia" w:ascii="仿宋" w:hAnsi="仿宋" w:eastAsia="仿宋" w:cs="仿宋"/>
          <w:sz w:val="32"/>
          <w:szCs w:val="32"/>
          <w:highlight w:val="none"/>
        </w:rPr>
        <w:t>政</w:t>
      </w:r>
      <w:r>
        <w:rPr>
          <w:rFonts w:hint="eastAsia" w:ascii="仿宋" w:hAnsi="仿宋" w:eastAsia="仿宋" w:cs="仿宋"/>
          <w:bCs w:val="0"/>
          <w:sz w:val="32"/>
          <w:szCs w:val="32"/>
          <w:highlight w:val="none"/>
        </w:rPr>
        <w:t>府性基金预算财政拨款收入支出决算表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_Toc1269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1341D26D">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_Toc27769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十一、</w:t>
      </w:r>
      <w:r>
        <w:rPr>
          <w:rFonts w:hint="eastAsia" w:ascii="仿宋" w:hAnsi="仿宋" w:eastAsia="仿宋" w:cs="仿宋"/>
          <w:sz w:val="32"/>
          <w:szCs w:val="32"/>
          <w:highlight w:val="none"/>
        </w:rPr>
        <w:t>国</w:t>
      </w:r>
      <w:r>
        <w:rPr>
          <w:rFonts w:hint="eastAsia" w:ascii="仿宋" w:hAnsi="仿宋" w:eastAsia="仿宋" w:cs="仿宋"/>
          <w:bCs w:val="0"/>
          <w:sz w:val="32"/>
          <w:szCs w:val="32"/>
          <w:highlight w:val="none"/>
        </w:rPr>
        <w:t>有资本经营预算</w:t>
      </w:r>
      <w:r>
        <w:rPr>
          <w:rFonts w:hint="eastAsia" w:ascii="仿宋" w:hAnsi="仿宋" w:eastAsia="仿宋" w:cs="仿宋"/>
          <w:bCs w:val="0"/>
          <w:sz w:val="32"/>
          <w:szCs w:val="32"/>
          <w:highlight w:val="none"/>
          <w:lang w:eastAsia="zh-CN"/>
        </w:rPr>
        <w:t>财政拨款收入</w:t>
      </w:r>
      <w:r>
        <w:rPr>
          <w:rFonts w:hint="eastAsia" w:ascii="仿宋" w:hAnsi="仿宋" w:eastAsia="仿宋" w:cs="仿宋"/>
          <w:bCs w:val="0"/>
          <w:sz w:val="32"/>
          <w:szCs w:val="32"/>
          <w:highlight w:val="none"/>
        </w:rPr>
        <w:t>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_Toc27769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160F9117">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_Toc17569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十二、</w:t>
      </w:r>
      <w:r>
        <w:rPr>
          <w:rFonts w:hint="eastAsia" w:ascii="仿宋" w:hAnsi="仿宋" w:eastAsia="仿宋" w:cs="仿宋"/>
          <w:bCs w:val="0"/>
          <w:sz w:val="32"/>
          <w:szCs w:val="32"/>
          <w:highlight w:val="none"/>
          <w:lang w:eastAsia="zh-CN"/>
        </w:rPr>
        <w:t>国有资本经营预算财政拨款支出决算表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_Toc17569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11CBB522">
      <w:pPr>
        <w:pStyle w:val="16"/>
        <w:tabs>
          <w:tab w:val="right" w:leader="dot" w:pos="8306"/>
          <w:tab w:val="clear" w:pos="8296"/>
        </w:tabs>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_Toc17916 </w:instrText>
      </w:r>
      <w:r>
        <w:rPr>
          <w:rFonts w:hint="eastAsia" w:ascii="仿宋" w:hAnsi="仿宋" w:eastAsia="仿宋" w:cs="仿宋"/>
          <w:sz w:val="32"/>
          <w:szCs w:val="32"/>
          <w:highlight w:val="none"/>
        </w:rPr>
        <w:fldChar w:fldCharType="separate"/>
      </w:r>
      <w:r>
        <w:rPr>
          <w:rFonts w:hint="eastAsia" w:ascii="仿宋" w:hAnsi="仿宋" w:eastAsia="仿宋" w:cs="仿宋"/>
          <w:bCs w:val="0"/>
          <w:sz w:val="32"/>
          <w:szCs w:val="32"/>
          <w:highlight w:val="none"/>
        </w:rPr>
        <w:t>十三、</w:t>
      </w:r>
      <w:r>
        <w:rPr>
          <w:rFonts w:hint="eastAsia" w:ascii="仿宋" w:hAnsi="仿宋" w:eastAsia="仿宋" w:cs="仿宋"/>
          <w:bCs w:val="0"/>
          <w:sz w:val="32"/>
          <w:szCs w:val="32"/>
          <w:highlight w:val="none"/>
          <w:lang w:eastAsia="zh-CN"/>
        </w:rPr>
        <w:t>财政拨款“三公”经费支出决算表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_Toc17916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44</w:t>
      </w:r>
    </w:p>
    <w:p w14:paraId="050B8225">
      <w:pPr>
        <w:pStyle w:val="13"/>
        <w:rPr>
          <w:rFonts w:hint="eastAsia" w:cs="Times New Roman"/>
          <w:color w:val="auto"/>
          <w:highlight w:val="none"/>
        </w:rPr>
      </w:pPr>
      <w:r>
        <w:rPr>
          <w:rFonts w:hint="eastAsia" w:ascii="仿宋" w:hAnsi="仿宋" w:eastAsia="仿宋" w:cs="仿宋"/>
          <w:color w:val="auto"/>
          <w:sz w:val="32"/>
          <w:szCs w:val="32"/>
          <w:highlight w:val="none"/>
        </w:rPr>
        <w:fldChar w:fldCharType="end"/>
      </w:r>
    </w:p>
    <w:p w14:paraId="10B36DDC">
      <w:pPr>
        <w:keepNext w:val="0"/>
        <w:keepLines w:val="0"/>
        <w:pageBreakBefore w:val="0"/>
        <w:widowControl/>
        <w:kinsoku/>
        <w:wordWrap/>
        <w:overflowPunct/>
        <w:topLinePunct w:val="0"/>
        <w:autoSpaceDE/>
        <w:autoSpaceDN/>
        <w:bidi w:val="0"/>
        <w:spacing w:line="560" w:lineRule="exact"/>
        <w:jc w:val="left"/>
        <w:textAlignment w:val="auto"/>
        <w:rPr>
          <w:rFonts w:ascii="仿宋" w:hAnsi="仿宋" w:eastAsia="仿宋"/>
          <w:bCs/>
          <w:color w:val="auto"/>
          <w:kern w:val="44"/>
          <w:sz w:val="24"/>
          <w:highlight w:val="none"/>
        </w:rPr>
      </w:pPr>
      <w:bookmarkStart w:id="6" w:name="_Toc15377196"/>
      <w:bookmarkStart w:id="7" w:name="_Toc15396599"/>
      <w:r>
        <w:rPr>
          <w:rFonts w:hint="eastAsia" w:ascii="仿宋_GB2312" w:hAnsi="仿宋_GB2312" w:eastAsia="仿宋_GB2312" w:cs="仿宋_GB2312"/>
          <w:b/>
          <w:color w:val="auto"/>
          <w:sz w:val="32"/>
          <w:szCs w:val="32"/>
          <w:highlight w:val="none"/>
        </w:rPr>
        <w:br w:type="page"/>
      </w:r>
    </w:p>
    <w:p w14:paraId="154DF92B">
      <w:pPr>
        <w:pStyle w:val="5"/>
        <w:jc w:val="center"/>
        <w:rPr>
          <w:rStyle w:val="23"/>
          <w:rFonts w:ascii="黑体" w:hAnsi="黑体" w:eastAsia="黑体"/>
          <w:b/>
          <w:bCs w:val="0"/>
          <w:color w:val="auto"/>
          <w:highlight w:val="none"/>
        </w:rPr>
      </w:pPr>
      <w:bookmarkStart w:id="8" w:name="_Toc1627"/>
      <w:bookmarkStart w:id="9" w:name="_Toc12865"/>
      <w:bookmarkStart w:id="10" w:name="_Toc17000"/>
      <w:r>
        <w:rPr>
          <w:rFonts w:hint="eastAsia" w:ascii="黑体" w:hAnsi="黑体" w:eastAsia="黑体"/>
          <w:b w:val="0"/>
          <w:color w:val="auto"/>
          <w:highlight w:val="none"/>
        </w:rPr>
        <w:t xml:space="preserve">第一部分 </w:t>
      </w:r>
      <w:r>
        <w:rPr>
          <w:rStyle w:val="23"/>
          <w:rFonts w:hint="eastAsia" w:ascii="黑体" w:hAnsi="黑体" w:eastAsia="黑体"/>
          <w:b w:val="0"/>
          <w:bCs w:val="0"/>
          <w:color w:val="auto"/>
          <w:highlight w:val="none"/>
        </w:rPr>
        <w:t>部门概况</w:t>
      </w:r>
      <w:bookmarkEnd w:id="6"/>
      <w:bookmarkEnd w:id="7"/>
      <w:bookmarkEnd w:id="8"/>
      <w:bookmarkEnd w:id="9"/>
      <w:bookmarkEnd w:id="10"/>
    </w:p>
    <w:p w14:paraId="01A9AA18">
      <w:pPr>
        <w:widowControl/>
        <w:jc w:val="left"/>
        <w:rPr>
          <w:rFonts w:ascii="黑体" w:eastAsia="黑体"/>
          <w:color w:val="auto"/>
          <w:sz w:val="32"/>
          <w:szCs w:val="32"/>
          <w:highlight w:val="none"/>
        </w:rPr>
      </w:pPr>
    </w:p>
    <w:p w14:paraId="1E9466D2">
      <w:pPr>
        <w:pStyle w:val="6"/>
        <w:numPr>
          <w:ilvl w:val="0"/>
          <w:numId w:val="1"/>
        </w:numPr>
        <w:outlineLvl w:val="1"/>
        <w:rPr>
          <w:rFonts w:hint="eastAsia" w:ascii="黑体" w:hAnsi="黑体" w:eastAsia="黑体"/>
          <w:b w:val="0"/>
          <w:color w:val="auto"/>
          <w:highlight w:val="none"/>
          <w:lang w:eastAsia="zh-CN"/>
        </w:rPr>
      </w:pPr>
      <w:bookmarkStart w:id="11" w:name="_Toc5883"/>
      <w:bookmarkStart w:id="12" w:name="_Toc7948"/>
      <w:bookmarkStart w:id="13" w:name="_Toc23172"/>
      <w:bookmarkStart w:id="14" w:name="_Toc17445"/>
      <w:bookmarkStart w:id="15" w:name="_Toc16534"/>
      <w:r>
        <w:rPr>
          <w:rFonts w:hint="eastAsia" w:ascii="黑体" w:hAnsi="黑体" w:eastAsia="黑体"/>
          <w:b w:val="0"/>
          <w:color w:val="auto"/>
          <w:highlight w:val="none"/>
          <w:lang w:eastAsia="zh-CN"/>
        </w:rPr>
        <w:t>部门职责</w:t>
      </w:r>
      <w:bookmarkEnd w:id="11"/>
      <w:bookmarkEnd w:id="12"/>
      <w:bookmarkEnd w:id="13"/>
      <w:bookmarkEnd w:id="14"/>
      <w:bookmarkEnd w:id="15"/>
    </w:p>
    <w:p w14:paraId="1B71D227">
      <w:pPr>
        <w:keepNext w:val="0"/>
        <w:keepLines w:val="0"/>
        <w:pageBreakBefore w:val="0"/>
        <w:widowControl w:val="0"/>
        <w:kinsoku/>
        <w:wordWrap/>
        <w:overflowPunct/>
        <w:topLinePunct w:val="0"/>
        <w:autoSpaceDE/>
        <w:autoSpaceDN/>
        <w:bidi w:val="0"/>
        <w:adjustRightInd/>
        <w:snapToGrid/>
        <w:spacing w:before="95" w:beforeLines="30" w:line="560" w:lineRule="exact"/>
        <w:ind w:firstLine="601"/>
        <w:textAlignment w:val="auto"/>
        <w:rPr>
          <w:rFonts w:ascii="仿宋" w:hAnsi="仿宋" w:eastAsia="仿宋" w:cs="仿宋"/>
          <w:sz w:val="32"/>
          <w:szCs w:val="32"/>
        </w:rPr>
      </w:pPr>
      <w:r>
        <w:rPr>
          <w:rFonts w:ascii="仿宋" w:hAnsi="仿宋" w:eastAsia="仿宋" w:cs="仿宋"/>
          <w:spacing w:val="16"/>
          <w:sz w:val="32"/>
          <w:szCs w:val="32"/>
        </w:rPr>
        <w:t>加强镇党委领导核心作用，充分发挥统筹协调各方、领导基</w:t>
      </w:r>
      <w:r>
        <w:rPr>
          <w:rFonts w:ascii="仿宋" w:hAnsi="仿宋" w:eastAsia="仿宋" w:cs="仿宋"/>
          <w:spacing w:val="15"/>
          <w:sz w:val="32"/>
          <w:szCs w:val="32"/>
        </w:rPr>
        <w:t>层治理的功能，推动镇党委聚焦主责主业，集中精力抓党建、抓</w:t>
      </w:r>
      <w:r>
        <w:rPr>
          <w:rFonts w:ascii="仿宋" w:hAnsi="仿宋" w:eastAsia="仿宋" w:cs="仿宋"/>
          <w:spacing w:val="19"/>
          <w:sz w:val="32"/>
          <w:szCs w:val="32"/>
        </w:rPr>
        <w:t>治理、抓服务。加快推进基层政府职能转变，强化镇公共管理、</w:t>
      </w:r>
      <w:r>
        <w:rPr>
          <w:rFonts w:ascii="仿宋" w:hAnsi="仿宋" w:eastAsia="仿宋" w:cs="仿宋"/>
          <w:spacing w:val="15"/>
          <w:sz w:val="32"/>
          <w:szCs w:val="32"/>
        </w:rPr>
        <w:t>公共服务、公共安全、民生保障等基本职能，推动镇职能由“管</w:t>
      </w:r>
      <w:r>
        <w:rPr>
          <w:rFonts w:ascii="仿宋" w:hAnsi="仿宋" w:eastAsia="仿宋" w:cs="仿宋"/>
          <w:spacing w:val="12"/>
          <w:sz w:val="32"/>
          <w:szCs w:val="32"/>
        </w:rPr>
        <w:t>理型”向“公共服务型”转变。</w:t>
      </w:r>
    </w:p>
    <w:p w14:paraId="4C480524">
      <w:pPr>
        <w:pageBreakBefore w:val="0"/>
        <w:kinsoku/>
        <w:wordWrap/>
        <w:overflowPunct/>
        <w:topLinePunct w:val="0"/>
        <w:bidi w:val="0"/>
        <w:spacing w:before="95" w:beforeLines="30" w:line="560" w:lineRule="exact"/>
        <w:ind w:left="604"/>
        <w:textAlignment w:val="auto"/>
        <w:outlineLvl w:val="2"/>
        <w:rPr>
          <w:rFonts w:ascii="仿宋" w:hAnsi="仿宋" w:eastAsia="仿宋" w:cs="仿宋"/>
          <w:sz w:val="30"/>
          <w:szCs w:val="30"/>
        </w:rPr>
      </w:pPr>
      <w:bookmarkStart w:id="16" w:name="_Toc4517"/>
      <w:bookmarkStart w:id="17" w:name="_Toc20288"/>
      <w:r>
        <w:rPr>
          <w:rFonts w:ascii="仿宋" w:hAnsi="仿宋" w:eastAsia="仿宋" w:cs="仿宋"/>
          <w:b/>
          <w:bCs/>
          <w:spacing w:val="16"/>
          <w:sz w:val="30"/>
          <w:szCs w:val="30"/>
        </w:rPr>
        <w:t>(</w:t>
      </w:r>
      <w:r>
        <w:rPr>
          <w:rFonts w:ascii="仿宋" w:hAnsi="仿宋" w:eastAsia="仿宋" w:cs="仿宋"/>
          <w:spacing w:val="-85"/>
          <w:sz w:val="30"/>
          <w:szCs w:val="30"/>
        </w:rPr>
        <w:t xml:space="preserve"> </w:t>
      </w:r>
      <w:r>
        <w:rPr>
          <w:rFonts w:ascii="仿宋" w:hAnsi="仿宋" w:eastAsia="仿宋" w:cs="仿宋"/>
          <w:b/>
          <w:bCs/>
          <w:spacing w:val="16"/>
          <w:sz w:val="30"/>
          <w:szCs w:val="30"/>
        </w:rPr>
        <w:t>一)镇党委主要职责</w:t>
      </w:r>
      <w:bookmarkEnd w:id="16"/>
      <w:bookmarkEnd w:id="17"/>
    </w:p>
    <w:p w14:paraId="779FC505">
      <w:pPr>
        <w:pageBreakBefore w:val="0"/>
        <w:kinsoku/>
        <w:wordWrap/>
        <w:overflowPunct/>
        <w:topLinePunct w:val="0"/>
        <w:bidi w:val="0"/>
        <w:spacing w:before="95" w:beforeLines="30" w:line="560" w:lineRule="exact"/>
        <w:ind w:right="119" w:firstLine="600"/>
        <w:jc w:val="both"/>
        <w:textAlignment w:val="auto"/>
        <w:outlineLvl w:val="3"/>
        <w:rPr>
          <w:rFonts w:ascii="仿宋" w:hAnsi="仿宋" w:eastAsia="仿宋" w:cs="仿宋"/>
          <w:sz w:val="32"/>
          <w:szCs w:val="32"/>
        </w:rPr>
      </w:pPr>
      <w:r>
        <w:rPr>
          <w:rFonts w:ascii="仿宋" w:hAnsi="仿宋" w:eastAsia="仿宋" w:cs="仿宋"/>
          <w:spacing w:val="22"/>
          <w:sz w:val="32"/>
          <w:szCs w:val="32"/>
        </w:rPr>
        <w:t>1.</w:t>
      </w:r>
      <w:r>
        <w:rPr>
          <w:rFonts w:ascii="仿宋" w:hAnsi="仿宋" w:eastAsia="仿宋" w:cs="仿宋"/>
          <w:spacing w:val="-31"/>
          <w:sz w:val="32"/>
          <w:szCs w:val="32"/>
        </w:rPr>
        <w:t xml:space="preserve"> </w:t>
      </w:r>
      <w:r>
        <w:rPr>
          <w:rFonts w:ascii="仿宋" w:hAnsi="仿宋" w:eastAsia="仿宋" w:cs="仿宋"/>
          <w:spacing w:val="22"/>
          <w:sz w:val="32"/>
          <w:szCs w:val="32"/>
        </w:rPr>
        <w:t>宣传和贯彻执行党的路线、方针、政策和上级党组织及</w:t>
      </w:r>
      <w:r>
        <w:rPr>
          <w:rFonts w:ascii="仿宋" w:hAnsi="仿宋" w:eastAsia="仿宋" w:cs="仿宋"/>
          <w:spacing w:val="26"/>
          <w:sz w:val="32"/>
          <w:szCs w:val="32"/>
        </w:rPr>
        <w:t>本镇党员代表大会(党员大会)的决议，及时向区委报告辖区有</w:t>
      </w:r>
      <w:r>
        <w:rPr>
          <w:rFonts w:ascii="仿宋" w:hAnsi="仿宋" w:eastAsia="仿宋" w:cs="仿宋"/>
          <w:spacing w:val="11"/>
          <w:sz w:val="32"/>
          <w:szCs w:val="32"/>
        </w:rPr>
        <w:t>关情况、反映问题、提出意见建议。</w:t>
      </w:r>
    </w:p>
    <w:p w14:paraId="2918BAF6">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z w:val="32"/>
          <w:szCs w:val="32"/>
        </w:rPr>
      </w:pPr>
      <w:r>
        <w:rPr>
          <w:rFonts w:ascii="仿宋" w:hAnsi="仿宋" w:eastAsia="仿宋" w:cs="仿宋"/>
          <w:spacing w:val="28"/>
          <w:sz w:val="32"/>
          <w:szCs w:val="32"/>
        </w:rPr>
        <w:t>2.</w:t>
      </w:r>
      <w:r>
        <w:rPr>
          <w:rFonts w:ascii="仿宋" w:hAnsi="仿宋" w:eastAsia="仿宋" w:cs="仿宋"/>
          <w:spacing w:val="-30"/>
          <w:sz w:val="32"/>
          <w:szCs w:val="32"/>
        </w:rPr>
        <w:t xml:space="preserve"> </w:t>
      </w:r>
      <w:r>
        <w:rPr>
          <w:rFonts w:ascii="仿宋" w:hAnsi="仿宋" w:eastAsia="仿宋" w:cs="仿宋"/>
          <w:spacing w:val="28"/>
          <w:sz w:val="32"/>
          <w:szCs w:val="32"/>
        </w:rPr>
        <w:t>全面领导镇人民政府机关、人大工作机构、群团组织、</w:t>
      </w:r>
      <w:r>
        <w:rPr>
          <w:rFonts w:ascii="仿宋" w:hAnsi="仿宋" w:eastAsia="仿宋" w:cs="仿宋"/>
          <w:spacing w:val="15"/>
          <w:sz w:val="32"/>
          <w:szCs w:val="32"/>
        </w:rPr>
        <w:t>人武部等其他各类机构和各项工作，加强指导和规范，支持和保</w:t>
      </w:r>
      <w:r>
        <w:rPr>
          <w:rFonts w:ascii="仿宋" w:hAnsi="仿宋" w:eastAsia="仿宋" w:cs="仿宋"/>
          <w:spacing w:val="13"/>
          <w:sz w:val="32"/>
          <w:szCs w:val="32"/>
        </w:rPr>
        <w:t>障机关和组织依照国家法律法规以及各自章程</w:t>
      </w:r>
      <w:r>
        <w:rPr>
          <w:rFonts w:ascii="仿宋" w:hAnsi="仿宋" w:eastAsia="仿宋" w:cs="仿宋"/>
          <w:spacing w:val="12"/>
          <w:sz w:val="32"/>
          <w:szCs w:val="32"/>
        </w:rPr>
        <w:t>履行职责。</w:t>
      </w:r>
    </w:p>
    <w:p w14:paraId="755AB26A">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3"/>
          <w:sz w:val="32"/>
          <w:szCs w:val="32"/>
        </w:rPr>
        <w:t>3.</w:t>
      </w:r>
      <w:r>
        <w:rPr>
          <w:rFonts w:ascii="仿宋" w:hAnsi="仿宋" w:eastAsia="仿宋" w:cs="仿宋"/>
          <w:spacing w:val="-28"/>
          <w:sz w:val="32"/>
          <w:szCs w:val="32"/>
        </w:rPr>
        <w:t xml:space="preserve"> </w:t>
      </w:r>
      <w:r>
        <w:rPr>
          <w:rFonts w:ascii="仿宋" w:hAnsi="仿宋" w:eastAsia="仿宋" w:cs="仿宋"/>
          <w:spacing w:val="28"/>
          <w:sz w:val="32"/>
          <w:szCs w:val="32"/>
        </w:rPr>
        <w:t>讨论和决定本行政区域内经济建设、政治建设、文化建设、社会建设、生态文明建设、法制建设和党的建设以及乡村振兴中的重大问题。需由镇人民政府或者集体经济组织决定的重要事项，经镇党委研究讨论后，由镇人民政府或者集体经济组织依照法律和有关规定作出决定。</w:t>
      </w:r>
    </w:p>
    <w:p w14:paraId="7E88EB62">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4. 履行全面从严治党主体责任，</w:t>
      </w:r>
      <w:r>
        <w:rPr>
          <w:rFonts w:hint="eastAsia" w:ascii="仿宋" w:hAnsi="仿宋" w:eastAsia="仿宋" w:cs="仿宋"/>
          <w:spacing w:val="28"/>
          <w:sz w:val="32"/>
          <w:szCs w:val="32"/>
          <w:lang w:eastAsia="zh-CN"/>
        </w:rPr>
        <w:t>全面推进党的政治建设、思想建设、组织建设、作风建设、纪律建设</w:t>
      </w:r>
      <w:r>
        <w:rPr>
          <w:rFonts w:ascii="仿宋" w:hAnsi="仿宋" w:eastAsia="仿宋" w:cs="仿宋"/>
          <w:spacing w:val="28"/>
          <w:sz w:val="32"/>
          <w:szCs w:val="32"/>
        </w:rPr>
        <w:t>，把制度建设贯穿其中，组织协调反腐倡廉工作。落实管党治党责任，不断提高党的建设质量，推动全面从严治党向基层延伸。维护和执行党的纪律，监督党员干部和其他工作人员严格遵守国家法律法规。</w:t>
      </w:r>
    </w:p>
    <w:p w14:paraId="1ECAD133">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5. 落实基层党建工作责任制，负责镇党委自身建设和村(社区)党组织建设，以及其他隶属镇党委的党组织建设，抓好党员发展和管理工作，加强党员队伍建设。按照干部管理权限，负责对干部的教育、培训、选拔、考核和监督工作。管理上级有关部门驻镇单位的干部。做好人才服务和引进工作。</w:t>
      </w:r>
    </w:p>
    <w:p w14:paraId="390590C8">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6. 负责思想政治、意识形态、精神文明、统一战线工作，统筹、协调辖区单位和组织，团结和组织党内外干部和群众，抓好决策部署的督促落实。加强意识形态阵地及队伍建设。</w:t>
      </w:r>
    </w:p>
    <w:p w14:paraId="35AE26A3">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0"/>
          <w:szCs w:val="30"/>
        </w:rPr>
      </w:pPr>
      <w:r>
        <w:rPr>
          <w:rFonts w:ascii="仿宋" w:hAnsi="仿宋" w:eastAsia="仿宋" w:cs="仿宋"/>
          <w:spacing w:val="28"/>
          <w:sz w:val="32"/>
          <w:szCs w:val="32"/>
        </w:rPr>
        <w:t>7. 完成区委交办的其他事项。</w:t>
      </w:r>
    </w:p>
    <w:p w14:paraId="0D5EE381">
      <w:pPr>
        <w:pageBreakBefore w:val="0"/>
        <w:kinsoku/>
        <w:wordWrap/>
        <w:overflowPunct/>
        <w:topLinePunct w:val="0"/>
        <w:bidi w:val="0"/>
        <w:spacing w:before="95" w:beforeLines="30" w:line="560" w:lineRule="exact"/>
        <w:ind w:left="604"/>
        <w:textAlignment w:val="auto"/>
        <w:outlineLvl w:val="2"/>
        <w:rPr>
          <w:rFonts w:ascii="仿宋" w:hAnsi="仿宋" w:eastAsia="仿宋" w:cs="仿宋"/>
          <w:b/>
          <w:bCs/>
          <w:spacing w:val="16"/>
          <w:sz w:val="30"/>
          <w:szCs w:val="30"/>
        </w:rPr>
      </w:pPr>
      <w:bookmarkStart w:id="18" w:name="_Toc29788"/>
      <w:bookmarkStart w:id="19" w:name="_Toc27689"/>
      <w:r>
        <w:rPr>
          <w:rFonts w:ascii="仿宋" w:hAnsi="仿宋" w:eastAsia="仿宋" w:cs="仿宋"/>
          <w:b/>
          <w:bCs/>
          <w:spacing w:val="16"/>
          <w:sz w:val="30"/>
          <w:szCs w:val="30"/>
        </w:rPr>
        <w:t>(二)镇人民政府主要职责</w:t>
      </w:r>
      <w:bookmarkEnd w:id="18"/>
      <w:bookmarkEnd w:id="19"/>
    </w:p>
    <w:p w14:paraId="2633AFF5">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1. 贯彻执行本级人民代表大会的决议和上级国家行政机关的决定和命令，发布决定和命令。</w:t>
      </w:r>
    </w:p>
    <w:p w14:paraId="28BE337C">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2. 贯彻执行本行政区域内经济和社会发展计划、预算，管理本行政区域内的经济、教育、科学、文化、卫生、体育、财政、民政、统计、公安、司法行政等行政工作。</w:t>
      </w:r>
    </w:p>
    <w:p w14:paraId="7FCBDE85">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3. 负责本行政区域内的基层治理，负责社会主义民主法治建设和精神文明建设，负责民生保障、社会救助、社会治安综合治理、生态文明建设、脱贫成果巩固、乡村振兴、民族宗教、森林防灭火、防灾减灾、应急管理、镇村建设、自然资源、耕地保护等工作。</w:t>
      </w:r>
    </w:p>
    <w:p w14:paraId="5D33090B">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4. 负责提供区域公共服务，完善基本公共服务体系，依法依规承接区级部门下放的服务管理权限。落实</w:t>
      </w:r>
      <w:r>
        <w:rPr>
          <w:rFonts w:hint="eastAsia" w:ascii="仿宋" w:hAnsi="仿宋" w:eastAsia="仿宋" w:cs="仿宋"/>
          <w:spacing w:val="28"/>
          <w:sz w:val="32"/>
          <w:szCs w:val="32"/>
          <w:lang w:eastAsia="zh-CN"/>
        </w:rPr>
        <w:t>人力资源和社会保障</w:t>
      </w:r>
      <w:r>
        <w:rPr>
          <w:rFonts w:ascii="仿宋" w:hAnsi="仿宋" w:eastAsia="仿宋" w:cs="仿宋"/>
          <w:spacing w:val="28"/>
          <w:sz w:val="32"/>
          <w:szCs w:val="32"/>
        </w:rPr>
        <w:t>、民政、教育、科技、文化、体育、卫生健康、农民工服务、退役军人事务等领域相关法规政策。负责推进政府职能转变、依法治理等工作，建设服务型政府。</w:t>
      </w:r>
    </w:p>
    <w:p w14:paraId="4140A4ED">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5. 负责保护社会主义的全民所有财产和劳动群众集体所有财产，保护公民私人所有合法财产，维护社会秩序，保障公民的人身权利、民主权利和其他权利。保护各种经济组织的合法权益。保障少数民族的权利和尊重少数民族的风俗习惯。</w:t>
      </w:r>
    </w:p>
    <w:p w14:paraId="17B424E3">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6. 负责职责范围内安全生产和职业健康、生态环境保护等工作，及时向上级党委、政府反映社情民意，进一步密切党和政府与人民群众的关系。</w:t>
      </w:r>
    </w:p>
    <w:p w14:paraId="0665DEAA">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7. 负责有效承接按程序下放或委托的行政权力事项，落实属地清单中的主体责任与配合责任。</w:t>
      </w:r>
    </w:p>
    <w:p w14:paraId="0EBFABE6">
      <w:pPr>
        <w:pageBreakBefore w:val="0"/>
        <w:kinsoku/>
        <w:wordWrap/>
        <w:overflowPunct/>
        <w:topLinePunct w:val="0"/>
        <w:bidi w:val="0"/>
        <w:spacing w:before="95" w:beforeLines="30" w:line="560" w:lineRule="exact"/>
        <w:ind w:firstLine="600"/>
        <w:jc w:val="both"/>
        <w:textAlignment w:val="auto"/>
        <w:outlineLvl w:val="3"/>
        <w:rPr>
          <w:rFonts w:ascii="仿宋" w:hAnsi="仿宋" w:eastAsia="仿宋" w:cs="仿宋"/>
          <w:spacing w:val="28"/>
          <w:sz w:val="32"/>
          <w:szCs w:val="32"/>
        </w:rPr>
      </w:pPr>
      <w:r>
        <w:rPr>
          <w:rFonts w:ascii="仿宋" w:hAnsi="仿宋" w:eastAsia="仿宋" w:cs="仿宋"/>
          <w:spacing w:val="28"/>
          <w:sz w:val="32"/>
          <w:szCs w:val="32"/>
        </w:rPr>
        <w:t>8. 监督执法管理。对辖区内各类行政执法工作进行统筹协调，组织开展群众监督和社会监督。</w:t>
      </w:r>
    </w:p>
    <w:p w14:paraId="7EC87BAB">
      <w:pPr>
        <w:pageBreakBefore w:val="0"/>
        <w:kinsoku/>
        <w:wordWrap/>
        <w:overflowPunct/>
        <w:topLinePunct w:val="0"/>
        <w:bidi w:val="0"/>
        <w:spacing w:before="95" w:beforeLines="30" w:line="560" w:lineRule="exact"/>
        <w:ind w:firstLine="600"/>
        <w:jc w:val="both"/>
        <w:textAlignment w:val="auto"/>
        <w:outlineLvl w:val="3"/>
        <w:rPr>
          <w:rFonts w:hint="eastAsia"/>
          <w:sz w:val="32"/>
          <w:szCs w:val="32"/>
          <w:lang w:eastAsia="zh-CN"/>
        </w:rPr>
      </w:pPr>
      <w:r>
        <w:rPr>
          <w:rFonts w:ascii="仿宋" w:hAnsi="仿宋" w:eastAsia="仿宋" w:cs="仿宋"/>
          <w:spacing w:val="28"/>
          <w:sz w:val="32"/>
          <w:szCs w:val="32"/>
        </w:rPr>
        <w:t>9. 完成区委、区人民政府交办的其他事项。</w:t>
      </w:r>
    </w:p>
    <w:p w14:paraId="76964B87">
      <w:pPr>
        <w:rPr>
          <w:rFonts w:hint="eastAsia"/>
          <w:lang w:eastAsia="zh-CN"/>
        </w:rPr>
      </w:pPr>
    </w:p>
    <w:p w14:paraId="6305ADF7">
      <w:pPr>
        <w:pStyle w:val="6"/>
        <w:rPr>
          <w:rStyle w:val="24"/>
          <w:b w:val="0"/>
          <w:bCs w:val="0"/>
          <w:color w:val="auto"/>
          <w:highlight w:val="none"/>
        </w:rPr>
      </w:pPr>
      <w:bookmarkStart w:id="20" w:name="_Toc31932"/>
      <w:bookmarkStart w:id="21" w:name="_Toc8771"/>
      <w:bookmarkStart w:id="22" w:name="_Toc15396601"/>
      <w:bookmarkStart w:id="23" w:name="_Toc11366"/>
      <w:bookmarkStart w:id="24" w:name="_Toc15377200"/>
      <w:bookmarkStart w:id="25" w:name="_Toc3345"/>
      <w:bookmarkStart w:id="26" w:name="_Toc19762"/>
      <w:r>
        <w:rPr>
          <w:rFonts w:hint="eastAsia" w:ascii="黑体" w:eastAsia="黑体"/>
          <w:b w:val="0"/>
          <w:color w:val="auto"/>
          <w:highlight w:val="none"/>
        </w:rPr>
        <w:t>二、</w:t>
      </w:r>
      <w:r>
        <w:rPr>
          <w:rFonts w:hint="eastAsia" w:ascii="黑体" w:hAnsi="黑体" w:eastAsia="黑体"/>
          <w:b w:val="0"/>
          <w:color w:val="auto"/>
          <w:highlight w:val="none"/>
        </w:rPr>
        <w:t>机</w:t>
      </w:r>
      <w:r>
        <w:rPr>
          <w:rStyle w:val="24"/>
          <w:rFonts w:hint="eastAsia" w:ascii="黑体" w:hAnsi="黑体" w:eastAsia="黑体"/>
          <w:b w:val="0"/>
          <w:bCs w:val="0"/>
          <w:color w:val="auto"/>
          <w:highlight w:val="none"/>
        </w:rPr>
        <w:t>构设置</w:t>
      </w:r>
      <w:bookmarkEnd w:id="20"/>
      <w:bookmarkEnd w:id="21"/>
      <w:bookmarkEnd w:id="22"/>
      <w:bookmarkEnd w:id="23"/>
      <w:bookmarkEnd w:id="24"/>
      <w:bookmarkEnd w:id="25"/>
      <w:bookmarkEnd w:id="26"/>
    </w:p>
    <w:p w14:paraId="42009CDB">
      <w:pPr>
        <w:ind w:firstLine="800" w:firstLineChars="25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遂宁市安居区三家镇人民政府</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p w14:paraId="455F01E3">
      <w:pPr>
        <w:pStyle w:val="9"/>
        <w:adjustRightInd w:val="0"/>
        <w:snapToGrid w:val="0"/>
        <w:spacing w:before="93" w:line="600" w:lineRule="exact"/>
        <w:ind w:firstLine="672" w:firstLineChars="21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无</w:t>
      </w:r>
      <w:r>
        <w:rPr>
          <w:rFonts w:hint="eastAsia" w:ascii="仿宋" w:hAnsi="仿宋" w:eastAsia="仿宋"/>
          <w:color w:val="auto"/>
          <w:sz w:val="32"/>
          <w:szCs w:val="32"/>
          <w:highlight w:val="none"/>
        </w:rPr>
        <w:t>纳入</w:t>
      </w: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度部门决算编制范围的二级预算单位</w:t>
      </w:r>
      <w:r>
        <w:rPr>
          <w:rFonts w:hint="eastAsia" w:ascii="仿宋" w:hAnsi="仿宋" w:eastAsia="仿宋"/>
          <w:color w:val="auto"/>
          <w:sz w:val="32"/>
          <w:szCs w:val="32"/>
          <w:highlight w:val="none"/>
          <w:lang w:eastAsia="zh-CN"/>
        </w:rPr>
        <w:t>。</w:t>
      </w:r>
    </w:p>
    <w:p w14:paraId="2B633831">
      <w:pPr>
        <w:widowControl/>
        <w:jc w:val="left"/>
        <w:rPr>
          <w:rFonts w:ascii="仿宋" w:hAnsi="仿宋" w:eastAsia="仿宋"/>
          <w:color w:val="auto"/>
          <w:kern w:val="0"/>
          <w:sz w:val="32"/>
          <w:szCs w:val="32"/>
          <w:highlight w:val="none"/>
        </w:rPr>
      </w:pPr>
    </w:p>
    <w:p w14:paraId="53094367">
      <w:pPr>
        <w:pStyle w:val="25"/>
        <w:rPr>
          <w:rFonts w:ascii="仿宋" w:hAnsi="仿宋" w:eastAsia="仿宋"/>
          <w:color w:val="auto"/>
          <w:kern w:val="0"/>
          <w:sz w:val="32"/>
          <w:szCs w:val="32"/>
          <w:highlight w:val="none"/>
        </w:rPr>
      </w:pPr>
    </w:p>
    <w:p w14:paraId="01CA0093">
      <w:pPr>
        <w:rPr>
          <w:rFonts w:ascii="仿宋" w:hAnsi="仿宋" w:eastAsia="仿宋"/>
          <w:color w:val="auto"/>
          <w:kern w:val="0"/>
          <w:sz w:val="32"/>
          <w:szCs w:val="32"/>
          <w:highlight w:val="none"/>
        </w:rPr>
      </w:pPr>
    </w:p>
    <w:p w14:paraId="2E78AEB3">
      <w:pPr>
        <w:pStyle w:val="25"/>
        <w:rPr>
          <w:rFonts w:ascii="仿宋" w:hAnsi="仿宋" w:eastAsia="仿宋"/>
          <w:color w:val="auto"/>
          <w:kern w:val="0"/>
          <w:sz w:val="32"/>
          <w:szCs w:val="32"/>
          <w:highlight w:val="none"/>
        </w:rPr>
      </w:pPr>
    </w:p>
    <w:p w14:paraId="1AAA834A">
      <w:pPr>
        <w:rPr>
          <w:rFonts w:ascii="仿宋" w:hAnsi="仿宋" w:eastAsia="仿宋"/>
          <w:color w:val="auto"/>
          <w:kern w:val="0"/>
          <w:sz w:val="32"/>
          <w:szCs w:val="32"/>
          <w:highlight w:val="none"/>
        </w:rPr>
      </w:pPr>
    </w:p>
    <w:p w14:paraId="2CB6CB9E">
      <w:pPr>
        <w:pStyle w:val="25"/>
        <w:rPr>
          <w:rFonts w:ascii="仿宋" w:hAnsi="仿宋" w:eastAsia="仿宋"/>
          <w:color w:val="auto"/>
          <w:kern w:val="0"/>
          <w:sz w:val="32"/>
          <w:szCs w:val="32"/>
          <w:highlight w:val="none"/>
        </w:rPr>
      </w:pPr>
    </w:p>
    <w:p w14:paraId="3DCD4BA4">
      <w:pPr>
        <w:rPr>
          <w:rFonts w:ascii="仿宋" w:hAnsi="仿宋" w:eastAsia="仿宋"/>
          <w:color w:val="auto"/>
          <w:kern w:val="0"/>
          <w:sz w:val="32"/>
          <w:szCs w:val="32"/>
          <w:highlight w:val="none"/>
        </w:rPr>
      </w:pPr>
    </w:p>
    <w:p w14:paraId="1EA5AC92">
      <w:pPr>
        <w:pStyle w:val="25"/>
        <w:rPr>
          <w:rFonts w:ascii="仿宋" w:hAnsi="仿宋" w:eastAsia="仿宋"/>
          <w:color w:val="auto"/>
          <w:kern w:val="0"/>
          <w:sz w:val="32"/>
          <w:szCs w:val="32"/>
          <w:highlight w:val="none"/>
        </w:rPr>
      </w:pPr>
    </w:p>
    <w:p w14:paraId="5BAA8787">
      <w:pPr>
        <w:rPr>
          <w:rFonts w:ascii="仿宋" w:hAnsi="仿宋" w:eastAsia="仿宋"/>
          <w:color w:val="auto"/>
          <w:kern w:val="0"/>
          <w:sz w:val="32"/>
          <w:szCs w:val="32"/>
          <w:highlight w:val="none"/>
        </w:rPr>
      </w:pPr>
    </w:p>
    <w:p w14:paraId="5C2DCA34">
      <w:pPr>
        <w:pStyle w:val="25"/>
        <w:rPr>
          <w:rFonts w:ascii="仿宋" w:hAnsi="仿宋" w:eastAsia="仿宋"/>
          <w:color w:val="auto"/>
          <w:kern w:val="0"/>
          <w:sz w:val="32"/>
          <w:szCs w:val="32"/>
          <w:highlight w:val="none"/>
        </w:rPr>
      </w:pPr>
    </w:p>
    <w:p w14:paraId="48752A73">
      <w:pPr>
        <w:rPr>
          <w:rFonts w:ascii="仿宋" w:hAnsi="仿宋" w:eastAsia="仿宋"/>
          <w:color w:val="auto"/>
          <w:kern w:val="0"/>
          <w:sz w:val="32"/>
          <w:szCs w:val="32"/>
          <w:highlight w:val="none"/>
        </w:rPr>
      </w:pPr>
    </w:p>
    <w:p w14:paraId="50784422">
      <w:pPr>
        <w:pStyle w:val="25"/>
      </w:pPr>
    </w:p>
    <w:p w14:paraId="34A94F0B">
      <w:pPr>
        <w:pStyle w:val="5"/>
        <w:ind w:right="440"/>
        <w:jc w:val="center"/>
        <w:rPr>
          <w:rStyle w:val="23"/>
          <w:rFonts w:ascii="黑体" w:hAnsi="黑体" w:eastAsia="黑体"/>
          <w:b w:val="0"/>
          <w:bCs/>
          <w:color w:val="auto"/>
          <w:highlight w:val="none"/>
        </w:rPr>
      </w:pPr>
      <w:bookmarkStart w:id="27" w:name="_Toc29864"/>
      <w:bookmarkStart w:id="28" w:name="_Toc27179"/>
      <w:bookmarkStart w:id="29" w:name="_Toc27518"/>
      <w:bookmarkStart w:id="30" w:name="_Toc25829"/>
      <w:bookmarkStart w:id="31" w:name="_Toc15377204"/>
      <w:bookmarkStart w:id="32" w:name="_Toc15396602"/>
      <w:bookmarkStart w:id="33" w:name="_Toc18491"/>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2024年度</w:t>
      </w:r>
      <w:r>
        <w:rPr>
          <w:rStyle w:val="23"/>
          <w:rFonts w:hint="eastAsia" w:ascii="黑体" w:hAnsi="黑体" w:eastAsia="黑体"/>
          <w:b w:val="0"/>
          <w:bCs/>
          <w:color w:val="auto"/>
          <w:highlight w:val="none"/>
        </w:rPr>
        <w:t>部门决算情况说明</w:t>
      </w:r>
      <w:bookmarkEnd w:id="27"/>
      <w:bookmarkEnd w:id="28"/>
      <w:bookmarkEnd w:id="29"/>
      <w:bookmarkEnd w:id="30"/>
      <w:bookmarkEnd w:id="31"/>
      <w:bookmarkEnd w:id="32"/>
      <w:bookmarkEnd w:id="33"/>
    </w:p>
    <w:p w14:paraId="24EC9654">
      <w:pPr>
        <w:rPr>
          <w:color w:val="auto"/>
          <w:highlight w:val="none"/>
        </w:rPr>
      </w:pPr>
    </w:p>
    <w:p w14:paraId="5EF538B5">
      <w:pPr>
        <w:pStyle w:val="29"/>
        <w:numPr>
          <w:ilvl w:val="0"/>
          <w:numId w:val="2"/>
        </w:numPr>
        <w:spacing w:line="600" w:lineRule="exact"/>
        <w:ind w:firstLineChars="0"/>
        <w:outlineLvl w:val="1"/>
        <w:rPr>
          <w:rStyle w:val="24"/>
          <w:rFonts w:ascii="黑体" w:hAnsi="黑体" w:eastAsia="黑体"/>
          <w:b w:val="0"/>
          <w:color w:val="auto"/>
          <w:highlight w:val="none"/>
        </w:rPr>
      </w:pPr>
      <w:bookmarkStart w:id="34" w:name="_Toc22511"/>
      <w:bookmarkStart w:id="35" w:name="_Toc15396603"/>
      <w:bookmarkStart w:id="36" w:name="_Toc29007"/>
      <w:bookmarkStart w:id="37" w:name="_Toc15377205"/>
      <w:bookmarkStart w:id="38" w:name="_Toc25757"/>
      <w:bookmarkStart w:id="39" w:name="_Toc21071"/>
      <w:bookmarkStart w:id="40" w:name="_Toc23933"/>
      <w:r>
        <w:rPr>
          <w:rFonts w:hint="eastAsia" w:ascii="黑体" w:hAnsi="黑体" w:eastAsia="黑体"/>
          <w:color w:val="auto"/>
          <w:sz w:val="32"/>
          <w:szCs w:val="32"/>
          <w:highlight w:val="none"/>
        </w:rPr>
        <w:t>收</w:t>
      </w:r>
      <w:r>
        <w:rPr>
          <w:rStyle w:val="24"/>
          <w:rFonts w:hint="eastAsia" w:ascii="黑体" w:hAnsi="黑体" w:eastAsia="黑体"/>
          <w:b w:val="0"/>
          <w:color w:val="auto"/>
          <w:highlight w:val="none"/>
        </w:rPr>
        <w:t>入支出决算总体情况说明</w:t>
      </w:r>
      <w:bookmarkEnd w:id="34"/>
      <w:bookmarkEnd w:id="35"/>
      <w:bookmarkEnd w:id="36"/>
      <w:bookmarkEnd w:id="37"/>
      <w:bookmarkEnd w:id="38"/>
      <w:bookmarkEnd w:id="39"/>
      <w:bookmarkEnd w:id="40"/>
    </w:p>
    <w:p w14:paraId="6D8D9405">
      <w:pPr>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度收、支总计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2761.06</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2023年度</w:t>
      </w:r>
      <w:r>
        <w:rPr>
          <w:rFonts w:hint="eastAsia" w:ascii="仿宋" w:hAnsi="仿宋" w:eastAsia="仿宋"/>
          <w:color w:val="auto"/>
          <w:sz w:val="32"/>
          <w:szCs w:val="32"/>
          <w:highlight w:val="none"/>
        </w:rPr>
        <w:t>相比，收、支总计各减少</w:t>
      </w:r>
      <w:r>
        <w:rPr>
          <w:rFonts w:hint="eastAsia" w:ascii="仿宋" w:hAnsi="仿宋" w:eastAsia="仿宋"/>
          <w:color w:val="auto"/>
          <w:sz w:val="32"/>
          <w:szCs w:val="32"/>
          <w:highlight w:val="none"/>
          <w:lang w:val="en-US" w:eastAsia="zh-CN"/>
        </w:rPr>
        <w:t>284.73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10.31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2023年比2024年基层组织活动和公共服务运行经费多109万元，2023年另比2024年多河道治理专项资金50万元，琼江流域水污染防治专项工作经费80万元。</w:t>
      </w:r>
    </w:p>
    <w:p w14:paraId="0B8D45A8">
      <w:pPr>
        <w:keepNext/>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object>
          <v:shape id="_x0000_i1025" o:spt="75" type="#_x0000_t75" style="height:226.5pt;width:354pt;" o:ole="t" filled="f" o:preferrelative="t" stroked="f" coordsize="21600,21600">
            <v:path/>
            <v:fill on="f" focussize="0,0"/>
            <v:stroke on="f"/>
            <v:imagedata r:id="rId9" o:title=""/>
            <o:lock v:ext="edit" aspectratio="t"/>
            <w10:wrap type="none"/>
            <w10:anchorlock/>
          </v:shape>
          <o:OLEObject Type="Embed" ProgID="Excel.Chart.8" ShapeID="_x0000_i1025" DrawAspect="Content" ObjectID="_1468075725" r:id="rId8">
            <o:LockedField>false</o:LockedField>
          </o:OLEObject>
        </w:object>
      </w:r>
    </w:p>
    <w:p w14:paraId="115563AF">
      <w:pPr>
        <w:keepNext/>
        <w:ind w:firstLine="640" w:firstLineChars="200"/>
        <w:jc w:val="left"/>
        <w:rPr>
          <w:rFonts w:ascii="仿宋" w:hAnsi="仿宋" w:eastAsia="仿宋"/>
          <w:color w:val="auto"/>
          <w:sz w:val="32"/>
          <w:szCs w:val="32"/>
          <w:highlight w:val="none"/>
        </w:rPr>
      </w:pPr>
      <w:r>
        <w:rPr>
          <w:rFonts w:hint="eastAsia" w:ascii="仿宋_GB2312" w:eastAsia="仿宋_GB2312"/>
          <w:sz w:val="32"/>
          <w:szCs w:val="32"/>
          <w:lang w:val="en-US" w:eastAsia="zh-CN"/>
        </w:rPr>
        <w:t xml:space="preserve">     </w:t>
      </w: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20C8D61A">
      <w:pPr>
        <w:pStyle w:val="29"/>
        <w:numPr>
          <w:ilvl w:val="0"/>
          <w:numId w:val="2"/>
        </w:numPr>
        <w:spacing w:line="600" w:lineRule="exact"/>
        <w:ind w:firstLineChars="0"/>
        <w:outlineLvl w:val="1"/>
        <w:rPr>
          <w:rStyle w:val="24"/>
          <w:rFonts w:ascii="黑体" w:hAnsi="黑体" w:eastAsia="黑体"/>
          <w:b w:val="0"/>
          <w:color w:val="auto"/>
          <w:highlight w:val="none"/>
        </w:rPr>
      </w:pPr>
      <w:bookmarkStart w:id="41" w:name="_Toc15377206"/>
      <w:bookmarkStart w:id="42" w:name="_Toc1772"/>
      <w:bookmarkStart w:id="43" w:name="_Toc15396604"/>
      <w:bookmarkStart w:id="44" w:name="_Toc18838"/>
      <w:bookmarkStart w:id="45" w:name="_Toc22214"/>
      <w:bookmarkStart w:id="46" w:name="_Toc10576"/>
      <w:bookmarkStart w:id="47" w:name="_Toc4712"/>
      <w:r>
        <w:rPr>
          <w:rFonts w:hint="eastAsia" w:ascii="黑体" w:hAnsi="黑体" w:eastAsia="黑体"/>
          <w:color w:val="auto"/>
          <w:sz w:val="32"/>
          <w:szCs w:val="32"/>
          <w:highlight w:val="none"/>
        </w:rPr>
        <w:t>收</w:t>
      </w:r>
      <w:r>
        <w:rPr>
          <w:rStyle w:val="24"/>
          <w:rFonts w:hint="eastAsia" w:ascii="黑体" w:hAnsi="黑体" w:eastAsia="黑体"/>
          <w:b w:val="0"/>
          <w:color w:val="auto"/>
          <w:highlight w:val="none"/>
        </w:rPr>
        <w:t>入决算情况说明</w:t>
      </w:r>
      <w:bookmarkEnd w:id="41"/>
      <w:bookmarkEnd w:id="42"/>
      <w:bookmarkEnd w:id="43"/>
      <w:bookmarkEnd w:id="44"/>
      <w:bookmarkEnd w:id="45"/>
      <w:bookmarkEnd w:id="46"/>
      <w:bookmarkEnd w:id="47"/>
    </w:p>
    <w:p w14:paraId="5392AA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2,761.06</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2,717.06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98.41</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44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1.59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295059B8">
      <w:pPr>
        <w:spacing w:line="360" w:lineRule="auto"/>
        <w:ind w:firstLine="640" w:firstLineChars="20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114300" distR="114300">
            <wp:extent cx="4532630" cy="2804795"/>
            <wp:effectExtent l="4445" t="4445" r="9525" b="101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24268A">
      <w:pPr>
        <w:spacing w:line="600" w:lineRule="exact"/>
        <w:ind w:firstLine="1600" w:firstLineChars="5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577BB2D7">
      <w:pPr>
        <w:pStyle w:val="29"/>
        <w:numPr>
          <w:ilvl w:val="0"/>
          <w:numId w:val="2"/>
        </w:numPr>
        <w:spacing w:line="600" w:lineRule="exact"/>
        <w:ind w:firstLineChars="0"/>
        <w:outlineLvl w:val="1"/>
        <w:rPr>
          <w:rStyle w:val="24"/>
          <w:rFonts w:ascii="黑体" w:hAnsi="黑体" w:eastAsia="黑体"/>
          <w:b w:val="0"/>
          <w:color w:val="auto"/>
          <w:highlight w:val="none"/>
        </w:rPr>
      </w:pPr>
      <w:bookmarkStart w:id="48" w:name="_Toc16722"/>
      <w:bookmarkStart w:id="49" w:name="_Toc15396605"/>
      <w:bookmarkStart w:id="50" w:name="_Toc15377207"/>
      <w:bookmarkStart w:id="51" w:name="_Toc25432"/>
      <w:bookmarkStart w:id="52" w:name="_Toc6916"/>
      <w:bookmarkStart w:id="53" w:name="_Toc7821"/>
      <w:bookmarkStart w:id="54" w:name="_Toc11459"/>
      <w:r>
        <w:rPr>
          <w:rFonts w:hint="eastAsia" w:ascii="黑体" w:hAnsi="黑体" w:eastAsia="黑体"/>
          <w:color w:val="auto"/>
          <w:sz w:val="32"/>
          <w:szCs w:val="32"/>
          <w:highlight w:val="none"/>
        </w:rPr>
        <w:t>支</w:t>
      </w:r>
      <w:r>
        <w:rPr>
          <w:rStyle w:val="24"/>
          <w:rFonts w:hint="eastAsia" w:ascii="黑体" w:hAnsi="黑体" w:eastAsia="黑体"/>
          <w:b w:val="0"/>
          <w:color w:val="auto"/>
          <w:highlight w:val="none"/>
        </w:rPr>
        <w:t>出决算情况说明</w:t>
      </w:r>
      <w:bookmarkEnd w:id="48"/>
      <w:bookmarkEnd w:id="49"/>
      <w:bookmarkEnd w:id="50"/>
      <w:bookmarkEnd w:id="51"/>
      <w:bookmarkEnd w:id="52"/>
      <w:bookmarkEnd w:id="53"/>
      <w:bookmarkEnd w:id="54"/>
    </w:p>
    <w:p w14:paraId="503BAC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本年支出合计</w:t>
      </w:r>
      <w:r>
        <w:rPr>
          <w:rFonts w:hint="eastAsia" w:ascii="仿宋" w:hAnsi="仿宋" w:eastAsia="仿宋"/>
          <w:color w:val="auto"/>
          <w:sz w:val="32"/>
          <w:szCs w:val="32"/>
          <w:highlight w:val="none"/>
          <w:lang w:val="en-US" w:eastAsia="zh-CN"/>
        </w:rPr>
        <w:t>2,761.06</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2,247.02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81.38</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470.04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18.62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7501D33B">
      <w:pPr>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A2A988">
      <w:pPr>
        <w:spacing w:line="600" w:lineRule="exact"/>
        <w:ind w:firstLine="1920" w:firstLineChars="6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6B4378B5">
      <w:pPr>
        <w:spacing w:line="600" w:lineRule="exact"/>
        <w:ind w:firstLine="640" w:firstLineChars="200"/>
        <w:outlineLvl w:val="1"/>
        <w:rPr>
          <w:rStyle w:val="24"/>
          <w:rFonts w:ascii="黑体" w:hAnsi="黑体" w:eastAsia="黑体"/>
          <w:b w:val="0"/>
          <w:color w:val="auto"/>
          <w:highlight w:val="none"/>
        </w:rPr>
      </w:pPr>
      <w:bookmarkStart w:id="55" w:name="_Toc15225"/>
      <w:bookmarkStart w:id="56" w:name="_Toc20450"/>
      <w:bookmarkStart w:id="57" w:name="_Toc15377208"/>
      <w:bookmarkStart w:id="58" w:name="_Toc9329"/>
      <w:bookmarkStart w:id="59" w:name="_Toc23630"/>
      <w:bookmarkStart w:id="60" w:name="_Toc32505"/>
      <w:bookmarkStart w:id="61" w:name="_Toc15396606"/>
      <w:r>
        <w:rPr>
          <w:rFonts w:hint="eastAsia" w:ascii="黑体" w:hAnsi="黑体" w:eastAsia="黑体"/>
          <w:color w:val="auto"/>
          <w:sz w:val="32"/>
          <w:szCs w:val="32"/>
          <w:highlight w:val="none"/>
        </w:rPr>
        <w:t>四、财</w:t>
      </w:r>
      <w:r>
        <w:rPr>
          <w:rStyle w:val="24"/>
          <w:rFonts w:hint="eastAsia" w:ascii="黑体" w:hAnsi="黑体" w:eastAsia="黑体"/>
          <w:b w:val="0"/>
          <w:color w:val="auto"/>
          <w:highlight w:val="none"/>
        </w:rPr>
        <w:t>政拨款收入支出决算总体情况说明</w:t>
      </w:r>
      <w:bookmarkEnd w:id="55"/>
      <w:bookmarkEnd w:id="56"/>
      <w:bookmarkEnd w:id="57"/>
      <w:bookmarkEnd w:id="58"/>
      <w:bookmarkEnd w:id="59"/>
      <w:bookmarkEnd w:id="60"/>
      <w:bookmarkEnd w:id="61"/>
    </w:p>
    <w:p w14:paraId="7E78587B">
      <w:pPr>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财政拨款收、支总计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2761.06</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2023年度</w:t>
      </w:r>
      <w:r>
        <w:rPr>
          <w:rFonts w:hint="eastAsia" w:ascii="仿宋" w:hAnsi="仿宋" w:eastAsia="仿宋"/>
          <w:color w:val="auto"/>
          <w:sz w:val="32"/>
          <w:szCs w:val="32"/>
          <w:highlight w:val="none"/>
        </w:rPr>
        <w:t>相比，财政拨款收、支总计各减少</w:t>
      </w:r>
      <w:r>
        <w:rPr>
          <w:rFonts w:hint="eastAsia" w:ascii="仿宋" w:hAnsi="仿宋" w:eastAsia="仿宋"/>
          <w:color w:val="auto"/>
          <w:sz w:val="32"/>
          <w:szCs w:val="32"/>
          <w:highlight w:val="none"/>
          <w:lang w:val="en-US" w:eastAsia="zh-CN"/>
        </w:rPr>
        <w:t>284.73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10.31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2023年比2024年基层组织活动和公共服务运行经费多109万元，2023年另比2024年多河道治理专项资金50万元，琼江流域水污染防治专项工作经费80万元。</w:t>
      </w:r>
    </w:p>
    <w:p w14:paraId="314CE36F">
      <w:pPr>
        <w:spacing w:line="600" w:lineRule="exact"/>
        <w:ind w:firstLine="640" w:firstLineChars="200"/>
        <w:rPr>
          <w:rFonts w:hint="eastAsia" w:ascii="仿宋" w:hAnsi="仿宋" w:eastAsia="仿宋"/>
          <w:color w:val="auto"/>
          <w:sz w:val="32"/>
          <w:szCs w:val="32"/>
          <w:highlight w:val="yellow"/>
          <w:lang w:eastAsia="zh-CN"/>
        </w:rPr>
      </w:pPr>
    </w:p>
    <w:p w14:paraId="3ED3B88A">
      <w:pPr>
        <w:keepNext/>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5256530" cy="2988310"/>
            <wp:effectExtent l="5080" t="4445" r="8890" b="1714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DC3AC1">
      <w:pPr>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0CD2F0E5">
      <w:pPr>
        <w:spacing w:line="600" w:lineRule="exact"/>
        <w:ind w:firstLine="640" w:firstLineChars="200"/>
        <w:outlineLvl w:val="1"/>
        <w:rPr>
          <w:rStyle w:val="24"/>
          <w:rFonts w:ascii="黑体" w:hAnsi="黑体" w:eastAsia="黑体"/>
          <w:b w:val="0"/>
          <w:color w:val="auto"/>
          <w:highlight w:val="none"/>
        </w:rPr>
      </w:pPr>
      <w:bookmarkStart w:id="62" w:name="_Toc15396607"/>
      <w:bookmarkStart w:id="63" w:name="_Toc15377209"/>
      <w:bookmarkStart w:id="64" w:name="_Toc10621"/>
      <w:bookmarkStart w:id="65" w:name="_Toc14230"/>
      <w:bookmarkStart w:id="66" w:name="_Toc31324"/>
      <w:bookmarkStart w:id="67" w:name="_Toc32262"/>
      <w:bookmarkStart w:id="68" w:name="_Toc10400"/>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4"/>
          <w:rFonts w:hint="eastAsia" w:ascii="黑体" w:hAnsi="黑体" w:eastAsia="黑体"/>
          <w:b w:val="0"/>
          <w:color w:val="auto"/>
          <w:highlight w:val="none"/>
        </w:rPr>
        <w:t>般公共预算财政拨款支出决算情况说明</w:t>
      </w:r>
      <w:bookmarkEnd w:id="62"/>
      <w:bookmarkEnd w:id="63"/>
      <w:bookmarkEnd w:id="64"/>
      <w:bookmarkEnd w:id="65"/>
      <w:bookmarkEnd w:id="66"/>
      <w:bookmarkEnd w:id="67"/>
      <w:bookmarkEnd w:id="68"/>
    </w:p>
    <w:p w14:paraId="7126DEC5">
      <w:pPr>
        <w:spacing w:line="600" w:lineRule="exact"/>
        <w:ind w:firstLine="643" w:firstLineChars="200"/>
        <w:outlineLvl w:val="2"/>
        <w:rPr>
          <w:rFonts w:ascii="仿宋" w:hAnsi="仿宋" w:eastAsia="仿宋"/>
          <w:b/>
          <w:color w:val="auto"/>
          <w:sz w:val="32"/>
          <w:szCs w:val="32"/>
          <w:highlight w:val="none"/>
        </w:rPr>
      </w:pPr>
      <w:bookmarkStart w:id="69" w:name="_Toc17221"/>
      <w:bookmarkStart w:id="70" w:name="_Toc15377210"/>
      <w:bookmarkStart w:id="71" w:name="_Toc14994"/>
      <w:r>
        <w:rPr>
          <w:rFonts w:hint="eastAsia" w:ascii="仿宋" w:hAnsi="仿宋" w:eastAsia="仿宋"/>
          <w:b/>
          <w:color w:val="auto"/>
          <w:sz w:val="32"/>
          <w:szCs w:val="32"/>
          <w:highlight w:val="none"/>
        </w:rPr>
        <w:t>（一）一般公共预算财政拨款支出决算总体情况</w:t>
      </w:r>
      <w:bookmarkEnd w:id="69"/>
      <w:bookmarkEnd w:id="70"/>
      <w:bookmarkEnd w:id="71"/>
    </w:p>
    <w:p w14:paraId="73EE96A5">
      <w:pPr>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2,717.06</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98.41</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2023年度</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268.73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2023年比2024年基层组织活动和公共服务运行经费多109万元，2023年另比2024年多河道治理专项资金50万元，琼江流域水污染防治专项工作经费80万元。</w:t>
      </w:r>
    </w:p>
    <w:p w14:paraId="42725519">
      <w:pPr>
        <w:spacing w:line="600" w:lineRule="exact"/>
        <w:ind w:firstLine="640" w:firstLineChars="200"/>
        <w:rPr>
          <w:rFonts w:hint="eastAsia" w:ascii="仿宋" w:hAnsi="仿宋" w:eastAsia="仿宋"/>
          <w:color w:val="auto"/>
          <w:sz w:val="32"/>
          <w:szCs w:val="32"/>
          <w:highlight w:val="none"/>
        </w:rPr>
      </w:pPr>
    </w:p>
    <w:p w14:paraId="3FCCB718">
      <w:pPr>
        <w:pStyle w:val="25"/>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5F820C">
      <w:pPr>
        <w:spacing w:line="600" w:lineRule="exact"/>
        <w:ind w:firstLine="640" w:firstLineChars="200"/>
      </w:pPr>
      <w:r>
        <w:rPr>
          <w:rFonts w:hint="eastAsia" w:ascii="仿宋" w:hAnsi="仿宋" w:eastAsia="仿宋"/>
          <w:color w:val="auto"/>
          <w:sz w:val="32"/>
          <w:szCs w:val="32"/>
          <w:highlight w:val="none"/>
        </w:rPr>
        <w:t>（图5：一般公共预算财政拨款支出决算变动情况）（柱状图）</w:t>
      </w:r>
    </w:p>
    <w:p w14:paraId="6B219338">
      <w:pPr>
        <w:spacing w:line="600" w:lineRule="exact"/>
        <w:ind w:firstLine="643" w:firstLineChars="200"/>
        <w:outlineLvl w:val="2"/>
        <w:rPr>
          <w:rFonts w:ascii="仿宋" w:hAnsi="仿宋" w:eastAsia="仿宋"/>
          <w:b/>
          <w:color w:val="auto"/>
          <w:sz w:val="32"/>
          <w:szCs w:val="32"/>
          <w:highlight w:val="none"/>
        </w:rPr>
      </w:pPr>
      <w:bookmarkStart w:id="72" w:name="_Toc15377211"/>
      <w:bookmarkStart w:id="73" w:name="_Toc513"/>
      <w:bookmarkStart w:id="74" w:name="_Toc19265"/>
      <w:r>
        <w:rPr>
          <w:rFonts w:hint="eastAsia" w:ascii="仿宋" w:hAnsi="仿宋" w:eastAsia="仿宋"/>
          <w:b/>
          <w:color w:val="auto"/>
          <w:sz w:val="32"/>
          <w:szCs w:val="32"/>
          <w:highlight w:val="none"/>
        </w:rPr>
        <w:t>（二）一般公共预算财政拨款支出决算结构情况</w:t>
      </w:r>
      <w:bookmarkEnd w:id="72"/>
      <w:bookmarkEnd w:id="73"/>
      <w:bookmarkEnd w:id="74"/>
    </w:p>
    <w:p w14:paraId="7A0310D3">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2,717.06</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927.99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34.15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教育支出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科学技术</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文化旅游体育与传媒支出</w:t>
      </w:r>
      <w:r>
        <w:rPr>
          <w:rFonts w:hint="eastAsia" w:ascii="仿宋" w:hAnsi="仿宋" w:eastAsia="仿宋"/>
          <w:b/>
          <w:bCs/>
          <w:color w:val="auto"/>
          <w:sz w:val="32"/>
          <w:szCs w:val="32"/>
          <w:highlight w:val="none"/>
          <w:lang w:val="en-US" w:eastAsia="zh-CN"/>
        </w:rPr>
        <w:t>43.92</w:t>
      </w:r>
      <w:r>
        <w:rPr>
          <w:rFonts w:hint="eastAsia" w:ascii="仿宋" w:hAnsi="仿宋" w:eastAsia="仿宋"/>
          <w:b/>
          <w:bCs/>
          <w:color w:val="auto"/>
          <w:sz w:val="32"/>
          <w:szCs w:val="32"/>
          <w:highlight w:val="none"/>
        </w:rPr>
        <w:t>万元，占</w:t>
      </w:r>
      <w:r>
        <w:rPr>
          <w:rFonts w:hint="eastAsia" w:ascii="仿宋" w:hAnsi="仿宋" w:eastAsia="仿宋"/>
          <w:b/>
          <w:bCs/>
          <w:color w:val="auto"/>
          <w:sz w:val="32"/>
          <w:szCs w:val="32"/>
          <w:highlight w:val="none"/>
          <w:lang w:val="en-US" w:eastAsia="zh-CN"/>
        </w:rPr>
        <w:t>1.62</w:t>
      </w:r>
      <w:r>
        <w:rPr>
          <w:rFonts w:ascii="仿宋" w:hAnsi="仿宋" w:eastAsia="仿宋"/>
          <w:b/>
          <w:bCs/>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295.88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10.89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93.76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3.45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b/>
          <w:bCs/>
          <w:color w:val="auto"/>
          <w:sz w:val="32"/>
          <w:szCs w:val="32"/>
          <w:highlight w:val="none"/>
          <w:lang w:val="en-US" w:eastAsia="zh-CN"/>
        </w:rPr>
        <w:t>95.74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3.52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灾害防治及应急管理支出</w:t>
      </w:r>
      <w:r>
        <w:rPr>
          <w:rFonts w:hint="eastAsia" w:ascii="仿宋" w:hAnsi="仿宋" w:eastAsia="仿宋"/>
          <w:color w:val="auto"/>
          <w:sz w:val="32"/>
          <w:szCs w:val="32"/>
          <w:highlight w:val="none"/>
          <w:lang w:val="en-US" w:eastAsia="zh-CN"/>
        </w:rPr>
        <w:t>13万元，占0.48%，</w:t>
      </w:r>
      <w:r>
        <w:rPr>
          <w:rFonts w:hint="eastAsia" w:ascii="仿宋" w:hAnsi="仿宋" w:eastAsia="仿宋"/>
          <w:b/>
          <w:bCs/>
          <w:color w:val="auto"/>
          <w:sz w:val="32"/>
          <w:szCs w:val="32"/>
          <w:highlight w:val="none"/>
          <w:lang w:val="en-US" w:eastAsia="zh-CN"/>
        </w:rPr>
        <w:t>节能环保支出</w:t>
      </w:r>
      <w:r>
        <w:rPr>
          <w:rFonts w:hint="eastAsia" w:ascii="仿宋" w:hAnsi="仿宋" w:eastAsia="仿宋"/>
          <w:color w:val="auto"/>
          <w:sz w:val="32"/>
          <w:szCs w:val="32"/>
          <w:highlight w:val="none"/>
          <w:lang w:val="en-US" w:eastAsia="zh-CN"/>
        </w:rPr>
        <w:t>40万元，占1.47%，</w:t>
      </w:r>
      <w:r>
        <w:rPr>
          <w:rFonts w:hint="eastAsia" w:ascii="仿宋" w:hAnsi="仿宋" w:eastAsia="仿宋"/>
          <w:b/>
          <w:bCs/>
          <w:color w:val="auto"/>
          <w:sz w:val="32"/>
          <w:szCs w:val="32"/>
          <w:highlight w:val="none"/>
          <w:lang w:val="en-US" w:eastAsia="zh-CN"/>
        </w:rPr>
        <w:t>城乡社区支出</w:t>
      </w:r>
      <w:r>
        <w:rPr>
          <w:rFonts w:hint="eastAsia" w:ascii="仿宋" w:hAnsi="仿宋" w:eastAsia="仿宋"/>
          <w:color w:val="auto"/>
          <w:sz w:val="32"/>
          <w:szCs w:val="32"/>
          <w:highlight w:val="none"/>
          <w:lang w:val="en-US" w:eastAsia="zh-CN"/>
        </w:rPr>
        <w:t>69万元，占2.54%，</w:t>
      </w:r>
      <w:r>
        <w:rPr>
          <w:rFonts w:hint="eastAsia" w:ascii="仿宋" w:hAnsi="仿宋" w:eastAsia="仿宋"/>
          <w:b/>
          <w:bCs/>
          <w:color w:val="auto"/>
          <w:sz w:val="32"/>
          <w:szCs w:val="32"/>
          <w:highlight w:val="none"/>
          <w:lang w:val="en-US" w:eastAsia="zh-CN"/>
        </w:rPr>
        <w:t>农林水支出</w:t>
      </w:r>
      <w:r>
        <w:rPr>
          <w:rFonts w:hint="eastAsia" w:ascii="仿宋" w:hAnsi="仿宋" w:eastAsia="仿宋"/>
          <w:color w:val="auto"/>
          <w:sz w:val="32"/>
          <w:szCs w:val="32"/>
          <w:highlight w:val="none"/>
          <w:lang w:val="en-US" w:eastAsia="zh-CN"/>
        </w:rPr>
        <w:t>1,137.78万元，占41.88%</w:t>
      </w:r>
      <w:r>
        <w:rPr>
          <w:rFonts w:hint="eastAsia" w:ascii="仿宋" w:hAnsi="仿宋" w:eastAsia="仿宋"/>
          <w:color w:val="auto"/>
          <w:sz w:val="32"/>
          <w:szCs w:val="32"/>
          <w:highlight w:val="none"/>
        </w:rPr>
        <w:t>。</w:t>
      </w:r>
    </w:p>
    <w:p w14:paraId="48939E1C">
      <w:pPr>
        <w:pStyle w:val="25"/>
        <w:jc w:val="left"/>
        <w:rPr>
          <w:rFonts w:hint="eastAsia" w:ascii="仿宋" w:hAnsi="仿宋" w:eastAsia="仿宋"/>
          <w:color w:val="000000"/>
          <w:sz w:val="32"/>
          <w:szCs w:val="32"/>
          <w:highlight w:val="none"/>
          <w:lang w:eastAsia="zh-CN"/>
        </w:rPr>
      </w:pPr>
      <w:bookmarkStart w:id="75" w:name="_Toc15377212"/>
      <w:r>
        <w:rPr>
          <w:rFonts w:hint="eastAsia" w:ascii="仿宋" w:hAnsi="仿宋" w:eastAsia="仿宋"/>
          <w:color w:val="000000"/>
          <w:sz w:val="32"/>
          <w:szCs w:val="32"/>
          <w:highlight w:val="none"/>
          <w:lang w:eastAsia="zh-CN"/>
        </w:rPr>
        <w:drawing>
          <wp:inline distT="0" distB="0" distL="114300" distR="114300">
            <wp:extent cx="5256530" cy="2988310"/>
            <wp:effectExtent l="5080" t="4445" r="889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A0783C">
      <w:pPr>
        <w:pStyle w:val="25"/>
        <w:jc w:val="left"/>
        <w:rPr>
          <w:rFonts w:ascii="仿宋" w:hAnsi="仿宋" w:eastAsia="仿宋"/>
          <w:color w:val="auto"/>
          <w:sz w:val="32"/>
          <w:szCs w:val="32"/>
          <w:highlight w:val="none"/>
        </w:rPr>
      </w:pPr>
      <w:r>
        <w:rPr>
          <w:rFonts w:hint="eastAsia" w:ascii="仿宋" w:hAnsi="仿宋" w:eastAsia="仿宋"/>
          <w:color w:val="000000"/>
          <w:sz w:val="32"/>
          <w:szCs w:val="32"/>
          <w:highlight w:val="none"/>
          <w:lang w:eastAsia="zh-CN"/>
        </w:rPr>
        <w:t>（</w:t>
      </w:r>
      <w:r>
        <w:rPr>
          <w:rFonts w:hint="eastAsia" w:ascii="仿宋" w:hAnsi="仿宋" w:eastAsia="仿宋"/>
          <w:color w:val="auto"/>
          <w:sz w:val="32"/>
          <w:szCs w:val="32"/>
          <w:highlight w:val="none"/>
        </w:rPr>
        <w:t>6：一般公共预算财政拨款支出决算结构</w:t>
      </w:r>
      <w:r>
        <w:rPr>
          <w:rFonts w:hint="eastAsia" w:ascii="仿宋" w:hAnsi="仿宋" w:eastAsia="仿宋"/>
          <w:color w:val="000000"/>
          <w:sz w:val="32"/>
          <w:szCs w:val="32"/>
          <w:highlight w:val="none"/>
          <w:lang w:eastAsia="zh-CN"/>
        </w:rPr>
        <w:t>）</w:t>
      </w:r>
      <w:r>
        <w:rPr>
          <w:rFonts w:hint="eastAsia" w:ascii="仿宋" w:hAnsi="仿宋" w:eastAsia="仿宋"/>
          <w:color w:val="auto"/>
          <w:sz w:val="32"/>
          <w:szCs w:val="32"/>
          <w:highlight w:val="none"/>
        </w:rPr>
        <w:t>（饼状图）</w:t>
      </w:r>
    </w:p>
    <w:p w14:paraId="31EEA515">
      <w:pPr>
        <w:spacing w:line="600" w:lineRule="exact"/>
        <w:ind w:firstLine="643" w:firstLineChars="200"/>
        <w:outlineLvl w:val="2"/>
        <w:rPr>
          <w:rFonts w:ascii="仿宋" w:hAnsi="仿宋" w:eastAsia="仿宋"/>
          <w:b/>
          <w:color w:val="auto"/>
          <w:sz w:val="32"/>
          <w:szCs w:val="32"/>
          <w:highlight w:val="none"/>
        </w:rPr>
      </w:pPr>
      <w:bookmarkStart w:id="76" w:name="_Toc11247"/>
      <w:bookmarkStart w:id="77" w:name="_Toc12626"/>
      <w:r>
        <w:rPr>
          <w:rFonts w:hint="eastAsia" w:ascii="仿宋" w:hAnsi="仿宋" w:eastAsia="仿宋"/>
          <w:b/>
          <w:color w:val="auto"/>
          <w:sz w:val="32"/>
          <w:szCs w:val="32"/>
          <w:highlight w:val="none"/>
        </w:rPr>
        <w:t>（三）一般公共预算财政拨款支出决算具体情况</w:t>
      </w:r>
      <w:bookmarkEnd w:id="75"/>
      <w:bookmarkEnd w:id="76"/>
      <w:bookmarkEnd w:id="77"/>
    </w:p>
    <w:p w14:paraId="5AC715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9"/>
        <w:rPr>
          <w:rFonts w:ascii="仿宋" w:hAnsi="仿宋" w:eastAsia="仿宋"/>
          <w:color w:val="auto"/>
          <w:sz w:val="32"/>
          <w:szCs w:val="32"/>
          <w:highlight w:val="none"/>
        </w:rPr>
      </w:pPr>
      <w:bookmarkStart w:id="78" w:name="_Toc15377444"/>
      <w:bookmarkStart w:id="79" w:name="_Toc15378460"/>
      <w:bookmarkStart w:id="80" w:name="_Toc15377213"/>
      <w:r>
        <w:rPr>
          <w:rFonts w:hint="eastAsia" w:ascii="仿宋" w:hAnsi="仿宋" w:eastAsia="仿宋"/>
          <w:b/>
          <w:color w:val="auto"/>
          <w:sz w:val="32"/>
          <w:szCs w:val="32"/>
          <w:highlight w:val="none"/>
          <w:lang w:eastAsia="zh-CN"/>
        </w:rPr>
        <w:t>2024年度一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2717.06万元</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w:t>
      </w:r>
      <w:r>
        <w:rPr>
          <w:rStyle w:val="20"/>
          <w:rFonts w:hint="eastAsia" w:ascii="仿宋" w:hAnsi="仿宋" w:eastAsia="仿宋"/>
          <w:bCs/>
          <w:color w:val="auto"/>
          <w:sz w:val="32"/>
          <w:szCs w:val="32"/>
          <w:highlight w:val="none"/>
          <w:lang w:val="en-US" w:eastAsia="zh-CN"/>
        </w:rPr>
        <w:t>100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。其中：</w:t>
      </w:r>
      <w:bookmarkEnd w:id="78"/>
      <w:bookmarkEnd w:id="79"/>
      <w:bookmarkEnd w:id="80"/>
    </w:p>
    <w:p w14:paraId="0938B0B6">
      <w:pPr>
        <w:spacing w:line="600" w:lineRule="exact"/>
        <w:ind w:firstLine="643" w:firstLineChars="200"/>
        <w:rPr>
          <w:rStyle w:val="20"/>
          <w:rFonts w:hint="eastAsia" w:ascii="仿宋" w:hAnsi="仿宋" w:eastAsia="仿宋"/>
          <w:b w:val="0"/>
          <w:bCs/>
          <w:color w:val="auto"/>
          <w:sz w:val="32"/>
          <w:szCs w:val="32"/>
          <w:highlight w:val="none"/>
        </w:rPr>
      </w:pPr>
      <w:r>
        <w:rPr>
          <w:rStyle w:val="20"/>
          <w:rFonts w:ascii="仿宋" w:hAnsi="仿宋" w:eastAsia="仿宋"/>
          <w:bCs/>
          <w:color w:val="auto"/>
          <w:sz w:val="32"/>
          <w:szCs w:val="32"/>
          <w:highlight w:val="none"/>
        </w:rPr>
        <w:t>1.</w:t>
      </w:r>
      <w:r>
        <w:rPr>
          <w:rStyle w:val="20"/>
          <w:rFonts w:hint="eastAsia" w:ascii="仿宋" w:hAnsi="仿宋" w:eastAsia="仿宋"/>
          <w:bCs/>
          <w:color w:val="auto"/>
          <w:sz w:val="32"/>
          <w:szCs w:val="32"/>
          <w:highlight w:val="none"/>
        </w:rPr>
        <w:t>一般公共服务（类）</w:t>
      </w:r>
      <w:r>
        <w:rPr>
          <w:rStyle w:val="20"/>
          <w:rFonts w:hint="eastAsia" w:ascii="仿宋" w:hAnsi="仿宋" w:eastAsia="仿宋"/>
          <w:bCs/>
          <w:color w:val="auto"/>
          <w:sz w:val="32"/>
          <w:szCs w:val="32"/>
          <w:highlight w:val="none"/>
          <w:lang w:val="en-US" w:eastAsia="zh-CN"/>
        </w:rPr>
        <w:t>人大事务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人大监督</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ascii="仿宋" w:hAnsi="仿宋" w:eastAsia="仿宋"/>
          <w:b w:val="0"/>
          <w:bCs/>
          <w:color w:val="auto"/>
          <w:sz w:val="32"/>
          <w:szCs w:val="32"/>
          <w:highlight w:val="none"/>
        </w:rPr>
        <w:t xml:space="preserve"> </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 w:hAnsi="仿宋" w:eastAsia="仿宋"/>
          <w:b w:val="0"/>
          <w:bCs/>
          <w:color w:val="auto"/>
          <w:sz w:val="32"/>
          <w:szCs w:val="32"/>
          <w:highlight w:val="none"/>
        </w:rPr>
        <w:t>。</w:t>
      </w:r>
    </w:p>
    <w:p w14:paraId="5A851E10">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2.</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人大事务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代表工作</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5.35</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 w:hAnsi="仿宋" w:eastAsia="仿宋"/>
          <w:b w:val="0"/>
          <w:bCs/>
          <w:color w:val="auto"/>
          <w:sz w:val="32"/>
          <w:szCs w:val="32"/>
          <w:highlight w:val="none"/>
        </w:rPr>
        <w:t>。</w:t>
      </w:r>
    </w:p>
    <w:p w14:paraId="343E5E4A">
      <w:pPr>
        <w:pStyle w:val="25"/>
        <w:pageBreakBefore w:val="0"/>
        <w:kinsoku/>
        <w:wordWrap/>
        <w:overflowPunct/>
        <w:topLinePunct w:val="0"/>
        <w:bidi w:val="0"/>
        <w:spacing w:before="95" w:beforeLines="30" w:line="560" w:lineRule="exact"/>
        <w:ind w:left="0" w:leftChars="0" w:firstLine="643" w:firstLineChars="200"/>
        <w:textAlignment w:val="auto"/>
        <w:rPr>
          <w:rStyle w:val="20"/>
          <w:rFonts w:hint="eastAsia" w:ascii="仿宋" w:hAnsi="仿宋" w:eastAsia="仿宋"/>
          <w:b w:val="0"/>
          <w:bCs/>
          <w:color w:val="auto"/>
          <w:sz w:val="32"/>
          <w:szCs w:val="32"/>
          <w:highlight w:val="none"/>
        </w:rPr>
      </w:pPr>
      <w:r>
        <w:rPr>
          <w:rStyle w:val="20"/>
          <w:rFonts w:hint="eastAsia" w:ascii="仿宋_GB2312" w:hAnsi="仿宋_GB2312" w:eastAsia="仿宋_GB2312" w:cs="仿宋_GB2312"/>
          <w:bCs/>
          <w:color w:val="000000"/>
          <w:sz w:val="32"/>
          <w:szCs w:val="32"/>
          <w:lang w:val="en-US" w:eastAsia="zh-CN"/>
        </w:rPr>
        <w:t>3.</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政协事务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其他政协事务支出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 w:hAnsi="仿宋" w:eastAsia="仿宋"/>
          <w:b w:val="0"/>
          <w:bCs/>
          <w:color w:val="auto"/>
          <w:sz w:val="32"/>
          <w:szCs w:val="32"/>
          <w:highlight w:val="none"/>
        </w:rPr>
        <w:t>。</w:t>
      </w:r>
    </w:p>
    <w:p w14:paraId="2ADE590A">
      <w:pPr>
        <w:pStyle w:val="25"/>
        <w:pageBreakBefore w:val="0"/>
        <w:kinsoku/>
        <w:wordWrap/>
        <w:overflowPunct/>
        <w:topLinePunct w:val="0"/>
        <w:bidi w:val="0"/>
        <w:spacing w:before="95" w:beforeLines="30" w:line="560" w:lineRule="exact"/>
        <w:ind w:left="0" w:leftChars="0" w:firstLine="640" w:firstLineChars="200"/>
        <w:textAlignment w:val="auto"/>
        <w:rPr>
          <w:rStyle w:val="20"/>
          <w:rFonts w:hint="eastAsia" w:ascii="仿宋" w:hAnsi="仿宋" w:eastAsia="仿宋"/>
          <w:b w:val="0"/>
          <w:bCs/>
          <w:color w:val="auto"/>
          <w:sz w:val="32"/>
          <w:szCs w:val="32"/>
          <w:highlight w:val="none"/>
        </w:rPr>
      </w:pPr>
      <w:r>
        <w:rPr>
          <w:rFonts w:hint="eastAsia" w:ascii="仿宋_GB2312" w:hAnsi="仿宋_GB2312" w:eastAsia="仿宋_GB2312" w:cs="仿宋_GB2312"/>
          <w:b w:val="0"/>
          <w:bCs/>
          <w:color w:val="000000"/>
          <w:kern w:val="2"/>
          <w:sz w:val="32"/>
          <w:szCs w:val="32"/>
          <w:lang w:val="en-US" w:eastAsia="zh-CN" w:bidi="ar-SA"/>
        </w:rPr>
        <w:t>4.</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政府办公厅（室）及相关机构事务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行政运行</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739.81</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 w:hAnsi="仿宋" w:eastAsia="仿宋"/>
          <w:b w:val="0"/>
          <w:bCs/>
          <w:color w:val="auto"/>
          <w:sz w:val="32"/>
          <w:szCs w:val="32"/>
          <w:highlight w:val="none"/>
        </w:rPr>
        <w:t>数。</w:t>
      </w:r>
    </w:p>
    <w:p w14:paraId="6042F643">
      <w:pPr>
        <w:pStyle w:val="25"/>
        <w:pageBreakBefore w:val="0"/>
        <w:kinsoku/>
        <w:wordWrap/>
        <w:overflowPunct/>
        <w:topLinePunct w:val="0"/>
        <w:bidi w:val="0"/>
        <w:spacing w:before="95" w:beforeLines="30" w:line="560" w:lineRule="exact"/>
        <w:ind w:left="0" w:leftChars="0"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5.</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政府办公厅（室）及相关机构事务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事业运行</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107.99</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79A0E8D5">
      <w:pPr>
        <w:pageBreakBefore w:val="0"/>
        <w:numPr>
          <w:ilvl w:val="0"/>
          <w:numId w:val="0"/>
        </w:numPr>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6.</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政府办公厅（室）及相关机构事务</w:t>
      </w:r>
      <w:r>
        <w:rPr>
          <w:rStyle w:val="20"/>
          <w:rFonts w:hint="eastAsia" w:ascii="仿宋_GB2312" w:hAnsi="仿宋_GB2312" w:eastAsia="仿宋_GB2312" w:cs="仿宋_GB2312"/>
          <w:bCs/>
          <w:color w:val="000000"/>
          <w:sz w:val="32"/>
          <w:szCs w:val="32"/>
        </w:rPr>
        <w:t>（款） 其他政府办公厅（室）及相关机构事务支出（项）: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47.96</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 w:hAnsi="仿宋" w:eastAsia="仿宋"/>
          <w:b w:val="0"/>
          <w:bCs/>
          <w:color w:val="auto"/>
          <w:sz w:val="32"/>
          <w:szCs w:val="32"/>
          <w:highlight w:val="none"/>
        </w:rPr>
        <w:t>决算数等于预算数</w:t>
      </w:r>
      <w:r>
        <w:rPr>
          <w:rStyle w:val="20"/>
          <w:rFonts w:hint="eastAsia" w:ascii="仿宋_GB2312" w:hAnsi="仿宋_GB2312" w:eastAsia="仿宋_GB2312" w:cs="仿宋_GB2312"/>
          <w:b w:val="0"/>
          <w:bCs/>
          <w:color w:val="000000"/>
          <w:sz w:val="32"/>
          <w:szCs w:val="32"/>
        </w:rPr>
        <w:t>。</w:t>
      </w:r>
    </w:p>
    <w:p w14:paraId="69B041FB">
      <w:pPr>
        <w:pStyle w:val="25"/>
        <w:pageBreakBefore w:val="0"/>
        <w:numPr>
          <w:ilvl w:val="0"/>
          <w:numId w:val="0"/>
        </w:numPr>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7.</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统计信息事务</w:t>
      </w:r>
      <w:r>
        <w:rPr>
          <w:rStyle w:val="20"/>
          <w:rFonts w:hint="eastAsia" w:ascii="仿宋_GB2312" w:hAnsi="仿宋_GB2312" w:eastAsia="仿宋_GB2312" w:cs="仿宋_GB2312"/>
          <w:bCs/>
          <w:color w:val="000000"/>
          <w:sz w:val="32"/>
          <w:szCs w:val="32"/>
        </w:rPr>
        <w:t xml:space="preserve">（款） </w:t>
      </w:r>
      <w:r>
        <w:rPr>
          <w:rStyle w:val="20"/>
          <w:rFonts w:hint="eastAsia" w:ascii="仿宋_GB2312" w:hAnsi="仿宋_GB2312" w:eastAsia="仿宋_GB2312" w:cs="仿宋_GB2312"/>
          <w:bCs/>
          <w:color w:val="000000"/>
          <w:sz w:val="32"/>
          <w:szCs w:val="32"/>
          <w:lang w:val="en-US" w:eastAsia="zh-CN"/>
        </w:rPr>
        <w:t>其他统计信息事务支出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5EB07883">
      <w:pPr>
        <w:pageBreakBefore w:val="0"/>
        <w:kinsoku/>
        <w:wordWrap/>
        <w:overflowPunct/>
        <w:topLinePunct w:val="0"/>
        <w:bidi w:val="0"/>
        <w:spacing w:before="95" w:beforeLines="30" w:line="560" w:lineRule="exact"/>
        <w:ind w:firstLine="643" w:firstLineChars="200"/>
        <w:textAlignment w:val="auto"/>
        <w:rPr>
          <w:rFonts w:hint="eastAsia"/>
        </w:rPr>
      </w:pPr>
      <w:r>
        <w:rPr>
          <w:rStyle w:val="20"/>
          <w:rFonts w:hint="eastAsia" w:ascii="仿宋_GB2312" w:hAnsi="仿宋_GB2312" w:eastAsia="仿宋_GB2312" w:cs="仿宋_GB2312"/>
          <w:bCs/>
          <w:color w:val="000000"/>
          <w:sz w:val="32"/>
          <w:szCs w:val="32"/>
          <w:lang w:val="en-US" w:eastAsia="zh-CN"/>
        </w:rPr>
        <w:t>8.</w:t>
      </w:r>
      <w:r>
        <w:rPr>
          <w:rStyle w:val="20"/>
          <w:rFonts w:hint="eastAsia" w:ascii="仿宋_GB2312" w:hAnsi="仿宋_GB2312" w:eastAsia="仿宋_GB2312" w:cs="仿宋_GB2312"/>
          <w:bCs/>
          <w:color w:val="000000"/>
          <w:sz w:val="32"/>
          <w:szCs w:val="32"/>
        </w:rPr>
        <w:t>一般公共服务（类）</w:t>
      </w:r>
      <w:r>
        <w:rPr>
          <w:rStyle w:val="20"/>
          <w:rFonts w:hint="eastAsia" w:ascii="仿宋_GB2312" w:hAnsi="仿宋_GB2312" w:eastAsia="仿宋_GB2312" w:cs="仿宋_GB2312"/>
          <w:bCs/>
          <w:color w:val="000000"/>
          <w:sz w:val="32"/>
          <w:szCs w:val="32"/>
          <w:lang w:val="en-US" w:eastAsia="zh-CN"/>
        </w:rPr>
        <w:t>财政事务</w:t>
      </w:r>
      <w:r>
        <w:rPr>
          <w:rStyle w:val="20"/>
          <w:rFonts w:hint="eastAsia" w:ascii="仿宋_GB2312" w:hAnsi="仿宋_GB2312" w:eastAsia="仿宋_GB2312" w:cs="仿宋_GB2312"/>
          <w:bCs/>
          <w:color w:val="000000"/>
          <w:sz w:val="32"/>
          <w:szCs w:val="32"/>
        </w:rPr>
        <w:t xml:space="preserve">（款） </w:t>
      </w:r>
      <w:r>
        <w:rPr>
          <w:rStyle w:val="20"/>
          <w:rFonts w:hint="eastAsia" w:ascii="仿宋_GB2312" w:hAnsi="仿宋_GB2312" w:eastAsia="仿宋_GB2312" w:cs="仿宋_GB2312"/>
          <w:bCs/>
          <w:color w:val="000000"/>
          <w:sz w:val="32"/>
          <w:szCs w:val="32"/>
          <w:lang w:val="en-US" w:eastAsia="zh-CN"/>
        </w:rPr>
        <w:t>行政运行</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21.88</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3B7E48B1">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9.文化旅游体育与传媒支出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文化和旅游</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其他文化和旅游支出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43.92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637168A5">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10.社会保障和就业支出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行政事业单位养老支出</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行政单位离退休</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167.22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0D5B8388">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11.社会保障和就业支出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行政事业单位养老支出</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机关事业单位基本养老保险缴费支出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118.05</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258748B3">
      <w:pPr>
        <w:pStyle w:val="25"/>
        <w:pageBreakBefore w:val="0"/>
        <w:kinsoku/>
        <w:wordWrap/>
        <w:overflowPunct/>
        <w:topLinePunct w:val="0"/>
        <w:bidi w:val="0"/>
        <w:spacing w:before="95" w:beforeLines="30" w:line="560" w:lineRule="exact"/>
        <w:ind w:left="0" w:leftChars="0"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12.社会保障和就业支出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行政事业单位养老支出</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其他行政事业单位养老支出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3.92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62B0ED76">
      <w:pPr>
        <w:ind w:firstLine="643" w:firstLineChars="200"/>
        <w:rPr>
          <w:rStyle w:val="20"/>
          <w:rFonts w:hint="eastAsia" w:ascii="仿宋_GB2312" w:hAnsi="仿宋_GB2312" w:eastAsia="仿宋_GB2312" w:cs="仿宋_GB2312"/>
          <w:b w:val="0"/>
          <w:color w:val="000000"/>
          <w:sz w:val="32"/>
          <w:szCs w:val="32"/>
          <w:lang w:eastAsia="zh-CN"/>
        </w:rPr>
      </w:pPr>
      <w:r>
        <w:rPr>
          <w:rStyle w:val="20"/>
          <w:rFonts w:hint="eastAsia" w:ascii="仿宋_GB2312" w:hAnsi="仿宋_GB2312" w:eastAsia="仿宋_GB2312" w:cs="仿宋_GB2312"/>
          <w:b/>
          <w:bCs w:val="0"/>
          <w:color w:val="000000"/>
          <w:sz w:val="32"/>
          <w:szCs w:val="32"/>
          <w:lang w:val="en-US" w:eastAsia="zh-CN"/>
        </w:rPr>
        <w:t>13.社会保障和就业支出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其他社会保障和就业支出</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其他社会保障和就业支出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6.69</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p>
    <w:p w14:paraId="1405DD0B">
      <w:pPr>
        <w:pStyle w:val="25"/>
        <w:ind w:left="0" w:leftChars="0" w:firstLine="420" w:firstLineChars="200"/>
        <w:rPr>
          <w:rStyle w:val="20"/>
          <w:rFonts w:hint="eastAsia" w:ascii="仿宋_GB2312" w:hAnsi="仿宋_GB2312" w:eastAsia="仿宋_GB2312" w:cs="仿宋_GB2312"/>
          <w:b w:val="0"/>
          <w:bCs/>
          <w:color w:val="000000"/>
          <w:sz w:val="32"/>
          <w:szCs w:val="32"/>
        </w:rPr>
      </w:pPr>
      <w:r>
        <w:rPr>
          <w:rFonts w:hint="eastAsia"/>
          <w:lang w:val="en-US" w:eastAsia="zh-CN"/>
        </w:rPr>
        <w:t xml:space="preserve">  </w:t>
      </w:r>
      <w:r>
        <w:rPr>
          <w:rStyle w:val="20"/>
          <w:rFonts w:hint="eastAsia" w:ascii="仿宋_GB2312" w:hAnsi="仿宋_GB2312" w:eastAsia="仿宋_GB2312" w:cs="仿宋_GB2312"/>
          <w:b/>
          <w:bCs w:val="0"/>
          <w:color w:val="000000"/>
          <w:sz w:val="32"/>
          <w:szCs w:val="32"/>
          <w:lang w:val="en-US" w:eastAsia="zh-CN"/>
        </w:rPr>
        <w:t>14.卫生健康支出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卫生健康管理事务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行政运行</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15.99</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424BD66A">
      <w:pPr>
        <w:ind w:firstLine="643" w:firstLineChars="200"/>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15.卫生健康支出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计划生育事务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其他计划生育事务支出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2D6AEE8D">
      <w:pPr>
        <w:pStyle w:val="25"/>
        <w:ind w:left="0" w:leftChars="0" w:firstLine="643" w:firstLineChars="200"/>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16.卫生健康支出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行政事业单位医疗</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行政单位医疗</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41.14</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4396422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rPr>
      </w:pPr>
      <w:r>
        <w:rPr>
          <w:rStyle w:val="20"/>
          <w:rFonts w:hint="eastAsia" w:ascii="仿宋_GB2312" w:hAnsi="仿宋_GB2312" w:eastAsia="仿宋_GB2312" w:cs="仿宋_GB2312"/>
          <w:b/>
          <w:bCs w:val="0"/>
          <w:color w:val="000000"/>
          <w:sz w:val="32"/>
          <w:szCs w:val="32"/>
          <w:lang w:val="en-US" w:eastAsia="zh-CN"/>
        </w:rPr>
        <w:t>17.卫生健康支出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行政事业单位医疗</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事业单位医疗</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13.41</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64E7ABB6">
      <w:pPr>
        <w:ind w:firstLine="643" w:firstLineChars="200"/>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18.卫生健康支出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行政事业单位医疗</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公务员医疗补助</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21.22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790A0143">
      <w:pPr>
        <w:pStyle w:val="25"/>
        <w:pageBreakBefore w:val="0"/>
        <w:kinsoku/>
        <w:wordWrap/>
        <w:overflowPunct/>
        <w:topLinePunct w:val="0"/>
        <w:bidi w:val="0"/>
        <w:spacing w:before="95" w:beforeLines="30" w:line="560" w:lineRule="exact"/>
        <w:ind w:left="0" w:leftChars="0"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
          <w:bCs w:val="0"/>
          <w:color w:val="000000"/>
          <w:sz w:val="32"/>
          <w:szCs w:val="32"/>
          <w:lang w:val="en-US" w:eastAsia="zh-CN"/>
        </w:rPr>
        <w:t>19.节能环保支出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污染防治</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水体</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支出决算为</w:t>
      </w:r>
      <w:r>
        <w:rPr>
          <w:rStyle w:val="20"/>
          <w:rFonts w:hint="eastAsia" w:ascii="仿宋_GB2312" w:hAnsi="仿宋_GB2312" w:eastAsia="仿宋_GB2312" w:cs="仿宋_GB2312"/>
          <w:b w:val="0"/>
          <w:bCs/>
          <w:color w:val="000000"/>
          <w:sz w:val="32"/>
          <w:szCs w:val="32"/>
          <w:lang w:val="en-US" w:eastAsia="zh-CN"/>
        </w:rPr>
        <w:t>40</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758420A8">
      <w:pPr>
        <w:pStyle w:val="25"/>
        <w:rPr>
          <w:rFonts w:hint="default"/>
          <w:lang w:val="en-US" w:eastAsia="zh-CN"/>
        </w:rPr>
      </w:pPr>
    </w:p>
    <w:p w14:paraId="4734A30F">
      <w:pPr>
        <w:pageBreakBefore w:val="0"/>
        <w:numPr>
          <w:ilvl w:val="0"/>
          <w:numId w:val="3"/>
        </w:numPr>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color w:val="000000"/>
          <w:sz w:val="32"/>
          <w:szCs w:val="32"/>
          <w:lang w:eastAsia="zh-CN"/>
        </w:rPr>
      </w:pPr>
      <w:r>
        <w:rPr>
          <w:rStyle w:val="20"/>
          <w:rFonts w:hint="eastAsia" w:ascii="仿宋_GB2312" w:hAnsi="仿宋_GB2312" w:eastAsia="仿宋_GB2312" w:cs="仿宋_GB2312"/>
          <w:b/>
          <w:bCs w:val="0"/>
          <w:color w:val="000000"/>
          <w:sz w:val="32"/>
          <w:szCs w:val="32"/>
          <w:lang w:val="en-US" w:eastAsia="zh-CN"/>
        </w:rPr>
        <w:t>城乡社区支出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城乡社区管理事务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其他城乡社区管理事务支出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支出决算为</w:t>
      </w:r>
      <w:r>
        <w:rPr>
          <w:rStyle w:val="20"/>
          <w:rFonts w:hint="eastAsia" w:ascii="仿宋_GB2312" w:hAnsi="仿宋_GB2312" w:eastAsia="仿宋_GB2312" w:cs="仿宋_GB2312"/>
          <w:b w:val="0"/>
          <w:bCs/>
          <w:color w:val="000000"/>
          <w:sz w:val="32"/>
          <w:szCs w:val="32"/>
          <w:lang w:val="en-US" w:eastAsia="zh-CN"/>
        </w:rPr>
        <w:t>35</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p>
    <w:p w14:paraId="7EAEC9B1">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color w:val="000000"/>
          <w:sz w:val="32"/>
          <w:szCs w:val="32"/>
          <w:lang w:eastAsia="zh-CN"/>
        </w:rPr>
      </w:pPr>
      <w:r>
        <w:rPr>
          <w:rStyle w:val="20"/>
          <w:rFonts w:hint="eastAsia" w:ascii="仿宋_GB2312" w:hAnsi="仿宋_GB2312" w:eastAsia="仿宋_GB2312" w:cs="仿宋_GB2312"/>
          <w:b/>
          <w:bCs w:val="0"/>
          <w:color w:val="000000"/>
          <w:sz w:val="32"/>
          <w:szCs w:val="32"/>
          <w:lang w:val="en-US" w:eastAsia="zh-CN"/>
        </w:rPr>
        <w:t>21.城乡社区支出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城乡社区公共设施</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其他城乡社区公共设施支出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支出决算为</w:t>
      </w:r>
      <w:r>
        <w:rPr>
          <w:rStyle w:val="20"/>
          <w:rFonts w:hint="eastAsia" w:ascii="仿宋_GB2312" w:hAnsi="仿宋_GB2312" w:eastAsia="仿宋_GB2312" w:cs="仿宋_GB2312"/>
          <w:b w:val="0"/>
          <w:bCs/>
          <w:color w:val="000000"/>
          <w:sz w:val="32"/>
          <w:szCs w:val="32"/>
          <w:lang w:val="en-US" w:eastAsia="zh-CN"/>
        </w:rPr>
        <w:t>34</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p>
    <w:p w14:paraId="2E85EDB9">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22.农林水支出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农业农村</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事业运行</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91.72</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7B1A55B2">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23.农林水支出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水利</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其他水利支出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5.65</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772A28C1">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24.农林水支出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巩固脱贫攻坚成果衔接乡村振兴</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其他巩固脱贫攻坚成果衔接乡村振兴支出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5705926D">
      <w:pPr>
        <w:pStyle w:val="25"/>
        <w:pageBreakBefore w:val="0"/>
        <w:kinsoku/>
        <w:wordWrap/>
        <w:overflowPunct/>
        <w:topLinePunct w:val="0"/>
        <w:bidi w:val="0"/>
        <w:spacing w:before="95" w:beforeLines="30" w:line="560" w:lineRule="exact"/>
        <w:ind w:left="0" w:leftChars="0" w:firstLine="643" w:firstLineChars="200"/>
        <w:textAlignment w:val="auto"/>
        <w:rPr>
          <w:rStyle w:val="20"/>
          <w:rFonts w:hint="eastAsia" w:ascii="仿宋_GB2312" w:hAnsi="仿宋_GB2312" w:eastAsia="仿宋_GB2312" w:cs="仿宋_GB2312"/>
          <w:b w:val="0"/>
          <w:color w:val="000000"/>
          <w:sz w:val="32"/>
          <w:szCs w:val="32"/>
          <w:lang w:eastAsia="zh-CN"/>
        </w:rPr>
      </w:pPr>
      <w:r>
        <w:rPr>
          <w:rStyle w:val="20"/>
          <w:rFonts w:hint="eastAsia" w:ascii="仿宋_GB2312" w:hAnsi="仿宋_GB2312" w:eastAsia="仿宋_GB2312" w:cs="仿宋_GB2312"/>
          <w:bCs/>
          <w:color w:val="000000"/>
          <w:sz w:val="32"/>
          <w:szCs w:val="32"/>
          <w:lang w:val="en-US" w:eastAsia="zh-CN"/>
        </w:rPr>
        <w:t>25.农林水支出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农村综合改革</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对村民委员会和村党支部的补助</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1038.33</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p>
    <w:p w14:paraId="5978640C">
      <w:pPr>
        <w:pageBreakBefore w:val="0"/>
        <w:kinsoku/>
        <w:wordWrap/>
        <w:overflowPunct/>
        <w:topLinePunct w:val="0"/>
        <w:bidi w:val="0"/>
        <w:spacing w:before="95" w:beforeLines="30" w:line="560" w:lineRule="exact"/>
        <w:ind w:firstLine="643" w:firstLineChars="200"/>
        <w:textAlignment w:val="auto"/>
        <w:rPr>
          <w:rStyle w:val="20"/>
          <w:rFonts w:hint="eastAsia" w:ascii="仿宋_GB2312" w:hAnsi="仿宋_GB2312" w:eastAsia="仿宋_GB2312" w:cs="仿宋_GB2312"/>
          <w:b w:val="0"/>
          <w:bCs/>
          <w:color w:val="000000"/>
          <w:sz w:val="32"/>
          <w:szCs w:val="32"/>
        </w:rPr>
      </w:pPr>
      <w:r>
        <w:rPr>
          <w:rStyle w:val="20"/>
          <w:rFonts w:hint="eastAsia" w:ascii="仿宋_GB2312" w:hAnsi="仿宋_GB2312" w:eastAsia="仿宋_GB2312" w:cs="仿宋_GB2312"/>
          <w:bCs/>
          <w:color w:val="000000"/>
          <w:sz w:val="32"/>
          <w:szCs w:val="32"/>
          <w:lang w:val="en-US" w:eastAsia="zh-CN"/>
        </w:rPr>
        <w:t>26.农林水支出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其他农林水支出</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其他农林水支出</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1.08</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53DE37C5">
      <w:pPr>
        <w:pageBreakBefore w:val="0"/>
        <w:kinsoku/>
        <w:wordWrap/>
        <w:overflowPunct/>
        <w:topLinePunct w:val="0"/>
        <w:bidi w:val="0"/>
        <w:spacing w:before="95" w:beforeLines="30" w:line="560" w:lineRule="exact"/>
        <w:ind w:firstLine="643" w:firstLineChars="200"/>
        <w:textAlignment w:val="auto"/>
        <w:rPr>
          <w:rFonts w:hint="default"/>
          <w:lang w:val="en-US" w:eastAsia="zh-CN"/>
        </w:rPr>
      </w:pPr>
      <w:r>
        <w:rPr>
          <w:rStyle w:val="20"/>
          <w:rFonts w:hint="eastAsia" w:ascii="仿宋_GB2312" w:hAnsi="仿宋_GB2312" w:eastAsia="仿宋_GB2312" w:cs="仿宋_GB2312"/>
          <w:bCs/>
          <w:color w:val="000000"/>
          <w:sz w:val="32"/>
          <w:szCs w:val="32"/>
          <w:lang w:val="en-US" w:eastAsia="zh-CN"/>
        </w:rPr>
        <w:t>27.住房保障支出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住房改革支出</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住房公积金</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95.74</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0BF57EA1">
      <w:pPr>
        <w:pageBreakBefore w:val="0"/>
        <w:kinsoku/>
        <w:wordWrap/>
        <w:overflowPunct/>
        <w:topLinePunct w:val="0"/>
        <w:bidi w:val="0"/>
        <w:spacing w:before="95" w:beforeLines="30" w:line="560" w:lineRule="exact"/>
        <w:ind w:firstLine="643" w:firstLineChars="200"/>
        <w:textAlignment w:val="auto"/>
        <w:rPr>
          <w:rFonts w:hint="default"/>
          <w:lang w:val="en-US" w:eastAsia="zh-CN"/>
        </w:rPr>
      </w:pPr>
      <w:r>
        <w:rPr>
          <w:rStyle w:val="20"/>
          <w:rFonts w:hint="eastAsia" w:ascii="仿宋_GB2312" w:hAnsi="仿宋_GB2312" w:eastAsia="仿宋_GB2312" w:cs="仿宋_GB2312"/>
          <w:bCs/>
          <w:color w:val="000000"/>
          <w:sz w:val="32"/>
          <w:szCs w:val="32"/>
          <w:lang w:val="en-US" w:eastAsia="zh-CN"/>
        </w:rPr>
        <w:t>28.灾害防治及应急管理支出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应急管理事务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灾害风险防治</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5</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0B15E922">
      <w:pPr>
        <w:pageBreakBefore w:val="0"/>
        <w:kinsoku/>
        <w:wordWrap/>
        <w:overflowPunct/>
        <w:topLinePunct w:val="0"/>
        <w:bidi w:val="0"/>
        <w:spacing w:before="95" w:beforeLines="30" w:line="560" w:lineRule="exact"/>
        <w:ind w:firstLine="643" w:firstLineChars="200"/>
        <w:textAlignment w:val="auto"/>
        <w:rPr>
          <w:rFonts w:hint="default"/>
          <w:lang w:val="en-US" w:eastAsia="zh-CN"/>
        </w:rPr>
      </w:pPr>
      <w:r>
        <w:rPr>
          <w:rStyle w:val="20"/>
          <w:rFonts w:hint="eastAsia" w:ascii="仿宋_GB2312" w:hAnsi="仿宋_GB2312" w:eastAsia="仿宋_GB2312" w:cs="仿宋_GB2312"/>
          <w:bCs/>
          <w:color w:val="000000"/>
          <w:sz w:val="32"/>
          <w:szCs w:val="32"/>
          <w:lang w:val="en-US" w:eastAsia="zh-CN"/>
        </w:rPr>
        <w:t>29.灾害防治及应急管理支出</w:t>
      </w:r>
      <w:r>
        <w:rPr>
          <w:rStyle w:val="20"/>
          <w:rFonts w:hint="eastAsia" w:ascii="仿宋_GB2312" w:hAnsi="仿宋_GB2312" w:eastAsia="仿宋_GB2312" w:cs="仿宋_GB2312"/>
          <w:bCs/>
          <w:color w:val="000000"/>
          <w:sz w:val="32"/>
          <w:szCs w:val="32"/>
        </w:rPr>
        <w:t>（类）</w:t>
      </w:r>
      <w:r>
        <w:rPr>
          <w:rStyle w:val="20"/>
          <w:rFonts w:hint="eastAsia" w:ascii="仿宋_GB2312" w:hAnsi="仿宋_GB2312" w:eastAsia="仿宋_GB2312" w:cs="仿宋_GB2312"/>
          <w:bCs/>
          <w:color w:val="000000"/>
          <w:sz w:val="32"/>
          <w:szCs w:val="32"/>
          <w:lang w:val="en-US" w:eastAsia="zh-CN"/>
        </w:rPr>
        <w:t>应急管理事务</w:t>
      </w:r>
      <w:r>
        <w:rPr>
          <w:rStyle w:val="20"/>
          <w:rFonts w:hint="eastAsia" w:ascii="仿宋_GB2312" w:hAnsi="仿宋_GB2312" w:eastAsia="仿宋_GB2312" w:cs="仿宋_GB2312"/>
          <w:bCs/>
          <w:color w:val="000000"/>
          <w:sz w:val="32"/>
          <w:szCs w:val="32"/>
        </w:rPr>
        <w:t>（款）</w:t>
      </w:r>
      <w:r>
        <w:rPr>
          <w:rStyle w:val="20"/>
          <w:rFonts w:hint="eastAsia" w:ascii="仿宋_GB2312" w:hAnsi="仿宋_GB2312" w:eastAsia="仿宋_GB2312" w:cs="仿宋_GB2312"/>
          <w:bCs/>
          <w:color w:val="000000"/>
          <w:sz w:val="32"/>
          <w:szCs w:val="32"/>
          <w:lang w:val="en-US" w:eastAsia="zh-CN"/>
        </w:rPr>
        <w:t>应急救援</w:t>
      </w:r>
      <w:r>
        <w:rPr>
          <w:rStyle w:val="20"/>
          <w:rFonts w:hint="eastAsia" w:ascii="仿宋_GB2312" w:hAnsi="仿宋_GB2312" w:eastAsia="仿宋_GB2312" w:cs="仿宋_GB2312"/>
          <w:bCs/>
          <w:color w:val="000000"/>
          <w:sz w:val="32"/>
          <w:szCs w:val="32"/>
        </w:rPr>
        <w:t>（项）:</w:t>
      </w:r>
      <w:r>
        <w:rPr>
          <w:rStyle w:val="20"/>
          <w:rFonts w:hint="eastAsia" w:ascii="仿宋_GB2312" w:hAnsi="仿宋_GB2312" w:eastAsia="仿宋_GB2312" w:cs="仿宋_GB2312"/>
          <w:b w:val="0"/>
          <w:bCs/>
          <w:color w:val="000000"/>
          <w:sz w:val="32"/>
          <w:szCs w:val="32"/>
        </w:rPr>
        <w:t xml:space="preserve"> 支出决算为</w:t>
      </w:r>
      <w:r>
        <w:rPr>
          <w:rStyle w:val="20"/>
          <w:rFonts w:hint="eastAsia" w:ascii="仿宋_GB2312" w:hAnsi="仿宋_GB2312" w:eastAsia="仿宋_GB2312" w:cs="仿宋_GB2312"/>
          <w:b w:val="0"/>
          <w:bCs/>
          <w:color w:val="000000"/>
          <w:sz w:val="32"/>
          <w:szCs w:val="32"/>
          <w:lang w:val="en-US" w:eastAsia="zh-CN"/>
        </w:rPr>
        <w:t>8</w:t>
      </w:r>
      <w:r>
        <w:rPr>
          <w:rStyle w:val="20"/>
          <w:rFonts w:hint="eastAsia" w:ascii="仿宋_GB2312" w:hAnsi="仿宋_GB2312" w:eastAsia="仿宋_GB2312" w:cs="仿宋_GB2312"/>
          <w:b w:val="0"/>
          <w:bCs/>
          <w:color w:val="000000"/>
          <w:sz w:val="32"/>
          <w:szCs w:val="32"/>
        </w:rPr>
        <w:t>万元，完成预算</w:t>
      </w:r>
      <w:r>
        <w:rPr>
          <w:rStyle w:val="20"/>
          <w:rFonts w:hint="eastAsia" w:ascii="仿宋_GB2312" w:hAnsi="仿宋_GB2312" w:eastAsia="仿宋_GB2312" w:cs="仿宋_GB2312"/>
          <w:b w:val="0"/>
          <w:bCs/>
          <w:color w:val="000000"/>
          <w:sz w:val="32"/>
          <w:szCs w:val="32"/>
          <w:lang w:val="en-US" w:eastAsia="zh-CN"/>
        </w:rPr>
        <w:t>100</w:t>
      </w:r>
      <w:r>
        <w:rPr>
          <w:rStyle w:val="20"/>
          <w:rFonts w:hint="eastAsia" w:ascii="仿宋_GB2312" w:hAnsi="仿宋_GB2312" w:eastAsia="仿宋_GB2312" w:cs="仿宋_GB2312"/>
          <w:b w:val="0"/>
          <w:bCs/>
          <w:color w:val="000000"/>
          <w:sz w:val="32"/>
          <w:szCs w:val="32"/>
        </w:rPr>
        <w:t>%</w:t>
      </w:r>
      <w:r>
        <w:rPr>
          <w:rStyle w:val="20"/>
          <w:rFonts w:hint="eastAsia" w:ascii="仿宋_GB2312" w:hAnsi="仿宋_GB2312" w:eastAsia="仿宋_GB2312" w:cs="仿宋_GB2312"/>
          <w:b w:val="0"/>
          <w:bCs/>
          <w:color w:val="000000"/>
          <w:sz w:val="32"/>
          <w:szCs w:val="32"/>
          <w:lang w:eastAsia="zh-CN"/>
        </w:rPr>
        <w:t>，</w:t>
      </w:r>
      <w:r>
        <w:rPr>
          <w:rStyle w:val="20"/>
          <w:rFonts w:hint="eastAsia" w:ascii="仿宋_GB2312" w:hAnsi="仿宋_GB2312" w:eastAsia="仿宋_GB2312" w:cs="仿宋_GB2312"/>
          <w:b w:val="0"/>
          <w:color w:val="000000"/>
          <w:sz w:val="32"/>
          <w:szCs w:val="32"/>
        </w:rPr>
        <w:t>决算数</w:t>
      </w:r>
      <w:r>
        <w:rPr>
          <w:rStyle w:val="20"/>
          <w:rFonts w:hint="eastAsia" w:ascii="仿宋_GB2312" w:hAnsi="仿宋_GB2312" w:eastAsia="仿宋_GB2312" w:cs="仿宋_GB2312"/>
          <w:b w:val="0"/>
          <w:color w:val="000000"/>
          <w:sz w:val="32"/>
          <w:szCs w:val="32"/>
          <w:lang w:eastAsia="zh-CN"/>
        </w:rPr>
        <w:t>与</w:t>
      </w:r>
      <w:r>
        <w:rPr>
          <w:rStyle w:val="20"/>
          <w:rFonts w:hint="eastAsia" w:ascii="仿宋_GB2312" w:hAnsi="仿宋_GB2312" w:eastAsia="仿宋_GB2312" w:cs="仿宋_GB2312"/>
          <w:b w:val="0"/>
          <w:color w:val="000000"/>
          <w:sz w:val="32"/>
          <w:szCs w:val="32"/>
        </w:rPr>
        <w:t>预算数</w:t>
      </w:r>
      <w:r>
        <w:rPr>
          <w:rStyle w:val="20"/>
          <w:rFonts w:hint="eastAsia" w:ascii="仿宋_GB2312" w:hAnsi="仿宋_GB2312" w:eastAsia="仿宋_GB2312" w:cs="仿宋_GB2312"/>
          <w:b w:val="0"/>
          <w:color w:val="000000"/>
          <w:sz w:val="32"/>
          <w:szCs w:val="32"/>
          <w:lang w:eastAsia="zh-CN"/>
        </w:rPr>
        <w:t>持平</w:t>
      </w:r>
      <w:r>
        <w:rPr>
          <w:rStyle w:val="20"/>
          <w:rFonts w:hint="eastAsia" w:ascii="仿宋_GB2312" w:hAnsi="仿宋_GB2312" w:eastAsia="仿宋_GB2312" w:cs="仿宋_GB2312"/>
          <w:b w:val="0"/>
          <w:bCs/>
          <w:color w:val="000000"/>
          <w:sz w:val="32"/>
          <w:szCs w:val="32"/>
        </w:rPr>
        <w:t>。</w:t>
      </w:r>
    </w:p>
    <w:p w14:paraId="422F56FC">
      <w:pPr>
        <w:rPr>
          <w:rFonts w:hint="eastAsia"/>
          <w:lang w:eastAsia="zh-CN"/>
        </w:rPr>
      </w:pPr>
    </w:p>
    <w:p w14:paraId="4D2A2C79">
      <w:pPr>
        <w:tabs>
          <w:tab w:val="right" w:pos="8306"/>
        </w:tabs>
        <w:spacing w:line="600" w:lineRule="exact"/>
        <w:ind w:firstLine="640"/>
        <w:outlineLvl w:val="1"/>
        <w:rPr>
          <w:rStyle w:val="24"/>
          <w:color w:val="auto"/>
          <w:highlight w:val="none"/>
        </w:rPr>
      </w:pPr>
      <w:bookmarkStart w:id="81" w:name="_Toc3913"/>
      <w:bookmarkStart w:id="82" w:name="_Toc23553"/>
      <w:bookmarkStart w:id="83" w:name="_Toc15396608"/>
      <w:bookmarkStart w:id="84" w:name="_Toc16279"/>
      <w:bookmarkStart w:id="85" w:name="_Toc3153"/>
      <w:bookmarkStart w:id="86" w:name="_Toc15377214"/>
      <w:bookmarkStart w:id="87" w:name="_Toc32165"/>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4"/>
          <w:rFonts w:hint="eastAsia" w:ascii="黑体" w:hAnsi="黑体" w:eastAsia="黑体"/>
          <w:b w:val="0"/>
          <w:color w:val="auto"/>
          <w:highlight w:val="none"/>
        </w:rPr>
        <w:t>般公共预算财政拨款基本支出决算情况说明</w:t>
      </w:r>
      <w:bookmarkEnd w:id="81"/>
      <w:bookmarkEnd w:id="82"/>
      <w:bookmarkEnd w:id="83"/>
      <w:bookmarkEnd w:id="84"/>
      <w:bookmarkEnd w:id="85"/>
      <w:bookmarkEnd w:id="86"/>
      <w:bookmarkEnd w:id="87"/>
      <w:r>
        <w:rPr>
          <w:rStyle w:val="24"/>
          <w:rFonts w:ascii="黑体" w:hAnsi="黑体" w:eastAsia="黑体"/>
          <w:b w:val="0"/>
          <w:color w:val="auto"/>
          <w:highlight w:val="none"/>
        </w:rPr>
        <w:tab/>
      </w:r>
    </w:p>
    <w:p w14:paraId="72599245">
      <w:pPr>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一般公共预算财政拨款基本支出</w:t>
      </w:r>
      <w:r>
        <w:rPr>
          <w:rFonts w:hint="eastAsia" w:ascii="仿宋_GB2312" w:hAnsi="仿宋_GB2312" w:eastAsia="仿宋_GB2312" w:cs="仿宋_GB2312"/>
          <w:color w:val="auto"/>
          <w:sz w:val="32"/>
          <w:szCs w:val="32"/>
          <w:highlight w:val="none"/>
          <w:lang w:val="en-US" w:eastAsia="zh-CN"/>
        </w:rPr>
        <w:t>2,247.02</w:t>
      </w:r>
      <w:r>
        <w:rPr>
          <w:rFonts w:hint="eastAsia" w:ascii="仿宋_GB2312" w:hAnsi="仿宋_GB2312" w:eastAsia="仿宋_GB2312" w:cs="仿宋_GB2312"/>
          <w:color w:val="auto"/>
          <w:sz w:val="32"/>
          <w:szCs w:val="32"/>
          <w:highlight w:val="none"/>
        </w:rPr>
        <w:t>万元，其中：</w:t>
      </w:r>
    </w:p>
    <w:p w14:paraId="12B280D5">
      <w:pPr>
        <w:spacing w:line="600" w:lineRule="exact"/>
        <w:ind w:firstLine="645"/>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人员经费</w:t>
      </w:r>
      <w:r>
        <w:rPr>
          <w:rFonts w:hint="eastAsia" w:ascii="仿宋_GB2312" w:hAnsi="仿宋_GB2312" w:eastAsia="仿宋_GB2312" w:cs="仿宋_GB2312"/>
          <w:color w:val="auto"/>
          <w:sz w:val="32"/>
          <w:szCs w:val="32"/>
          <w:highlight w:val="none"/>
          <w:lang w:val="en-US" w:eastAsia="zh-CN"/>
        </w:rPr>
        <w:t>2,072.71</w:t>
      </w:r>
      <w:r>
        <w:rPr>
          <w:rFonts w:hint="eastAsia" w:ascii="仿宋_GB2312" w:hAnsi="仿宋_GB2312" w:eastAsia="仿宋_GB2312" w:cs="仿宋_GB2312"/>
          <w:color w:val="auto"/>
          <w:sz w:val="32"/>
          <w:szCs w:val="32"/>
          <w:highlight w:val="none"/>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6F17AEC8">
      <w:pPr>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公用经费</w:t>
      </w:r>
      <w:r>
        <w:rPr>
          <w:rFonts w:hint="eastAsia" w:ascii="仿宋_GB2312" w:hAnsi="仿宋_GB2312" w:eastAsia="仿宋_GB2312" w:cs="仿宋_GB2312"/>
          <w:color w:val="auto"/>
          <w:sz w:val="32"/>
          <w:szCs w:val="32"/>
          <w:highlight w:val="none"/>
          <w:lang w:val="en-US" w:eastAsia="zh-CN"/>
        </w:rPr>
        <w:t>174.31</w:t>
      </w:r>
      <w:r>
        <w:rPr>
          <w:rFonts w:hint="eastAsia" w:ascii="仿宋_GB2312" w:hAnsi="仿宋_GB2312" w:eastAsia="仿宋_GB2312" w:cs="仿宋_GB2312"/>
          <w:color w:val="auto"/>
          <w:sz w:val="32"/>
          <w:szCs w:val="32"/>
          <w:highlight w:val="none"/>
        </w:rPr>
        <w:t>万元，主要包括：办公费、印刷费、电费、差旅费、公务接待费、工会经费、福利费、其他交通费、其他</w:t>
      </w:r>
      <w:r>
        <w:rPr>
          <w:rFonts w:hint="eastAsia" w:ascii="仿宋_GB2312" w:hAnsi="仿宋_GB2312" w:eastAsia="仿宋_GB2312" w:cs="仿宋_GB2312"/>
          <w:color w:val="auto"/>
          <w:sz w:val="32"/>
          <w:szCs w:val="32"/>
          <w:highlight w:val="none"/>
          <w:lang w:val="en-US" w:eastAsia="zh-CN"/>
        </w:rPr>
        <w:t>商品和服务支出</w:t>
      </w:r>
      <w:r>
        <w:rPr>
          <w:rFonts w:hint="eastAsia" w:ascii="仿宋_GB2312" w:hAnsi="仿宋_GB2312" w:eastAsia="仿宋_GB2312" w:cs="仿宋_GB2312"/>
          <w:color w:val="auto"/>
          <w:sz w:val="32"/>
          <w:szCs w:val="32"/>
          <w:highlight w:val="none"/>
        </w:rPr>
        <w:t>等。</w:t>
      </w:r>
    </w:p>
    <w:p w14:paraId="4FDA9B39">
      <w:pPr>
        <w:spacing w:line="600" w:lineRule="exact"/>
        <w:ind w:firstLine="640"/>
        <w:outlineLvl w:val="1"/>
        <w:rPr>
          <w:rStyle w:val="24"/>
          <w:rFonts w:ascii="黑体" w:hAnsi="黑体" w:eastAsia="黑体"/>
          <w:b w:val="0"/>
          <w:color w:val="auto"/>
          <w:highlight w:val="none"/>
        </w:rPr>
      </w:pPr>
      <w:bookmarkStart w:id="88" w:name="_Toc129"/>
      <w:bookmarkStart w:id="89" w:name="_Toc15396609"/>
      <w:bookmarkStart w:id="90" w:name="_Toc12798"/>
      <w:bookmarkStart w:id="91" w:name="_Toc26992"/>
      <w:bookmarkStart w:id="92" w:name="_Toc20006"/>
      <w:bookmarkStart w:id="93" w:name="_Toc11723"/>
      <w:bookmarkStart w:id="94" w:name="_Toc15377215"/>
      <w:r>
        <w:rPr>
          <w:rFonts w:hint="eastAsia" w:ascii="黑体" w:eastAsia="黑体"/>
          <w:color w:val="auto"/>
          <w:sz w:val="32"/>
          <w:szCs w:val="32"/>
          <w:highlight w:val="none"/>
        </w:rPr>
        <w:t>七、</w:t>
      </w:r>
      <w:r>
        <w:rPr>
          <w:rStyle w:val="24"/>
          <w:rFonts w:hint="eastAsia" w:ascii="黑体" w:hAnsi="黑体" w:eastAsia="黑体"/>
          <w:b w:val="0"/>
          <w:color w:val="auto"/>
          <w:highlight w:val="none"/>
        </w:rPr>
        <w:t>财政拨款</w:t>
      </w:r>
      <w:r>
        <w:rPr>
          <w:rStyle w:val="24"/>
          <w:rFonts w:hint="eastAsia" w:ascii="黑体" w:hAnsi="黑体" w:eastAsia="黑体"/>
          <w:color w:val="auto"/>
          <w:highlight w:val="none"/>
        </w:rPr>
        <w:t>“</w:t>
      </w:r>
      <w:r>
        <w:rPr>
          <w:rStyle w:val="24"/>
          <w:rFonts w:hint="eastAsia" w:ascii="黑体" w:hAnsi="黑体" w:eastAsia="黑体"/>
          <w:b w:val="0"/>
          <w:color w:val="auto"/>
          <w:highlight w:val="none"/>
        </w:rPr>
        <w:t>三公”经费支出决算情况说明</w:t>
      </w:r>
      <w:bookmarkEnd w:id="88"/>
      <w:bookmarkEnd w:id="89"/>
      <w:bookmarkEnd w:id="90"/>
      <w:bookmarkEnd w:id="91"/>
      <w:bookmarkEnd w:id="92"/>
      <w:bookmarkEnd w:id="93"/>
      <w:bookmarkEnd w:id="94"/>
    </w:p>
    <w:p w14:paraId="3D7DC2D1">
      <w:pPr>
        <w:spacing w:line="600" w:lineRule="exact"/>
        <w:ind w:firstLine="640"/>
        <w:outlineLvl w:val="2"/>
        <w:rPr>
          <w:rFonts w:ascii="仿宋" w:hAnsi="仿宋" w:eastAsia="仿宋"/>
          <w:b/>
          <w:color w:val="auto"/>
          <w:sz w:val="32"/>
          <w:szCs w:val="32"/>
          <w:highlight w:val="none"/>
        </w:rPr>
      </w:pPr>
      <w:bookmarkStart w:id="95" w:name="_Toc3771"/>
      <w:bookmarkStart w:id="96" w:name="_Toc31240"/>
      <w:bookmarkStart w:id="97" w:name="_Toc15377216"/>
      <w:r>
        <w:rPr>
          <w:rFonts w:hint="eastAsia" w:ascii="仿宋" w:hAnsi="仿宋" w:eastAsia="仿宋"/>
          <w:b/>
          <w:color w:val="auto"/>
          <w:sz w:val="32"/>
          <w:szCs w:val="32"/>
          <w:highlight w:val="none"/>
        </w:rPr>
        <w:t>（一）“三公”经费财政拨款支出决算总体情况说明</w:t>
      </w:r>
      <w:bookmarkEnd w:id="95"/>
      <w:bookmarkEnd w:id="96"/>
      <w:bookmarkEnd w:id="97"/>
    </w:p>
    <w:p w14:paraId="67B3399B">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6.59</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减少1.54万元，下降18.94%。</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w:t>
      </w:r>
      <w:r>
        <w:rPr>
          <w:rFonts w:hint="eastAsia" w:ascii="仿宋" w:hAnsi="仿宋" w:eastAsia="仿宋"/>
          <w:color w:val="auto"/>
          <w:sz w:val="32"/>
          <w:szCs w:val="32"/>
          <w:highlight w:val="none"/>
        </w:rPr>
        <w:t>预算数持平。</w:t>
      </w:r>
    </w:p>
    <w:p w14:paraId="31167308">
      <w:pPr>
        <w:spacing w:line="600" w:lineRule="exact"/>
        <w:ind w:firstLine="640"/>
        <w:outlineLvl w:val="2"/>
        <w:rPr>
          <w:rFonts w:ascii="仿宋" w:hAnsi="仿宋" w:eastAsia="仿宋"/>
          <w:b/>
          <w:color w:val="auto"/>
          <w:sz w:val="32"/>
          <w:szCs w:val="32"/>
          <w:highlight w:val="none"/>
        </w:rPr>
      </w:pPr>
      <w:bookmarkStart w:id="98" w:name="_Toc648"/>
      <w:bookmarkStart w:id="99" w:name="_Toc15377217"/>
      <w:bookmarkStart w:id="100" w:name="_Toc6732"/>
      <w:r>
        <w:rPr>
          <w:rFonts w:hint="eastAsia" w:ascii="仿宋" w:hAnsi="仿宋" w:eastAsia="仿宋"/>
          <w:b/>
          <w:color w:val="auto"/>
          <w:sz w:val="32"/>
          <w:szCs w:val="32"/>
          <w:highlight w:val="none"/>
        </w:rPr>
        <w:t>（二）“三公”经费财政拨款支出决算具体情况说明</w:t>
      </w:r>
      <w:bookmarkEnd w:id="98"/>
      <w:bookmarkEnd w:id="99"/>
      <w:bookmarkEnd w:id="100"/>
    </w:p>
    <w:p w14:paraId="4AB70B29">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6.59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1B058890">
      <w:pPr>
        <w:rPr>
          <w:rFonts w:hint="eastAsia" w:ascii="仿宋" w:hAnsi="仿宋" w:eastAsia="仿宋"/>
          <w:color w:val="000000"/>
          <w:sz w:val="32"/>
          <w:szCs w:val="32"/>
        </w:rPr>
      </w:pPr>
      <w:r>
        <w:rPr>
          <w:rFonts w:hint="eastAsia" w:ascii="仿宋" w:hAnsi="仿宋" w:eastAsia="仿宋"/>
          <w:color w:val="000000"/>
          <w:sz w:val="32"/>
          <w:szCs w:val="32"/>
        </w:rPr>
        <w:object>
          <v:shape id="_x0000_i1026" o:spt="75" type="#_x0000_t75" style="height:296.25pt;width:443.25pt;" o:ole="t" filled="f" o:preferrelative="t" stroked="f" coordsize="21600,21600" o:gfxdata="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">
            <v:path/>
            <v:fill on="f" focussize="0,0"/>
            <v:stroke on="f"/>
            <v:imagedata r:id="rId16" o:title=""/>
            <o:lock v:ext="edit" aspectratio="f"/>
            <w10:wrap type="none"/>
            <w10:anchorlock/>
          </v:shape>
          <o:OLEObject Type="Embed" ProgID="excel.sheet.8" ShapeID="_x0000_i1026" DrawAspect="Content" ObjectID="_1468075726" r:id="rId15">
            <o:LockedField>false</o:LockedField>
          </o:OLEObject>
        </w:object>
      </w:r>
    </w:p>
    <w:p w14:paraId="7F78ED3E">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40A06ECF">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w:t>
      </w:r>
      <w:r>
        <w:rPr>
          <w:rFonts w:hint="eastAsia" w:ascii="仿宋_GB2312" w:eastAsia="仿宋_GB2312"/>
          <w:color w:val="auto"/>
          <w:sz w:val="32"/>
          <w:szCs w:val="32"/>
          <w:highlight w:val="none"/>
          <w:lang w:val="en-US" w:eastAsia="zh-CN"/>
        </w:rPr>
        <w:t>与</w:t>
      </w:r>
      <w:r>
        <w:rPr>
          <w:rFonts w:hint="eastAsia" w:ascii="仿宋_GB2312" w:eastAsia="仿宋_GB2312"/>
          <w:color w:val="auto"/>
          <w:sz w:val="32"/>
          <w:szCs w:val="32"/>
          <w:highlight w:val="none"/>
          <w:lang w:eastAsia="zh-CN"/>
        </w:rPr>
        <w:t>2023年</w:t>
      </w:r>
      <w:r>
        <w:rPr>
          <w:rFonts w:hint="eastAsia" w:ascii="仿宋_GB2312" w:eastAsia="仿宋_GB2312"/>
          <w:color w:val="auto"/>
          <w:sz w:val="32"/>
          <w:szCs w:val="32"/>
          <w:highlight w:val="none"/>
          <w:lang w:val="en-US" w:eastAsia="zh-CN"/>
        </w:rPr>
        <w:t>持平</w:t>
      </w:r>
      <w:r>
        <w:rPr>
          <w:rFonts w:hint="eastAsia" w:ascii="仿宋_GB2312" w:eastAsia="仿宋_GB2312"/>
          <w:color w:val="auto"/>
          <w:sz w:val="32"/>
          <w:szCs w:val="32"/>
          <w:highlight w:val="none"/>
        </w:rPr>
        <w:t>。</w:t>
      </w:r>
    </w:p>
    <w:p w14:paraId="6D00A404">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hint="eastAsia" w:ascii="仿宋_GB2312" w:eastAsia="仿宋_GB2312"/>
          <w:color w:val="auto"/>
          <w:sz w:val="32"/>
          <w:szCs w:val="32"/>
          <w:highlight w:val="none"/>
          <w:lang w:eastAsia="zh-CN"/>
        </w:rPr>
        <w:t>2023年度</w:t>
      </w:r>
      <w:r>
        <w:rPr>
          <w:rFonts w:hint="eastAsia" w:ascii="仿宋_GB2312" w:eastAsia="仿宋_GB2312"/>
          <w:color w:val="auto"/>
          <w:sz w:val="32"/>
          <w:szCs w:val="32"/>
          <w:highlight w:val="none"/>
          <w:lang w:val="en-US" w:eastAsia="zh-CN"/>
        </w:rPr>
        <w:t>持平</w:t>
      </w:r>
      <w:r>
        <w:rPr>
          <w:rFonts w:hint="eastAsia" w:ascii="仿宋_GB2312" w:eastAsia="仿宋_GB2312"/>
          <w:color w:val="auto"/>
          <w:sz w:val="32"/>
          <w:szCs w:val="32"/>
          <w:highlight w:val="none"/>
        </w:rPr>
        <w:t>。</w:t>
      </w:r>
    </w:p>
    <w:p w14:paraId="56D4F938">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2024年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31日</w:t>
      </w:r>
      <w:r>
        <w:rPr>
          <w:rFonts w:hint="eastAsia" w:ascii="仿宋_GB2312" w:eastAsia="仿宋_GB2312"/>
          <w:color w:val="auto"/>
          <w:sz w:val="32"/>
          <w:szCs w:val="32"/>
          <w:highlight w:val="none"/>
        </w:rPr>
        <w:t>，单位共有公务用车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22F315B9">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1BF84331">
      <w:pPr>
        <w:spacing w:line="600" w:lineRule="exact"/>
        <w:ind w:firstLine="640"/>
        <w:rPr>
          <w:rFonts w:hint="eastAsia" w:ascii="仿宋_GB2312" w:eastAsia="仿宋_GB2312"/>
          <w:b w:val="0"/>
          <w:bCs/>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b w:val="0"/>
          <w:bCs/>
          <w:color w:val="auto"/>
          <w:sz w:val="32"/>
          <w:szCs w:val="32"/>
          <w:highlight w:val="none"/>
          <w:lang w:val="en-US" w:eastAsia="zh-CN"/>
        </w:rPr>
        <w:t>6.59</w:t>
      </w:r>
      <w:r>
        <w:rPr>
          <w:rFonts w:hint="eastAsia" w:ascii="仿宋_GB2312" w:eastAsia="仿宋_GB2312"/>
          <w:b w:val="0"/>
          <w:bCs/>
          <w:color w:val="auto"/>
          <w:sz w:val="32"/>
          <w:szCs w:val="32"/>
          <w:highlight w:val="none"/>
        </w:rPr>
        <w:t>万元，</w:t>
      </w:r>
      <w:r>
        <w:rPr>
          <w:rStyle w:val="20"/>
          <w:rFonts w:hint="eastAsia" w:ascii="仿宋_GB2312" w:hAnsi="仿宋" w:eastAsia="仿宋_GB2312"/>
          <w:b w:val="0"/>
          <w:bCs/>
          <w:color w:val="auto"/>
          <w:sz w:val="32"/>
          <w:szCs w:val="32"/>
          <w:highlight w:val="none"/>
        </w:rPr>
        <w:t>完成预算</w:t>
      </w:r>
      <w:r>
        <w:rPr>
          <w:rStyle w:val="20"/>
          <w:rFonts w:hint="eastAsia" w:ascii="仿宋_GB2312" w:hAnsi="仿宋" w:eastAsia="仿宋_GB2312"/>
          <w:b w:val="0"/>
          <w:bCs/>
          <w:color w:val="auto"/>
          <w:sz w:val="32"/>
          <w:szCs w:val="32"/>
          <w:highlight w:val="none"/>
          <w:lang w:val="en-US" w:eastAsia="zh-CN"/>
        </w:rPr>
        <w:t>100</w:t>
      </w:r>
      <w:r>
        <w:rPr>
          <w:rStyle w:val="20"/>
          <w:rFonts w:hint="eastAsia" w:ascii="仿宋_GB2312" w:hAnsi="仿宋" w:eastAsia="仿宋_GB2312"/>
          <w:b w:val="0"/>
          <w:bCs/>
          <w:color w:val="auto"/>
          <w:sz w:val="32"/>
          <w:szCs w:val="32"/>
          <w:highlight w:val="none"/>
        </w:rPr>
        <w:t>%。</w:t>
      </w:r>
      <w:r>
        <w:rPr>
          <w:rFonts w:hint="eastAsia" w:ascii="仿宋_GB2312" w:eastAsia="仿宋_GB2312"/>
          <w:b w:val="0"/>
          <w:bCs/>
          <w:color w:val="auto"/>
          <w:sz w:val="32"/>
          <w:szCs w:val="32"/>
          <w:highlight w:val="none"/>
        </w:rPr>
        <w:t>公务接待费支出决算比</w:t>
      </w:r>
      <w:r>
        <w:rPr>
          <w:rFonts w:hint="eastAsia" w:ascii="仿宋_GB2312" w:eastAsia="仿宋_GB2312"/>
          <w:b w:val="0"/>
          <w:bCs/>
          <w:color w:val="auto"/>
          <w:sz w:val="32"/>
          <w:szCs w:val="32"/>
          <w:highlight w:val="none"/>
          <w:lang w:eastAsia="zh-CN"/>
        </w:rPr>
        <w:t>2023年度</w:t>
      </w:r>
      <w:r>
        <w:rPr>
          <w:rFonts w:hint="eastAsia" w:ascii="仿宋_GB2312" w:eastAsia="仿宋_GB2312"/>
          <w:b w:val="0"/>
          <w:bCs/>
          <w:color w:val="auto"/>
          <w:sz w:val="32"/>
          <w:szCs w:val="32"/>
          <w:highlight w:val="none"/>
        </w:rPr>
        <w:t>减少</w:t>
      </w:r>
      <w:r>
        <w:rPr>
          <w:rFonts w:hint="eastAsia" w:ascii="仿宋_GB2312" w:eastAsia="仿宋_GB2312"/>
          <w:b w:val="0"/>
          <w:bCs/>
          <w:color w:val="auto"/>
          <w:sz w:val="32"/>
          <w:szCs w:val="32"/>
          <w:highlight w:val="none"/>
          <w:lang w:val="en-US" w:eastAsia="zh-CN"/>
        </w:rPr>
        <w:t>1.54</w:t>
      </w:r>
      <w:r>
        <w:rPr>
          <w:rFonts w:hint="eastAsia" w:ascii="仿宋_GB2312" w:eastAsia="仿宋_GB2312"/>
          <w:b w:val="0"/>
          <w:bCs/>
          <w:color w:val="auto"/>
          <w:sz w:val="32"/>
          <w:szCs w:val="32"/>
          <w:highlight w:val="none"/>
        </w:rPr>
        <w:t>万元，下降</w:t>
      </w:r>
      <w:r>
        <w:rPr>
          <w:rFonts w:hint="eastAsia" w:ascii="仿宋_GB2312" w:hAnsi="Calibri" w:eastAsia="仿宋_GB2312"/>
          <w:b w:val="0"/>
          <w:bCs/>
          <w:color w:val="auto"/>
          <w:sz w:val="32"/>
          <w:szCs w:val="32"/>
          <w:highlight w:val="none"/>
          <w:lang w:val="en-US" w:eastAsia="zh-CN"/>
        </w:rPr>
        <w:t>18.94</w:t>
      </w:r>
      <w:r>
        <w:rPr>
          <w:rFonts w:hint="eastAsia" w:ascii="仿宋_GB2312" w:eastAsia="仿宋_GB2312"/>
          <w:b w:val="0"/>
          <w:bCs/>
          <w:color w:val="auto"/>
          <w:sz w:val="32"/>
          <w:szCs w:val="32"/>
          <w:highlight w:val="none"/>
        </w:rPr>
        <w:t>%。主要原因是</w:t>
      </w:r>
      <w:r>
        <w:rPr>
          <w:rFonts w:hint="eastAsia" w:ascii="仿宋_GB2312" w:eastAsia="仿宋_GB2312"/>
          <w:b w:val="0"/>
          <w:bCs/>
          <w:color w:val="auto"/>
          <w:sz w:val="32"/>
          <w:szCs w:val="32"/>
          <w:highlight w:val="none"/>
          <w:lang w:eastAsia="zh-CN"/>
        </w:rPr>
        <w:t>严格执行中央八项规定，厉行节约</w:t>
      </w:r>
      <w:r>
        <w:rPr>
          <w:rFonts w:hint="eastAsia" w:ascii="仿宋_GB2312" w:eastAsia="仿宋_GB2312"/>
          <w:b w:val="0"/>
          <w:bCs/>
          <w:color w:val="auto"/>
          <w:sz w:val="32"/>
          <w:szCs w:val="32"/>
          <w:highlight w:val="none"/>
        </w:rPr>
        <w:t>。其中：</w:t>
      </w:r>
      <w:r>
        <w:rPr>
          <w:rFonts w:hint="eastAsia" w:ascii="仿宋_GB2312" w:hAnsi="Calibri" w:eastAsia="仿宋_GB2312"/>
          <w:b w:val="0"/>
          <w:bCs/>
          <w:color w:val="auto"/>
          <w:sz w:val="32"/>
          <w:szCs w:val="32"/>
          <w:highlight w:val="none"/>
        </w:rPr>
        <w:t>国内公务接待支出</w:t>
      </w:r>
      <w:r>
        <w:rPr>
          <w:rFonts w:hint="eastAsia" w:ascii="仿宋_GB2312" w:hAnsi="Calibri" w:eastAsia="仿宋_GB2312"/>
          <w:b w:val="0"/>
          <w:bCs/>
          <w:color w:val="auto"/>
          <w:sz w:val="32"/>
          <w:szCs w:val="32"/>
          <w:highlight w:val="none"/>
          <w:lang w:val="en-US" w:eastAsia="zh-CN"/>
        </w:rPr>
        <w:t>6.59</w:t>
      </w:r>
      <w:r>
        <w:rPr>
          <w:rFonts w:hint="eastAsia" w:ascii="仿宋_GB2312" w:eastAsia="仿宋_GB2312"/>
          <w:b w:val="0"/>
          <w:bCs/>
          <w:color w:val="auto"/>
          <w:sz w:val="32"/>
          <w:szCs w:val="32"/>
          <w:highlight w:val="none"/>
        </w:rPr>
        <w:t>万元，主要用于执行公务、开展业务活动开支的交通费、住宿费、用餐费等。国内公务接待</w:t>
      </w:r>
      <w:r>
        <w:rPr>
          <w:rFonts w:hint="eastAsia" w:ascii="仿宋_GB2312" w:eastAsia="仿宋_GB2312"/>
          <w:b w:val="0"/>
          <w:bCs/>
          <w:color w:val="auto"/>
          <w:sz w:val="32"/>
          <w:szCs w:val="32"/>
          <w:highlight w:val="none"/>
          <w:lang w:val="en-US" w:eastAsia="zh-CN"/>
        </w:rPr>
        <w:t>137</w:t>
      </w:r>
      <w:r>
        <w:rPr>
          <w:rFonts w:hint="eastAsia" w:ascii="仿宋_GB2312" w:eastAsia="仿宋_GB2312"/>
          <w:b w:val="0"/>
          <w:bCs/>
          <w:color w:val="auto"/>
          <w:sz w:val="32"/>
          <w:szCs w:val="32"/>
          <w:highlight w:val="none"/>
        </w:rPr>
        <w:t>批次，</w:t>
      </w:r>
      <w:r>
        <w:rPr>
          <w:rFonts w:hint="eastAsia" w:ascii="仿宋_GB2312" w:eastAsia="仿宋_GB2312"/>
          <w:b w:val="0"/>
          <w:bCs/>
          <w:color w:val="auto"/>
          <w:sz w:val="32"/>
          <w:szCs w:val="32"/>
          <w:highlight w:val="none"/>
          <w:lang w:val="en-US" w:eastAsia="zh-CN"/>
        </w:rPr>
        <w:t>1341</w:t>
      </w:r>
      <w:r>
        <w:rPr>
          <w:rFonts w:hint="eastAsia" w:ascii="仿宋_GB2312" w:eastAsia="仿宋_GB2312"/>
          <w:b w:val="0"/>
          <w:bCs/>
          <w:color w:val="auto"/>
          <w:sz w:val="32"/>
          <w:szCs w:val="32"/>
          <w:highlight w:val="none"/>
        </w:rPr>
        <w:t>人次（不包括陪同人员），共计支出</w:t>
      </w:r>
      <w:r>
        <w:rPr>
          <w:rFonts w:hint="eastAsia" w:ascii="仿宋_GB2312" w:hAnsi="Calibri" w:eastAsia="仿宋_GB2312"/>
          <w:b w:val="0"/>
          <w:bCs/>
          <w:color w:val="auto"/>
          <w:sz w:val="32"/>
          <w:szCs w:val="32"/>
          <w:highlight w:val="none"/>
          <w:lang w:val="en-US" w:eastAsia="zh-CN"/>
        </w:rPr>
        <w:t>6.59</w:t>
      </w:r>
      <w:r>
        <w:rPr>
          <w:rFonts w:hint="eastAsia" w:ascii="仿宋_GB2312" w:eastAsia="仿宋_GB2312"/>
          <w:b w:val="0"/>
          <w:bCs/>
          <w:color w:val="auto"/>
          <w:sz w:val="32"/>
          <w:szCs w:val="32"/>
          <w:highlight w:val="none"/>
        </w:rPr>
        <w:t>万元，具体内容包括：</w:t>
      </w:r>
      <w:r>
        <w:rPr>
          <w:rFonts w:hint="eastAsia" w:ascii="仿宋_GB2312" w:eastAsia="仿宋_GB2312"/>
          <w:b w:val="0"/>
          <w:bCs/>
          <w:color w:val="auto"/>
          <w:sz w:val="32"/>
          <w:szCs w:val="32"/>
          <w:highlight w:val="none"/>
          <w:lang w:val="en-US" w:eastAsia="zh-CN"/>
        </w:rPr>
        <w:t>乡村振兴、禁毒、综治、财务等重点工作接待</w:t>
      </w:r>
      <w:r>
        <w:rPr>
          <w:rFonts w:hint="eastAsia" w:ascii="仿宋_GB2312" w:eastAsia="仿宋_GB2312"/>
          <w:b w:val="0"/>
          <w:bCs/>
          <w:color w:val="auto"/>
          <w:sz w:val="32"/>
          <w:szCs w:val="32"/>
          <w:highlight w:val="none"/>
        </w:rPr>
        <w:t>。</w:t>
      </w:r>
    </w:p>
    <w:p w14:paraId="1962AA39">
      <w:pPr>
        <w:spacing w:line="600" w:lineRule="exact"/>
        <w:ind w:firstLine="640" w:firstLineChars="0"/>
        <w:rPr>
          <w:rFonts w:hint="eastAsia" w:ascii="仿宋_GB2312" w:eastAsia="仿宋_GB2312"/>
          <w:b w:val="0"/>
          <w:bCs/>
          <w:color w:val="auto"/>
          <w:sz w:val="32"/>
          <w:szCs w:val="32"/>
          <w:highlight w:val="none"/>
        </w:rPr>
      </w:pPr>
      <w:r>
        <w:rPr>
          <w:rFonts w:hint="eastAsia" w:ascii="仿宋_GB2312" w:hAnsi="Calibri" w:eastAsia="仿宋_GB2312"/>
          <w:b w:val="0"/>
          <w:bCs/>
          <w:color w:val="auto"/>
          <w:sz w:val="32"/>
          <w:szCs w:val="32"/>
          <w:highlight w:val="none"/>
        </w:rPr>
        <w:t>外事接待支出</w:t>
      </w:r>
      <w:r>
        <w:rPr>
          <w:rFonts w:hint="eastAsia" w:ascii="仿宋_GB2312" w:hAnsi="Calibri" w:eastAsia="仿宋_GB2312"/>
          <w:b w:val="0"/>
          <w:bCs/>
          <w:color w:val="auto"/>
          <w:sz w:val="32"/>
          <w:szCs w:val="32"/>
          <w:highlight w:val="none"/>
          <w:lang w:val="en-US" w:eastAsia="zh-CN"/>
        </w:rPr>
        <w:t>0</w:t>
      </w:r>
      <w:r>
        <w:rPr>
          <w:rFonts w:hint="eastAsia" w:ascii="仿宋_GB2312" w:eastAsia="仿宋_GB2312"/>
          <w:b w:val="0"/>
          <w:bCs/>
          <w:color w:val="auto"/>
          <w:sz w:val="32"/>
          <w:szCs w:val="32"/>
          <w:highlight w:val="none"/>
        </w:rPr>
        <w:t>万元</w:t>
      </w:r>
      <w:r>
        <w:rPr>
          <w:rFonts w:hint="eastAsia" w:ascii="仿宋_GB2312" w:eastAsia="仿宋_GB2312"/>
          <w:b w:val="0"/>
          <w:bCs/>
          <w:color w:val="auto"/>
          <w:sz w:val="32"/>
          <w:szCs w:val="32"/>
          <w:highlight w:val="none"/>
          <w:lang w:eastAsia="zh-CN"/>
        </w:rPr>
        <w:t>。</w:t>
      </w:r>
      <w:r>
        <w:rPr>
          <w:rFonts w:hint="eastAsia" w:ascii="仿宋_GB2312" w:eastAsia="仿宋_GB2312"/>
          <w:b w:val="0"/>
          <w:bCs/>
          <w:color w:val="auto"/>
          <w:sz w:val="32"/>
          <w:szCs w:val="32"/>
          <w:highlight w:val="none"/>
        </w:rPr>
        <w:t>外事接待</w:t>
      </w:r>
      <w:r>
        <w:rPr>
          <w:rFonts w:hint="eastAsia" w:ascii="仿宋_GB2312" w:eastAsia="仿宋_GB2312"/>
          <w:b w:val="0"/>
          <w:bCs/>
          <w:color w:val="auto"/>
          <w:sz w:val="32"/>
          <w:szCs w:val="32"/>
          <w:highlight w:val="none"/>
          <w:lang w:val="en-US" w:eastAsia="zh-CN"/>
        </w:rPr>
        <w:t>0</w:t>
      </w:r>
      <w:r>
        <w:rPr>
          <w:rFonts w:hint="eastAsia" w:ascii="仿宋_GB2312" w:eastAsia="仿宋_GB2312"/>
          <w:b w:val="0"/>
          <w:bCs/>
          <w:color w:val="auto"/>
          <w:sz w:val="32"/>
          <w:szCs w:val="32"/>
          <w:highlight w:val="none"/>
        </w:rPr>
        <w:t>批次，</w:t>
      </w:r>
      <w:r>
        <w:rPr>
          <w:rFonts w:hint="eastAsia" w:ascii="仿宋_GB2312" w:eastAsia="仿宋_GB2312"/>
          <w:b w:val="0"/>
          <w:bCs/>
          <w:color w:val="auto"/>
          <w:sz w:val="32"/>
          <w:szCs w:val="32"/>
          <w:highlight w:val="none"/>
          <w:lang w:val="en-US" w:eastAsia="zh-CN"/>
        </w:rPr>
        <w:t>0</w:t>
      </w:r>
      <w:r>
        <w:rPr>
          <w:rFonts w:hint="eastAsia" w:ascii="仿宋_GB2312" w:eastAsia="仿宋_GB2312"/>
          <w:b w:val="0"/>
          <w:bCs/>
          <w:color w:val="auto"/>
          <w:sz w:val="32"/>
          <w:szCs w:val="32"/>
          <w:highlight w:val="none"/>
        </w:rPr>
        <w:t>人</w:t>
      </w:r>
      <w:r>
        <w:rPr>
          <w:rFonts w:hint="eastAsia" w:ascii="仿宋_GB2312" w:eastAsia="仿宋_GB2312"/>
          <w:b w:val="0"/>
          <w:bCs/>
          <w:color w:val="auto"/>
          <w:sz w:val="32"/>
          <w:szCs w:val="32"/>
          <w:highlight w:val="none"/>
          <w:lang w:eastAsia="zh-CN"/>
        </w:rPr>
        <w:t>次（不包括陪同人员）</w:t>
      </w:r>
      <w:r>
        <w:rPr>
          <w:rFonts w:hint="eastAsia" w:ascii="仿宋_GB2312" w:eastAsia="仿宋_GB2312"/>
          <w:b w:val="0"/>
          <w:bCs/>
          <w:color w:val="auto"/>
          <w:sz w:val="32"/>
          <w:szCs w:val="32"/>
          <w:highlight w:val="none"/>
        </w:rPr>
        <w:t>，共计支出</w:t>
      </w:r>
      <w:r>
        <w:rPr>
          <w:rFonts w:hint="eastAsia" w:ascii="仿宋_GB2312" w:eastAsia="仿宋_GB2312"/>
          <w:b w:val="0"/>
          <w:bCs/>
          <w:color w:val="auto"/>
          <w:sz w:val="32"/>
          <w:szCs w:val="32"/>
          <w:highlight w:val="none"/>
          <w:lang w:val="en-US" w:eastAsia="zh-CN"/>
        </w:rPr>
        <w:t>0</w:t>
      </w:r>
      <w:r>
        <w:rPr>
          <w:rFonts w:hint="eastAsia" w:ascii="仿宋_GB2312" w:eastAsia="仿宋_GB2312"/>
          <w:b w:val="0"/>
          <w:bCs/>
          <w:color w:val="auto"/>
          <w:sz w:val="32"/>
          <w:szCs w:val="32"/>
          <w:highlight w:val="none"/>
        </w:rPr>
        <w:t>万元。</w:t>
      </w:r>
    </w:p>
    <w:p w14:paraId="410DDB6C">
      <w:pPr>
        <w:spacing w:line="600" w:lineRule="exact"/>
        <w:ind w:firstLine="640"/>
        <w:outlineLvl w:val="9"/>
        <w:rPr>
          <w:rFonts w:ascii="黑体" w:eastAsia="黑体"/>
          <w:color w:val="auto"/>
          <w:sz w:val="32"/>
          <w:szCs w:val="32"/>
          <w:highlight w:val="none"/>
        </w:rPr>
      </w:pPr>
      <w:bookmarkStart w:id="101" w:name="_Toc15396610"/>
      <w:bookmarkStart w:id="102" w:name="_Toc15377218"/>
    </w:p>
    <w:p w14:paraId="049DF055">
      <w:pPr>
        <w:spacing w:line="600" w:lineRule="exact"/>
        <w:ind w:firstLine="640"/>
        <w:outlineLvl w:val="1"/>
        <w:rPr>
          <w:rStyle w:val="24"/>
          <w:rFonts w:ascii="黑体" w:hAnsi="黑体" w:eastAsia="黑体"/>
          <w:color w:val="auto"/>
          <w:highlight w:val="none"/>
        </w:rPr>
      </w:pPr>
      <w:bookmarkStart w:id="103" w:name="_Toc25354"/>
      <w:bookmarkStart w:id="104" w:name="_Toc376"/>
      <w:bookmarkStart w:id="105" w:name="_Toc24780"/>
      <w:bookmarkStart w:id="106" w:name="_Toc3930"/>
      <w:bookmarkStart w:id="107" w:name="_Toc3366"/>
      <w:r>
        <w:rPr>
          <w:rFonts w:hint="eastAsia" w:ascii="黑体" w:eastAsia="黑体"/>
          <w:color w:val="auto"/>
          <w:sz w:val="32"/>
          <w:szCs w:val="32"/>
          <w:highlight w:val="none"/>
        </w:rPr>
        <w:t>八、</w:t>
      </w:r>
      <w:r>
        <w:rPr>
          <w:rStyle w:val="24"/>
          <w:rFonts w:hint="eastAsia" w:ascii="黑体" w:hAnsi="黑体" w:eastAsia="黑体"/>
          <w:b w:val="0"/>
          <w:color w:val="auto"/>
          <w:highlight w:val="none"/>
        </w:rPr>
        <w:t>政府性基金预算支出决算情况说明</w:t>
      </w:r>
      <w:bookmarkEnd w:id="101"/>
      <w:bookmarkEnd w:id="102"/>
      <w:bookmarkEnd w:id="103"/>
      <w:bookmarkEnd w:id="104"/>
      <w:bookmarkEnd w:id="105"/>
      <w:bookmarkEnd w:id="106"/>
      <w:bookmarkEnd w:id="107"/>
    </w:p>
    <w:p w14:paraId="70C6C17C">
      <w:pPr>
        <w:spacing w:line="600" w:lineRule="exact"/>
        <w:ind w:firstLine="64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eastAsia="zh-CN"/>
        </w:rPr>
        <w:t>2024年度</w:t>
      </w:r>
      <w:r>
        <w:rPr>
          <w:rFonts w:hint="eastAsia" w:ascii="仿宋_GB2312" w:eastAsia="仿宋_GB2312"/>
          <w:color w:val="auto"/>
          <w:sz w:val="32"/>
          <w:szCs w:val="32"/>
          <w:highlight w:val="none"/>
        </w:rPr>
        <w:t>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44</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占本年支出合计的1.59%。与2023年度相比，</w:t>
      </w:r>
      <w:r>
        <w:rPr>
          <w:rFonts w:hint="eastAsia" w:ascii="仿宋_GB2312" w:eastAsia="仿宋_GB2312"/>
          <w:color w:val="auto"/>
          <w:sz w:val="32"/>
          <w:szCs w:val="32"/>
          <w:highlight w:val="none"/>
        </w:rPr>
        <w:t>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减少16万元，下降26.67%。主要变动原因是2023年政府性基金预算为一次性追加村级运行维护经费60万元，2024年为民生实事票决制项目经费21万元，城乡基层治理能力建设专项资金23万元。</w:t>
      </w:r>
    </w:p>
    <w:p w14:paraId="7D67CAF0">
      <w:pPr>
        <w:spacing w:line="600" w:lineRule="exact"/>
        <w:ind w:firstLine="640"/>
        <w:rPr>
          <w:rFonts w:ascii="仿宋_GB2312" w:eastAsia="仿宋_GB2312"/>
          <w:color w:val="auto"/>
          <w:sz w:val="32"/>
          <w:szCs w:val="32"/>
          <w:highlight w:val="none"/>
        </w:rPr>
      </w:pPr>
    </w:p>
    <w:p w14:paraId="6BB72970">
      <w:pPr>
        <w:numPr>
          <w:ilvl w:val="0"/>
          <w:numId w:val="4"/>
        </w:numPr>
        <w:spacing w:line="600" w:lineRule="exact"/>
        <w:ind w:firstLine="640"/>
        <w:outlineLvl w:val="1"/>
        <w:rPr>
          <w:rStyle w:val="24"/>
          <w:rFonts w:ascii="黑体" w:hAnsi="黑体" w:eastAsia="黑体"/>
          <w:b w:val="0"/>
          <w:color w:val="auto"/>
          <w:highlight w:val="none"/>
        </w:rPr>
      </w:pPr>
      <w:bookmarkStart w:id="108" w:name="_Toc6392"/>
      <w:bookmarkStart w:id="109" w:name="_Toc15396611"/>
      <w:bookmarkStart w:id="110" w:name="_Toc8578"/>
      <w:bookmarkStart w:id="111" w:name="_Toc32371"/>
      <w:bookmarkStart w:id="112" w:name="_Toc24108"/>
      <w:bookmarkStart w:id="113" w:name="_Toc2841"/>
      <w:bookmarkStart w:id="114" w:name="_Toc15377219"/>
      <w:r>
        <w:rPr>
          <w:rStyle w:val="24"/>
          <w:rFonts w:hint="eastAsia" w:ascii="黑体" w:hAnsi="黑体" w:eastAsia="黑体"/>
          <w:b w:val="0"/>
          <w:color w:val="auto"/>
          <w:highlight w:val="none"/>
        </w:rPr>
        <w:t>国有资本经营预算支出决算情况说明</w:t>
      </w:r>
      <w:bookmarkEnd w:id="108"/>
      <w:bookmarkEnd w:id="109"/>
      <w:bookmarkEnd w:id="110"/>
      <w:bookmarkEnd w:id="111"/>
      <w:bookmarkEnd w:id="112"/>
      <w:bookmarkEnd w:id="113"/>
      <w:bookmarkEnd w:id="114"/>
    </w:p>
    <w:p w14:paraId="2A6AA4B9">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2024年度</w:t>
      </w:r>
      <w:r>
        <w:rPr>
          <w:rFonts w:hint="eastAsia" w:ascii="仿宋_GB2312" w:eastAsia="仿宋_GB2312"/>
          <w:color w:val="auto"/>
          <w:sz w:val="32"/>
          <w:szCs w:val="32"/>
          <w:highlight w:val="none"/>
        </w:rPr>
        <w:t>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69D70332">
      <w:pPr>
        <w:spacing w:line="580" w:lineRule="exact"/>
        <w:jc w:val="center"/>
        <w:rPr>
          <w:rFonts w:ascii="方正小标宋简体" w:hAnsi="方正小标宋简体" w:eastAsia="方正小标宋简体" w:cs="方正小标宋简体"/>
          <w:color w:val="auto"/>
          <w:sz w:val="44"/>
          <w:szCs w:val="44"/>
          <w:highlight w:val="none"/>
        </w:rPr>
      </w:pPr>
    </w:p>
    <w:p w14:paraId="47269F8A">
      <w:pPr>
        <w:numPr>
          <w:ilvl w:val="0"/>
          <w:numId w:val="4"/>
        </w:numPr>
        <w:spacing w:line="600" w:lineRule="exact"/>
        <w:ind w:firstLine="640"/>
        <w:outlineLvl w:val="1"/>
        <w:rPr>
          <w:rStyle w:val="24"/>
          <w:rFonts w:hint="eastAsia" w:ascii="黑体" w:hAnsi="黑体" w:eastAsia="黑体"/>
          <w:b w:val="0"/>
          <w:color w:val="auto"/>
          <w:highlight w:val="none"/>
        </w:rPr>
      </w:pPr>
      <w:bookmarkStart w:id="115" w:name="_Toc20122"/>
      <w:bookmarkStart w:id="116" w:name="_Toc19669"/>
      <w:bookmarkStart w:id="117" w:name="_Toc21636"/>
      <w:bookmarkStart w:id="118" w:name="_Toc15377221"/>
      <w:bookmarkStart w:id="119" w:name="_Toc3903"/>
      <w:bookmarkStart w:id="120" w:name="_Toc22898"/>
      <w:bookmarkStart w:id="121" w:name="_Toc15396612"/>
      <w:r>
        <w:rPr>
          <w:rStyle w:val="24"/>
          <w:rFonts w:hint="eastAsia" w:ascii="黑体" w:hAnsi="黑体" w:eastAsia="黑体"/>
          <w:b w:val="0"/>
          <w:color w:val="auto"/>
          <w:highlight w:val="none"/>
        </w:rPr>
        <w:t>其他重要事项的情况说明</w:t>
      </w:r>
      <w:bookmarkEnd w:id="115"/>
      <w:bookmarkEnd w:id="116"/>
      <w:bookmarkEnd w:id="117"/>
      <w:bookmarkEnd w:id="118"/>
      <w:bookmarkEnd w:id="119"/>
      <w:bookmarkEnd w:id="120"/>
      <w:bookmarkEnd w:id="121"/>
    </w:p>
    <w:p w14:paraId="74F578B2">
      <w:pPr>
        <w:spacing w:line="600" w:lineRule="exact"/>
        <w:ind w:firstLine="643" w:firstLineChars="200"/>
        <w:outlineLvl w:val="2"/>
        <w:rPr>
          <w:rFonts w:ascii="仿宋" w:hAnsi="仿宋" w:eastAsia="仿宋"/>
          <w:color w:val="auto"/>
          <w:sz w:val="32"/>
          <w:szCs w:val="32"/>
          <w:highlight w:val="none"/>
        </w:rPr>
      </w:pPr>
      <w:bookmarkStart w:id="122" w:name="_Toc18662"/>
      <w:bookmarkStart w:id="123" w:name="_Toc15377222"/>
      <w:bookmarkStart w:id="124" w:name="_Toc29375"/>
      <w:r>
        <w:rPr>
          <w:rFonts w:hint="eastAsia" w:ascii="仿宋" w:hAnsi="仿宋" w:eastAsia="仿宋"/>
          <w:b/>
          <w:color w:val="auto"/>
          <w:sz w:val="32"/>
          <w:szCs w:val="32"/>
          <w:highlight w:val="none"/>
        </w:rPr>
        <w:t>（一）机关运行经费支出情况</w:t>
      </w:r>
      <w:bookmarkEnd w:id="122"/>
      <w:bookmarkEnd w:id="123"/>
      <w:bookmarkEnd w:id="124"/>
    </w:p>
    <w:p w14:paraId="40F76909">
      <w:pPr>
        <w:spacing w:line="600" w:lineRule="exact"/>
        <w:ind w:firstLine="640" w:firstLineChars="200"/>
        <w:rPr>
          <w:rFonts w:ascii="仿宋" w:hAnsi="仿宋" w:eastAsia="仿宋"/>
          <w:b/>
          <w:color w:val="auto"/>
          <w:sz w:val="32"/>
          <w:szCs w:val="32"/>
          <w:highlight w:val="none"/>
        </w:rPr>
      </w:pPr>
      <w:r>
        <w:rPr>
          <w:rFonts w:hint="eastAsia" w:ascii="仿宋_GB2312" w:eastAsia="仿宋_GB2312"/>
          <w:color w:val="auto"/>
          <w:sz w:val="32"/>
          <w:szCs w:val="32"/>
          <w:highlight w:val="none"/>
          <w:lang w:eastAsia="zh-CN"/>
        </w:rPr>
        <w:t>2024年度</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三家镇</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174.31</w:t>
      </w:r>
      <w:r>
        <w:rPr>
          <w:rFonts w:hint="eastAsia" w:ascii="仿宋_GB2312" w:eastAsia="仿宋_GB2312"/>
          <w:color w:val="auto"/>
          <w:sz w:val="32"/>
          <w:szCs w:val="32"/>
          <w:highlight w:val="none"/>
        </w:rPr>
        <w:t>万元，比</w:t>
      </w:r>
      <w:r>
        <w:rPr>
          <w:rFonts w:hint="eastAsia" w:ascii="仿宋_GB2312" w:eastAsia="仿宋_GB2312"/>
          <w:color w:val="auto"/>
          <w:sz w:val="32"/>
          <w:szCs w:val="32"/>
          <w:highlight w:val="none"/>
          <w:lang w:eastAsia="zh-CN"/>
        </w:rPr>
        <w:t>2023年度</w:t>
      </w:r>
      <w:r>
        <w:rPr>
          <w:rFonts w:hint="eastAsia" w:ascii="仿宋_GB2312" w:eastAsia="仿宋_GB2312"/>
          <w:color w:val="auto"/>
          <w:sz w:val="32"/>
          <w:szCs w:val="32"/>
          <w:highlight w:val="none"/>
          <w:lang w:val="en-US" w:eastAsia="zh-CN"/>
        </w:rPr>
        <w:t>减少10.21</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减少5.53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厉行节俭，办公用品（水、纸、电等）、公务接待等费用都有所减少</w:t>
      </w:r>
      <w:r>
        <w:rPr>
          <w:rFonts w:hint="eastAsia" w:ascii="仿宋_GB2312" w:eastAsia="仿宋_GB2312"/>
          <w:color w:val="auto"/>
          <w:sz w:val="32"/>
          <w:szCs w:val="32"/>
          <w:highlight w:val="none"/>
          <w:lang w:eastAsia="zh-CN"/>
        </w:rPr>
        <w:t>。</w:t>
      </w:r>
    </w:p>
    <w:p w14:paraId="61B1139E">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25" w:name="_Toc22639"/>
      <w:bookmarkStart w:id="126" w:name="_Toc15377223"/>
      <w:bookmarkStart w:id="127" w:name="_Toc17151"/>
      <w:r>
        <w:rPr>
          <w:rFonts w:hint="eastAsia" w:ascii="仿宋" w:hAnsi="仿宋" w:eastAsia="仿宋"/>
          <w:b/>
          <w:color w:val="auto"/>
          <w:sz w:val="32"/>
          <w:szCs w:val="32"/>
          <w:highlight w:val="none"/>
        </w:rPr>
        <w:t>（二）政府采购支出情况</w:t>
      </w:r>
      <w:bookmarkEnd w:id="125"/>
      <w:bookmarkEnd w:id="126"/>
      <w:bookmarkEnd w:id="127"/>
    </w:p>
    <w:p w14:paraId="75F48FD5">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2024年度</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三家镇人民</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3EA80F99">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28" w:name="_Toc15377224"/>
      <w:bookmarkStart w:id="129" w:name="_Toc16955"/>
      <w:bookmarkStart w:id="130" w:name="_Toc32397"/>
      <w:r>
        <w:rPr>
          <w:rFonts w:hint="eastAsia" w:ascii="仿宋" w:hAnsi="仿宋" w:eastAsia="仿宋"/>
          <w:b/>
          <w:color w:val="auto"/>
          <w:sz w:val="32"/>
          <w:szCs w:val="32"/>
          <w:highlight w:val="none"/>
        </w:rPr>
        <w:t>（三）国有资产占有使用情况</w:t>
      </w:r>
      <w:bookmarkEnd w:id="128"/>
      <w:bookmarkEnd w:id="129"/>
      <w:bookmarkEnd w:id="130"/>
    </w:p>
    <w:p w14:paraId="4FC27B30">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2024年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三家镇人民</w:t>
      </w:r>
      <w:r>
        <w:rPr>
          <w:rFonts w:hint="eastAsia" w:ascii="仿宋_GB2312" w:eastAsia="仿宋_GB2312"/>
          <w:color w:val="auto"/>
          <w:sz w:val="32"/>
          <w:szCs w:val="32"/>
          <w:highlight w:val="none"/>
        </w:rPr>
        <w:t>政府共有车辆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万元以上设备</w:t>
      </w:r>
      <w:r>
        <w:rPr>
          <w:rFonts w:hint="eastAsia" w:ascii="仿宋_GB2312" w:eastAsia="仿宋_GB2312"/>
          <w:color w:val="auto"/>
          <w:sz w:val="32"/>
          <w:szCs w:val="32"/>
          <w:highlight w:val="none"/>
          <w:lang w:eastAsia="zh-CN"/>
        </w:rPr>
        <w:t>（不含车辆）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1CDD3551">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31" w:name="_Toc12151"/>
      <w:bookmarkStart w:id="132" w:name="_Toc26431"/>
      <w:r>
        <w:rPr>
          <w:rFonts w:hint="eastAsia" w:ascii="仿宋" w:hAnsi="仿宋" w:eastAsia="仿宋"/>
          <w:b/>
          <w:color w:val="auto"/>
          <w:sz w:val="32"/>
          <w:szCs w:val="32"/>
          <w:highlight w:val="none"/>
        </w:rPr>
        <w:t>（四）预算绩效管理情况</w:t>
      </w:r>
      <w:bookmarkEnd w:id="131"/>
      <w:bookmarkEnd w:id="132"/>
    </w:p>
    <w:p w14:paraId="63B68A96">
      <w:pPr>
        <w:spacing w:line="58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2024年度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sz w:val="32"/>
          <w:szCs w:val="32"/>
          <w:lang w:val="en-US" w:eastAsia="zh-CN"/>
        </w:rPr>
        <w:t>乡镇人大代表监督、视察；乡镇人大代表；政协委员视察；维稳信访调解；安全生产监管；防灾应急救助；伙食补助；乡镇便民服务大厅维护及农村“三资”集体管理；乡镇武装部工作；乡镇监察工作；乡风文明建设；创新社区管理；驻村工作队工作经费；重点乡镇综合执法大队协管员工资；重点乡镇综合执法大队工作经费；环境卫生整治；基础设施和场镇街道维护；镇（街道）统计工作经费；关心下一代工作专项经费等</w:t>
      </w:r>
      <w:r>
        <w:rPr>
          <w:rFonts w:hint="eastAsia" w:ascii="仿宋_GB2312" w:hAnsi="仿宋_GB2312" w:eastAsia="仿宋_GB2312" w:cs="仿宋_GB2312"/>
          <w:color w:val="auto"/>
          <w:sz w:val="32"/>
          <w:szCs w:val="32"/>
          <w:highlight w:val="none"/>
          <w:lang w:val="en-US" w:eastAsia="zh-CN"/>
        </w:rPr>
        <w:t>19个</w:t>
      </w:r>
      <w:r>
        <w:rPr>
          <w:rFonts w:hint="eastAsia" w:ascii="仿宋_GB2312" w:hAnsi="仿宋_GB2312" w:eastAsia="仿宋_GB2312" w:cs="仿宋_GB2312"/>
          <w:color w:val="auto"/>
          <w:sz w:val="32"/>
          <w:szCs w:val="32"/>
          <w:highlight w:val="none"/>
        </w:rPr>
        <w:t>项目开展了预算事前绩效评估，对</w:t>
      </w: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eastAsia="zh-CN"/>
        </w:rPr>
        <w:t>。</w:t>
      </w:r>
    </w:p>
    <w:p w14:paraId="01084B36">
      <w:pPr>
        <w:numPr>
          <w:ilvl w:val="0"/>
          <w:numId w:val="0"/>
        </w:num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2024年度一般公共预算、</w:t>
      </w:r>
      <w:r>
        <w:rPr>
          <w:rFonts w:hint="eastAsia" w:ascii="仿宋_GB2312" w:hAnsi="仿宋_GB2312" w:eastAsia="仿宋_GB2312" w:cs="仿宋_GB2312"/>
          <w:color w:val="auto"/>
          <w:sz w:val="32"/>
          <w:szCs w:val="32"/>
          <w:highlight w:val="none"/>
          <w:lang w:eastAsia="zh-CN"/>
        </w:rPr>
        <w:t>政府性基金预算、国有资本经营预算、社会保险基金预算以及资本资产、债券资金等</w:t>
      </w:r>
      <w:r>
        <w:rPr>
          <w:rFonts w:hint="eastAsia" w:ascii="仿宋_GB2312" w:hAnsi="仿宋_GB2312" w:eastAsia="仿宋_GB2312" w:cs="仿宋_GB2312"/>
          <w:color w:val="auto"/>
          <w:sz w:val="32"/>
          <w:szCs w:val="32"/>
          <w:highlight w:val="none"/>
          <w:lang w:val="en-US" w:eastAsia="zh-CN"/>
        </w:rPr>
        <w:t>全面开展绩效自评，形成三家镇人民政府</w:t>
      </w:r>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lang w:val="en-US" w:eastAsia="zh-CN"/>
        </w:rPr>
        <w:t>乡镇人大代表；政协委员视察；维稳信访调解；安全生产监管；防灾应急救助；伙食补助；乡镇便民服务大厅维护及农村“三资”集体管理；乡镇武装部工作；乡镇监察工作；乡风文明建设；创新社区管理；驻村工作队工作经费；重点乡镇综合执法大队协管员工资；重点乡镇综合执法大队工作经费；环境卫生整治；基础设施和场镇街道维护；镇（街道）统计工作经费；关心下一代工作专项经费</w:t>
      </w:r>
      <w:r>
        <w:rPr>
          <w:rFonts w:hint="eastAsia" w:ascii="仿宋_GB2312" w:hAnsi="仿宋_GB2312" w:eastAsia="仿宋_GB2312" w:cs="仿宋_GB2312"/>
          <w:color w:val="auto"/>
          <w:sz w:val="32"/>
          <w:szCs w:val="32"/>
          <w:highlight w:val="none"/>
          <w:lang w:val="en-US" w:eastAsia="zh-CN"/>
        </w:rPr>
        <w:t>等</w:t>
      </w:r>
      <w:r>
        <w:rPr>
          <w:rFonts w:hint="eastAsia" w:ascii="仿宋_GB2312" w:hAnsi="仿宋_GB2312" w:eastAsia="仿宋_GB2312" w:cs="仿宋_GB2312"/>
          <w:color w:val="auto"/>
          <w:sz w:val="32"/>
          <w:szCs w:val="32"/>
          <w:highlight w:val="none"/>
          <w:lang w:eastAsia="zh-CN"/>
        </w:rPr>
        <w:t>专项预算项目</w:t>
      </w:r>
      <w:r>
        <w:rPr>
          <w:rFonts w:hint="eastAsia" w:ascii="仿宋_GB2312" w:hAnsi="仿宋_GB2312" w:eastAsia="仿宋_GB2312" w:cs="仿宋_GB2312"/>
          <w:color w:val="auto"/>
          <w:sz w:val="32"/>
          <w:szCs w:val="32"/>
          <w:highlight w:val="none"/>
          <w:lang w:val="en-US" w:eastAsia="zh-CN"/>
        </w:rPr>
        <w:t>绩效自评报告，其中，三家镇人民政府部门整体</w:t>
      </w:r>
      <w:r>
        <w:rPr>
          <w:rFonts w:hint="eastAsia" w:ascii="仿宋_GB2312" w:hAnsi="仿宋_GB2312" w:eastAsia="仿宋_GB2312" w:cs="仿宋_GB2312"/>
          <w:color w:val="auto"/>
          <w:sz w:val="32"/>
          <w:szCs w:val="32"/>
          <w:highlight w:val="none"/>
          <w:lang w:eastAsia="zh-CN"/>
        </w:rPr>
        <w:t>（含部门预算项目）</w:t>
      </w:r>
      <w:r>
        <w:rPr>
          <w:rFonts w:hint="eastAsia" w:ascii="仿宋_GB2312" w:hAnsi="仿宋_GB2312" w:eastAsia="仿宋_GB2312" w:cs="仿宋_GB2312"/>
          <w:color w:val="auto"/>
          <w:sz w:val="32"/>
          <w:szCs w:val="32"/>
          <w:highlight w:val="none"/>
          <w:lang w:val="en-US" w:eastAsia="zh-CN"/>
        </w:rPr>
        <w:t>绩效自评得分为100分，绩效自评综述：</w:t>
      </w:r>
      <w:r>
        <w:rPr>
          <w:rFonts w:hint="eastAsia" w:ascii="仿宋" w:hAnsi="仿宋" w:eastAsia="仿宋" w:cs="仿宋"/>
          <w:sz w:val="32"/>
          <w:szCs w:val="32"/>
          <w:lang w:eastAsia="zh-CN"/>
        </w:rPr>
        <w:t>2024年</w:t>
      </w:r>
      <w:r>
        <w:rPr>
          <w:rFonts w:hint="eastAsia" w:ascii="仿宋" w:hAnsi="仿宋" w:eastAsia="仿宋" w:cs="仿宋"/>
          <w:sz w:val="32"/>
          <w:szCs w:val="32"/>
        </w:rPr>
        <w:t>，</w:t>
      </w:r>
      <w:r>
        <w:rPr>
          <w:rFonts w:hint="eastAsia" w:ascii="仿宋" w:hAnsi="仿宋" w:eastAsia="仿宋" w:cs="仿宋"/>
          <w:sz w:val="32"/>
          <w:szCs w:val="32"/>
          <w:lang w:val="en-US" w:eastAsia="zh-CN"/>
        </w:rPr>
        <w:t>三家镇</w:t>
      </w:r>
      <w:r>
        <w:rPr>
          <w:rFonts w:hint="eastAsia" w:ascii="仿宋" w:hAnsi="仿宋" w:eastAsia="仿宋" w:cs="仿宋"/>
          <w:sz w:val="32"/>
          <w:szCs w:val="32"/>
        </w:rPr>
        <w:t>狠抓制度建设和各项工作落实，各方面工作稳步推进，</w:t>
      </w:r>
      <w:r>
        <w:rPr>
          <w:rFonts w:hint="eastAsia" w:ascii="仿宋" w:hAnsi="仿宋" w:eastAsia="仿宋" w:cs="仿宋"/>
          <w:sz w:val="32"/>
          <w:szCs w:val="32"/>
          <w:lang w:val="en-US" w:eastAsia="zh-CN"/>
        </w:rPr>
        <w:t>圆满完成任务，并经村、社区居民评价，满意度为100%</w:t>
      </w:r>
      <w:r>
        <w:rPr>
          <w:rFonts w:hint="eastAsia" w:ascii="仿宋_GB2312" w:hAnsi="仿宋_GB2312" w:eastAsia="仿宋_GB2312" w:cs="仿宋_GB2312"/>
          <w:color w:val="auto"/>
          <w:sz w:val="32"/>
          <w:szCs w:val="32"/>
          <w:highlight w:val="none"/>
          <w:lang w:val="en-US" w:eastAsia="zh-CN"/>
        </w:rPr>
        <w:t>；安全生产监管</w:t>
      </w:r>
      <w:r>
        <w:rPr>
          <w:rFonts w:hint="eastAsia" w:ascii="仿宋_GB2312" w:hAnsi="仿宋_GB2312" w:eastAsia="仿宋_GB2312" w:cs="仿宋_GB2312"/>
          <w:color w:val="auto"/>
          <w:sz w:val="32"/>
          <w:szCs w:val="32"/>
          <w:highlight w:val="none"/>
          <w:lang w:eastAsia="zh-CN"/>
        </w:rPr>
        <w:t>专项预</w:t>
      </w:r>
      <w:r>
        <w:rPr>
          <w:rFonts w:hint="eastAsia" w:ascii="仿宋_GB2312" w:hAnsi="仿宋_GB2312" w:eastAsia="仿宋_GB2312" w:cs="仿宋_GB2312"/>
          <w:color w:val="auto"/>
          <w:sz w:val="32"/>
          <w:szCs w:val="32"/>
          <w:highlight w:val="none"/>
          <w:lang w:val="en-US" w:eastAsia="zh-CN"/>
        </w:rPr>
        <w:t>算项目绩效自评得分为100分，绩效自评综述：三家镇安全生产监管项目经过了事前评估和可行性论证，项目设立依据充分，符合区委、区政府重大决策部署和宏观政策规划，项目年度绩效目标与中长期规划一致；三家镇创新社区管理项目绩效自评得分为100分，绩效自评综述:创新社区管理项目提升了三家镇5个社区的办事效率，改善了2个社区的办公环境；防灾应急项目绩效自评得分为100分，绩效自评综述:三家镇防灾应急救助项目保障了三家镇防灾应急工作经费，增强了防灾应急处理能力，完成全年防灾应急救助任务；环境卫生整治项目绩效自评得分为100分，绩效自评综述:环境卫生整治项目改善了三家镇人民居住环境，农村垃圾、污水得到有效治理、农业面源污染得到有效控制；基础设施和场镇街道维护项目自评得分为100分，绩效自评综述:三家镇基础设施和场镇街道维护项目的实施，改善了场镇生产生活条件，提升场镇形象，确保5个社区街道维护管理，对老旧房屋安全隐患进行定期整治，完善部分场镇街道功能设施；维稳信访调解项目自评得分为100分，绩效自评综述:三家镇维稳信访调解项目保障了三家镇防控体系持续加强，社会治安可控度不断提高，依法治访保稳提质，诉求解决满意率不断提升；乡风文明建设项目自评得分为100分，绩效自评综述:乡风文明建设项目保障了三家镇文明城市相关工作，居民文化素养进一步提；乡镇便民服务大厅维护费及农村“三资”集体管理经费项目自评得分为100分，绩效自评综述:乡镇便民服务大厅维护费及农村“三资”集体管理经费项目保障了三家镇便民服务大厅及“三资”管理中心正常运营；乡镇监察工作经费项目自评得分为100分，绩效自评综述:乡镇监察工作经费项目保障了三家镇纪委监察工作顺利完成；乡镇人大代表监督、视察等项目自评得分为100分，绩效自评综述:乡镇人大代表监督、视察等项目保障了人大代表监督、视察权利，发挥了人大代表监督视察的作用；乡镇人大代表经费项目自评得分为100分，绩效自评综述:乡镇人大代表项目保障了人大代表履职权利，保障了我镇召开人大会的会议费；乡镇武装部工作经费（含征兵工作）项目自评得分为100分，绩效自评综述:乡镇武装部工作经费（含征兵工作经费）项目保障了武装部工作人员履职权利，保障了我镇征兵工作正常开展；镇（街道）统计工作经费项目自评得分为100分，绩效自评综述:镇（街道）统计工作经费项目保障了三家镇统计工作顺利完成；政协委员视察项目自评得分为100分，绩效自评综述:政协委员视察项目保障了政协委员视察权利，发挥了政协委员监督视察的作用；重点乡镇综合执法大队协管员工资项目自评得分为100分，绩效自评综述:三家镇综合执法大队协管员工资，完成了综合执法大队7名协管员的工资及保险支付。驻村工作队工作经费项目自评得分为100分，绩效自评综述:驻村工作队工作经费项目保障了三家镇4个脱贫村、2个乡村振兴村工作的正常开展。绩效自评报告详见附件。</w:t>
      </w:r>
    </w:p>
    <w:p w14:paraId="61D44FA2">
      <w:pPr>
        <w:pStyle w:val="2"/>
        <w:rPr>
          <w:rFonts w:hint="eastAsia" w:ascii="仿宋_GB2312" w:hAnsi="仿宋_GB2312" w:eastAsia="仿宋_GB2312" w:cs="仿宋_GB2312"/>
          <w:color w:val="auto"/>
          <w:sz w:val="32"/>
          <w:szCs w:val="32"/>
          <w:highlight w:val="none"/>
          <w:lang w:val="en-US" w:eastAsia="zh-CN"/>
        </w:rPr>
      </w:pPr>
    </w:p>
    <w:p w14:paraId="169C4ADC">
      <w:pPr>
        <w:pStyle w:val="3"/>
        <w:rPr>
          <w:rFonts w:hint="eastAsia" w:ascii="仿宋_GB2312" w:hAnsi="仿宋_GB2312" w:eastAsia="仿宋_GB2312" w:cs="仿宋_GB2312"/>
          <w:color w:val="auto"/>
          <w:sz w:val="32"/>
          <w:szCs w:val="32"/>
          <w:highlight w:val="none"/>
          <w:lang w:val="en-US" w:eastAsia="zh-CN"/>
        </w:rPr>
      </w:pPr>
    </w:p>
    <w:p w14:paraId="3FDCE5C2">
      <w:pPr>
        <w:pStyle w:val="3"/>
        <w:rPr>
          <w:rFonts w:hint="eastAsia" w:ascii="仿宋_GB2312" w:hAnsi="仿宋_GB2312" w:eastAsia="仿宋_GB2312" w:cs="仿宋_GB2312"/>
          <w:color w:val="auto"/>
          <w:sz w:val="32"/>
          <w:szCs w:val="32"/>
          <w:highlight w:val="none"/>
          <w:lang w:val="en-US" w:eastAsia="zh-CN"/>
        </w:rPr>
      </w:pPr>
    </w:p>
    <w:p w14:paraId="7955E37E">
      <w:pPr>
        <w:pStyle w:val="3"/>
        <w:rPr>
          <w:rFonts w:hint="eastAsia" w:ascii="仿宋_GB2312" w:hAnsi="仿宋_GB2312" w:eastAsia="仿宋_GB2312" w:cs="仿宋_GB2312"/>
          <w:color w:val="auto"/>
          <w:sz w:val="32"/>
          <w:szCs w:val="32"/>
          <w:highlight w:val="none"/>
          <w:lang w:val="en-US" w:eastAsia="zh-CN"/>
        </w:rPr>
      </w:pPr>
    </w:p>
    <w:p w14:paraId="543EC006">
      <w:pPr>
        <w:pStyle w:val="3"/>
        <w:rPr>
          <w:rFonts w:hint="eastAsia" w:ascii="仿宋_GB2312" w:hAnsi="仿宋_GB2312" w:eastAsia="仿宋_GB2312" w:cs="仿宋_GB2312"/>
          <w:color w:val="auto"/>
          <w:sz w:val="32"/>
          <w:szCs w:val="32"/>
          <w:highlight w:val="none"/>
          <w:lang w:val="en-US" w:eastAsia="zh-CN"/>
        </w:rPr>
      </w:pPr>
    </w:p>
    <w:p w14:paraId="182948DD">
      <w:pPr>
        <w:pStyle w:val="3"/>
        <w:rPr>
          <w:rFonts w:hint="eastAsia" w:ascii="仿宋_GB2312" w:hAnsi="仿宋_GB2312" w:eastAsia="仿宋_GB2312" w:cs="仿宋_GB2312"/>
          <w:color w:val="auto"/>
          <w:sz w:val="32"/>
          <w:szCs w:val="32"/>
          <w:highlight w:val="none"/>
          <w:lang w:val="en-US" w:eastAsia="zh-CN"/>
        </w:rPr>
      </w:pPr>
    </w:p>
    <w:p w14:paraId="7187C4EC">
      <w:pPr>
        <w:pStyle w:val="3"/>
        <w:rPr>
          <w:rFonts w:hint="eastAsia" w:ascii="仿宋_GB2312" w:hAnsi="仿宋_GB2312" w:eastAsia="仿宋_GB2312" w:cs="仿宋_GB2312"/>
          <w:color w:val="auto"/>
          <w:sz w:val="32"/>
          <w:szCs w:val="32"/>
          <w:highlight w:val="none"/>
          <w:lang w:val="en-US" w:eastAsia="zh-CN"/>
        </w:rPr>
      </w:pPr>
    </w:p>
    <w:p w14:paraId="5457D2A7">
      <w:pPr>
        <w:pStyle w:val="3"/>
        <w:rPr>
          <w:rFonts w:hint="eastAsia" w:ascii="仿宋_GB2312" w:hAnsi="仿宋_GB2312" w:eastAsia="仿宋_GB2312" w:cs="仿宋_GB2312"/>
          <w:color w:val="auto"/>
          <w:sz w:val="32"/>
          <w:szCs w:val="32"/>
          <w:highlight w:val="none"/>
          <w:lang w:val="en-US" w:eastAsia="zh-CN"/>
        </w:rPr>
      </w:pPr>
    </w:p>
    <w:p w14:paraId="15FE92BD">
      <w:pPr>
        <w:pStyle w:val="3"/>
        <w:rPr>
          <w:rFonts w:hint="eastAsia" w:ascii="仿宋_GB2312" w:hAnsi="仿宋_GB2312" w:eastAsia="仿宋_GB2312" w:cs="仿宋_GB2312"/>
          <w:color w:val="auto"/>
          <w:sz w:val="32"/>
          <w:szCs w:val="32"/>
          <w:highlight w:val="none"/>
          <w:lang w:val="en-US" w:eastAsia="zh-CN"/>
        </w:rPr>
      </w:pPr>
    </w:p>
    <w:p w14:paraId="3A6FF867">
      <w:pPr>
        <w:pStyle w:val="3"/>
        <w:rPr>
          <w:rFonts w:hint="eastAsia" w:ascii="仿宋_GB2312" w:hAnsi="仿宋_GB2312" w:eastAsia="仿宋_GB2312" w:cs="仿宋_GB2312"/>
          <w:color w:val="auto"/>
          <w:sz w:val="32"/>
          <w:szCs w:val="32"/>
          <w:highlight w:val="none"/>
          <w:lang w:val="en-US" w:eastAsia="zh-CN"/>
        </w:rPr>
      </w:pPr>
    </w:p>
    <w:p w14:paraId="2B26747D">
      <w:pPr>
        <w:pStyle w:val="3"/>
        <w:rPr>
          <w:rFonts w:hint="eastAsia" w:ascii="仿宋_GB2312" w:hAnsi="仿宋_GB2312" w:eastAsia="仿宋_GB2312" w:cs="仿宋_GB2312"/>
          <w:color w:val="auto"/>
          <w:sz w:val="32"/>
          <w:szCs w:val="32"/>
          <w:highlight w:val="none"/>
          <w:lang w:val="en-US" w:eastAsia="zh-CN"/>
        </w:rPr>
      </w:pPr>
    </w:p>
    <w:p w14:paraId="726D4463">
      <w:pPr>
        <w:pStyle w:val="3"/>
        <w:rPr>
          <w:rFonts w:hint="eastAsia" w:ascii="仿宋_GB2312" w:hAnsi="仿宋_GB2312" w:eastAsia="仿宋_GB2312" w:cs="仿宋_GB2312"/>
          <w:color w:val="auto"/>
          <w:sz w:val="32"/>
          <w:szCs w:val="32"/>
          <w:highlight w:val="none"/>
          <w:lang w:val="en-US" w:eastAsia="zh-CN"/>
        </w:rPr>
      </w:pPr>
    </w:p>
    <w:p w14:paraId="4153C3AB">
      <w:pPr>
        <w:pStyle w:val="3"/>
        <w:rPr>
          <w:rFonts w:hint="eastAsia" w:ascii="仿宋_GB2312" w:hAnsi="仿宋_GB2312" w:eastAsia="仿宋_GB2312" w:cs="仿宋_GB2312"/>
          <w:color w:val="auto"/>
          <w:sz w:val="32"/>
          <w:szCs w:val="32"/>
          <w:highlight w:val="none"/>
          <w:lang w:val="en-US" w:eastAsia="zh-CN"/>
        </w:rPr>
      </w:pPr>
    </w:p>
    <w:p w14:paraId="57B88735">
      <w:pPr>
        <w:pStyle w:val="3"/>
        <w:rPr>
          <w:rFonts w:hint="eastAsia" w:ascii="仿宋_GB2312" w:hAnsi="仿宋_GB2312" w:eastAsia="仿宋_GB2312" w:cs="仿宋_GB2312"/>
          <w:color w:val="auto"/>
          <w:sz w:val="32"/>
          <w:szCs w:val="32"/>
          <w:highlight w:val="none"/>
          <w:lang w:val="en-US" w:eastAsia="zh-CN"/>
        </w:rPr>
      </w:pPr>
    </w:p>
    <w:p w14:paraId="61A51E88">
      <w:pPr>
        <w:pStyle w:val="3"/>
        <w:rPr>
          <w:rFonts w:hint="eastAsia" w:ascii="仿宋_GB2312" w:hAnsi="仿宋_GB2312" w:eastAsia="仿宋_GB2312" w:cs="仿宋_GB2312"/>
          <w:color w:val="auto"/>
          <w:sz w:val="32"/>
          <w:szCs w:val="32"/>
          <w:highlight w:val="none"/>
          <w:lang w:val="en-US" w:eastAsia="zh-CN"/>
        </w:rPr>
      </w:pPr>
    </w:p>
    <w:p w14:paraId="3AD451C9">
      <w:pPr>
        <w:pStyle w:val="3"/>
        <w:rPr>
          <w:rFonts w:hint="eastAsia" w:ascii="仿宋_GB2312" w:hAnsi="仿宋_GB2312" w:eastAsia="仿宋_GB2312" w:cs="仿宋_GB2312"/>
          <w:color w:val="auto"/>
          <w:sz w:val="32"/>
          <w:szCs w:val="32"/>
          <w:highlight w:val="none"/>
          <w:lang w:val="en-US" w:eastAsia="zh-CN"/>
        </w:rPr>
      </w:pPr>
    </w:p>
    <w:p w14:paraId="67D743EC">
      <w:pPr>
        <w:pStyle w:val="3"/>
        <w:rPr>
          <w:rFonts w:hint="eastAsia" w:ascii="仿宋_GB2312" w:hAnsi="仿宋_GB2312" w:eastAsia="仿宋_GB2312" w:cs="仿宋_GB2312"/>
          <w:color w:val="auto"/>
          <w:sz w:val="32"/>
          <w:szCs w:val="32"/>
          <w:highlight w:val="none"/>
          <w:lang w:val="en-US" w:eastAsia="zh-CN"/>
        </w:rPr>
      </w:pPr>
    </w:p>
    <w:p w14:paraId="3FC4DAD4">
      <w:pPr>
        <w:numPr>
          <w:ilvl w:val="0"/>
          <w:numId w:val="5"/>
        </w:numPr>
        <w:spacing w:line="600" w:lineRule="exact"/>
        <w:ind w:firstLine="660" w:firstLineChars="150"/>
        <w:jc w:val="center"/>
        <w:outlineLvl w:val="0"/>
        <w:rPr>
          <w:rStyle w:val="23"/>
          <w:rFonts w:ascii="黑体" w:hAnsi="黑体" w:eastAsia="黑体"/>
          <w:b w:val="0"/>
          <w:color w:val="auto"/>
          <w:highlight w:val="none"/>
        </w:rPr>
      </w:pPr>
      <w:bookmarkStart w:id="133" w:name="_Toc3755"/>
      <w:bookmarkStart w:id="134" w:name="_Toc9482"/>
      <w:bookmarkStart w:id="135" w:name="_Toc1662"/>
      <w:bookmarkStart w:id="136" w:name="_Toc3743"/>
      <w:bookmarkStart w:id="137" w:name="_Toc15396613"/>
      <w:bookmarkStart w:id="138" w:name="_Toc15377225"/>
      <w:bookmarkStart w:id="139" w:name="_Toc30712"/>
      <w:r>
        <w:rPr>
          <w:rFonts w:hint="eastAsia" w:ascii="黑体" w:hAnsi="黑体" w:eastAsia="黑体"/>
          <w:color w:val="auto"/>
          <w:sz w:val="44"/>
          <w:szCs w:val="44"/>
          <w:highlight w:val="none"/>
        </w:rPr>
        <w:t>名</w:t>
      </w:r>
      <w:r>
        <w:rPr>
          <w:rStyle w:val="23"/>
          <w:rFonts w:hint="eastAsia" w:ascii="黑体" w:hAnsi="黑体" w:eastAsia="黑体"/>
          <w:b w:val="0"/>
          <w:color w:val="auto"/>
          <w:highlight w:val="none"/>
        </w:rPr>
        <w:t>词解释</w:t>
      </w:r>
      <w:bookmarkEnd w:id="133"/>
      <w:bookmarkEnd w:id="134"/>
      <w:bookmarkEnd w:id="135"/>
      <w:bookmarkEnd w:id="136"/>
      <w:bookmarkEnd w:id="137"/>
      <w:bookmarkEnd w:id="138"/>
      <w:bookmarkEnd w:id="139"/>
    </w:p>
    <w:p w14:paraId="2580A64B">
      <w:pPr>
        <w:spacing w:line="600" w:lineRule="exact"/>
        <w:jc w:val="left"/>
        <w:rPr>
          <w:rFonts w:ascii="宋体"/>
          <w:b/>
          <w:color w:val="auto"/>
          <w:sz w:val="44"/>
          <w:szCs w:val="44"/>
          <w:highlight w:val="none"/>
        </w:rPr>
      </w:pPr>
    </w:p>
    <w:p w14:paraId="737A7BA2">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3DD18390">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2C70A9F2">
      <w:pPr>
        <w:pStyle w:val="30"/>
        <w:spacing w:after="95" w:afterLines="30" w:line="540" w:lineRule="exact"/>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42A81CFB">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p>
    <w:p w14:paraId="52A25C64">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hAnsi="华文中宋" w:eastAsia="仿宋_GB2312"/>
          <w:sz w:val="32"/>
          <w:szCs w:val="32"/>
          <w:u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6B7FBE13">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3A499561">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5B2C06DE">
      <w:pPr>
        <w:pStyle w:val="30"/>
        <w:spacing w:after="95" w:afterLines="30" w:line="54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63FCA734">
      <w:pPr>
        <w:pStyle w:val="17"/>
        <w:keepNext w:val="0"/>
        <w:keepLines w:val="0"/>
        <w:pageBreakBefore w:val="0"/>
        <w:widowControl w:val="0"/>
        <w:suppressLineNumbers w:val="0"/>
        <w:kinsoku/>
        <w:wordWrap/>
        <w:overflowPunct/>
        <w:topLinePunct w:val="0"/>
        <w:autoSpaceDE w:val="0"/>
        <w:autoSpaceDN w:val="0"/>
        <w:bidi w:val="0"/>
        <w:adjustRightInd w:val="0"/>
        <w:spacing w:before="95" w:beforeLines="30" w:beforeAutospacing="0" w:after="95" w:afterLines="30" w:afterAutospacing="0" w:line="540" w:lineRule="exact"/>
        <w:ind w:left="0" w:right="0" w:firstLine="640" w:firstLineChars="200"/>
        <w:jc w:val="left"/>
        <w:textAlignment w:val="auto"/>
        <w:rPr>
          <w:rFonts w:hint="default" w:ascii="仿宋_GB2312" w:hAnsi="Times New Roman" w:eastAsia="仿宋_GB2312" w:cs="仿宋"/>
          <w:color w:val="000000"/>
          <w:sz w:val="32"/>
          <w:szCs w:val="32"/>
        </w:rPr>
      </w:pPr>
      <w:r>
        <w:rPr>
          <w:rFonts w:hint="default" w:ascii="仿宋_GB2312" w:hAnsi="Times New Roman" w:eastAsia="仿宋_GB2312" w:cs="仿宋"/>
          <w:color w:val="000000"/>
          <w:kern w:val="0"/>
          <w:sz w:val="32"/>
          <w:szCs w:val="32"/>
          <w:lang w:val="en-US" w:eastAsia="zh-CN" w:bidi="ar"/>
        </w:rPr>
        <w:t>9. 一般公共服务支出（类）人大事务（款）代表工作（项），</w:t>
      </w:r>
      <w:r>
        <w:rPr>
          <w:rFonts w:hint="eastAsia" w:ascii="仿宋_GB2312" w:eastAsia="仿宋_GB2312" w:cs="仿宋"/>
          <w:color w:val="000000"/>
          <w:kern w:val="0"/>
          <w:sz w:val="32"/>
          <w:szCs w:val="32"/>
          <w:lang w:val="en-US" w:eastAsia="zh-CN" w:bidi="ar"/>
        </w:rPr>
        <w:t>是指：人大代表开展各类视察等方面的支出</w:t>
      </w:r>
      <w:r>
        <w:rPr>
          <w:rFonts w:hint="default" w:ascii="仿宋_GB2312" w:hAnsi="Times New Roman" w:eastAsia="仿宋_GB2312" w:cs="仿宋"/>
          <w:color w:val="000000"/>
          <w:kern w:val="0"/>
          <w:sz w:val="32"/>
          <w:szCs w:val="32"/>
          <w:lang w:val="en-US" w:eastAsia="zh-CN" w:bidi="ar"/>
        </w:rPr>
        <w:t>。</w:t>
      </w:r>
    </w:p>
    <w:p w14:paraId="2BD89BE7">
      <w:pPr>
        <w:pStyle w:val="17"/>
        <w:keepNext w:val="0"/>
        <w:keepLines w:val="0"/>
        <w:pageBreakBefore w:val="0"/>
        <w:widowControl w:val="0"/>
        <w:suppressLineNumbers w:val="0"/>
        <w:kinsoku/>
        <w:wordWrap/>
        <w:overflowPunct/>
        <w:topLinePunct w:val="0"/>
        <w:autoSpaceDE w:val="0"/>
        <w:autoSpaceDN w:val="0"/>
        <w:bidi w:val="0"/>
        <w:adjustRightInd w:val="0"/>
        <w:spacing w:before="95" w:beforeLines="30" w:beforeAutospacing="0" w:after="95" w:afterLines="30" w:afterAutospacing="0" w:line="540" w:lineRule="exact"/>
        <w:ind w:left="0" w:right="0" w:firstLine="640" w:firstLineChars="200"/>
        <w:jc w:val="left"/>
        <w:textAlignment w:val="auto"/>
        <w:rPr>
          <w:rFonts w:hint="default" w:ascii="仿宋_GB2312" w:hAnsi="Times New Roman" w:eastAsia="仿宋_GB2312" w:cs="仿宋"/>
          <w:color w:val="000000"/>
          <w:kern w:val="0"/>
          <w:sz w:val="32"/>
          <w:szCs w:val="32"/>
          <w:lang w:val="en-US" w:eastAsia="zh-CN" w:bidi="ar"/>
        </w:rPr>
      </w:pPr>
      <w:r>
        <w:rPr>
          <w:rFonts w:hint="default" w:ascii="仿宋_GB2312" w:hAnsi="Times New Roman" w:eastAsia="仿宋_GB2312" w:cs="仿宋"/>
          <w:color w:val="000000"/>
          <w:kern w:val="0"/>
          <w:sz w:val="32"/>
          <w:szCs w:val="32"/>
          <w:lang w:val="en-US" w:eastAsia="zh-CN" w:bidi="ar"/>
        </w:rPr>
        <w:t>10.一般公共服务支出（类）人大事务（款）</w:t>
      </w:r>
      <w:r>
        <w:rPr>
          <w:rFonts w:hint="eastAsia" w:ascii="仿宋_GB2312" w:hAnsi="Times New Roman" w:eastAsia="仿宋_GB2312" w:cs="仿宋"/>
          <w:color w:val="000000"/>
          <w:kern w:val="0"/>
          <w:sz w:val="32"/>
          <w:szCs w:val="32"/>
          <w:lang w:val="en-US" w:eastAsia="zh-CN" w:bidi="ar"/>
        </w:rPr>
        <w:t>人大监督</w:t>
      </w:r>
      <w:r>
        <w:rPr>
          <w:rFonts w:hint="default" w:ascii="仿宋_GB2312" w:hAnsi="Times New Roman" w:eastAsia="仿宋_GB2312" w:cs="仿宋"/>
          <w:color w:val="000000"/>
          <w:kern w:val="0"/>
          <w:sz w:val="32"/>
          <w:szCs w:val="32"/>
          <w:lang w:val="en-US" w:eastAsia="zh-CN" w:bidi="ar"/>
        </w:rPr>
        <w:t>（项），</w:t>
      </w:r>
      <w:r>
        <w:rPr>
          <w:rFonts w:hint="eastAsia" w:ascii="仿宋_GB2312" w:eastAsia="仿宋_GB2312" w:cs="仿宋"/>
          <w:color w:val="000000"/>
          <w:kern w:val="0"/>
          <w:sz w:val="32"/>
          <w:szCs w:val="32"/>
          <w:lang w:val="en-US" w:eastAsia="zh-CN" w:bidi="ar"/>
        </w:rPr>
        <w:t>是指</w:t>
      </w:r>
      <w:r>
        <w:rPr>
          <w:rFonts w:hint="default" w:ascii="仿宋_GB2312" w:hAnsi="Times New Roman" w:eastAsia="仿宋_GB2312" w:cs="仿宋"/>
          <w:color w:val="000000"/>
          <w:kern w:val="0"/>
          <w:sz w:val="32"/>
          <w:szCs w:val="32"/>
          <w:lang w:val="en-US" w:eastAsia="zh-CN" w:bidi="ar"/>
        </w:rPr>
        <w:t>：</w:t>
      </w:r>
      <w:r>
        <w:rPr>
          <w:rFonts w:hint="eastAsia" w:ascii="仿宋_GB2312" w:eastAsia="仿宋_GB2312" w:cs="仿宋"/>
          <w:color w:val="000000"/>
          <w:kern w:val="0"/>
          <w:sz w:val="32"/>
          <w:szCs w:val="32"/>
          <w:lang w:val="en-US" w:eastAsia="zh-CN" w:bidi="ar"/>
        </w:rPr>
        <w:t>反映各级人大开展监督工作的支出</w:t>
      </w:r>
      <w:r>
        <w:rPr>
          <w:rFonts w:hint="default" w:ascii="仿宋_GB2312" w:hAnsi="Times New Roman" w:eastAsia="仿宋_GB2312" w:cs="仿宋"/>
          <w:color w:val="000000"/>
          <w:kern w:val="0"/>
          <w:sz w:val="32"/>
          <w:szCs w:val="32"/>
          <w:lang w:val="en-US" w:eastAsia="zh-CN" w:bidi="ar"/>
        </w:rPr>
        <w:t>。</w:t>
      </w:r>
    </w:p>
    <w:p w14:paraId="7988A920">
      <w:pPr>
        <w:pStyle w:val="17"/>
        <w:keepNext w:val="0"/>
        <w:keepLines w:val="0"/>
        <w:pageBreakBefore w:val="0"/>
        <w:widowControl w:val="0"/>
        <w:suppressLineNumbers w:val="0"/>
        <w:kinsoku/>
        <w:wordWrap/>
        <w:overflowPunct/>
        <w:topLinePunct w:val="0"/>
        <w:autoSpaceDE w:val="0"/>
        <w:autoSpaceDN w:val="0"/>
        <w:bidi w:val="0"/>
        <w:adjustRightInd w:val="0"/>
        <w:spacing w:before="95" w:beforeLines="30" w:beforeAutospacing="0" w:after="95" w:afterLines="30" w:afterAutospacing="0" w:line="540" w:lineRule="exact"/>
        <w:ind w:left="0" w:right="0" w:firstLine="640" w:firstLineChars="200"/>
        <w:jc w:val="left"/>
        <w:textAlignment w:val="auto"/>
        <w:rPr>
          <w:rFonts w:hint="default" w:ascii="仿宋_GB2312" w:hAnsi="Times New Roman" w:eastAsia="仿宋_GB2312" w:cs="仿宋"/>
          <w:color w:val="000000"/>
          <w:kern w:val="0"/>
          <w:sz w:val="32"/>
          <w:szCs w:val="32"/>
          <w:lang w:val="en-US" w:eastAsia="zh-CN" w:bidi="ar"/>
        </w:rPr>
      </w:pPr>
      <w:r>
        <w:rPr>
          <w:rFonts w:hint="eastAsia" w:ascii="仿宋_GB2312" w:eastAsia="仿宋_GB2312" w:cs="仿宋"/>
          <w:color w:val="000000"/>
          <w:kern w:val="0"/>
          <w:sz w:val="32"/>
          <w:szCs w:val="32"/>
          <w:lang w:val="en-US" w:eastAsia="zh-CN" w:bidi="ar"/>
        </w:rPr>
        <w:t>11</w:t>
      </w:r>
      <w:r>
        <w:rPr>
          <w:rFonts w:hint="default" w:ascii="仿宋_GB2312" w:hAnsi="Times New Roman" w:eastAsia="仿宋_GB2312" w:cs="仿宋"/>
          <w:color w:val="000000"/>
          <w:kern w:val="0"/>
          <w:sz w:val="32"/>
          <w:szCs w:val="32"/>
          <w:lang w:val="en-US" w:eastAsia="zh-CN" w:bidi="ar"/>
        </w:rPr>
        <w:t>.一般公共服务支出（类）人大事务（款）其他</w:t>
      </w:r>
      <w:r>
        <w:rPr>
          <w:rFonts w:hint="eastAsia" w:ascii="仿宋_GB2312" w:eastAsia="仿宋_GB2312" w:cs="仿宋"/>
          <w:color w:val="000000"/>
          <w:kern w:val="0"/>
          <w:sz w:val="32"/>
          <w:szCs w:val="32"/>
          <w:lang w:val="en-US" w:eastAsia="zh-CN" w:bidi="ar"/>
        </w:rPr>
        <w:t>政协</w:t>
      </w:r>
      <w:r>
        <w:rPr>
          <w:rFonts w:hint="default" w:ascii="仿宋_GB2312" w:hAnsi="Times New Roman" w:eastAsia="仿宋_GB2312" w:cs="仿宋"/>
          <w:color w:val="000000"/>
          <w:kern w:val="0"/>
          <w:sz w:val="32"/>
          <w:szCs w:val="32"/>
          <w:lang w:val="en-US" w:eastAsia="zh-CN" w:bidi="ar"/>
        </w:rPr>
        <w:t>事务支出（项），</w:t>
      </w:r>
      <w:r>
        <w:rPr>
          <w:rFonts w:hint="eastAsia" w:ascii="仿宋_GB2312" w:eastAsia="仿宋_GB2312" w:cs="仿宋"/>
          <w:color w:val="000000"/>
          <w:kern w:val="0"/>
          <w:sz w:val="32"/>
          <w:szCs w:val="32"/>
          <w:lang w:val="en-US" w:eastAsia="zh-CN" w:bidi="ar"/>
        </w:rPr>
        <w:t>是指</w:t>
      </w:r>
      <w:r>
        <w:rPr>
          <w:rFonts w:hint="default" w:ascii="仿宋_GB2312" w:hAnsi="Times New Roman" w:eastAsia="仿宋_GB2312" w:cs="仿宋"/>
          <w:color w:val="000000"/>
          <w:kern w:val="0"/>
          <w:sz w:val="32"/>
          <w:szCs w:val="32"/>
          <w:lang w:val="en-US" w:eastAsia="zh-CN" w:bidi="ar"/>
        </w:rPr>
        <w:t>：</w:t>
      </w:r>
      <w:r>
        <w:rPr>
          <w:rFonts w:hint="eastAsia" w:ascii="仿宋_GB2312" w:eastAsia="仿宋_GB2312" w:cs="仿宋"/>
          <w:color w:val="000000"/>
          <w:kern w:val="0"/>
          <w:sz w:val="32"/>
          <w:szCs w:val="32"/>
          <w:lang w:val="en-US" w:eastAsia="zh-CN" w:bidi="ar"/>
        </w:rPr>
        <w:t>除政协委员开展各类视察支出等以外的支出</w:t>
      </w:r>
      <w:r>
        <w:rPr>
          <w:rFonts w:hint="default" w:ascii="仿宋_GB2312" w:hAnsi="Times New Roman" w:eastAsia="仿宋_GB2312" w:cs="仿宋"/>
          <w:color w:val="000000"/>
          <w:kern w:val="0"/>
          <w:sz w:val="32"/>
          <w:szCs w:val="32"/>
          <w:lang w:val="en-US" w:eastAsia="zh-CN" w:bidi="ar"/>
        </w:rPr>
        <w:t>。</w:t>
      </w:r>
    </w:p>
    <w:p w14:paraId="34CEADAD">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hAnsi="Calibri" w:eastAsia="仿宋_GB2312" w:cs="Times New Roman"/>
          <w:kern w:val="2"/>
          <w:sz w:val="32"/>
          <w:szCs w:val="32"/>
          <w:lang w:val="en-US" w:eastAsia="zh-CN" w:bidi="ar"/>
        </w:rPr>
      </w:pPr>
      <w:r>
        <w:rPr>
          <w:rFonts w:hint="default" w:ascii="仿宋_GB2312" w:hAnsi="Calibri" w:eastAsia="仿宋_GB2312" w:cs="Times New Roman"/>
          <w:kern w:val="2"/>
          <w:sz w:val="32"/>
          <w:szCs w:val="32"/>
          <w:lang w:val="en-US" w:eastAsia="zh-CN" w:bidi="ar"/>
        </w:rPr>
        <w:t>1</w:t>
      </w:r>
      <w:r>
        <w:rPr>
          <w:rFonts w:hint="eastAsia" w:ascii="仿宋_GB2312" w:hAnsi="Calibri" w:eastAsia="仿宋_GB2312" w:cs="Times New Roman"/>
          <w:kern w:val="2"/>
          <w:sz w:val="32"/>
          <w:szCs w:val="32"/>
          <w:lang w:val="en-US" w:eastAsia="zh-CN" w:bidi="ar"/>
        </w:rPr>
        <w:t>2</w:t>
      </w:r>
      <w:r>
        <w:rPr>
          <w:rFonts w:hint="default" w:ascii="仿宋_GB2312" w:hAnsi="Calibri" w:eastAsia="仿宋_GB2312" w:cs="Times New Roman"/>
          <w:kern w:val="2"/>
          <w:sz w:val="32"/>
          <w:szCs w:val="32"/>
          <w:lang w:val="en-US" w:eastAsia="zh-CN" w:bidi="ar"/>
        </w:rPr>
        <w:t>. 一般公共服务支出（类）政府办公厅（室）及相关机构事务（款）行政运行（项），</w:t>
      </w:r>
      <w:r>
        <w:rPr>
          <w:rFonts w:hint="eastAsia" w:ascii="仿宋_GB2312" w:hAnsi="Calibri" w:eastAsia="仿宋_GB2312" w:cs="Times New Roman"/>
          <w:kern w:val="2"/>
          <w:sz w:val="32"/>
          <w:szCs w:val="32"/>
          <w:lang w:val="en-US" w:eastAsia="zh-CN" w:bidi="ar"/>
        </w:rPr>
        <w:t>是指</w:t>
      </w:r>
      <w:r>
        <w:rPr>
          <w:rFonts w:hint="default" w:ascii="仿宋_GB2312" w:hAnsi="Calibri" w:eastAsia="仿宋_GB2312" w:cs="Times New Roman"/>
          <w:kern w:val="2"/>
          <w:sz w:val="32"/>
          <w:szCs w:val="32"/>
          <w:lang w:val="en-US" w:eastAsia="zh-CN" w:bidi="ar"/>
        </w:rPr>
        <w:t>：</w:t>
      </w:r>
      <w:r>
        <w:rPr>
          <w:rFonts w:hint="eastAsia" w:ascii="仿宋_GB2312" w:hAnsi="Calibri" w:eastAsia="仿宋_GB2312" w:cs="Times New Roman"/>
          <w:kern w:val="2"/>
          <w:sz w:val="32"/>
          <w:szCs w:val="32"/>
          <w:lang w:val="en-US" w:eastAsia="zh-CN" w:bidi="ar"/>
        </w:rPr>
        <w:t>行政单位（包括实行公务员管理的事业单位）的基本支出</w:t>
      </w:r>
      <w:r>
        <w:rPr>
          <w:rFonts w:hint="default" w:ascii="仿宋_GB2312" w:hAnsi="Calibri" w:eastAsia="仿宋_GB2312" w:cs="Times New Roman"/>
          <w:kern w:val="2"/>
          <w:sz w:val="32"/>
          <w:szCs w:val="32"/>
          <w:lang w:val="en-US" w:eastAsia="zh-CN" w:bidi="ar"/>
        </w:rPr>
        <w:t>。</w:t>
      </w:r>
    </w:p>
    <w:p w14:paraId="66317C6A">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hAnsi="Calibri" w:eastAsia="仿宋_GB2312" w:cs="Times New Roman"/>
          <w:kern w:val="2"/>
          <w:sz w:val="32"/>
          <w:szCs w:val="32"/>
          <w:lang w:val="en-US" w:eastAsia="zh-CN" w:bidi="ar"/>
        </w:rPr>
      </w:pPr>
      <w:r>
        <w:rPr>
          <w:rFonts w:hint="default" w:ascii="仿宋_GB2312" w:hAnsi="Calibri" w:eastAsia="仿宋_GB2312" w:cs="Times New Roman"/>
          <w:kern w:val="2"/>
          <w:sz w:val="32"/>
          <w:szCs w:val="32"/>
          <w:lang w:val="en-US" w:eastAsia="zh-CN" w:bidi="ar"/>
        </w:rPr>
        <w:t>1</w:t>
      </w:r>
      <w:r>
        <w:rPr>
          <w:rFonts w:hint="eastAsia" w:ascii="仿宋_GB2312" w:eastAsia="仿宋_GB2312" w:cs="Times New Roman"/>
          <w:kern w:val="2"/>
          <w:sz w:val="32"/>
          <w:szCs w:val="32"/>
          <w:lang w:val="en-US" w:eastAsia="zh-CN" w:bidi="ar"/>
        </w:rPr>
        <w:t>3</w:t>
      </w:r>
      <w:r>
        <w:rPr>
          <w:rFonts w:hint="default" w:ascii="仿宋_GB2312" w:hAnsi="Calibri" w:eastAsia="仿宋_GB2312" w:cs="Times New Roman"/>
          <w:kern w:val="2"/>
          <w:sz w:val="32"/>
          <w:szCs w:val="32"/>
          <w:lang w:val="en-US" w:eastAsia="zh-CN" w:bidi="ar"/>
        </w:rPr>
        <w:t>. 一般公共服务支出（类）政府办公厅（室）及相关机构事务（款）</w:t>
      </w:r>
      <w:r>
        <w:rPr>
          <w:rFonts w:hint="eastAsia" w:ascii="仿宋_GB2312" w:eastAsia="仿宋_GB2312" w:cs="Times New Roman"/>
          <w:kern w:val="2"/>
          <w:sz w:val="32"/>
          <w:szCs w:val="32"/>
          <w:lang w:val="en-US" w:eastAsia="zh-CN" w:bidi="ar"/>
        </w:rPr>
        <w:t>事业</w:t>
      </w:r>
      <w:r>
        <w:rPr>
          <w:rFonts w:hint="default" w:ascii="仿宋_GB2312" w:hAnsi="Calibri" w:eastAsia="仿宋_GB2312" w:cs="Times New Roman"/>
          <w:kern w:val="2"/>
          <w:sz w:val="32"/>
          <w:szCs w:val="32"/>
          <w:lang w:val="en-US" w:eastAsia="zh-CN" w:bidi="ar"/>
        </w:rPr>
        <w:t>运行（项），</w:t>
      </w:r>
      <w:r>
        <w:rPr>
          <w:rFonts w:hint="eastAsia" w:ascii="仿宋_GB2312" w:hAnsi="Calibri" w:eastAsia="仿宋_GB2312" w:cs="Times New Roman"/>
          <w:kern w:val="2"/>
          <w:sz w:val="32"/>
          <w:szCs w:val="32"/>
          <w:lang w:val="en-US" w:eastAsia="zh-CN" w:bidi="ar"/>
        </w:rPr>
        <w:t>是指</w:t>
      </w:r>
      <w:r>
        <w:rPr>
          <w:rFonts w:hint="default" w:ascii="仿宋_GB2312" w:hAnsi="Calibri" w:eastAsia="仿宋_GB2312" w:cs="Times New Roman"/>
          <w:kern w:val="2"/>
          <w:sz w:val="32"/>
          <w:szCs w:val="32"/>
          <w:lang w:val="en-US" w:eastAsia="zh-CN" w:bidi="ar"/>
        </w:rPr>
        <w:t>：</w:t>
      </w:r>
      <w:r>
        <w:rPr>
          <w:rFonts w:hint="eastAsia" w:ascii="仿宋_GB2312" w:eastAsia="仿宋_GB2312" w:cs="Times New Roman"/>
          <w:kern w:val="2"/>
          <w:sz w:val="32"/>
          <w:szCs w:val="32"/>
          <w:lang w:val="en-US" w:eastAsia="zh-CN" w:bidi="ar"/>
        </w:rPr>
        <w:t>反映事业单位的基本支出，不包括行政单位</w:t>
      </w:r>
      <w:r>
        <w:rPr>
          <w:rFonts w:hint="eastAsia" w:ascii="仿宋_GB2312" w:hAnsi="Calibri" w:eastAsia="仿宋_GB2312" w:cs="Times New Roman"/>
          <w:kern w:val="2"/>
          <w:sz w:val="32"/>
          <w:szCs w:val="32"/>
          <w:lang w:val="en-US" w:eastAsia="zh-CN" w:bidi="ar"/>
        </w:rPr>
        <w:t>（包括实行公务员管理的事业单位）</w:t>
      </w:r>
      <w:r>
        <w:rPr>
          <w:rFonts w:hint="eastAsia" w:ascii="仿宋_GB2312" w:eastAsia="仿宋_GB2312" w:cs="Times New Roman"/>
          <w:kern w:val="2"/>
          <w:sz w:val="32"/>
          <w:szCs w:val="32"/>
          <w:lang w:val="en-US" w:eastAsia="zh-CN" w:bidi="ar"/>
        </w:rPr>
        <w:t>后勤服务中心、医务室等附属事业单位</w:t>
      </w:r>
      <w:r>
        <w:rPr>
          <w:rFonts w:hint="default" w:ascii="仿宋_GB2312" w:hAnsi="Calibri" w:eastAsia="仿宋_GB2312" w:cs="Times New Roman"/>
          <w:kern w:val="2"/>
          <w:sz w:val="32"/>
          <w:szCs w:val="32"/>
          <w:lang w:val="en-US" w:eastAsia="zh-CN" w:bidi="ar"/>
        </w:rPr>
        <w:t>。</w:t>
      </w:r>
    </w:p>
    <w:p w14:paraId="71D50141">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hAnsi="Calibri" w:eastAsia="仿宋_GB2312" w:cs="Times New Roman"/>
          <w:kern w:val="2"/>
          <w:sz w:val="32"/>
          <w:szCs w:val="32"/>
          <w:lang w:val="en-US" w:eastAsia="zh-CN" w:bidi="ar"/>
        </w:rPr>
      </w:pPr>
      <w:r>
        <w:rPr>
          <w:rFonts w:hint="default" w:ascii="仿宋_GB2312" w:hAnsi="Calibri" w:eastAsia="仿宋_GB2312" w:cs="Times New Roman"/>
          <w:kern w:val="2"/>
          <w:sz w:val="32"/>
          <w:szCs w:val="32"/>
          <w:lang w:val="en-US" w:eastAsia="zh-CN" w:bidi="ar"/>
        </w:rPr>
        <w:t>1</w:t>
      </w:r>
      <w:r>
        <w:rPr>
          <w:rFonts w:hint="eastAsia" w:ascii="仿宋_GB2312" w:eastAsia="仿宋_GB2312" w:cs="Times New Roman"/>
          <w:kern w:val="2"/>
          <w:sz w:val="32"/>
          <w:szCs w:val="32"/>
          <w:lang w:val="en-US" w:eastAsia="zh-CN" w:bidi="ar"/>
        </w:rPr>
        <w:t>4</w:t>
      </w:r>
      <w:r>
        <w:rPr>
          <w:rFonts w:hint="default" w:ascii="仿宋_GB2312" w:hAnsi="Calibri" w:eastAsia="仿宋_GB2312" w:cs="Times New Roman"/>
          <w:kern w:val="2"/>
          <w:sz w:val="32"/>
          <w:szCs w:val="32"/>
          <w:lang w:val="en-US" w:eastAsia="zh-CN" w:bidi="ar"/>
        </w:rPr>
        <w:t>. 一般公共服务支出（类）政府办公厅（室）及相关机构事务（款）其他政府办公厅（室）及相关机构事务支出（项），</w:t>
      </w:r>
      <w:r>
        <w:rPr>
          <w:rFonts w:hint="eastAsia" w:ascii="仿宋_GB2312" w:hAnsi="Calibri" w:eastAsia="仿宋_GB2312" w:cs="Times New Roman"/>
          <w:kern w:val="2"/>
          <w:sz w:val="32"/>
          <w:szCs w:val="32"/>
          <w:lang w:val="en-US" w:eastAsia="zh-CN" w:bidi="ar"/>
        </w:rPr>
        <w:t>是指</w:t>
      </w:r>
      <w:r>
        <w:rPr>
          <w:rFonts w:hint="default" w:ascii="仿宋_GB2312" w:hAnsi="Calibri" w:eastAsia="仿宋_GB2312" w:cs="Times New Roman"/>
          <w:kern w:val="2"/>
          <w:sz w:val="32"/>
          <w:szCs w:val="32"/>
          <w:lang w:val="en-US" w:eastAsia="zh-CN" w:bidi="ar"/>
        </w:rPr>
        <w:t>：</w:t>
      </w:r>
      <w:r>
        <w:rPr>
          <w:rFonts w:hint="eastAsia" w:ascii="仿宋_GB2312" w:hAnsi="Calibri" w:eastAsia="仿宋_GB2312" w:cs="Times New Roman"/>
          <w:kern w:val="2"/>
          <w:sz w:val="32"/>
          <w:szCs w:val="32"/>
          <w:lang w:val="en-US" w:eastAsia="zh-CN" w:bidi="ar"/>
        </w:rPr>
        <w:t>除上述项目以外的</w:t>
      </w:r>
      <w:r>
        <w:rPr>
          <w:rFonts w:hint="default" w:ascii="仿宋_GB2312" w:hAnsi="Calibri" w:eastAsia="仿宋_GB2312" w:cs="Times New Roman"/>
          <w:kern w:val="2"/>
          <w:sz w:val="32"/>
          <w:szCs w:val="32"/>
          <w:lang w:val="en-US" w:eastAsia="zh-CN" w:bidi="ar"/>
        </w:rPr>
        <w:t>其他政府办公厅（室）及相关机构事务支出。</w:t>
      </w:r>
    </w:p>
    <w:p w14:paraId="5AFBD8EE">
      <w:pPr>
        <w:pStyle w:val="17"/>
        <w:keepNext w:val="0"/>
        <w:keepLines w:val="0"/>
        <w:pageBreakBefore w:val="0"/>
        <w:widowControl w:val="0"/>
        <w:suppressLineNumbers w:val="0"/>
        <w:kinsoku/>
        <w:wordWrap/>
        <w:overflowPunct/>
        <w:topLinePunct w:val="0"/>
        <w:autoSpaceDE w:val="0"/>
        <w:autoSpaceDN w:val="0"/>
        <w:bidi w:val="0"/>
        <w:adjustRightInd w:val="0"/>
        <w:spacing w:before="95" w:beforeLines="30" w:beforeAutospacing="0" w:after="95" w:afterLines="30" w:afterAutospacing="0" w:line="540" w:lineRule="exact"/>
        <w:ind w:left="0" w:right="0" w:firstLine="640" w:firstLineChars="200"/>
        <w:jc w:val="left"/>
        <w:textAlignment w:val="auto"/>
        <w:rPr>
          <w:rFonts w:hint="default" w:ascii="仿宋_GB2312" w:hAnsi="Times New Roman" w:eastAsia="仿宋_GB2312" w:cs="仿宋"/>
          <w:color w:val="000000"/>
          <w:sz w:val="32"/>
          <w:szCs w:val="32"/>
        </w:rPr>
      </w:pPr>
      <w:r>
        <w:rPr>
          <w:rFonts w:hint="eastAsia" w:ascii="仿宋_GB2312" w:eastAsia="仿宋_GB2312" w:cs="仿宋"/>
          <w:color w:val="000000"/>
          <w:kern w:val="0"/>
          <w:sz w:val="32"/>
          <w:szCs w:val="32"/>
          <w:lang w:val="en-US" w:eastAsia="zh-CN" w:bidi="ar"/>
        </w:rPr>
        <w:t>15</w:t>
      </w:r>
      <w:r>
        <w:rPr>
          <w:rFonts w:hint="default" w:ascii="仿宋_GB2312" w:hAnsi="Times New Roman" w:eastAsia="仿宋_GB2312" w:cs="仿宋"/>
          <w:color w:val="000000"/>
          <w:kern w:val="0"/>
          <w:sz w:val="32"/>
          <w:szCs w:val="32"/>
          <w:lang w:val="en-US" w:eastAsia="zh-CN" w:bidi="ar"/>
        </w:rPr>
        <w:t>. 一般公共服务支出（类）财政事务（款）行政运行（项），</w:t>
      </w:r>
      <w:r>
        <w:rPr>
          <w:rFonts w:hint="eastAsia" w:ascii="仿宋_GB2312" w:hAnsi="Calibri" w:eastAsia="仿宋_GB2312" w:cs="Times New Roman"/>
          <w:kern w:val="2"/>
          <w:sz w:val="32"/>
          <w:szCs w:val="32"/>
          <w:lang w:val="en-US" w:eastAsia="zh-CN" w:bidi="ar"/>
        </w:rPr>
        <w:t>是指</w:t>
      </w:r>
      <w:r>
        <w:rPr>
          <w:rFonts w:hint="default" w:ascii="仿宋_GB2312" w:hAnsi="Calibri" w:eastAsia="仿宋_GB2312" w:cs="Times New Roman"/>
          <w:kern w:val="2"/>
          <w:sz w:val="32"/>
          <w:szCs w:val="32"/>
          <w:lang w:val="en-US" w:eastAsia="zh-CN" w:bidi="ar"/>
        </w:rPr>
        <w:t>：</w:t>
      </w:r>
      <w:r>
        <w:rPr>
          <w:rFonts w:hint="eastAsia" w:ascii="仿宋_GB2312" w:hAnsi="Calibri" w:eastAsia="仿宋_GB2312" w:cs="Times New Roman"/>
          <w:kern w:val="2"/>
          <w:sz w:val="32"/>
          <w:szCs w:val="32"/>
          <w:lang w:val="en-US" w:eastAsia="zh-CN" w:bidi="ar"/>
        </w:rPr>
        <w:t>行政单位（包括实行公务员管理的事业单位）的基本支出</w:t>
      </w:r>
      <w:r>
        <w:rPr>
          <w:rFonts w:hint="default" w:ascii="仿宋_GB2312" w:hAnsi="Calibri" w:eastAsia="仿宋_GB2312" w:cs="Times New Roman"/>
          <w:kern w:val="2"/>
          <w:sz w:val="32"/>
          <w:szCs w:val="32"/>
          <w:lang w:val="en-US" w:eastAsia="zh-CN" w:bidi="ar"/>
        </w:rPr>
        <w:t>。</w:t>
      </w:r>
    </w:p>
    <w:p w14:paraId="0E6B578E">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eastAsia" w:ascii="仿宋_GB2312" w:hAnsi="Calibri" w:eastAsia="仿宋_GB2312" w:cs="仿宋_GB2312"/>
          <w:kern w:val="2"/>
          <w:sz w:val="32"/>
          <w:szCs w:val="32"/>
          <w:lang w:val="en-US" w:eastAsia="zh-CN" w:bidi="ar"/>
        </w:rPr>
      </w:pPr>
      <w:r>
        <w:rPr>
          <w:rFonts w:hint="eastAsia" w:ascii="仿宋_GB2312" w:eastAsia="仿宋_GB2312" w:cs="仿宋_GB2312"/>
          <w:kern w:val="2"/>
          <w:sz w:val="32"/>
          <w:szCs w:val="32"/>
          <w:lang w:val="en-US" w:eastAsia="zh-CN" w:bidi="ar"/>
        </w:rPr>
        <w:t>16</w:t>
      </w:r>
      <w:r>
        <w:rPr>
          <w:rFonts w:hint="default" w:ascii="仿宋_GB2312" w:hAnsi="Calibri" w:eastAsia="仿宋_GB2312" w:cs="仿宋_GB2312"/>
          <w:kern w:val="2"/>
          <w:sz w:val="32"/>
          <w:szCs w:val="32"/>
          <w:lang w:val="en-US" w:eastAsia="zh-CN" w:bidi="ar"/>
        </w:rPr>
        <w:t>.文化</w:t>
      </w:r>
      <w:r>
        <w:rPr>
          <w:rFonts w:hint="eastAsia" w:ascii="仿宋_GB2312" w:eastAsia="仿宋_GB2312" w:cs="仿宋_GB2312"/>
          <w:kern w:val="2"/>
          <w:sz w:val="32"/>
          <w:szCs w:val="32"/>
          <w:lang w:val="en-US" w:eastAsia="zh-CN" w:bidi="ar"/>
        </w:rPr>
        <w:t>旅游</w:t>
      </w:r>
      <w:r>
        <w:rPr>
          <w:rFonts w:hint="default" w:ascii="仿宋_GB2312" w:hAnsi="Calibri" w:eastAsia="仿宋_GB2312" w:cs="仿宋_GB2312"/>
          <w:kern w:val="2"/>
          <w:sz w:val="32"/>
          <w:szCs w:val="32"/>
          <w:lang w:val="en-US" w:eastAsia="zh-CN" w:bidi="ar"/>
        </w:rPr>
        <w:t>体育与传媒支出（类）文化</w:t>
      </w:r>
      <w:r>
        <w:rPr>
          <w:rFonts w:hint="eastAsia" w:ascii="仿宋_GB2312" w:eastAsia="仿宋_GB2312" w:cs="仿宋_GB2312"/>
          <w:kern w:val="2"/>
          <w:sz w:val="32"/>
          <w:szCs w:val="32"/>
          <w:lang w:val="en-US" w:eastAsia="zh-CN" w:bidi="ar"/>
        </w:rPr>
        <w:t>和旅游</w:t>
      </w:r>
      <w:r>
        <w:rPr>
          <w:rFonts w:hint="default" w:ascii="仿宋_GB2312" w:hAnsi="Calibri" w:eastAsia="仿宋_GB2312" w:cs="仿宋_GB2312"/>
          <w:kern w:val="2"/>
          <w:sz w:val="32"/>
          <w:szCs w:val="32"/>
          <w:lang w:val="en-US" w:eastAsia="zh-CN" w:bidi="ar"/>
        </w:rPr>
        <w:t>（款）其他文化支出（项），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 xml:space="preserve">除上述项目以外其他用于文化方面的支出。  </w:t>
      </w:r>
    </w:p>
    <w:p w14:paraId="40CD3C21">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hAnsi="Calibri" w:eastAsia="仿宋_GB2312" w:cs="仿宋_GB2312"/>
          <w:kern w:val="2"/>
          <w:sz w:val="32"/>
          <w:szCs w:val="32"/>
          <w:lang w:val="en-US" w:eastAsia="zh-CN" w:bidi="ar"/>
        </w:rPr>
      </w:pPr>
      <w:r>
        <w:rPr>
          <w:rFonts w:hint="eastAsia" w:ascii="仿宋_GB2312" w:eastAsia="仿宋_GB2312" w:cs="仿宋_GB2312"/>
          <w:kern w:val="2"/>
          <w:sz w:val="32"/>
          <w:szCs w:val="32"/>
          <w:lang w:val="en-US" w:eastAsia="zh-CN" w:bidi="ar"/>
        </w:rPr>
        <w:t>17</w:t>
      </w:r>
      <w:r>
        <w:rPr>
          <w:rFonts w:hint="default" w:ascii="仿宋_GB2312" w:hAnsi="Calibri" w:eastAsia="仿宋_GB2312" w:cs="仿宋_GB2312"/>
          <w:kern w:val="2"/>
          <w:sz w:val="32"/>
          <w:szCs w:val="32"/>
          <w:lang w:val="en-US" w:eastAsia="zh-CN" w:bidi="ar"/>
        </w:rPr>
        <w:t>.社会保障和就业支出（类）行政事业单位</w:t>
      </w:r>
      <w:r>
        <w:rPr>
          <w:rFonts w:hint="eastAsia" w:ascii="仿宋_GB2312" w:eastAsia="仿宋_GB2312" w:cs="仿宋_GB2312"/>
          <w:kern w:val="2"/>
          <w:sz w:val="32"/>
          <w:szCs w:val="32"/>
          <w:lang w:val="en-US" w:eastAsia="zh-CN" w:bidi="ar"/>
        </w:rPr>
        <w:t>养老支出</w:t>
      </w:r>
      <w:r>
        <w:rPr>
          <w:rFonts w:hint="default" w:ascii="仿宋_GB2312" w:hAnsi="Calibri" w:eastAsia="仿宋_GB2312" w:cs="仿宋_GB2312"/>
          <w:kern w:val="2"/>
          <w:sz w:val="32"/>
          <w:szCs w:val="32"/>
          <w:lang w:val="en-US" w:eastAsia="zh-CN" w:bidi="ar"/>
        </w:rPr>
        <w:t>（款）机关事业单位基本养老保险缴费</w:t>
      </w:r>
      <w:r>
        <w:rPr>
          <w:rFonts w:hint="eastAsia" w:ascii="仿宋_GB2312" w:eastAsia="仿宋_GB2312" w:cs="仿宋_GB2312"/>
          <w:kern w:val="2"/>
          <w:sz w:val="32"/>
          <w:szCs w:val="32"/>
          <w:lang w:val="en-US" w:eastAsia="zh-CN" w:bidi="ar"/>
        </w:rPr>
        <w:t>支出</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：机关事业单位</w:t>
      </w:r>
      <w:r>
        <w:rPr>
          <w:rFonts w:hint="eastAsia" w:ascii="仿宋_GB2312" w:hAnsi="Calibri" w:eastAsia="仿宋_GB2312" w:cs="仿宋_GB2312"/>
          <w:kern w:val="2"/>
          <w:sz w:val="32"/>
          <w:szCs w:val="32"/>
          <w:lang w:val="en-US" w:eastAsia="zh-CN" w:bidi="ar"/>
        </w:rPr>
        <w:t>实施养老保险制度由单位缴纳的</w:t>
      </w:r>
      <w:r>
        <w:rPr>
          <w:rFonts w:hint="default" w:ascii="仿宋_GB2312" w:hAnsi="Calibri" w:eastAsia="仿宋_GB2312" w:cs="仿宋_GB2312"/>
          <w:kern w:val="2"/>
          <w:sz w:val="32"/>
          <w:szCs w:val="32"/>
          <w:lang w:val="en-US" w:eastAsia="zh-CN" w:bidi="ar"/>
        </w:rPr>
        <w:t>基本养老保险缴费</w:t>
      </w:r>
      <w:r>
        <w:rPr>
          <w:rFonts w:hint="eastAsia" w:ascii="仿宋_GB2312" w:hAnsi="Calibri" w:eastAsia="仿宋_GB2312" w:cs="仿宋_GB2312"/>
          <w:kern w:val="2"/>
          <w:sz w:val="32"/>
          <w:szCs w:val="32"/>
          <w:lang w:val="en-US" w:eastAsia="zh-CN" w:bidi="ar"/>
        </w:rPr>
        <w:t>支出</w:t>
      </w:r>
      <w:r>
        <w:rPr>
          <w:rFonts w:hint="default" w:ascii="仿宋_GB2312" w:hAnsi="Calibri" w:eastAsia="仿宋_GB2312" w:cs="仿宋_GB2312"/>
          <w:kern w:val="2"/>
          <w:sz w:val="32"/>
          <w:szCs w:val="32"/>
          <w:lang w:val="en-US" w:eastAsia="zh-CN" w:bidi="ar"/>
        </w:rPr>
        <w:t>。</w:t>
      </w:r>
    </w:p>
    <w:p w14:paraId="1BB207D6">
      <w:pPr>
        <w:pStyle w:val="25"/>
        <w:spacing w:after="95" w:afterLines="30" w:line="540" w:lineRule="exact"/>
        <w:ind w:left="0" w:leftChars="0" w:firstLine="640" w:firstLineChars="200"/>
        <w:rPr>
          <w:rStyle w:val="32"/>
          <w:rFonts w:hint="default" w:ascii="仿宋_GB2312" w:eastAsia="仿宋_GB2312" w:cs="仿宋_GB2312"/>
          <w:b w:val="0"/>
          <w:color w:val="000000"/>
          <w:kern w:val="2"/>
          <w:sz w:val="32"/>
          <w:szCs w:val="32"/>
          <w:lang w:val="en-US" w:eastAsia="zh-CN" w:bidi="ar"/>
        </w:rPr>
      </w:pPr>
      <w:r>
        <w:rPr>
          <w:rFonts w:hint="eastAsia" w:ascii="仿宋_GB2312" w:eastAsia="仿宋_GB2312" w:cs="仿宋_GB2312"/>
          <w:kern w:val="2"/>
          <w:sz w:val="32"/>
          <w:szCs w:val="32"/>
          <w:lang w:val="en-US" w:eastAsia="zh-CN" w:bidi="ar"/>
        </w:rPr>
        <w:t>18</w:t>
      </w:r>
      <w:r>
        <w:rPr>
          <w:rFonts w:hint="default" w:ascii="仿宋_GB2312" w:hAnsi="Calibri" w:eastAsia="仿宋_GB2312" w:cs="仿宋_GB2312"/>
          <w:kern w:val="2"/>
          <w:sz w:val="32"/>
          <w:szCs w:val="32"/>
          <w:lang w:val="en-US" w:eastAsia="zh-CN" w:bidi="ar"/>
        </w:rPr>
        <w:t>. 社会保障和就业支出（类）行政事业单位</w:t>
      </w:r>
      <w:r>
        <w:rPr>
          <w:rFonts w:hint="eastAsia" w:ascii="仿宋_GB2312" w:eastAsia="仿宋_GB2312" w:cs="仿宋_GB2312"/>
          <w:kern w:val="2"/>
          <w:sz w:val="32"/>
          <w:szCs w:val="32"/>
          <w:lang w:val="en-US" w:eastAsia="zh-CN" w:bidi="ar"/>
        </w:rPr>
        <w:t>养老支出</w:t>
      </w:r>
      <w:r>
        <w:rPr>
          <w:rFonts w:hint="default" w:ascii="仿宋_GB2312" w:hAnsi="Calibri" w:eastAsia="仿宋_GB2312" w:cs="仿宋_GB2312"/>
          <w:kern w:val="2"/>
          <w:sz w:val="32"/>
          <w:szCs w:val="32"/>
          <w:lang w:val="en-US" w:eastAsia="zh-CN" w:bidi="ar"/>
        </w:rPr>
        <w:t>（款）</w:t>
      </w:r>
      <w:r>
        <w:rPr>
          <w:rFonts w:hint="eastAsia" w:ascii="仿宋_GB2312" w:eastAsia="仿宋_GB2312" w:cs="仿宋_GB2312"/>
          <w:kern w:val="2"/>
          <w:sz w:val="32"/>
          <w:szCs w:val="32"/>
          <w:lang w:val="en-US" w:eastAsia="zh-CN" w:bidi="ar"/>
        </w:rPr>
        <w:t>行政单位离退休</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行政单位（包括实行公务员管理的事业单位）开支的离退休经费</w:t>
      </w:r>
      <w:r>
        <w:rPr>
          <w:rStyle w:val="32"/>
          <w:rFonts w:hint="default" w:ascii="仿宋_GB2312" w:eastAsia="仿宋_GB2312" w:cs="仿宋_GB2312"/>
          <w:b w:val="0"/>
          <w:color w:val="000000"/>
          <w:kern w:val="2"/>
          <w:sz w:val="32"/>
          <w:szCs w:val="32"/>
          <w:lang w:val="en-US" w:eastAsia="zh-CN" w:bidi="ar"/>
        </w:rPr>
        <w:t>。</w:t>
      </w:r>
    </w:p>
    <w:p w14:paraId="6AE52878">
      <w:pPr>
        <w:pStyle w:val="17"/>
        <w:keepNext w:val="0"/>
        <w:keepLines w:val="0"/>
        <w:pageBreakBefore w:val="0"/>
        <w:widowControl w:val="0"/>
        <w:suppressLineNumbers w:val="0"/>
        <w:kinsoku/>
        <w:wordWrap/>
        <w:overflowPunct/>
        <w:topLinePunct w:val="0"/>
        <w:autoSpaceDE w:val="0"/>
        <w:autoSpaceDN w:val="0"/>
        <w:bidi w:val="0"/>
        <w:adjustRightInd w:val="0"/>
        <w:spacing w:before="95" w:beforeLines="30" w:beforeAutospacing="0" w:after="95" w:afterLines="30" w:afterAutospacing="0" w:line="540" w:lineRule="exact"/>
        <w:ind w:left="0" w:right="0" w:firstLine="640" w:firstLineChars="200"/>
        <w:jc w:val="left"/>
        <w:textAlignment w:val="auto"/>
        <w:rPr>
          <w:rFonts w:hint="default" w:ascii="仿宋_GB2312" w:hAnsi="Calibri" w:eastAsia="仿宋_GB2312" w:cs="仿宋_GB2312"/>
          <w:kern w:val="2"/>
          <w:sz w:val="32"/>
          <w:szCs w:val="32"/>
          <w:lang w:val="en-US" w:eastAsia="zh-CN" w:bidi="ar"/>
        </w:rPr>
      </w:pPr>
      <w:r>
        <w:rPr>
          <w:rFonts w:hint="eastAsia" w:ascii="仿宋_GB2312" w:eastAsia="仿宋_GB2312" w:cs="仿宋_GB2312"/>
          <w:kern w:val="2"/>
          <w:sz w:val="32"/>
          <w:szCs w:val="32"/>
          <w:lang w:val="en-US" w:eastAsia="zh-CN" w:bidi="ar"/>
        </w:rPr>
        <w:t>19</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卫生健康支出</w:t>
      </w:r>
      <w:r>
        <w:rPr>
          <w:rFonts w:hint="default" w:ascii="仿宋_GB2312" w:hAnsi="Calibri" w:eastAsia="仿宋_GB2312" w:cs="仿宋_GB2312"/>
          <w:kern w:val="2"/>
          <w:sz w:val="32"/>
          <w:szCs w:val="32"/>
          <w:lang w:val="en-US" w:eastAsia="zh-CN" w:bidi="ar"/>
        </w:rPr>
        <w:t>（类）卫生</w:t>
      </w:r>
      <w:r>
        <w:rPr>
          <w:rFonts w:hint="eastAsia" w:ascii="仿宋_GB2312" w:eastAsia="仿宋_GB2312" w:cs="仿宋_GB2312"/>
          <w:kern w:val="2"/>
          <w:sz w:val="32"/>
          <w:szCs w:val="32"/>
          <w:lang w:val="en-US" w:eastAsia="zh-CN" w:bidi="ar"/>
        </w:rPr>
        <w:t>健康</w:t>
      </w:r>
      <w:r>
        <w:rPr>
          <w:rFonts w:hint="default" w:ascii="仿宋_GB2312" w:hAnsi="Calibri" w:eastAsia="仿宋_GB2312" w:cs="仿宋_GB2312"/>
          <w:kern w:val="2"/>
          <w:sz w:val="32"/>
          <w:szCs w:val="32"/>
          <w:lang w:val="en-US" w:eastAsia="zh-CN" w:bidi="ar"/>
        </w:rPr>
        <w:t>管理事务（款）行政运行（项），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Times New Roman"/>
          <w:kern w:val="2"/>
          <w:sz w:val="32"/>
          <w:szCs w:val="32"/>
          <w:lang w:val="en-US" w:eastAsia="zh-CN" w:bidi="ar"/>
        </w:rPr>
        <w:t>行政单位（包括实行公务员管理的事业单位）的基本支出</w:t>
      </w:r>
      <w:r>
        <w:rPr>
          <w:rFonts w:hint="default" w:ascii="仿宋_GB2312" w:hAnsi="Calibri" w:eastAsia="仿宋_GB2312" w:cs="Times New Roman"/>
          <w:kern w:val="2"/>
          <w:sz w:val="32"/>
          <w:szCs w:val="32"/>
          <w:lang w:val="en-US" w:eastAsia="zh-CN" w:bidi="ar"/>
        </w:rPr>
        <w:t>。</w:t>
      </w:r>
    </w:p>
    <w:p w14:paraId="49FA42B1">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eastAsia="仿宋_GB2312" w:cs="仿宋_GB2312"/>
          <w:kern w:val="2"/>
          <w:sz w:val="32"/>
          <w:szCs w:val="32"/>
          <w:lang w:val="en-US"/>
        </w:rPr>
      </w:pPr>
      <w:r>
        <w:rPr>
          <w:rFonts w:hint="eastAsia" w:ascii="仿宋_GB2312" w:eastAsia="仿宋_GB2312" w:cs="仿宋_GB2312"/>
          <w:kern w:val="2"/>
          <w:sz w:val="32"/>
          <w:szCs w:val="32"/>
          <w:lang w:val="en-US" w:eastAsia="zh-CN" w:bidi="ar"/>
        </w:rPr>
        <w:t>20</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卫生健康支出</w:t>
      </w:r>
      <w:r>
        <w:rPr>
          <w:rFonts w:hint="default" w:ascii="仿宋_GB2312" w:hAnsi="Calibri" w:eastAsia="仿宋_GB2312" w:cs="仿宋_GB2312"/>
          <w:kern w:val="2"/>
          <w:sz w:val="32"/>
          <w:szCs w:val="32"/>
          <w:lang w:val="en-US" w:eastAsia="zh-CN" w:bidi="ar"/>
        </w:rPr>
        <w:t>（类）行政事业单位医疗（款）行政单位医疗（项），</w:t>
      </w:r>
      <w:r>
        <w:rPr>
          <w:rFonts w:hint="eastAsia" w:ascii="仿宋_GB2312" w:hAnsi="Calibri" w:eastAsia="仿宋_GB2312" w:cs="仿宋_GB2312"/>
          <w:kern w:val="2"/>
          <w:sz w:val="32"/>
          <w:szCs w:val="32"/>
          <w:lang w:val="en-US" w:eastAsia="zh-CN" w:bidi="ar"/>
        </w:rPr>
        <w:t>是指：财政部门安排的行政单位</w:t>
      </w:r>
      <w:r>
        <w:rPr>
          <w:rFonts w:hint="eastAsia" w:ascii="仿宋_GB2312" w:eastAsia="仿宋_GB2312" w:cs="仿宋_GB2312"/>
          <w:kern w:val="2"/>
          <w:sz w:val="32"/>
          <w:szCs w:val="32"/>
          <w:lang w:val="en-US" w:eastAsia="zh-CN" w:bidi="ar"/>
        </w:rPr>
        <w:t>（包括实行公务员管理的事业单位）</w:t>
      </w:r>
      <w:r>
        <w:rPr>
          <w:rFonts w:hint="eastAsia" w:ascii="仿宋_GB2312" w:hAnsi="Calibri" w:eastAsia="仿宋_GB2312" w:cs="仿宋_GB2312"/>
          <w:kern w:val="2"/>
          <w:sz w:val="32"/>
          <w:szCs w:val="32"/>
          <w:lang w:val="en-US" w:eastAsia="zh-CN" w:bidi="ar"/>
        </w:rPr>
        <w:t>基本医疗保险缴费经费</w:t>
      </w:r>
      <w:r>
        <w:rPr>
          <w:rFonts w:hint="eastAsia" w:ascii="仿宋_GB2312" w:eastAsia="仿宋_GB2312" w:cs="仿宋_GB2312"/>
          <w:kern w:val="2"/>
          <w:sz w:val="32"/>
          <w:szCs w:val="32"/>
          <w:lang w:val="en-US" w:eastAsia="zh-CN" w:bidi="ar"/>
        </w:rPr>
        <w:t>，未参加医疗保险的行政单位的公费医疗经费，按国家规定享受离休人员、红军老战士待遇人员的医疗经费。</w:t>
      </w:r>
    </w:p>
    <w:p w14:paraId="627A1393">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eastAsia" w:ascii="仿宋_GB2312" w:eastAsia="仿宋_GB2312" w:cs="仿宋_GB2312"/>
          <w:kern w:val="2"/>
          <w:sz w:val="32"/>
          <w:szCs w:val="32"/>
          <w:lang w:val="en-US" w:eastAsia="zh-CN" w:bidi="ar"/>
        </w:rPr>
      </w:pPr>
      <w:r>
        <w:rPr>
          <w:rFonts w:hint="eastAsia" w:ascii="仿宋_GB2312" w:eastAsia="仿宋_GB2312" w:cs="仿宋_GB2312"/>
          <w:kern w:val="2"/>
          <w:sz w:val="32"/>
          <w:szCs w:val="32"/>
          <w:lang w:val="en-US" w:eastAsia="zh-CN" w:bidi="ar"/>
        </w:rPr>
        <w:t>21</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卫生健康支出</w:t>
      </w:r>
      <w:r>
        <w:rPr>
          <w:rFonts w:hint="default" w:ascii="仿宋_GB2312" w:hAnsi="Calibri" w:eastAsia="仿宋_GB2312" w:cs="仿宋_GB2312"/>
          <w:kern w:val="2"/>
          <w:sz w:val="32"/>
          <w:szCs w:val="32"/>
          <w:lang w:val="en-US" w:eastAsia="zh-CN" w:bidi="ar"/>
        </w:rPr>
        <w:t>（类）行政事业单位医疗（款）</w:t>
      </w:r>
      <w:r>
        <w:rPr>
          <w:rFonts w:hint="eastAsia" w:ascii="仿宋_GB2312" w:eastAsia="仿宋_GB2312" w:cs="仿宋_GB2312"/>
          <w:kern w:val="2"/>
          <w:sz w:val="32"/>
          <w:szCs w:val="32"/>
          <w:lang w:val="en-US" w:eastAsia="zh-CN" w:bidi="ar"/>
        </w:rPr>
        <w:t>事业</w:t>
      </w:r>
      <w:r>
        <w:rPr>
          <w:rFonts w:hint="default" w:ascii="仿宋_GB2312" w:hAnsi="Calibri" w:eastAsia="仿宋_GB2312" w:cs="仿宋_GB2312"/>
          <w:kern w:val="2"/>
          <w:sz w:val="32"/>
          <w:szCs w:val="32"/>
          <w:lang w:val="en-US" w:eastAsia="zh-CN" w:bidi="ar"/>
        </w:rPr>
        <w:t>单位医疗（项），</w:t>
      </w:r>
      <w:r>
        <w:rPr>
          <w:rFonts w:hint="eastAsia" w:ascii="仿宋_GB2312" w:hAnsi="Calibri" w:eastAsia="仿宋_GB2312" w:cs="仿宋_GB2312"/>
          <w:kern w:val="2"/>
          <w:sz w:val="32"/>
          <w:szCs w:val="32"/>
          <w:lang w:val="en-US" w:eastAsia="zh-CN" w:bidi="ar"/>
        </w:rPr>
        <w:t>是指：财政部门集中安排的事业单位基本医疗保险缴费经费</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未参加医疗保险的事业单位的公费医疗经费，按国家规定享受离休人员待遇的医疗经费。</w:t>
      </w:r>
    </w:p>
    <w:p w14:paraId="5322624B">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eastAsia" w:ascii="仿宋_GB2312" w:eastAsia="仿宋_GB2312" w:cs="仿宋_GB2312"/>
          <w:kern w:val="2"/>
          <w:sz w:val="32"/>
          <w:szCs w:val="32"/>
          <w:lang w:val="en-US" w:eastAsia="zh-CN" w:bidi="ar"/>
        </w:rPr>
      </w:pPr>
      <w:r>
        <w:rPr>
          <w:rFonts w:hint="eastAsia" w:ascii="仿宋_GB2312" w:eastAsia="仿宋_GB2312" w:cs="仿宋_GB2312"/>
          <w:kern w:val="2"/>
          <w:sz w:val="32"/>
          <w:szCs w:val="32"/>
          <w:lang w:val="en-US" w:eastAsia="zh-CN" w:bidi="ar"/>
        </w:rPr>
        <w:t>22</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卫生健康支出</w:t>
      </w:r>
      <w:r>
        <w:rPr>
          <w:rFonts w:hint="default" w:ascii="仿宋_GB2312" w:hAnsi="Calibri" w:eastAsia="仿宋_GB2312" w:cs="仿宋_GB2312"/>
          <w:kern w:val="2"/>
          <w:sz w:val="32"/>
          <w:szCs w:val="32"/>
          <w:lang w:val="en-US" w:eastAsia="zh-CN" w:bidi="ar"/>
        </w:rPr>
        <w:t>（类）行政事业单位医疗（款）</w:t>
      </w:r>
      <w:r>
        <w:rPr>
          <w:rFonts w:hint="eastAsia" w:ascii="仿宋_GB2312" w:eastAsia="仿宋_GB2312" w:cs="仿宋_GB2312"/>
          <w:kern w:val="2"/>
          <w:sz w:val="32"/>
          <w:szCs w:val="32"/>
          <w:lang w:val="en-US" w:eastAsia="zh-CN" w:bidi="ar"/>
        </w:rPr>
        <w:t>事业公务员医疗补助</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eastAsia" w:ascii="仿宋_GB2312" w:eastAsia="仿宋_GB2312" w:cs="仿宋_GB2312"/>
          <w:kern w:val="2"/>
          <w:sz w:val="32"/>
          <w:szCs w:val="32"/>
          <w:lang w:val="en-US" w:eastAsia="zh-CN" w:bidi="ar"/>
        </w:rPr>
        <w:t>财政部门安排的公务员医疗补助经费。</w:t>
      </w:r>
    </w:p>
    <w:p w14:paraId="25832427">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eastAsia="仿宋_GB2312" w:cs="仿宋_GB2312"/>
          <w:b w:val="0"/>
          <w:color w:val="000000"/>
        </w:rPr>
      </w:pPr>
      <w:r>
        <w:rPr>
          <w:rFonts w:hint="eastAsia" w:ascii="仿宋_GB2312" w:eastAsia="仿宋_GB2312" w:cs="仿宋_GB2312"/>
          <w:kern w:val="2"/>
          <w:sz w:val="32"/>
          <w:szCs w:val="32"/>
          <w:lang w:val="en-US" w:eastAsia="zh-CN" w:bidi="ar"/>
        </w:rPr>
        <w:t>23</w:t>
      </w:r>
      <w:r>
        <w:rPr>
          <w:rFonts w:hint="default" w:ascii="仿宋_GB2312" w:hAnsi="Calibri" w:eastAsia="仿宋_GB2312" w:cs="仿宋_GB2312"/>
          <w:kern w:val="2"/>
          <w:sz w:val="32"/>
          <w:szCs w:val="32"/>
          <w:lang w:val="en-US" w:eastAsia="zh-CN" w:bidi="ar"/>
        </w:rPr>
        <w:t>.节能环保支出（类）</w:t>
      </w:r>
      <w:r>
        <w:rPr>
          <w:rFonts w:hint="eastAsia" w:ascii="仿宋_GB2312" w:eastAsia="仿宋_GB2312" w:cs="仿宋_GB2312"/>
          <w:kern w:val="2"/>
          <w:sz w:val="32"/>
          <w:szCs w:val="32"/>
          <w:lang w:val="en-US" w:eastAsia="zh-CN" w:bidi="ar"/>
        </w:rPr>
        <w:t>污染防治</w:t>
      </w:r>
      <w:r>
        <w:rPr>
          <w:rFonts w:hint="default" w:ascii="仿宋_GB2312" w:hAnsi="Calibri" w:eastAsia="仿宋_GB2312" w:cs="仿宋_GB2312"/>
          <w:kern w:val="2"/>
          <w:sz w:val="32"/>
          <w:szCs w:val="32"/>
          <w:lang w:val="en-US" w:eastAsia="zh-CN" w:bidi="ar"/>
        </w:rPr>
        <w:t>（款）</w:t>
      </w:r>
      <w:r>
        <w:rPr>
          <w:rFonts w:hint="eastAsia" w:ascii="仿宋_GB2312" w:eastAsia="仿宋_GB2312" w:cs="仿宋_GB2312"/>
          <w:kern w:val="2"/>
          <w:sz w:val="32"/>
          <w:szCs w:val="32"/>
          <w:lang w:val="en-US" w:eastAsia="zh-CN" w:bidi="ar"/>
        </w:rPr>
        <w:t>水体</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政府在排水、污水处理、水污染防治、湖库生态环境保护、水源地保护、国土江河综合整治、河流治理与保护、地下水修复与保护等方面的支出</w:t>
      </w:r>
      <w:r>
        <w:rPr>
          <w:rStyle w:val="32"/>
          <w:rFonts w:hint="default" w:ascii="仿宋_GB2312" w:eastAsia="仿宋_GB2312" w:cs="仿宋_GB2312"/>
          <w:b w:val="0"/>
          <w:color w:val="000000"/>
          <w:kern w:val="2"/>
          <w:sz w:val="32"/>
          <w:szCs w:val="32"/>
          <w:lang w:val="en-US" w:eastAsia="zh-CN" w:bidi="ar"/>
        </w:rPr>
        <w:t>。</w:t>
      </w:r>
    </w:p>
    <w:p w14:paraId="6CBA290C">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Style w:val="32"/>
          <w:rFonts w:hint="eastAsia" w:ascii="仿宋_GB2312" w:hAnsi="仿宋_GB2312" w:eastAsia="宋体" w:cs="仿宋_GB2312"/>
          <w:b w:val="0"/>
          <w:color w:val="000000"/>
          <w:kern w:val="2"/>
          <w:sz w:val="32"/>
          <w:szCs w:val="32"/>
          <w:lang w:val="en-US" w:eastAsia="zh-CN" w:bidi="ar"/>
        </w:rPr>
      </w:pPr>
      <w:r>
        <w:rPr>
          <w:rFonts w:hint="eastAsia" w:ascii="仿宋_GB2312" w:eastAsia="仿宋_GB2312" w:cs="仿宋_GB2312"/>
          <w:kern w:val="2"/>
          <w:sz w:val="32"/>
          <w:szCs w:val="32"/>
          <w:lang w:val="en-US" w:eastAsia="zh-CN" w:bidi="ar"/>
        </w:rPr>
        <w:t>24</w:t>
      </w:r>
      <w:r>
        <w:rPr>
          <w:rFonts w:hint="default" w:ascii="仿宋_GB2312" w:hAnsi="Calibri" w:eastAsia="仿宋_GB2312" w:cs="仿宋_GB2312"/>
          <w:kern w:val="2"/>
          <w:sz w:val="32"/>
          <w:szCs w:val="32"/>
          <w:lang w:val="en-US" w:eastAsia="zh-CN" w:bidi="ar"/>
        </w:rPr>
        <w:t>.城乡社区支出（类）城乡社区</w:t>
      </w:r>
      <w:r>
        <w:rPr>
          <w:rFonts w:hint="eastAsia" w:ascii="仿宋_GB2312" w:eastAsia="仿宋_GB2312" w:cs="仿宋_GB2312"/>
          <w:kern w:val="2"/>
          <w:sz w:val="32"/>
          <w:szCs w:val="32"/>
          <w:lang w:val="en-US" w:eastAsia="zh-CN" w:bidi="ar"/>
        </w:rPr>
        <w:t>管理事务</w:t>
      </w:r>
      <w:r>
        <w:rPr>
          <w:rFonts w:hint="default" w:ascii="仿宋_GB2312" w:hAnsi="Calibri" w:eastAsia="仿宋_GB2312" w:cs="仿宋_GB2312"/>
          <w:kern w:val="2"/>
          <w:sz w:val="32"/>
          <w:szCs w:val="32"/>
          <w:lang w:val="en-US" w:eastAsia="zh-CN" w:bidi="ar"/>
        </w:rPr>
        <w:t>（款）其他城乡社区</w:t>
      </w:r>
      <w:r>
        <w:rPr>
          <w:rFonts w:hint="eastAsia" w:ascii="仿宋_GB2312" w:eastAsia="仿宋_GB2312" w:cs="仿宋_GB2312"/>
          <w:kern w:val="2"/>
          <w:sz w:val="32"/>
          <w:szCs w:val="32"/>
          <w:lang w:val="en-US" w:eastAsia="zh-CN" w:bidi="ar"/>
        </w:rPr>
        <w:t>管理事务支出</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其他用于城乡社区</w:t>
      </w:r>
      <w:r>
        <w:rPr>
          <w:rFonts w:hint="eastAsia" w:ascii="仿宋_GB2312" w:eastAsia="仿宋_GB2312" w:cs="仿宋_GB2312"/>
          <w:kern w:val="2"/>
          <w:sz w:val="32"/>
          <w:szCs w:val="32"/>
          <w:lang w:val="en-US" w:eastAsia="zh-CN" w:bidi="ar"/>
        </w:rPr>
        <w:t>管理事务</w:t>
      </w:r>
      <w:r>
        <w:rPr>
          <w:rFonts w:hint="eastAsia" w:ascii="仿宋_GB2312" w:hAnsi="Calibri" w:eastAsia="仿宋_GB2312" w:cs="仿宋_GB2312"/>
          <w:kern w:val="2"/>
          <w:sz w:val="32"/>
          <w:szCs w:val="32"/>
          <w:lang w:val="en-US" w:eastAsia="zh-CN" w:bidi="ar"/>
        </w:rPr>
        <w:t>方面的支出</w:t>
      </w:r>
      <w:r>
        <w:rPr>
          <w:rStyle w:val="32"/>
          <w:rFonts w:hint="default" w:ascii="仿宋_GB2312" w:eastAsia="仿宋_GB2312" w:cs="仿宋_GB2312"/>
          <w:b w:val="0"/>
          <w:color w:val="000000"/>
          <w:kern w:val="2"/>
          <w:sz w:val="32"/>
          <w:szCs w:val="32"/>
          <w:lang w:val="en-US" w:eastAsia="zh-CN" w:bidi="ar"/>
        </w:rPr>
        <w:t>。</w:t>
      </w:r>
      <w:r>
        <w:rPr>
          <w:rStyle w:val="32"/>
          <w:rFonts w:hint="eastAsia" w:ascii="仿宋_GB2312" w:hAnsi="仿宋_GB2312" w:eastAsia="宋体" w:cs="仿宋_GB2312"/>
          <w:b w:val="0"/>
          <w:color w:val="000000"/>
          <w:kern w:val="2"/>
          <w:sz w:val="32"/>
          <w:szCs w:val="32"/>
          <w:lang w:val="en-US" w:eastAsia="zh-CN" w:bidi="ar"/>
        </w:rPr>
        <w:t xml:space="preserve">  </w:t>
      </w:r>
    </w:p>
    <w:p w14:paraId="43DF419A">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eastAsia" w:ascii="仿宋_GB2312" w:hAnsi="仿宋_GB2312" w:eastAsia="宋体" w:cs="仿宋_GB2312"/>
          <w:b w:val="0"/>
          <w:color w:val="000000"/>
        </w:rPr>
      </w:pPr>
      <w:r>
        <w:rPr>
          <w:rFonts w:hint="eastAsia" w:ascii="仿宋_GB2312" w:eastAsia="仿宋_GB2312" w:cs="仿宋_GB2312"/>
          <w:kern w:val="2"/>
          <w:sz w:val="32"/>
          <w:szCs w:val="32"/>
          <w:lang w:val="en-US" w:eastAsia="zh-CN" w:bidi="ar"/>
        </w:rPr>
        <w:t>25</w:t>
      </w:r>
      <w:r>
        <w:rPr>
          <w:rFonts w:hint="default" w:ascii="仿宋_GB2312" w:hAnsi="Calibri" w:eastAsia="仿宋_GB2312" w:cs="仿宋_GB2312"/>
          <w:kern w:val="2"/>
          <w:sz w:val="32"/>
          <w:szCs w:val="32"/>
          <w:lang w:val="en-US" w:eastAsia="zh-CN" w:bidi="ar"/>
        </w:rPr>
        <w:t>.城乡社区支出（类）城乡社区</w:t>
      </w:r>
      <w:r>
        <w:rPr>
          <w:rFonts w:hint="eastAsia" w:ascii="仿宋_GB2312" w:eastAsia="仿宋_GB2312" w:cs="仿宋_GB2312"/>
          <w:kern w:val="2"/>
          <w:sz w:val="32"/>
          <w:szCs w:val="32"/>
          <w:lang w:val="en-US" w:eastAsia="zh-CN" w:bidi="ar"/>
        </w:rPr>
        <w:t>公共设施</w:t>
      </w:r>
      <w:r>
        <w:rPr>
          <w:rFonts w:hint="default" w:ascii="仿宋_GB2312" w:hAnsi="Calibri" w:eastAsia="仿宋_GB2312" w:cs="仿宋_GB2312"/>
          <w:kern w:val="2"/>
          <w:sz w:val="32"/>
          <w:szCs w:val="32"/>
          <w:lang w:val="en-US" w:eastAsia="zh-CN" w:bidi="ar"/>
        </w:rPr>
        <w:t>（款）其他城乡社区</w:t>
      </w:r>
      <w:r>
        <w:rPr>
          <w:rFonts w:hint="eastAsia" w:ascii="仿宋_GB2312" w:eastAsia="仿宋_GB2312" w:cs="仿宋_GB2312"/>
          <w:kern w:val="2"/>
          <w:sz w:val="32"/>
          <w:szCs w:val="32"/>
          <w:lang w:val="en-US" w:eastAsia="zh-CN" w:bidi="ar"/>
        </w:rPr>
        <w:t>公共设施支出</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其他用于城乡社区</w:t>
      </w:r>
      <w:r>
        <w:rPr>
          <w:rFonts w:hint="eastAsia" w:ascii="仿宋_GB2312" w:eastAsia="仿宋_GB2312" w:cs="仿宋_GB2312"/>
          <w:kern w:val="2"/>
          <w:sz w:val="32"/>
          <w:szCs w:val="32"/>
          <w:lang w:val="en-US" w:eastAsia="zh-CN" w:bidi="ar"/>
        </w:rPr>
        <w:t>公共设施</w:t>
      </w:r>
      <w:r>
        <w:rPr>
          <w:rFonts w:hint="eastAsia" w:ascii="仿宋_GB2312" w:hAnsi="Calibri" w:eastAsia="仿宋_GB2312" w:cs="仿宋_GB2312"/>
          <w:kern w:val="2"/>
          <w:sz w:val="32"/>
          <w:szCs w:val="32"/>
          <w:lang w:val="en-US" w:eastAsia="zh-CN" w:bidi="ar"/>
        </w:rPr>
        <w:t>方面的支出</w:t>
      </w:r>
      <w:r>
        <w:rPr>
          <w:rStyle w:val="32"/>
          <w:rFonts w:hint="default" w:ascii="仿宋_GB2312" w:eastAsia="仿宋_GB2312" w:cs="仿宋_GB2312"/>
          <w:b w:val="0"/>
          <w:color w:val="000000"/>
          <w:kern w:val="2"/>
          <w:sz w:val="32"/>
          <w:szCs w:val="32"/>
          <w:lang w:val="en-US" w:eastAsia="zh-CN" w:bidi="ar"/>
        </w:rPr>
        <w:t>。</w:t>
      </w:r>
      <w:r>
        <w:rPr>
          <w:rStyle w:val="32"/>
          <w:rFonts w:hint="eastAsia" w:ascii="仿宋_GB2312" w:hAnsi="仿宋_GB2312" w:eastAsia="宋体" w:cs="仿宋_GB2312"/>
          <w:b w:val="0"/>
          <w:color w:val="000000"/>
          <w:kern w:val="2"/>
          <w:sz w:val="32"/>
          <w:szCs w:val="32"/>
          <w:lang w:val="en-US" w:eastAsia="zh-CN" w:bidi="ar"/>
        </w:rPr>
        <w:t xml:space="preserve">  </w:t>
      </w:r>
    </w:p>
    <w:p w14:paraId="1D3B6FF8">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eastAsia="仿宋_GB2312" w:cs="仿宋_GB2312"/>
          <w:kern w:val="2"/>
          <w:sz w:val="32"/>
          <w:szCs w:val="32"/>
        </w:rPr>
      </w:pPr>
      <w:r>
        <w:rPr>
          <w:rFonts w:hint="eastAsia" w:ascii="仿宋_GB2312" w:eastAsia="仿宋_GB2312" w:cs="仿宋_GB2312"/>
          <w:kern w:val="2"/>
          <w:sz w:val="32"/>
          <w:szCs w:val="32"/>
          <w:lang w:val="en-US" w:eastAsia="zh-CN" w:bidi="ar"/>
        </w:rPr>
        <w:t>26</w:t>
      </w:r>
      <w:r>
        <w:rPr>
          <w:rFonts w:hint="default" w:ascii="仿宋_GB2312" w:hAnsi="Calibri" w:eastAsia="仿宋_GB2312" w:cs="仿宋_GB2312"/>
          <w:kern w:val="2"/>
          <w:sz w:val="32"/>
          <w:szCs w:val="32"/>
          <w:lang w:val="en-US" w:eastAsia="zh-CN" w:bidi="ar"/>
        </w:rPr>
        <w:t>.农林水支出（类）</w:t>
      </w:r>
      <w:r>
        <w:rPr>
          <w:rFonts w:hint="eastAsia" w:ascii="仿宋_GB2312" w:eastAsia="仿宋_GB2312" w:cs="仿宋_GB2312"/>
          <w:kern w:val="2"/>
          <w:sz w:val="32"/>
          <w:szCs w:val="32"/>
          <w:lang w:val="en-US" w:eastAsia="zh-CN" w:bidi="ar"/>
        </w:rPr>
        <w:t>农业农村</w:t>
      </w:r>
      <w:r>
        <w:rPr>
          <w:rFonts w:hint="default" w:ascii="仿宋_GB2312" w:hAnsi="Calibri" w:eastAsia="仿宋_GB2312" w:cs="仿宋_GB2312"/>
          <w:kern w:val="2"/>
          <w:sz w:val="32"/>
          <w:szCs w:val="32"/>
          <w:lang w:val="en-US" w:eastAsia="zh-CN" w:bidi="ar"/>
        </w:rPr>
        <w:t>（款）事业运行（项），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用于农业事业单位基本支出，事业单位设施、系统运行与资产维护等方面的支出</w:t>
      </w:r>
      <w:r>
        <w:rPr>
          <w:rFonts w:hint="default" w:ascii="仿宋_GB2312" w:hAnsi="Calibri" w:eastAsia="仿宋_GB2312" w:cs="仿宋_GB2312"/>
          <w:kern w:val="2"/>
          <w:sz w:val="32"/>
          <w:szCs w:val="32"/>
          <w:lang w:val="en-US" w:eastAsia="zh-CN" w:bidi="ar"/>
        </w:rPr>
        <w:t>。</w:t>
      </w:r>
    </w:p>
    <w:p w14:paraId="09960DD8">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eastAsia="仿宋_GB2312" w:cs="仿宋_GB2312"/>
          <w:kern w:val="2"/>
          <w:sz w:val="32"/>
          <w:szCs w:val="32"/>
        </w:rPr>
      </w:pPr>
      <w:r>
        <w:rPr>
          <w:rFonts w:hint="eastAsia" w:ascii="仿宋_GB2312" w:eastAsia="仿宋_GB2312" w:cs="仿宋_GB2312"/>
          <w:kern w:val="2"/>
          <w:sz w:val="32"/>
          <w:szCs w:val="32"/>
          <w:lang w:val="en-US" w:eastAsia="zh-CN" w:bidi="ar"/>
        </w:rPr>
        <w:t>27</w:t>
      </w:r>
      <w:r>
        <w:rPr>
          <w:rFonts w:hint="default" w:ascii="仿宋_GB2312" w:hAnsi="Calibri" w:eastAsia="仿宋_GB2312" w:cs="仿宋_GB2312"/>
          <w:kern w:val="2"/>
          <w:sz w:val="32"/>
          <w:szCs w:val="32"/>
          <w:lang w:val="en-US" w:eastAsia="zh-CN" w:bidi="ar"/>
        </w:rPr>
        <w:t>.农林水支出（类）</w:t>
      </w:r>
      <w:r>
        <w:rPr>
          <w:rFonts w:hint="eastAsia" w:ascii="仿宋_GB2312" w:eastAsia="仿宋_GB2312" w:cs="仿宋_GB2312"/>
          <w:kern w:val="2"/>
          <w:sz w:val="32"/>
          <w:szCs w:val="32"/>
          <w:lang w:val="en-US" w:eastAsia="zh-CN" w:bidi="ar"/>
        </w:rPr>
        <w:t>水利</w:t>
      </w:r>
      <w:r>
        <w:rPr>
          <w:rFonts w:hint="default" w:ascii="仿宋_GB2312" w:hAnsi="Calibri" w:eastAsia="仿宋_GB2312" w:cs="仿宋_GB2312"/>
          <w:kern w:val="2"/>
          <w:sz w:val="32"/>
          <w:szCs w:val="32"/>
          <w:lang w:val="en-US" w:eastAsia="zh-CN" w:bidi="ar"/>
        </w:rPr>
        <w:t>（款）</w:t>
      </w:r>
      <w:r>
        <w:rPr>
          <w:rFonts w:hint="eastAsia" w:ascii="仿宋_GB2312" w:eastAsia="仿宋_GB2312" w:cs="仿宋_GB2312"/>
          <w:kern w:val="2"/>
          <w:sz w:val="32"/>
          <w:szCs w:val="32"/>
          <w:lang w:val="en-US" w:eastAsia="zh-CN" w:bidi="ar"/>
        </w:rPr>
        <w:t>其他水利支出</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eastAsia="仿宋_GB2312" w:cs="仿宋_GB2312"/>
          <w:kern w:val="2"/>
          <w:sz w:val="32"/>
          <w:szCs w:val="32"/>
          <w:lang w:val="en-US" w:eastAsia="zh-CN" w:bidi="ar"/>
        </w:rPr>
        <w:t>其他用于水利方面的支出</w:t>
      </w:r>
      <w:r>
        <w:rPr>
          <w:rFonts w:hint="default" w:ascii="仿宋_GB2312" w:hAnsi="Calibri" w:eastAsia="仿宋_GB2312" w:cs="仿宋_GB2312"/>
          <w:kern w:val="2"/>
          <w:sz w:val="32"/>
          <w:szCs w:val="32"/>
          <w:lang w:val="en-US" w:eastAsia="zh-CN" w:bidi="ar"/>
        </w:rPr>
        <w:t>。</w:t>
      </w:r>
    </w:p>
    <w:p w14:paraId="6A11D8ED">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eastAsia="仿宋_GB2312" w:cs="仿宋_GB2312"/>
          <w:b w:val="0"/>
          <w:kern w:val="2"/>
          <w:sz w:val="32"/>
          <w:szCs w:val="32"/>
        </w:rPr>
      </w:pPr>
      <w:r>
        <w:rPr>
          <w:rFonts w:hint="eastAsia" w:ascii="仿宋_GB2312" w:eastAsia="仿宋_GB2312" w:cs="仿宋_GB2312"/>
          <w:kern w:val="2"/>
          <w:sz w:val="32"/>
          <w:szCs w:val="32"/>
          <w:lang w:val="en-US" w:eastAsia="zh-CN" w:bidi="ar"/>
        </w:rPr>
        <w:t>28</w:t>
      </w:r>
      <w:r>
        <w:rPr>
          <w:rFonts w:hint="default" w:ascii="仿宋_GB2312" w:hAnsi="Calibri" w:eastAsia="仿宋_GB2312" w:cs="仿宋_GB2312"/>
          <w:kern w:val="2"/>
          <w:sz w:val="32"/>
          <w:szCs w:val="32"/>
          <w:lang w:val="en-US" w:eastAsia="zh-CN" w:bidi="ar"/>
        </w:rPr>
        <w:t>.农林水支出（类）农</w:t>
      </w:r>
      <w:r>
        <w:rPr>
          <w:rFonts w:hint="eastAsia" w:ascii="仿宋_GB2312" w:eastAsia="仿宋_GB2312" w:cs="仿宋_GB2312"/>
          <w:kern w:val="2"/>
          <w:sz w:val="32"/>
          <w:szCs w:val="32"/>
          <w:lang w:val="en-US" w:eastAsia="zh-CN" w:bidi="ar"/>
        </w:rPr>
        <w:t>村</w:t>
      </w:r>
      <w:r>
        <w:rPr>
          <w:rFonts w:hint="default" w:ascii="仿宋_GB2312" w:hAnsi="Calibri" w:eastAsia="仿宋_GB2312" w:cs="仿宋_GB2312"/>
          <w:kern w:val="2"/>
          <w:sz w:val="32"/>
          <w:szCs w:val="32"/>
          <w:lang w:val="en-US" w:eastAsia="zh-CN" w:bidi="ar"/>
        </w:rPr>
        <w:t>综合</w:t>
      </w:r>
      <w:r>
        <w:rPr>
          <w:rFonts w:hint="eastAsia" w:ascii="仿宋_GB2312" w:hAnsi="Calibri" w:eastAsia="仿宋_GB2312" w:cs="仿宋_GB2312"/>
          <w:kern w:val="2"/>
          <w:sz w:val="32"/>
          <w:szCs w:val="32"/>
          <w:lang w:val="en-US" w:eastAsia="zh-CN" w:bidi="ar"/>
        </w:rPr>
        <w:t>改革</w:t>
      </w:r>
      <w:r>
        <w:rPr>
          <w:rFonts w:hint="default" w:ascii="仿宋_GB2312" w:hAnsi="Calibri" w:eastAsia="仿宋_GB2312" w:cs="仿宋_GB2312"/>
          <w:kern w:val="2"/>
          <w:sz w:val="32"/>
          <w:szCs w:val="32"/>
          <w:lang w:val="en-US" w:eastAsia="zh-CN" w:bidi="ar"/>
        </w:rPr>
        <w:t>（款）对村民委员会和村党支部的补助（项），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各级财政对村民委员会和村党支部的补助支出，以及支持建立县级基本财力保障机制安排的村级组织运转奖补资金</w:t>
      </w:r>
      <w:r>
        <w:rPr>
          <w:rFonts w:hint="default" w:ascii="仿宋_GB2312" w:hAnsi="Calibri" w:eastAsia="仿宋_GB2312" w:cs="仿宋_GB2312"/>
          <w:kern w:val="2"/>
          <w:sz w:val="32"/>
          <w:szCs w:val="32"/>
          <w:lang w:val="en-US" w:eastAsia="zh-CN" w:bidi="ar"/>
        </w:rPr>
        <w:t>。</w:t>
      </w:r>
    </w:p>
    <w:p w14:paraId="10A350B1">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left="0" w:right="0" w:firstLine="640" w:firstLineChars="200"/>
        <w:jc w:val="both"/>
        <w:textAlignment w:val="auto"/>
        <w:rPr>
          <w:rFonts w:hint="default" w:ascii="仿宋_GB2312" w:hAnsi="Calibri" w:eastAsia="仿宋_GB2312" w:cs="仿宋_GB2312"/>
          <w:kern w:val="2"/>
          <w:sz w:val="32"/>
          <w:szCs w:val="32"/>
          <w:lang w:val="en-US" w:eastAsia="zh-CN" w:bidi="ar"/>
        </w:rPr>
      </w:pPr>
      <w:r>
        <w:rPr>
          <w:rFonts w:hint="eastAsia" w:ascii="仿宋_GB2312" w:eastAsia="仿宋_GB2312" w:cs="仿宋_GB2312"/>
          <w:kern w:val="2"/>
          <w:sz w:val="32"/>
          <w:szCs w:val="32"/>
          <w:lang w:val="en-US" w:eastAsia="zh-CN" w:bidi="ar"/>
        </w:rPr>
        <w:t>29</w:t>
      </w:r>
      <w:r>
        <w:rPr>
          <w:rFonts w:hint="default" w:ascii="仿宋_GB2312" w:hAnsi="Calibri" w:eastAsia="仿宋_GB2312" w:cs="仿宋_GB2312"/>
          <w:kern w:val="2"/>
          <w:sz w:val="32"/>
          <w:szCs w:val="32"/>
          <w:lang w:val="en-US" w:eastAsia="zh-CN" w:bidi="ar"/>
        </w:rPr>
        <w:t>.农林水支出（类）其他农林水支出（款）其他农林水支出（项），</w:t>
      </w:r>
      <w:r>
        <w:rPr>
          <w:rFonts w:hint="eastAsia" w:ascii="仿宋_GB2312" w:hAnsi="Calibri" w:eastAsia="仿宋_GB2312" w:cs="仿宋_GB2312"/>
          <w:kern w:val="2"/>
          <w:sz w:val="32"/>
          <w:szCs w:val="32"/>
          <w:lang w:val="en-US" w:eastAsia="zh-CN" w:bidi="ar"/>
        </w:rPr>
        <w:t>是指</w:t>
      </w:r>
      <w:r>
        <w:rPr>
          <w:rFonts w:hint="default" w:ascii="仿宋_GB2312" w:hAnsi="Calibri" w:eastAsia="仿宋_GB2312" w:cs="仿宋_GB2312"/>
          <w:kern w:val="2"/>
          <w:sz w:val="32"/>
          <w:szCs w:val="32"/>
          <w:lang w:val="en-US" w:eastAsia="zh-CN" w:bidi="ar"/>
        </w:rPr>
        <w:t>：</w:t>
      </w:r>
      <w:r>
        <w:rPr>
          <w:rFonts w:hint="eastAsia" w:ascii="仿宋_GB2312" w:hAnsi="Calibri" w:eastAsia="仿宋_GB2312" w:cs="仿宋_GB2312"/>
          <w:kern w:val="2"/>
          <w:sz w:val="32"/>
          <w:szCs w:val="32"/>
          <w:lang w:val="en-US" w:eastAsia="zh-CN" w:bidi="ar"/>
        </w:rPr>
        <w:t>除化解债务支出以及其他用于农林水方面的支出。</w:t>
      </w:r>
    </w:p>
    <w:p w14:paraId="69882C67">
      <w:pPr>
        <w:keepNext w:val="0"/>
        <w:keepLines w:val="0"/>
        <w:pageBreakBefore w:val="0"/>
        <w:widowControl w:val="0"/>
        <w:suppressLineNumbers w:val="0"/>
        <w:kinsoku/>
        <w:wordWrap/>
        <w:overflowPunct/>
        <w:topLinePunct w:val="0"/>
        <w:bidi w:val="0"/>
        <w:spacing w:before="95" w:beforeLines="30" w:beforeAutospacing="0" w:after="95" w:afterLines="30" w:afterAutospacing="0" w:line="540" w:lineRule="exact"/>
        <w:ind w:right="0" w:firstLine="640" w:firstLineChars="200"/>
        <w:jc w:val="both"/>
        <w:textAlignment w:val="auto"/>
        <w:rPr>
          <w:rFonts w:hint="default" w:ascii="仿宋_GB2312" w:hAnsi="Times New Roman" w:eastAsia="仿宋_GB2312" w:cs="仿宋_GB2312"/>
          <w:color w:val="000000"/>
          <w:kern w:val="0"/>
          <w:sz w:val="32"/>
          <w:szCs w:val="32"/>
          <w:lang w:val="en-US" w:eastAsia="zh-CN" w:bidi="ar"/>
        </w:rPr>
      </w:pPr>
      <w:r>
        <w:rPr>
          <w:rFonts w:hint="eastAsia" w:ascii="仿宋_GB2312" w:eastAsia="仿宋_GB2312" w:cs="仿宋_GB2312"/>
          <w:kern w:val="2"/>
          <w:sz w:val="32"/>
          <w:szCs w:val="32"/>
          <w:lang w:val="en-US" w:eastAsia="zh-CN" w:bidi="ar"/>
        </w:rPr>
        <w:t>30</w:t>
      </w:r>
      <w:r>
        <w:rPr>
          <w:rFonts w:hint="default" w:ascii="仿宋_GB2312" w:hAnsi="Calibri" w:eastAsia="仿宋_GB2312" w:cs="仿宋_GB2312"/>
          <w:kern w:val="2"/>
          <w:sz w:val="32"/>
          <w:szCs w:val="32"/>
          <w:lang w:val="en-US" w:eastAsia="zh-CN" w:bidi="ar"/>
        </w:rPr>
        <w:t>.住房保障支出支出（类）住房改革支出（款）住房公积金（项），</w:t>
      </w:r>
      <w:r>
        <w:rPr>
          <w:rFonts w:hint="eastAsia" w:ascii="仿宋_GB2312" w:hAnsi="Calibri" w:eastAsia="仿宋_GB2312" w:cs="仿宋_GB2312"/>
          <w:kern w:val="2"/>
          <w:sz w:val="32"/>
          <w:szCs w:val="32"/>
          <w:lang w:val="en-US" w:eastAsia="zh-CN" w:bidi="ar"/>
        </w:rPr>
        <w:t>是指</w:t>
      </w:r>
      <w:r>
        <w:rPr>
          <w:rFonts w:hint="default" w:ascii="仿宋_GB2312" w:hAnsi="Times New Roman" w:eastAsia="仿宋_GB2312" w:cs="仿宋_GB2312"/>
          <w:color w:val="000000"/>
          <w:kern w:val="0"/>
          <w:sz w:val="32"/>
          <w:szCs w:val="32"/>
          <w:lang w:val="en-US" w:eastAsia="zh-CN" w:bidi="ar"/>
        </w:rPr>
        <w:t>：</w:t>
      </w:r>
      <w:r>
        <w:rPr>
          <w:rFonts w:hint="eastAsia" w:ascii="仿宋_GB2312" w:eastAsia="仿宋_GB2312" w:cs="仿宋_GB2312"/>
          <w:color w:val="000000"/>
          <w:kern w:val="0"/>
          <w:sz w:val="32"/>
          <w:szCs w:val="32"/>
          <w:lang w:val="en-US" w:eastAsia="zh-CN" w:bidi="ar"/>
        </w:rPr>
        <w:t>行政事业单位按人力资源和社会保障部、财政部规定的基本工资和津补贴以及规定比例为职工缴纳的住房公积金</w:t>
      </w:r>
      <w:r>
        <w:rPr>
          <w:rFonts w:hint="default" w:ascii="仿宋_GB2312" w:hAnsi="Times New Roman" w:eastAsia="仿宋_GB2312" w:cs="仿宋_GB2312"/>
          <w:color w:val="000000"/>
          <w:kern w:val="0"/>
          <w:sz w:val="32"/>
          <w:szCs w:val="32"/>
          <w:lang w:val="en-US" w:eastAsia="zh-CN" w:bidi="ar"/>
        </w:rPr>
        <w:t>。</w:t>
      </w:r>
    </w:p>
    <w:p w14:paraId="1576B188">
      <w:pPr>
        <w:pStyle w:val="25"/>
        <w:spacing w:after="95" w:afterLines="30" w:line="540" w:lineRule="exact"/>
        <w:ind w:left="0" w:leftChars="0" w:firstLine="640" w:firstLineChars="200"/>
        <w:rPr>
          <w:rFonts w:hint="eastAsia" w:ascii="仿宋_GB2312" w:hAnsi="Times New Roman" w:eastAsia="仿宋_GB2312" w:cs="仿宋_GB2312"/>
          <w:color w:val="000000"/>
          <w:kern w:val="0"/>
          <w:sz w:val="32"/>
          <w:szCs w:val="32"/>
          <w:lang w:val="en-US" w:eastAsia="zh-CN" w:bidi="ar"/>
        </w:rPr>
      </w:pPr>
      <w:r>
        <w:rPr>
          <w:rFonts w:hint="eastAsia" w:ascii="仿宋_GB2312" w:hAnsi="Times New Roman" w:eastAsia="仿宋_GB2312" w:cs="仿宋_GB2312"/>
          <w:color w:val="000000"/>
          <w:kern w:val="0"/>
          <w:sz w:val="32"/>
          <w:szCs w:val="32"/>
          <w:lang w:val="en-US" w:eastAsia="zh-CN" w:bidi="ar"/>
        </w:rPr>
        <w:t>31.</w:t>
      </w:r>
      <w:r>
        <w:rPr>
          <w:rFonts w:hint="eastAsia" w:ascii="仿宋_GB2312" w:eastAsia="仿宋_GB2312" w:cs="仿宋_GB2312"/>
          <w:kern w:val="2"/>
          <w:sz w:val="32"/>
          <w:szCs w:val="32"/>
          <w:lang w:val="en-US" w:eastAsia="zh-CN" w:bidi="ar"/>
        </w:rPr>
        <w:t>灾害防治及应急管理支出</w:t>
      </w:r>
      <w:r>
        <w:rPr>
          <w:rFonts w:hint="default" w:ascii="仿宋_GB2312" w:hAnsi="Calibri" w:eastAsia="仿宋_GB2312" w:cs="仿宋_GB2312"/>
          <w:kern w:val="2"/>
          <w:sz w:val="32"/>
          <w:szCs w:val="32"/>
          <w:lang w:val="en-US" w:eastAsia="zh-CN" w:bidi="ar"/>
        </w:rPr>
        <w:t>（类）</w:t>
      </w:r>
      <w:r>
        <w:rPr>
          <w:rFonts w:hint="eastAsia" w:ascii="仿宋_GB2312" w:eastAsia="仿宋_GB2312" w:cs="仿宋_GB2312"/>
          <w:kern w:val="2"/>
          <w:sz w:val="32"/>
          <w:szCs w:val="32"/>
          <w:lang w:val="en-US" w:eastAsia="zh-CN" w:bidi="ar"/>
        </w:rPr>
        <w:t>应急管理事务</w:t>
      </w:r>
      <w:r>
        <w:rPr>
          <w:rFonts w:hint="default" w:ascii="仿宋_GB2312" w:hAnsi="Calibri" w:eastAsia="仿宋_GB2312" w:cs="仿宋_GB2312"/>
          <w:kern w:val="2"/>
          <w:sz w:val="32"/>
          <w:szCs w:val="32"/>
          <w:lang w:val="en-US" w:eastAsia="zh-CN" w:bidi="ar"/>
        </w:rPr>
        <w:t>（款）</w:t>
      </w:r>
      <w:r>
        <w:rPr>
          <w:rFonts w:hint="eastAsia" w:ascii="仿宋_GB2312" w:eastAsia="仿宋_GB2312" w:cs="仿宋_GB2312"/>
          <w:kern w:val="2"/>
          <w:sz w:val="32"/>
          <w:szCs w:val="32"/>
          <w:lang w:val="en-US" w:eastAsia="zh-CN" w:bidi="ar"/>
        </w:rPr>
        <w:t>灾害风险防治</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Times New Roman" w:eastAsia="仿宋_GB2312" w:cs="仿宋_GB2312"/>
          <w:color w:val="000000"/>
          <w:kern w:val="0"/>
          <w:sz w:val="32"/>
          <w:szCs w:val="32"/>
          <w:lang w:val="en-US" w:eastAsia="zh-CN" w:bidi="ar"/>
        </w:rPr>
        <w:t>：</w:t>
      </w:r>
      <w:r>
        <w:rPr>
          <w:rFonts w:hint="eastAsia" w:ascii="仿宋_GB2312" w:hAnsi="Times New Roman" w:eastAsia="仿宋_GB2312" w:cs="仿宋_GB2312"/>
          <w:color w:val="000000"/>
          <w:kern w:val="0"/>
          <w:sz w:val="32"/>
          <w:szCs w:val="32"/>
          <w:lang w:val="en-US" w:eastAsia="zh-CN" w:bidi="ar"/>
        </w:rPr>
        <w:t>组织、指导、协调各类风险灾害防范治理方面的支出。</w:t>
      </w:r>
    </w:p>
    <w:p w14:paraId="6E3541A5">
      <w:pPr>
        <w:spacing w:after="95" w:afterLines="30" w:line="540" w:lineRule="exact"/>
        <w:ind w:firstLine="640" w:firstLineChars="200"/>
        <w:rPr>
          <w:rFonts w:hint="eastAsia"/>
          <w:lang w:val="en-US" w:eastAsia="zh-CN"/>
        </w:rPr>
      </w:pPr>
      <w:r>
        <w:rPr>
          <w:rFonts w:hint="eastAsia" w:ascii="仿宋_GB2312" w:hAnsi="Times New Roman" w:eastAsia="仿宋_GB2312" w:cs="仿宋_GB2312"/>
          <w:color w:val="000000"/>
          <w:kern w:val="0"/>
          <w:sz w:val="32"/>
          <w:szCs w:val="32"/>
          <w:lang w:val="en-US" w:eastAsia="zh-CN" w:bidi="ar"/>
        </w:rPr>
        <w:t>32.</w:t>
      </w:r>
      <w:r>
        <w:rPr>
          <w:rFonts w:hint="eastAsia" w:ascii="仿宋_GB2312" w:eastAsia="仿宋_GB2312" w:cs="仿宋_GB2312"/>
          <w:kern w:val="2"/>
          <w:sz w:val="32"/>
          <w:szCs w:val="32"/>
          <w:lang w:val="en-US" w:eastAsia="zh-CN" w:bidi="ar"/>
        </w:rPr>
        <w:t>灾害防治及应急管理支出</w:t>
      </w:r>
      <w:r>
        <w:rPr>
          <w:rFonts w:hint="default" w:ascii="仿宋_GB2312" w:hAnsi="Calibri" w:eastAsia="仿宋_GB2312" w:cs="仿宋_GB2312"/>
          <w:kern w:val="2"/>
          <w:sz w:val="32"/>
          <w:szCs w:val="32"/>
          <w:lang w:val="en-US" w:eastAsia="zh-CN" w:bidi="ar"/>
        </w:rPr>
        <w:t>（类）</w:t>
      </w:r>
      <w:r>
        <w:rPr>
          <w:rFonts w:hint="eastAsia" w:ascii="仿宋_GB2312" w:eastAsia="仿宋_GB2312" w:cs="仿宋_GB2312"/>
          <w:kern w:val="2"/>
          <w:sz w:val="32"/>
          <w:szCs w:val="32"/>
          <w:lang w:val="en-US" w:eastAsia="zh-CN" w:bidi="ar"/>
        </w:rPr>
        <w:t>应急管理事务</w:t>
      </w:r>
      <w:r>
        <w:rPr>
          <w:rFonts w:hint="default" w:ascii="仿宋_GB2312" w:hAnsi="Calibri" w:eastAsia="仿宋_GB2312" w:cs="仿宋_GB2312"/>
          <w:kern w:val="2"/>
          <w:sz w:val="32"/>
          <w:szCs w:val="32"/>
          <w:lang w:val="en-US" w:eastAsia="zh-CN" w:bidi="ar"/>
        </w:rPr>
        <w:t>（款）</w:t>
      </w:r>
      <w:r>
        <w:rPr>
          <w:rFonts w:hint="eastAsia" w:ascii="仿宋_GB2312" w:eastAsia="仿宋_GB2312" w:cs="仿宋_GB2312"/>
          <w:kern w:val="2"/>
          <w:sz w:val="32"/>
          <w:szCs w:val="32"/>
          <w:lang w:val="en-US" w:eastAsia="zh-CN" w:bidi="ar"/>
        </w:rPr>
        <w:t>应急救援</w:t>
      </w:r>
      <w:r>
        <w:rPr>
          <w:rFonts w:hint="default" w:ascii="仿宋_GB2312" w:hAnsi="Calibri" w:eastAsia="仿宋_GB2312" w:cs="仿宋_GB2312"/>
          <w:kern w:val="2"/>
          <w:sz w:val="32"/>
          <w:szCs w:val="32"/>
          <w:lang w:val="en-US" w:eastAsia="zh-CN" w:bidi="ar"/>
        </w:rPr>
        <w:t>（项），</w:t>
      </w:r>
      <w:r>
        <w:rPr>
          <w:rFonts w:hint="eastAsia" w:ascii="仿宋_GB2312" w:hAnsi="Calibri" w:eastAsia="仿宋_GB2312" w:cs="仿宋_GB2312"/>
          <w:kern w:val="2"/>
          <w:sz w:val="32"/>
          <w:szCs w:val="32"/>
          <w:lang w:val="en-US" w:eastAsia="zh-CN" w:bidi="ar"/>
        </w:rPr>
        <w:t>是指</w:t>
      </w:r>
      <w:r>
        <w:rPr>
          <w:rFonts w:hint="default" w:ascii="仿宋_GB2312" w:hAnsi="Times New Roman" w:eastAsia="仿宋_GB2312" w:cs="仿宋_GB2312"/>
          <w:color w:val="000000"/>
          <w:kern w:val="0"/>
          <w:sz w:val="32"/>
          <w:szCs w:val="32"/>
          <w:lang w:val="en-US" w:eastAsia="zh-CN" w:bidi="ar"/>
        </w:rPr>
        <w:t>：</w:t>
      </w:r>
      <w:r>
        <w:rPr>
          <w:rFonts w:hint="eastAsia" w:ascii="仿宋_GB2312" w:hAnsi="Times New Roman" w:eastAsia="仿宋_GB2312" w:cs="仿宋_GB2312"/>
          <w:color w:val="000000"/>
          <w:kern w:val="0"/>
          <w:sz w:val="32"/>
          <w:szCs w:val="32"/>
          <w:lang w:val="en-US" w:eastAsia="zh-CN" w:bidi="ar"/>
        </w:rPr>
        <w:t>安全生产、自然灾害应急救援方面的支出。</w:t>
      </w:r>
    </w:p>
    <w:p w14:paraId="768B9BF1">
      <w:pPr>
        <w:pageBreakBefore w:val="0"/>
        <w:kinsoku/>
        <w:wordWrap/>
        <w:overflowPunct/>
        <w:topLinePunct w:val="0"/>
        <w:bidi w:val="0"/>
        <w:spacing w:before="95" w:beforeLines="30" w:after="95" w:afterLines="30" w:line="54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val="en-US" w:eastAsia="zh-CN"/>
        </w:rPr>
        <w:t>33</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2DA06642">
      <w:pPr>
        <w:pageBreakBefore w:val="0"/>
        <w:kinsoku/>
        <w:wordWrap/>
        <w:overflowPunct/>
        <w:topLinePunct w:val="0"/>
        <w:bidi w:val="0"/>
        <w:spacing w:before="95" w:beforeLines="30" w:after="95" w:afterLines="30" w:line="54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val="en-US" w:eastAsia="zh-CN"/>
        </w:rPr>
        <w:t>34</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3EFB6403">
      <w:pPr>
        <w:pageBreakBefore w:val="0"/>
        <w:kinsoku/>
        <w:wordWrap/>
        <w:overflowPunct/>
        <w:topLinePunct w:val="0"/>
        <w:bidi w:val="0"/>
        <w:spacing w:before="95" w:beforeLines="30" w:after="95" w:afterLines="30" w:line="54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val="en-US" w:eastAsia="zh-CN"/>
        </w:rPr>
        <w:t>35</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14:paraId="202AD24F">
      <w:pPr>
        <w:pStyle w:val="30"/>
        <w:pageBreakBefore w:val="0"/>
        <w:kinsoku/>
        <w:wordWrap/>
        <w:overflowPunct/>
        <w:topLinePunct w:val="0"/>
        <w:autoSpaceDE/>
        <w:autoSpaceDN/>
        <w:bidi w:val="0"/>
        <w:spacing w:before="95" w:beforeLines="30" w:after="95" w:afterLines="30"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36</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269574E">
      <w:pPr>
        <w:pStyle w:val="30"/>
        <w:autoSpaceDE/>
        <w:autoSpaceDN/>
        <w:spacing w:before="95" w:beforeLines="30" w:after="95" w:afterLines="30" w:line="540" w:lineRule="exact"/>
        <w:ind w:firstLine="640" w:firstLineChars="200"/>
        <w:rPr>
          <w:rFonts w:ascii="仿宋_GB2312" w:eastAsia="仿宋_GB2312" w:cs="黑体"/>
          <w:color w:val="auto"/>
          <w:sz w:val="32"/>
          <w:szCs w:val="32"/>
          <w:highlight w:val="none"/>
        </w:rPr>
      </w:pPr>
      <w:r>
        <w:rPr>
          <w:rFonts w:hint="eastAsia" w:ascii="仿宋_GB2312" w:eastAsia="仿宋_GB2312"/>
          <w:sz w:val="32"/>
          <w:szCs w:val="32"/>
          <w:lang w:val="en-US" w:eastAsia="zh-CN"/>
        </w:rPr>
        <w:t>37</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A733D98">
      <w:pPr>
        <w:spacing w:line="600" w:lineRule="exact"/>
        <w:jc w:val="center"/>
        <w:outlineLvl w:val="0"/>
        <w:rPr>
          <w:rStyle w:val="23"/>
          <w:rFonts w:hint="eastAsia" w:ascii="黑体" w:hAnsi="黑体" w:eastAsia="黑体"/>
          <w:b w:val="0"/>
          <w:color w:val="auto"/>
          <w:highlight w:val="none"/>
          <w:lang w:eastAsia="zh-CN"/>
        </w:rPr>
      </w:pPr>
      <w:bookmarkStart w:id="140" w:name="_Toc15377226"/>
      <w:r>
        <w:rPr>
          <w:rFonts w:ascii="宋体"/>
          <w:b/>
          <w:color w:val="auto"/>
          <w:sz w:val="44"/>
          <w:szCs w:val="44"/>
          <w:highlight w:val="none"/>
        </w:rPr>
        <w:br w:type="page"/>
      </w:r>
      <w:bookmarkStart w:id="141" w:name="_Toc14463"/>
      <w:bookmarkStart w:id="142" w:name="_Toc18530"/>
      <w:bookmarkStart w:id="143" w:name="_Toc6442"/>
      <w:bookmarkStart w:id="144" w:name="_Toc20144"/>
      <w:bookmarkStart w:id="145" w:name="_Toc14659"/>
      <w:bookmarkStart w:id="146" w:name="_Toc15396614"/>
      <w:r>
        <w:rPr>
          <w:rFonts w:hint="eastAsia" w:ascii="黑体" w:hAnsi="黑体" w:eastAsia="黑体"/>
          <w:color w:val="auto"/>
          <w:sz w:val="44"/>
          <w:szCs w:val="44"/>
          <w:highlight w:val="none"/>
        </w:rPr>
        <w:t>第</w:t>
      </w:r>
      <w:r>
        <w:rPr>
          <w:rStyle w:val="23"/>
          <w:rFonts w:hint="eastAsia" w:ascii="黑体" w:hAnsi="黑体" w:eastAsia="黑体"/>
          <w:b w:val="0"/>
          <w:color w:val="auto"/>
          <w:highlight w:val="none"/>
        </w:rPr>
        <w:t>四部分 附件</w:t>
      </w:r>
      <w:bookmarkEnd w:id="141"/>
      <w:bookmarkEnd w:id="142"/>
      <w:bookmarkEnd w:id="143"/>
      <w:bookmarkEnd w:id="144"/>
      <w:bookmarkEnd w:id="145"/>
      <w:bookmarkEnd w:id="146"/>
    </w:p>
    <w:p w14:paraId="1D5500CA">
      <w:pPr>
        <w:keepNext w:val="0"/>
        <w:keepLines w:val="0"/>
        <w:pageBreakBefore w:val="0"/>
        <w:kinsoku/>
        <w:wordWrap/>
        <w:overflowPunct/>
        <w:topLinePunct w:val="0"/>
        <w:autoSpaceDE/>
        <w:autoSpaceDN/>
        <w:bidi w:val="0"/>
        <w:spacing w:line="572" w:lineRule="exact"/>
        <w:jc w:val="left"/>
        <w:textAlignment w:val="auto"/>
        <w:outlineLvl w:val="9"/>
        <w:rPr>
          <w:rFonts w:hint="eastAsia" w:ascii="方正小标宋简体" w:hAnsi="方正小标宋简体" w:eastAsia="黑体" w:cs="方正小标宋简体"/>
          <w:color w:val="auto"/>
          <w:sz w:val="44"/>
          <w:szCs w:val="44"/>
          <w:highlight w:val="none"/>
          <w:lang w:val="en-US" w:eastAsia="zh-CN"/>
        </w:rPr>
      </w:pPr>
      <w:bookmarkStart w:id="147" w:name="_Toc2504"/>
      <w:bookmarkStart w:id="148" w:name="_Toc14213"/>
      <w:bookmarkStart w:id="149" w:name="_Toc22352"/>
      <w:bookmarkStart w:id="150" w:name="_Toc20117"/>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bookmarkEnd w:id="147"/>
      <w:bookmarkEnd w:id="148"/>
      <w:bookmarkEnd w:id="149"/>
      <w:bookmarkEnd w:id="150"/>
    </w:p>
    <w:p w14:paraId="619847BA">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eastAsia" w:ascii="Times New Roman" w:hAnsi="Times New Roman" w:eastAsia="方正小标宋简体" w:cs="Times New Roman"/>
          <w:b w:val="0"/>
          <w:bCs/>
          <w:sz w:val="44"/>
          <w:szCs w:val="44"/>
          <w:highlight w:val="none"/>
          <w:shd w:val="clear" w:color="auto" w:fill="FFFFFF"/>
          <w:lang w:val="en-US" w:eastAsia="zh-CN"/>
        </w:rPr>
      </w:pPr>
      <w:r>
        <w:rPr>
          <w:rFonts w:hint="eastAsia" w:ascii="Times New Roman" w:hAnsi="Times New Roman" w:eastAsia="方正小标宋简体" w:cs="Times New Roman"/>
          <w:b w:val="0"/>
          <w:bCs/>
          <w:sz w:val="44"/>
          <w:szCs w:val="44"/>
          <w:highlight w:val="none"/>
          <w:shd w:val="clear" w:color="auto" w:fill="FFFFFF"/>
          <w:lang w:val="en-US" w:eastAsia="zh-CN"/>
        </w:rPr>
        <w:t>遂宁市安居区三家镇</w:t>
      </w:r>
    </w:p>
    <w:p w14:paraId="65B65B21">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2D7E91FC">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7A19304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eastAsia" w:eastAsia="黑体" w:cs="Times New Roman"/>
          <w:color w:val="000000"/>
          <w:kern w:val="0"/>
          <w:sz w:val="32"/>
          <w:szCs w:val="32"/>
          <w:highlight w:val="none"/>
          <w:shd w:val="clear" w:color="auto" w:fill="FFFFFF"/>
          <w:lang w:val="zh-CN"/>
        </w:rPr>
        <w:t>一、</w:t>
      </w:r>
      <w:r>
        <w:rPr>
          <w:rFonts w:hint="default" w:eastAsia="黑体" w:cs="Times New Roman"/>
          <w:color w:val="000000"/>
          <w:kern w:val="0"/>
          <w:sz w:val="32"/>
          <w:szCs w:val="32"/>
          <w:highlight w:val="none"/>
          <w:shd w:val="clear" w:color="auto" w:fill="FFFFFF"/>
          <w:lang w:val="zh-CN"/>
        </w:rPr>
        <w:t>部门基本情况</w:t>
      </w:r>
    </w:p>
    <w:p w14:paraId="7CB627FC">
      <w:pPr>
        <w:keepNext w:val="0"/>
        <w:keepLines w:val="0"/>
        <w:pageBreakBefore w:val="0"/>
        <w:widowControl w:val="0"/>
        <w:kinsoku/>
        <w:wordWrap/>
        <w:overflowPunct/>
        <w:topLinePunct w:val="0"/>
        <w:autoSpaceDE/>
        <w:autoSpaceDN/>
        <w:bidi w:val="0"/>
        <w:spacing w:line="560" w:lineRule="exact"/>
        <w:ind w:firstLine="643" w:firstLineChars="200"/>
        <w:jc w:val="left"/>
        <w:textAlignment w:val="auto"/>
        <w:rPr>
          <w:rFonts w:hint="eastAsia" w:ascii="仿宋" w:hAnsi="仿宋" w:eastAsia="仿宋" w:cs="仿宋"/>
          <w:sz w:val="32"/>
          <w:szCs w:val="32"/>
          <w:lang w:val="zh-CN" w:eastAsia="zh-CN"/>
        </w:rPr>
      </w:pPr>
      <w:r>
        <w:rPr>
          <w:rFonts w:hint="eastAsia" w:ascii="Times New Roman" w:hAnsi="Times New Roman" w:eastAsia="楷体_GB2312" w:cs="Times New Roman"/>
          <w:b/>
          <w:bCs/>
          <w:color w:val="000000"/>
          <w:kern w:val="0"/>
          <w:sz w:val="32"/>
          <w:szCs w:val="32"/>
          <w:highlight w:val="none"/>
          <w:shd w:val="clear" w:color="auto" w:fill="FFFFFF"/>
          <w:lang w:val="zh-CN"/>
        </w:rPr>
        <w:t>（一）</w:t>
      </w:r>
      <w:r>
        <w:rPr>
          <w:rFonts w:hint="default" w:ascii="Times New Roman" w:hAnsi="Times New Roman" w:eastAsia="楷体_GB2312" w:cs="Times New Roman"/>
          <w:b/>
          <w:bCs/>
          <w:color w:val="000000"/>
          <w:kern w:val="0"/>
          <w:sz w:val="32"/>
          <w:szCs w:val="32"/>
          <w:highlight w:val="none"/>
          <w:shd w:val="clear" w:color="auto" w:fill="FFFFFF"/>
          <w:lang w:val="zh-CN"/>
        </w:rPr>
        <w:t>机构组成。</w:t>
      </w:r>
      <w:r>
        <w:rPr>
          <w:rFonts w:hint="eastAsia" w:ascii="仿宋" w:hAnsi="仿宋" w:eastAsia="仿宋" w:cs="仿宋"/>
          <w:sz w:val="32"/>
          <w:szCs w:val="32"/>
        </w:rPr>
        <w:t>我</w:t>
      </w:r>
      <w:r>
        <w:rPr>
          <w:rFonts w:hint="eastAsia" w:ascii="仿宋" w:hAnsi="仿宋" w:eastAsia="仿宋" w:cs="仿宋"/>
          <w:sz w:val="32"/>
          <w:szCs w:val="32"/>
          <w:lang w:val="en-US" w:eastAsia="zh-CN"/>
        </w:rPr>
        <w:t>镇</w:t>
      </w:r>
      <w:r>
        <w:rPr>
          <w:rFonts w:hint="eastAsia" w:ascii="仿宋" w:hAnsi="仿宋" w:eastAsia="仿宋" w:cs="仿宋"/>
          <w:sz w:val="32"/>
          <w:szCs w:val="32"/>
        </w:rPr>
        <w:t>系</w:t>
      </w:r>
      <w:r>
        <w:rPr>
          <w:rFonts w:hint="eastAsia" w:ascii="仿宋" w:hAnsi="仿宋" w:eastAsia="仿宋" w:cs="仿宋"/>
          <w:sz w:val="32"/>
          <w:szCs w:val="32"/>
          <w:lang w:val="en-US" w:eastAsia="zh-CN"/>
        </w:rPr>
        <w:t>一</w:t>
      </w:r>
      <w:r>
        <w:rPr>
          <w:rFonts w:hint="eastAsia" w:ascii="仿宋" w:hAnsi="仿宋" w:eastAsia="仿宋" w:cs="仿宋"/>
          <w:sz w:val="32"/>
          <w:szCs w:val="32"/>
        </w:rPr>
        <w:t>级行政单位，设</w:t>
      </w:r>
      <w:r>
        <w:rPr>
          <w:rFonts w:hint="eastAsia" w:ascii="仿宋" w:hAnsi="仿宋" w:eastAsia="仿宋" w:cs="仿宋"/>
          <w:sz w:val="32"/>
          <w:szCs w:val="32"/>
          <w:lang w:val="en-US" w:eastAsia="zh-CN"/>
        </w:rPr>
        <w:t>9</w:t>
      </w:r>
      <w:r>
        <w:rPr>
          <w:rFonts w:hint="eastAsia" w:ascii="仿宋" w:hAnsi="仿宋" w:eastAsia="仿宋" w:cs="仿宋"/>
          <w:sz w:val="32"/>
          <w:szCs w:val="32"/>
        </w:rPr>
        <w:t>个内设机构</w:t>
      </w:r>
      <w:r>
        <w:rPr>
          <w:rFonts w:hint="eastAsia" w:ascii="仿宋" w:hAnsi="仿宋" w:eastAsia="仿宋" w:cs="仿宋"/>
          <w:sz w:val="32"/>
          <w:szCs w:val="32"/>
          <w:lang w:eastAsia="zh-CN"/>
        </w:rPr>
        <w:t>，</w:t>
      </w:r>
      <w:r>
        <w:rPr>
          <w:rFonts w:hint="eastAsia" w:ascii="仿宋" w:hAnsi="仿宋" w:eastAsia="仿宋" w:cs="仿宋"/>
          <w:sz w:val="32"/>
          <w:szCs w:val="32"/>
        </w:rPr>
        <w:t>分别是</w:t>
      </w:r>
      <w:r>
        <w:rPr>
          <w:rFonts w:hint="eastAsia" w:ascii="仿宋" w:hAnsi="仿宋" w:eastAsia="仿宋" w:cs="仿宋"/>
          <w:sz w:val="32"/>
          <w:szCs w:val="32"/>
          <w:lang w:val="en-US" w:eastAsia="zh-CN"/>
        </w:rPr>
        <w:t>党政办公室、党建工作办公室、社会事务办公室、综合行政执法办公室、社会治理和应急管理办公室、经济发展办公室、乡村振兴办公室、镇村建设办公室、财政工作办公室。</w:t>
      </w:r>
      <w:r>
        <w:rPr>
          <w:rFonts w:hint="eastAsia" w:ascii="仿宋" w:hAnsi="仿宋" w:eastAsia="仿宋" w:cs="仿宋"/>
          <w:sz w:val="32"/>
          <w:szCs w:val="32"/>
        </w:rPr>
        <w:t>纪委、人大、工会、共青团、关工委、妇联、人民武装部、统计、残疾、林业、信访等组织，按有关规定和章程设置，其日常工作归口镇机关内设的有关办公室。无下属二级预算单位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区划调整后，三家镇统一设置5个直属公益一类事业单位，分别是便民服务中心、农民工服务中心、农业综合服务中心、宣传文化中心、重点产业和项目服务中心。</w:t>
      </w:r>
    </w:p>
    <w:p w14:paraId="7581E9AD">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（二）机构职能</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4D9499BE">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贯彻执行和宣传党和国家的路线、方针、政策、法律、法规；执行国家行政机关的决定、命令。 </w:t>
      </w:r>
    </w:p>
    <w:p w14:paraId="060FF67F">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制定和组织实施本行政区域的经济、科技、农业和社会发展计划，制定经济发展方式和产业结构调整方案，保持经济社会可持续发展，组织指导好各行各业的生产，搞好商品流通，扩大开放，推动外向型经济发展，转型发展，抓好招商引资，积极争取上级项目支撑，搞好人才引进项目开发，不断培育市场体系，组织经济运行，促进经济发展，全面提高人民群众的生活水平和生活质量。 </w:t>
      </w:r>
    </w:p>
    <w:p w14:paraId="6363D695">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制定并组织实施乡村建设规划，建设新农村，保护和改善辖区生活环境和生态环境。部署重点工程建设，地方道路建设、农村环境综合治理、农村公共服务设施建设、农田基本水利设施的管理，负责土地、基本农田、矿藏、森林、地方文物、水等自然资源和生态环境的保护，做好护林防火工作。 </w:t>
      </w:r>
    </w:p>
    <w:p w14:paraId="5D763A62">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负责本行政区域内的民政、劳动保障、养老、计划生育、文化教育、卫生、体育、广播电视等社会公益事业的综合性工作，维护一切经济单位和个人的正当经济权益，取缔非法经济活动，调解和处理民事纠纷，打击刑事犯罪，开展好社会主义民主和法制教育，积极</w:t>
      </w:r>
      <w:r>
        <w:rPr>
          <w:rFonts w:hint="eastAsia" w:ascii="仿宋" w:hAnsi="仿宋" w:eastAsia="仿宋" w:cs="仿宋"/>
          <w:sz w:val="32"/>
          <w:szCs w:val="32"/>
          <w:lang w:eastAsia="zh-CN"/>
        </w:rPr>
        <w:t>建设法治政府</w:t>
      </w:r>
      <w:r>
        <w:rPr>
          <w:rFonts w:hint="eastAsia" w:ascii="仿宋" w:hAnsi="仿宋" w:eastAsia="仿宋" w:cs="仿宋"/>
          <w:sz w:val="32"/>
          <w:szCs w:val="32"/>
        </w:rPr>
        <w:t xml:space="preserve">，组织、指导、协调、检查辖区各单位做好安全工作，全力维护社会稳定。 </w:t>
      </w:r>
    </w:p>
    <w:p w14:paraId="0793BDAD">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按计划组织本级财政收入和地方税的征收，完成国家财政计划，不断培植税源，管好财政资金，提高财政资金的使用效益，增强财政实力。 </w:t>
      </w:r>
    </w:p>
    <w:p w14:paraId="13EBBD2F">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搞好本镇民兵组织建设、国防教育、军事训练、征兵工作。 </w:t>
      </w:r>
    </w:p>
    <w:p w14:paraId="4385F389">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指导村（居）民委员会的组织制度建设和业务建设，促进村（居）民委员会民主自治。 </w:t>
      </w:r>
    </w:p>
    <w:p w14:paraId="50EE3D2E">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 xml:space="preserve">抓好精神文明建设，丰富群众文化生活，提倡移风易俗，反对封建迷信，破除陈规陋习，树立社会主义新风尚。 </w:t>
      </w:r>
    </w:p>
    <w:p w14:paraId="244784E4">
      <w:pPr>
        <w:pStyle w:val="15"/>
        <w:rPr>
          <w:rFonts w:hint="default"/>
          <w:lang w:val="zh-CN"/>
        </w:rPr>
      </w:pPr>
      <w:r>
        <w:rPr>
          <w:rFonts w:hint="eastAsia" w:ascii="仿宋" w:hAnsi="仿宋" w:eastAsia="仿宋" w:cs="仿宋"/>
          <w:sz w:val="32"/>
          <w:szCs w:val="32"/>
          <w:lang w:val="en-US" w:eastAsia="zh-CN"/>
        </w:rPr>
        <w:t>9、</w:t>
      </w:r>
      <w:r>
        <w:rPr>
          <w:rFonts w:hint="eastAsia" w:ascii="仿宋" w:hAnsi="仿宋" w:eastAsia="仿宋" w:cs="仿宋"/>
          <w:sz w:val="32"/>
          <w:szCs w:val="32"/>
        </w:rPr>
        <w:t>完成上级政府交办的其它事项。 </w:t>
      </w:r>
    </w:p>
    <w:p w14:paraId="2314CE80">
      <w:pPr>
        <w:keepNext w:val="0"/>
        <w:keepLines w:val="0"/>
        <w:pageBreakBefore w:val="0"/>
        <w:widowControl w:val="0"/>
        <w:kinsoku/>
        <w:wordWrap/>
        <w:overflowPunct/>
        <w:topLinePunct w:val="0"/>
        <w:autoSpaceDE/>
        <w:autoSpaceDN/>
        <w:bidi w:val="0"/>
        <w:spacing w:line="560" w:lineRule="exact"/>
        <w:ind w:firstLine="643" w:firstLineChars="200"/>
        <w:jc w:val="left"/>
        <w:textAlignment w:val="auto"/>
        <w:rPr>
          <w:rFonts w:hint="eastAsia" w:ascii="仿宋" w:hAnsi="仿宋" w:eastAsia="仿宋" w:cs="仿宋"/>
          <w:sz w:val="32"/>
          <w:szCs w:val="32"/>
          <w:highlight w:val="none"/>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仿宋" w:hAnsi="仿宋" w:eastAsia="仿宋" w:cs="仿宋"/>
          <w:sz w:val="32"/>
          <w:szCs w:val="32"/>
          <w:highlight w:val="none"/>
        </w:rPr>
        <w:t>我</w:t>
      </w:r>
      <w:r>
        <w:rPr>
          <w:rFonts w:hint="eastAsia" w:ascii="仿宋" w:hAnsi="仿宋" w:eastAsia="仿宋" w:cs="仿宋"/>
          <w:sz w:val="32"/>
          <w:szCs w:val="32"/>
          <w:highlight w:val="none"/>
          <w:lang w:val="en-US" w:eastAsia="zh-CN"/>
        </w:rPr>
        <w:t>镇2024年共有财政供养</w:t>
      </w:r>
      <w:r>
        <w:rPr>
          <w:rFonts w:hint="eastAsia" w:ascii="仿宋" w:hAnsi="仿宋" w:eastAsia="仿宋" w:cs="仿宋"/>
          <w:sz w:val="32"/>
          <w:szCs w:val="32"/>
          <w:highlight w:val="none"/>
        </w:rPr>
        <w:t>人员</w:t>
      </w:r>
      <w:r>
        <w:rPr>
          <w:rFonts w:hint="eastAsia" w:ascii="仿宋" w:hAnsi="仿宋" w:eastAsia="仿宋" w:cs="仿宋"/>
          <w:sz w:val="32"/>
          <w:szCs w:val="32"/>
          <w:highlight w:val="none"/>
          <w:lang w:val="en-US" w:eastAsia="zh-CN"/>
        </w:rPr>
        <w:t>136</w:t>
      </w:r>
      <w:r>
        <w:rPr>
          <w:rFonts w:hint="eastAsia" w:ascii="仿宋" w:hAnsi="仿宋" w:eastAsia="仿宋" w:cs="仿宋"/>
          <w:sz w:val="32"/>
          <w:szCs w:val="32"/>
          <w:highlight w:val="none"/>
        </w:rPr>
        <w:t>人，其中：行政人员</w:t>
      </w:r>
      <w:r>
        <w:rPr>
          <w:rFonts w:hint="eastAsia" w:ascii="仿宋" w:hAnsi="仿宋" w:eastAsia="仿宋" w:cs="仿宋"/>
          <w:sz w:val="32"/>
          <w:szCs w:val="32"/>
          <w:highlight w:val="none"/>
          <w:lang w:val="en-US" w:eastAsia="zh-CN"/>
        </w:rPr>
        <w:t>39</w:t>
      </w:r>
      <w:r>
        <w:rPr>
          <w:rFonts w:hint="eastAsia" w:ascii="仿宋" w:hAnsi="仿宋" w:eastAsia="仿宋" w:cs="仿宋"/>
          <w:sz w:val="32"/>
          <w:szCs w:val="32"/>
          <w:highlight w:val="none"/>
        </w:rPr>
        <w:t>人，工勤人员</w:t>
      </w:r>
      <w:r>
        <w:rPr>
          <w:rFonts w:hint="eastAsia" w:ascii="仿宋" w:hAnsi="仿宋" w:eastAsia="仿宋" w:cs="仿宋"/>
          <w:sz w:val="32"/>
          <w:szCs w:val="32"/>
          <w:highlight w:val="none"/>
          <w:lang w:val="en-US" w:eastAsia="zh-CN"/>
        </w:rPr>
        <w:t>12</w:t>
      </w:r>
      <w:r>
        <w:rPr>
          <w:rFonts w:hint="eastAsia" w:ascii="仿宋" w:hAnsi="仿宋" w:eastAsia="仿宋" w:cs="仿宋"/>
          <w:sz w:val="32"/>
          <w:szCs w:val="32"/>
          <w:highlight w:val="none"/>
        </w:rPr>
        <w:t>人，</w:t>
      </w:r>
      <w:r>
        <w:rPr>
          <w:rFonts w:hint="eastAsia" w:ascii="仿宋" w:hAnsi="仿宋" w:eastAsia="仿宋" w:cs="仿宋"/>
          <w:sz w:val="32"/>
          <w:szCs w:val="32"/>
          <w:highlight w:val="none"/>
          <w:lang w:val="en-US" w:eastAsia="zh-CN"/>
        </w:rPr>
        <w:t>事业人员16人，</w:t>
      </w:r>
      <w:r>
        <w:rPr>
          <w:rFonts w:hint="eastAsia" w:ascii="仿宋" w:hAnsi="仿宋" w:eastAsia="仿宋" w:cs="仿宋"/>
          <w:sz w:val="32"/>
          <w:szCs w:val="32"/>
          <w:highlight w:val="none"/>
        </w:rPr>
        <w:t>退休人员</w:t>
      </w:r>
      <w:r>
        <w:rPr>
          <w:rFonts w:hint="eastAsia" w:ascii="仿宋" w:hAnsi="仿宋" w:eastAsia="仿宋" w:cs="仿宋"/>
          <w:sz w:val="32"/>
          <w:szCs w:val="32"/>
          <w:highlight w:val="none"/>
          <w:lang w:val="en-US" w:eastAsia="zh-CN"/>
        </w:rPr>
        <w:t>69</w:t>
      </w:r>
      <w:r>
        <w:rPr>
          <w:rFonts w:hint="eastAsia" w:ascii="仿宋" w:hAnsi="仿宋" w:eastAsia="仿宋" w:cs="仿宋"/>
          <w:sz w:val="32"/>
          <w:szCs w:val="32"/>
          <w:highlight w:val="none"/>
        </w:rPr>
        <w:t>人。</w:t>
      </w:r>
    </w:p>
    <w:p w14:paraId="0AAF3C7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二、部门资金收支情况</w:t>
      </w:r>
    </w:p>
    <w:p w14:paraId="0192D3EF">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仿宋" w:hAnsi="仿宋" w:eastAsia="仿宋" w:cs="仿宋"/>
          <w:color w:val="000000"/>
          <w:sz w:val="32"/>
          <w:szCs w:val="32"/>
          <w:lang w:eastAsia="zh-CN"/>
        </w:rPr>
        <w:t>2024年</w:t>
      </w:r>
      <w:r>
        <w:rPr>
          <w:rFonts w:hint="eastAsia" w:ascii="仿宋" w:hAnsi="仿宋" w:eastAsia="仿宋" w:cs="仿宋"/>
          <w:color w:val="000000"/>
          <w:sz w:val="32"/>
          <w:szCs w:val="32"/>
        </w:rPr>
        <w:t>总收入2,761.06万元,其中：一般公共</w:t>
      </w:r>
      <w:r>
        <w:rPr>
          <w:rFonts w:hint="eastAsia" w:ascii="仿宋" w:hAnsi="仿宋" w:eastAsia="仿宋" w:cs="仿宋"/>
          <w:color w:val="000000"/>
          <w:sz w:val="32"/>
          <w:szCs w:val="32"/>
          <w:lang w:val="en-US" w:eastAsia="zh-CN"/>
        </w:rPr>
        <w:t>预算</w:t>
      </w:r>
      <w:r>
        <w:rPr>
          <w:rFonts w:hint="eastAsia" w:ascii="仿宋" w:hAnsi="仿宋" w:eastAsia="仿宋" w:cs="仿宋"/>
          <w:color w:val="000000"/>
          <w:sz w:val="32"/>
          <w:szCs w:val="32"/>
        </w:rPr>
        <w:t>财政拨款收入2717.06万元，</w:t>
      </w:r>
      <w:r>
        <w:rPr>
          <w:rFonts w:hint="eastAsia" w:ascii="仿宋" w:hAnsi="仿宋" w:eastAsia="仿宋" w:cs="仿宋"/>
          <w:sz w:val="32"/>
          <w:szCs w:val="32"/>
        </w:rPr>
        <w:t>占总收入</w:t>
      </w:r>
      <w:r>
        <w:rPr>
          <w:rFonts w:hint="eastAsia" w:ascii="仿宋" w:hAnsi="仿宋" w:eastAsia="仿宋" w:cs="仿宋"/>
          <w:sz w:val="32"/>
          <w:szCs w:val="32"/>
          <w:lang w:val="en-US" w:eastAsia="zh-CN"/>
        </w:rPr>
        <w:t>98.41</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政府性基金预算财政拨款收入44万元，占总收入1.59%。</w:t>
      </w:r>
    </w:p>
    <w:p w14:paraId="74E6F3AC">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color w:val="000000"/>
          <w:sz w:val="32"/>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仿宋" w:hAnsi="仿宋" w:eastAsia="仿宋" w:cs="仿宋"/>
          <w:color w:val="000000"/>
          <w:sz w:val="32"/>
          <w:szCs w:val="32"/>
          <w:lang w:eastAsia="zh-CN"/>
        </w:rPr>
        <w:t>2024年</w:t>
      </w:r>
      <w:r>
        <w:rPr>
          <w:rFonts w:hint="eastAsia" w:ascii="仿宋" w:hAnsi="仿宋" w:eastAsia="仿宋" w:cs="仿宋"/>
          <w:sz w:val="32"/>
          <w:szCs w:val="32"/>
        </w:rPr>
        <w:t>相应安排支出</w:t>
      </w:r>
      <w:r>
        <w:rPr>
          <w:rFonts w:hint="eastAsia" w:ascii="仿宋" w:hAnsi="仿宋" w:eastAsia="仿宋" w:cs="仿宋"/>
          <w:color w:val="000000"/>
          <w:sz w:val="32"/>
          <w:szCs w:val="32"/>
        </w:rPr>
        <w:t>2,761.06万元，其中：基本支出</w:t>
      </w:r>
      <w:r>
        <w:rPr>
          <w:rFonts w:hint="eastAsia" w:ascii="仿宋" w:hAnsi="仿宋" w:eastAsia="仿宋" w:cs="仿宋"/>
          <w:sz w:val="32"/>
          <w:szCs w:val="32"/>
          <w:lang w:val="en-US" w:eastAsia="zh-CN"/>
        </w:rPr>
        <w:t>2,247.02</w:t>
      </w:r>
      <w:r>
        <w:rPr>
          <w:rFonts w:hint="eastAsia" w:ascii="仿宋" w:hAnsi="仿宋" w:eastAsia="仿宋" w:cs="仿宋"/>
          <w:color w:val="000000"/>
          <w:sz w:val="32"/>
          <w:szCs w:val="32"/>
        </w:rPr>
        <w:t>万元，占</w:t>
      </w:r>
      <w:r>
        <w:rPr>
          <w:rFonts w:hint="eastAsia" w:ascii="仿宋" w:hAnsi="仿宋" w:eastAsia="仿宋" w:cs="仿宋"/>
          <w:sz w:val="32"/>
          <w:szCs w:val="32"/>
          <w:lang w:val="en-US" w:eastAsia="zh-CN"/>
        </w:rPr>
        <w:t>81.38</w:t>
      </w:r>
      <w:r>
        <w:rPr>
          <w:rFonts w:hint="eastAsia" w:ascii="仿宋" w:hAnsi="仿宋" w:eastAsia="仿宋" w:cs="仿宋"/>
          <w:color w:val="000000"/>
          <w:sz w:val="32"/>
          <w:szCs w:val="32"/>
        </w:rPr>
        <w:t>%；项目支出</w:t>
      </w:r>
      <w:r>
        <w:rPr>
          <w:rFonts w:hint="eastAsia" w:ascii="仿宋" w:hAnsi="仿宋" w:eastAsia="仿宋" w:cs="仿宋"/>
          <w:sz w:val="32"/>
          <w:szCs w:val="32"/>
          <w:lang w:val="en-US" w:eastAsia="zh-CN"/>
        </w:rPr>
        <w:t>514.04</w:t>
      </w:r>
      <w:r>
        <w:rPr>
          <w:rFonts w:hint="eastAsia" w:ascii="仿宋" w:hAnsi="仿宋" w:eastAsia="仿宋" w:cs="仿宋"/>
          <w:color w:val="000000"/>
          <w:sz w:val="32"/>
          <w:szCs w:val="32"/>
        </w:rPr>
        <w:t>万元，占</w:t>
      </w:r>
      <w:r>
        <w:rPr>
          <w:rFonts w:hint="eastAsia" w:ascii="仿宋" w:hAnsi="仿宋" w:eastAsia="仿宋" w:cs="仿宋"/>
          <w:sz w:val="32"/>
          <w:szCs w:val="32"/>
          <w:lang w:val="en-US" w:eastAsia="zh-CN"/>
        </w:rPr>
        <w:t>18.62</w:t>
      </w:r>
      <w:r>
        <w:rPr>
          <w:rFonts w:hint="eastAsia" w:ascii="仿宋" w:hAnsi="仿宋" w:eastAsia="仿宋" w:cs="仿宋"/>
          <w:color w:val="000000"/>
          <w:sz w:val="32"/>
          <w:szCs w:val="32"/>
        </w:rPr>
        <w:t>%。</w:t>
      </w:r>
    </w:p>
    <w:p w14:paraId="728919CA">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sz w:val="32"/>
          <w:szCs w:val="32"/>
        </w:rPr>
        <w:t>基本支出是用于保障</w:t>
      </w:r>
      <w:r>
        <w:rPr>
          <w:rFonts w:hint="eastAsia" w:ascii="仿宋" w:hAnsi="仿宋" w:eastAsia="仿宋" w:cs="仿宋"/>
          <w:sz w:val="32"/>
          <w:szCs w:val="32"/>
          <w:lang w:val="en-US" w:eastAsia="zh-CN"/>
        </w:rPr>
        <w:t>三家镇</w:t>
      </w:r>
      <w:r>
        <w:rPr>
          <w:rFonts w:hint="eastAsia" w:ascii="仿宋" w:hAnsi="仿宋" w:eastAsia="仿宋" w:cs="仿宋"/>
          <w:sz w:val="32"/>
          <w:szCs w:val="32"/>
        </w:rPr>
        <w:t>正常运转的日常支出，</w:t>
      </w:r>
      <w:r>
        <w:rPr>
          <w:rFonts w:hint="eastAsia" w:ascii="仿宋" w:hAnsi="仿宋" w:eastAsia="仿宋" w:cs="仿宋"/>
          <w:color w:val="000000"/>
          <w:sz w:val="32"/>
          <w:szCs w:val="32"/>
        </w:rPr>
        <w:t>包括基本工资、津贴补贴、奖金、机关事业单位基本养老保险缴费、其他社会保障缴费、其他工资福利支出、离休费、抚恤金、生活补助、医疗费、住房公积金、其他对个人和家庭的补助支出、办公费、印刷费、手续费、水费、电费、邮电费、物业管理费、差旅费、维修（护）费、租赁费、会议费、劳务费、工会经费、福利费、其他交通费用、其他商品和服务等支出。</w:t>
      </w:r>
    </w:p>
    <w:p w14:paraId="0E12F337">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sz w:val="32"/>
          <w:szCs w:val="32"/>
        </w:rPr>
        <w:t>项目支出是用于保障</w:t>
      </w:r>
      <w:r>
        <w:rPr>
          <w:rFonts w:hint="eastAsia" w:ascii="仿宋" w:hAnsi="仿宋" w:eastAsia="仿宋" w:cs="仿宋"/>
          <w:sz w:val="32"/>
          <w:szCs w:val="32"/>
          <w:lang w:val="en-US" w:eastAsia="zh-CN"/>
        </w:rPr>
        <w:t>三家镇</w:t>
      </w:r>
      <w:r>
        <w:rPr>
          <w:rFonts w:hint="eastAsia" w:ascii="仿宋" w:hAnsi="仿宋" w:eastAsia="仿宋" w:cs="仿宋"/>
          <w:sz w:val="32"/>
          <w:szCs w:val="32"/>
        </w:rPr>
        <w:t>为完成特定的行政工作任务或事业发展目标，用于专项业务工作的经费支出，</w:t>
      </w:r>
      <w:r>
        <w:rPr>
          <w:rFonts w:hint="eastAsia" w:ascii="仿宋" w:hAnsi="仿宋" w:eastAsia="仿宋" w:cs="仿宋"/>
          <w:color w:val="000000"/>
          <w:sz w:val="32"/>
          <w:szCs w:val="32"/>
        </w:rPr>
        <w:t>包括</w:t>
      </w:r>
      <w:r>
        <w:rPr>
          <w:rFonts w:hint="eastAsia" w:ascii="仿宋" w:hAnsi="仿宋" w:eastAsia="仿宋" w:cs="仿宋"/>
          <w:sz w:val="32"/>
          <w:szCs w:val="32"/>
          <w:lang w:val="en-US" w:eastAsia="zh-CN"/>
        </w:rPr>
        <w:t>城乡环境整治</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城镇基础设施和场镇街道维护、征兵工作、人大工作、安全生产工作、防灾应急工作、乡风文明工作、信访维稳工作</w:t>
      </w:r>
      <w:r>
        <w:rPr>
          <w:rFonts w:hint="eastAsia" w:ascii="仿宋" w:hAnsi="仿宋" w:eastAsia="仿宋" w:cs="仿宋"/>
          <w:color w:val="000000"/>
          <w:sz w:val="32"/>
          <w:szCs w:val="32"/>
        </w:rPr>
        <w:t>等支出。</w:t>
      </w:r>
    </w:p>
    <w:p w14:paraId="473A590B">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lang w:val="en-US" w:eastAsia="zh-CN"/>
        </w:rPr>
        <w:t>我单位2024年决算报表无</w:t>
      </w:r>
      <w:r>
        <w:rPr>
          <w:rFonts w:hint="default" w:ascii="Times New Roman" w:hAnsi="Times New Roman" w:eastAsia="仿宋_GB2312" w:cs="Times New Roman"/>
          <w:sz w:val="32"/>
          <w:szCs w:val="32"/>
          <w:lang w:val="en-US" w:eastAsia="zh-CN"/>
        </w:rPr>
        <w:t>结转结余。</w:t>
      </w:r>
    </w:p>
    <w:p w14:paraId="1D3FB45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三、部门预算绩效分析</w:t>
      </w:r>
    </w:p>
    <w:p w14:paraId="47C913E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default" w:ascii="Times New Roman" w:hAnsi="Times New Roman" w:eastAsia="仿宋_GB2312" w:cs="Times New Roman"/>
          <w:sz w:val="32"/>
          <w:szCs w:val="32"/>
          <w:lang w:val="zh-CN" w:eastAsia="zh-CN"/>
        </w:rPr>
        <w:t>根据部门预算绩效评价指标体系“总体绩效”涉及</w:t>
      </w:r>
      <w:r>
        <w:rPr>
          <w:rFonts w:hint="eastAsia" w:ascii="Times New Roman" w:hAnsi="Times New Roman" w:eastAsia="仿宋_GB2312" w:cs="Times New Roman"/>
          <w:sz w:val="32"/>
          <w:szCs w:val="32"/>
          <w:lang w:val="zh-CN" w:eastAsia="zh-CN"/>
        </w:rPr>
        <w:t>二、三级</w:t>
      </w:r>
      <w:r>
        <w:rPr>
          <w:rFonts w:hint="default" w:ascii="Times New Roman" w:hAnsi="Times New Roman" w:eastAsia="仿宋_GB2312" w:cs="Times New Roman"/>
          <w:sz w:val="32"/>
          <w:szCs w:val="32"/>
          <w:lang w:val="zh-CN" w:eastAsia="zh-CN"/>
        </w:rPr>
        <w:t>指标进行</w:t>
      </w:r>
      <w:r>
        <w:rPr>
          <w:rFonts w:hint="eastAsia" w:ascii="Times New Roman" w:hAnsi="Times New Roman" w:eastAsia="仿宋_GB2312" w:cs="Times New Roman"/>
          <w:sz w:val="32"/>
          <w:szCs w:val="32"/>
          <w:lang w:val="zh-CN" w:eastAsia="zh-CN"/>
        </w:rPr>
        <w:t>逐项</w:t>
      </w:r>
      <w:r>
        <w:rPr>
          <w:rFonts w:hint="default" w:ascii="Times New Roman" w:hAnsi="Times New Roman" w:eastAsia="仿宋_GB2312" w:cs="Times New Roman"/>
          <w:sz w:val="32"/>
          <w:szCs w:val="32"/>
          <w:lang w:val="zh-CN" w:eastAsia="zh-CN"/>
        </w:rPr>
        <w:t>绩效分析</w:t>
      </w:r>
      <w:r>
        <w:rPr>
          <w:rFonts w:hint="eastAsia" w:ascii="Times New Roman" w:hAnsi="Times New Roman" w:eastAsia="仿宋_GB2312" w:cs="Times New Roman"/>
          <w:sz w:val="32"/>
          <w:szCs w:val="32"/>
          <w:lang w:val="zh-CN" w:eastAsia="zh-CN"/>
        </w:rPr>
        <w:t>并评分</w:t>
      </w:r>
      <w:r>
        <w:rPr>
          <w:rFonts w:hint="default" w:ascii="Times New Roman" w:hAnsi="Times New Roman" w:eastAsia="仿宋_GB2312" w:cs="Times New Roman"/>
          <w:sz w:val="32"/>
          <w:szCs w:val="32"/>
          <w:lang w:val="zh-CN" w:eastAsia="zh-CN"/>
        </w:rPr>
        <w:t>，依次包括履职效能、预算管理、财务管理、资产管理、采购管理等情况。</w:t>
      </w:r>
    </w:p>
    <w:p w14:paraId="25A6AD5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cs="Times New Roman"/>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履职效能。</w:t>
      </w:r>
      <w:r>
        <w:rPr>
          <w:rFonts w:hint="eastAsia" w:ascii="Times New Roman" w:hAnsi="Times New Roman" w:eastAsia="仿宋_GB2312" w:cs="Times New Roman"/>
          <w:sz w:val="32"/>
          <w:szCs w:val="32"/>
          <w:lang w:val="en-US" w:eastAsia="zh-CN"/>
        </w:rPr>
        <w:t>在2024年我单位合理规范</w:t>
      </w:r>
      <w:r>
        <w:rPr>
          <w:rFonts w:hint="eastAsia" w:ascii="Times New Roman" w:hAnsi="Times New Roman" w:eastAsia="仿宋_GB2312" w:cs="Times New Roman"/>
          <w:sz w:val="32"/>
          <w:szCs w:val="32"/>
          <w:lang w:val="zh-CN" w:eastAsia="zh-CN"/>
        </w:rPr>
        <w:t>预算绩效评价体系，明确评价指标和标准。对部门各项预算项目进行全面跟踪和评估，确保资金使用合理、高效。及时反馈评价结果，为项目调整和决策提供有力依据。</w:t>
      </w:r>
    </w:p>
    <w:p w14:paraId="7ADF0CD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2.</w:t>
      </w:r>
      <w:r>
        <w:rPr>
          <w:rFonts w:hint="default" w:ascii="楷体_GB2312" w:hAnsi="楷体_GB2312" w:eastAsia="楷体_GB2312" w:cs="楷体_GB2312"/>
          <w:color w:val="000000"/>
          <w:kern w:val="0"/>
          <w:sz w:val="32"/>
          <w:szCs w:val="32"/>
          <w:highlight w:val="none"/>
          <w:shd w:val="clear" w:color="auto" w:fill="FFFFFF"/>
          <w:lang w:val="zh-CN"/>
        </w:rPr>
        <w:t>预算管理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2024年我镇高度重视预算管理工作，通过科学规划、严格执行和有效监督，确保了各项预算目标的顺利实现</w:t>
      </w:r>
      <w:r>
        <w:rPr>
          <w:rFonts w:hint="eastAsia" w:ascii="Times New Roman" w:hAnsi="Times New Roman" w:eastAsia="仿宋_GB2312" w:cs="Times New Roman"/>
          <w:sz w:val="32"/>
          <w:szCs w:val="32"/>
          <w:lang w:val="zh-CN" w:eastAsia="zh-CN"/>
        </w:rPr>
        <w:t>。</w:t>
      </w:r>
    </w:p>
    <w:p w14:paraId="563E221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楷体_GB2312" w:hAnsi="楷体_GB2312" w:eastAsia="楷体_GB2312" w:cs="楷体_GB2312"/>
          <w:color w:val="000000"/>
          <w:kern w:val="0"/>
          <w:sz w:val="32"/>
          <w:szCs w:val="32"/>
          <w:highlight w:val="none"/>
          <w:shd w:val="clear" w:color="auto" w:fill="FFFFFF"/>
          <w:lang w:val="en-US"/>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default" w:ascii="楷体_GB2312" w:hAnsi="楷体_GB2312" w:eastAsia="楷体_GB2312" w:cs="楷体_GB2312"/>
          <w:color w:val="000000"/>
          <w:kern w:val="0"/>
          <w:sz w:val="32"/>
          <w:szCs w:val="32"/>
          <w:highlight w:val="none"/>
          <w:shd w:val="clear" w:color="auto" w:fill="FFFFFF"/>
          <w:lang w:val="zh-CN"/>
        </w:rPr>
        <w:t>财务管理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2024年我镇为确保财务管理工作的规范、高效运行</w:t>
      </w:r>
      <w:r>
        <w:rPr>
          <w:rFonts w:hint="eastAsia" w:ascii="仿宋" w:hAnsi="仿宋" w:eastAsia="仿宋" w:cs="仿宋"/>
          <w:sz w:val="32"/>
          <w:szCs w:val="32"/>
          <w:lang w:val="en-US" w:eastAsia="zh-CN"/>
        </w:rPr>
        <w:t>。从预算管理、会计核算、财务报表、资产管理、内部控制5方面入手，对财务管理进行了不断完善</w:t>
      </w:r>
      <w:r>
        <w:rPr>
          <w:rFonts w:hint="eastAsia" w:ascii="仿宋" w:hAnsi="仿宋" w:eastAsia="仿宋" w:cs="仿宋"/>
          <w:sz w:val="32"/>
          <w:szCs w:val="32"/>
          <w:lang w:val="zh-CN" w:eastAsia="zh-CN"/>
        </w:rPr>
        <w:t>。</w:t>
      </w:r>
      <w:r>
        <w:rPr>
          <w:rFonts w:hint="eastAsia" w:ascii="仿宋" w:hAnsi="仿宋" w:eastAsia="仿宋" w:cs="仿宋"/>
          <w:sz w:val="32"/>
          <w:szCs w:val="32"/>
          <w:lang w:val="en-US" w:eastAsia="zh-CN"/>
        </w:rPr>
        <w:t>为明确财务人员的工作职责，</w:t>
      </w:r>
      <w:r>
        <w:rPr>
          <w:rFonts w:hint="eastAsia" w:ascii="Times New Roman" w:hAnsi="Times New Roman" w:eastAsia="仿宋_GB2312" w:cs="Times New Roman"/>
          <w:sz w:val="32"/>
          <w:szCs w:val="32"/>
          <w:lang w:val="en-US" w:eastAsia="zh-CN"/>
        </w:rPr>
        <w:t>提高工作效率，我们对财务岗位进行了合理设置，并明确了各岗位的职责。为加强资金管理，提高资金使用效益，制定了严格的资金使用规范。从资金预算到资金审批到资金支付都严格把控流程，做到专人专责。</w:t>
      </w:r>
    </w:p>
    <w:p w14:paraId="5B12DFB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楷体_GB2312" w:hAnsi="楷体_GB2312" w:eastAsia="楷体_GB2312" w:cs="楷体_GB2312"/>
          <w:color w:val="000000"/>
          <w:kern w:val="0"/>
          <w:sz w:val="32"/>
          <w:szCs w:val="32"/>
          <w:highlight w:val="none"/>
          <w:shd w:val="clear" w:color="auto" w:fill="FFFFFF"/>
          <w:lang w:val="en-US"/>
        </w:rPr>
      </w:pPr>
      <w:r>
        <w:rPr>
          <w:rFonts w:hint="eastAsia" w:ascii="楷体_GB2312" w:hAnsi="楷体_GB2312" w:eastAsia="楷体_GB2312" w:cs="楷体_GB2312"/>
          <w:color w:val="000000"/>
          <w:kern w:val="0"/>
          <w:sz w:val="32"/>
          <w:szCs w:val="32"/>
          <w:highlight w:val="none"/>
          <w:shd w:val="clear" w:color="auto" w:fill="FFFFFF"/>
          <w:lang w:val="en-US" w:eastAsia="zh-CN"/>
        </w:rPr>
        <w:t>4.</w:t>
      </w:r>
      <w:r>
        <w:rPr>
          <w:rFonts w:hint="default" w:ascii="楷体_GB2312" w:hAnsi="楷体_GB2312" w:eastAsia="楷体_GB2312" w:cs="楷体_GB2312"/>
          <w:color w:val="000000"/>
          <w:kern w:val="0"/>
          <w:sz w:val="32"/>
          <w:szCs w:val="32"/>
          <w:highlight w:val="none"/>
          <w:shd w:val="clear" w:color="auto" w:fill="FFFFFF"/>
          <w:lang w:val="zh-CN"/>
        </w:rPr>
        <w:t>资产管理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2024年我镇加强资产清查和核算工作，提高资产使用效率，确保了资产的安全完整和有效利用。一是进行资产全面清查与登记，定期清查固定资产、流动资产和无形资产。二是对资产盘盈、盘亏和损失进行核实和处理，并做好相应账务调整。三是完善资产登记台账，详细记录资产名称、规格、数量、价值、使用部门和责任人等信息，确保资产账实相符。</w:t>
      </w:r>
    </w:p>
    <w:p w14:paraId="3A67287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5.</w:t>
      </w:r>
      <w:r>
        <w:rPr>
          <w:rFonts w:hint="default" w:ascii="楷体_GB2312" w:hAnsi="楷体_GB2312" w:eastAsia="楷体_GB2312" w:cs="楷体_GB2312"/>
          <w:color w:val="000000"/>
          <w:kern w:val="0"/>
          <w:sz w:val="32"/>
          <w:szCs w:val="32"/>
          <w:highlight w:val="none"/>
          <w:shd w:val="clear" w:color="auto" w:fill="FFFFFF"/>
          <w:lang w:val="zh-CN"/>
        </w:rPr>
        <w:t>采购管理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2024年我镇积极推进政府采购管理工作，严格遵循政府采购法律法规和相关政策，致力于提高政府采购的效率、透明度和公正性，为我镇各项工作提供了有力的物资和服务保障</w:t>
      </w:r>
      <w:r>
        <w:rPr>
          <w:rFonts w:hint="eastAsia" w:ascii="Times New Roman" w:hAnsi="Times New Roman" w:eastAsia="仿宋_GB2312" w:cs="Times New Roman"/>
          <w:sz w:val="32"/>
          <w:szCs w:val="32"/>
          <w:lang w:val="zh-CN" w:eastAsia="zh-CN"/>
        </w:rPr>
        <w:t>。</w:t>
      </w:r>
    </w:p>
    <w:p w14:paraId="746361E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4E478591">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常年项目绩效分析。</w:t>
      </w:r>
      <w:r>
        <w:rPr>
          <w:rFonts w:hint="default" w:ascii="Times New Roman" w:hAnsi="Times New Roman" w:eastAsia="仿宋_GB2312" w:cs="Times New Roman"/>
          <w:sz w:val="32"/>
          <w:szCs w:val="32"/>
          <w:highlight w:val="none"/>
          <w:lang w:val="zh-CN" w:eastAsia="zh-CN"/>
        </w:rPr>
        <w:t>该类项目总数</w:t>
      </w:r>
      <w:r>
        <w:rPr>
          <w:rFonts w:hint="eastAsia" w:ascii="Times New Roman" w:hAnsi="Times New Roman" w:eastAsia="仿宋_GB2312" w:cs="Times New Roman"/>
          <w:sz w:val="32"/>
          <w:szCs w:val="32"/>
          <w:highlight w:val="none"/>
          <w:lang w:val="en-US" w:eastAsia="zh-CN"/>
        </w:rPr>
        <w:t>18</w:t>
      </w:r>
      <w:r>
        <w:rPr>
          <w:rFonts w:hint="default" w:ascii="Times New Roman" w:hAnsi="Times New Roman" w:eastAsia="仿宋_GB2312" w:cs="Times New Roman"/>
          <w:sz w:val="32"/>
          <w:szCs w:val="32"/>
          <w:highlight w:val="none"/>
          <w:lang w:val="zh-CN" w:eastAsia="zh-CN"/>
        </w:rPr>
        <w:t>个，涉及预算总金额</w:t>
      </w:r>
      <w:r>
        <w:rPr>
          <w:rFonts w:hint="eastAsia" w:ascii="Times New Roman" w:hAnsi="Times New Roman" w:eastAsia="仿宋_GB2312" w:cs="Times New Roman"/>
          <w:sz w:val="32"/>
          <w:szCs w:val="32"/>
          <w:highlight w:val="none"/>
          <w:lang w:val="en-US" w:eastAsia="zh-CN"/>
        </w:rPr>
        <w:t>184</w:t>
      </w:r>
      <w:r>
        <w:rPr>
          <w:rFonts w:hint="default" w:ascii="Times New Roman" w:hAnsi="Times New Roman" w:eastAsia="仿宋_GB2312" w:cs="Times New Roman"/>
          <w:sz w:val="32"/>
          <w:szCs w:val="32"/>
          <w:highlight w:val="none"/>
          <w:lang w:val="zh-CN" w:eastAsia="zh-CN"/>
        </w:rPr>
        <w:t>万元，1</w:t>
      </w:r>
      <w:r>
        <w:rPr>
          <w:rFonts w:hint="eastAsia"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zh-CN" w:eastAsia="zh-CN"/>
        </w:rPr>
        <w:t>月预算执行总体进度为</w:t>
      </w:r>
      <w:r>
        <w:rPr>
          <w:rFonts w:hint="eastAsia" w:ascii="Times New Roman" w:hAnsi="Times New Roman" w:eastAsia="仿宋_GB2312" w:cs="Times New Roman"/>
          <w:sz w:val="32"/>
          <w:szCs w:val="32"/>
          <w:highlight w:val="none"/>
          <w:lang w:val="en-US" w:eastAsia="zh-CN"/>
        </w:rPr>
        <w:t>100</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zh-CN" w:eastAsia="zh-CN"/>
        </w:rPr>
        <w:t>%，</w:t>
      </w:r>
      <w:r>
        <w:rPr>
          <w:rFonts w:hint="eastAsia" w:ascii="Times New Roman" w:hAnsi="Times New Roman" w:eastAsia="仿宋_GB2312" w:cs="Times New Roman"/>
          <w:sz w:val="32"/>
          <w:szCs w:val="32"/>
          <w:highlight w:val="none"/>
          <w:lang w:val="en-US" w:eastAsia="zh-CN"/>
        </w:rPr>
        <w:t>无</w:t>
      </w:r>
      <w:r>
        <w:rPr>
          <w:rFonts w:hint="default" w:ascii="Times New Roman" w:hAnsi="Times New Roman" w:eastAsia="仿宋_GB2312" w:cs="Times New Roman"/>
          <w:sz w:val="32"/>
          <w:szCs w:val="32"/>
          <w:highlight w:val="none"/>
          <w:lang w:val="zh-CN" w:eastAsia="zh-CN"/>
        </w:rPr>
        <w:t>预算结余率大于</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zh-CN" w:eastAsia="zh-CN"/>
        </w:rPr>
        <w:t>的项目。</w:t>
      </w:r>
    </w:p>
    <w:p w14:paraId="1BDFDA3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阶段</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一次性</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项目绩效分析。</w:t>
      </w:r>
      <w:r>
        <w:rPr>
          <w:rFonts w:hint="default" w:ascii="Times New Roman" w:hAnsi="Times New Roman" w:eastAsia="仿宋_GB2312" w:cs="Times New Roman"/>
          <w:sz w:val="32"/>
          <w:szCs w:val="32"/>
          <w:highlight w:val="none"/>
          <w:lang w:val="zh-CN" w:eastAsia="zh-CN"/>
        </w:rPr>
        <w:t>该类项目总数</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zh-CN" w:eastAsia="zh-CN"/>
        </w:rPr>
        <w:t>个，涉及预算总金额</w:t>
      </w:r>
      <w:r>
        <w:rPr>
          <w:rFonts w:hint="eastAsia" w:ascii="Times New Roman" w:hAnsi="Times New Roman" w:eastAsia="仿宋_GB2312" w:cs="Times New Roman"/>
          <w:sz w:val="32"/>
          <w:szCs w:val="32"/>
          <w:highlight w:val="none"/>
          <w:lang w:val="en-US" w:eastAsia="zh-CN"/>
        </w:rPr>
        <w:t>54</w:t>
      </w:r>
      <w:r>
        <w:rPr>
          <w:rFonts w:hint="default" w:ascii="Times New Roman" w:hAnsi="Times New Roman" w:eastAsia="仿宋_GB2312" w:cs="Times New Roman"/>
          <w:sz w:val="32"/>
          <w:szCs w:val="32"/>
          <w:highlight w:val="none"/>
          <w:lang w:val="zh-CN" w:eastAsia="zh-CN"/>
        </w:rPr>
        <w:t>万元，1</w:t>
      </w:r>
      <w:r>
        <w:rPr>
          <w:rFonts w:hint="eastAsia"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zh-CN" w:eastAsia="zh-CN"/>
        </w:rPr>
        <w:t>月预算执行总体</w:t>
      </w:r>
      <w:r>
        <w:rPr>
          <w:rFonts w:hint="eastAsia" w:ascii="Times New Roman" w:hAnsi="Times New Roman" w:eastAsia="仿宋_GB2312" w:cs="Times New Roman"/>
          <w:sz w:val="32"/>
          <w:szCs w:val="32"/>
          <w:highlight w:val="none"/>
          <w:lang w:val="en-US" w:eastAsia="zh-CN"/>
        </w:rPr>
        <w:t>进度</w:t>
      </w:r>
      <w:r>
        <w:rPr>
          <w:rFonts w:hint="default" w:ascii="Times New Roman" w:hAnsi="Times New Roman" w:eastAsia="仿宋_GB2312" w:cs="Times New Roman"/>
          <w:sz w:val="32"/>
          <w:szCs w:val="32"/>
          <w:highlight w:val="none"/>
          <w:lang w:val="zh-CN" w:eastAsia="zh-CN"/>
        </w:rPr>
        <w:t>为</w:t>
      </w:r>
      <w:r>
        <w:rPr>
          <w:rFonts w:hint="default" w:ascii="Times New Roman" w:hAnsi="Times New Roman" w:eastAsia="仿宋_GB2312" w:cs="Times New Roman"/>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100</w:t>
      </w:r>
      <w:r>
        <w:rPr>
          <w:rFonts w:hint="default" w:ascii="Times New Roman" w:hAnsi="Times New Roman" w:eastAsia="仿宋_GB2312" w:cs="Times New Roman"/>
          <w:sz w:val="32"/>
          <w:szCs w:val="32"/>
          <w:highlight w:val="none"/>
          <w:lang w:val="zh-CN" w:eastAsia="zh-CN"/>
        </w:rPr>
        <w:t>%，</w:t>
      </w:r>
      <w:r>
        <w:rPr>
          <w:rFonts w:hint="eastAsia" w:ascii="Times New Roman" w:hAnsi="Times New Roman" w:eastAsia="仿宋_GB2312" w:cs="Times New Roman"/>
          <w:sz w:val="32"/>
          <w:szCs w:val="32"/>
          <w:highlight w:val="none"/>
          <w:lang w:val="en-US" w:eastAsia="zh-CN"/>
        </w:rPr>
        <w:t>无</w:t>
      </w:r>
      <w:r>
        <w:rPr>
          <w:rFonts w:hint="default" w:ascii="Times New Roman" w:hAnsi="Times New Roman" w:eastAsia="仿宋_GB2312" w:cs="Times New Roman"/>
          <w:sz w:val="32"/>
          <w:szCs w:val="32"/>
          <w:highlight w:val="none"/>
          <w:lang w:val="zh-CN" w:eastAsia="zh-CN"/>
        </w:rPr>
        <w:t>预算结余率大于</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zh-CN" w:eastAsia="zh-CN"/>
        </w:rPr>
        <w:t>的项目。</w:t>
      </w:r>
    </w:p>
    <w:p w14:paraId="37C0FAFA">
      <w:pPr>
        <w:ind w:firstLine="640" w:firstLineChars="200"/>
        <w:rPr>
          <w:rFonts w:hint="eastAsia" w:ascii="Times New Roman" w:hAnsi="Times New Roman" w:eastAsia="仿宋_GB2312" w:cs="Times New Roman"/>
          <w:sz w:val="32"/>
          <w:szCs w:val="32"/>
          <w:lang w:val="en-US"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项目决策。</w:t>
      </w:r>
      <w:r>
        <w:rPr>
          <w:rFonts w:hint="eastAsia" w:ascii="Times New Roman" w:hAnsi="Times New Roman" w:eastAsia="仿宋_GB2312" w:cs="Times New Roman"/>
          <w:sz w:val="32"/>
          <w:szCs w:val="32"/>
          <w:lang w:val="zh-CN" w:eastAsia="zh-CN"/>
        </w:rPr>
        <w:t>项目决策工作中，我们严格遵循决策程序，科学设置目标，规范项目入库流程，以确保政府项目的合理性、可行性和有效性，为推动地区经济社会发展提供有力支撑。</w:t>
      </w:r>
      <w:r>
        <w:rPr>
          <w:rFonts w:hint="eastAsia" w:ascii="Times New Roman" w:hAnsi="Times New Roman" w:eastAsia="仿宋_GB2312" w:cs="Times New Roman"/>
          <w:sz w:val="32"/>
          <w:szCs w:val="32"/>
          <w:lang w:val="en-US" w:eastAsia="zh-CN"/>
        </w:rPr>
        <w:t>一是在决策程序上，我镇经过开展需求调研、可行性研究、公众参与、决策审批4环节，对预算项目进行充分论证。二是</w:t>
      </w:r>
      <w:r>
        <w:rPr>
          <w:rFonts w:hint="eastAsia" w:ascii="Times New Roman" w:hAnsi="Times New Roman" w:eastAsia="仿宋_GB2312" w:cs="Times New Roman"/>
          <w:sz w:val="32"/>
          <w:szCs w:val="32"/>
          <w:lang w:val="zh-CN" w:eastAsia="zh-CN"/>
        </w:rPr>
        <w:t>目标设置</w:t>
      </w:r>
      <w:r>
        <w:rPr>
          <w:rFonts w:hint="eastAsia" w:ascii="Times New Roman" w:hAnsi="Times New Roman" w:eastAsia="仿宋_GB2312" w:cs="Times New Roman"/>
          <w:sz w:val="32"/>
          <w:szCs w:val="32"/>
          <w:lang w:val="en-US" w:eastAsia="zh-CN"/>
        </w:rPr>
        <w:t>上通过明确项目目标、制定目标指标体系、目标分解与责任落实三方面进行严格把控。三是对入库项目进行分类管理，建立项目库信息系统，及时更新项目进展情况。 加强对入库项目的动态监控，确保项目的顺利实施。</w:t>
      </w:r>
    </w:p>
    <w:p w14:paraId="17B8902E">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2.项目执行</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在项目执行过程中，我们严格按照项目计划和时间表推进各项工作，确保项目进度和质量。通过有效的项目管理和团队协作，项目执行取得了显著成效。一是严格按照资金预算和使用计划执行资金，确保资金使用的合理性和有效性。同时，我们积极与上级财政沟通协调，及时解决资金执行过程中出现的问题，确保项目资金与项目执行同向推进。二是在项目执行过程中，由于外部环境变化和项目实际情况的需要，我们及时对项目进行了部分调整。调整内容主要包括项目进度、任务分工和资金预算等方面。通过项目部门的共同努力，项目执行取得了良好的结果。项目的各项任务和目标基本完成，达到了预期的效果。</w:t>
      </w:r>
    </w:p>
    <w:p w14:paraId="47142E5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eastAsia" w:ascii="楷体_GB2312" w:hAnsi="楷体_GB2312" w:eastAsia="楷体_GB2312" w:cs="楷体_GB2312"/>
          <w:color w:val="000000"/>
          <w:kern w:val="0"/>
          <w:sz w:val="32"/>
          <w:szCs w:val="32"/>
          <w:highlight w:val="none"/>
          <w:shd w:val="clear" w:color="auto" w:fill="FFFFFF"/>
          <w:lang w:val="zh-CN"/>
        </w:rPr>
        <w:t>目标实现。</w:t>
      </w:r>
      <w:r>
        <w:rPr>
          <w:rFonts w:hint="eastAsia" w:ascii="Times New Roman" w:hAnsi="Times New Roman" w:eastAsia="仿宋_GB2312" w:cs="Times New Roman"/>
          <w:sz w:val="32"/>
          <w:szCs w:val="32"/>
          <w:lang w:val="en-US" w:eastAsia="zh-CN"/>
        </w:rPr>
        <w:t>在2024年，我镇围绕既定目标积极努力，取得了显著的成果。总体而言，大部分目标得以顺利实现，部分目标超额完成，未存在目标出现偏离情况。</w:t>
      </w:r>
    </w:p>
    <w:p w14:paraId="22F94937">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bCs/>
          <w:color w:val="000000"/>
          <w:kern w:val="0"/>
          <w:sz w:val="32"/>
          <w:szCs w:val="32"/>
          <w:highlight w:val="none"/>
          <w:shd w:val="clear" w:color="auto" w:fill="FFFFFF"/>
          <w:lang w:val="zh-CN" w:eastAsia="zh-CN"/>
        </w:rPr>
        <w:t>重点领域</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lang w:val="en-US" w:eastAsia="zh-CN"/>
        </w:rPr>
        <w:t>我镇无</w:t>
      </w:r>
      <w:r>
        <w:rPr>
          <w:rFonts w:hint="default" w:ascii="Times New Roman" w:hAnsi="Times New Roman" w:eastAsia="仿宋_GB2312" w:cs="Times New Roman"/>
          <w:sz w:val="32"/>
          <w:szCs w:val="32"/>
          <w:highlight w:val="none"/>
          <w:u w:val="none"/>
        </w:rPr>
        <w:t>涉及国有资本、行政事业性国有资产、</w:t>
      </w:r>
      <w:r>
        <w:rPr>
          <w:rFonts w:hint="default" w:ascii="Times New Roman" w:hAnsi="Times New Roman" w:eastAsia="仿宋_GB2312" w:cs="Times New Roman"/>
          <w:b w:val="0"/>
          <w:bCs w:val="0"/>
          <w:sz w:val="32"/>
          <w:szCs w:val="32"/>
          <w:highlight w:val="none"/>
          <w:u w:val="none"/>
        </w:rPr>
        <w:t>债券</w:t>
      </w:r>
      <w:r>
        <w:rPr>
          <w:rFonts w:hint="default" w:ascii="Times New Roman" w:hAnsi="Times New Roman" w:eastAsia="仿宋_GB2312" w:cs="Times New Roman"/>
          <w:b w:val="0"/>
          <w:bCs w:val="0"/>
          <w:sz w:val="32"/>
          <w:szCs w:val="32"/>
          <w:highlight w:val="none"/>
          <w:u w:val="none"/>
          <w:lang w:eastAsia="zh-CN"/>
        </w:rPr>
        <w:t>资金、政府采购和政府购买服务等重点领域</w:t>
      </w:r>
      <w:r>
        <w:rPr>
          <w:rFonts w:hint="default" w:ascii="Times New Roman" w:hAnsi="Times New Roman" w:eastAsia="仿宋_GB2312" w:cs="Times New Roman"/>
          <w:sz w:val="32"/>
          <w:szCs w:val="32"/>
          <w:highlight w:val="none"/>
          <w:u w:val="none"/>
        </w:rPr>
        <w:t>的</w:t>
      </w:r>
      <w:r>
        <w:rPr>
          <w:rFonts w:hint="eastAsia" w:ascii="Times New Roman" w:hAnsi="Times New Roman" w:eastAsia="仿宋_GB2312" w:cs="Times New Roman"/>
          <w:sz w:val="32"/>
          <w:szCs w:val="32"/>
          <w:highlight w:val="none"/>
          <w:u w:val="none"/>
          <w:lang w:val="en-US" w:eastAsia="zh-CN"/>
        </w:rPr>
        <w:t>项目。</w:t>
      </w:r>
    </w:p>
    <w:p w14:paraId="467193E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 w:hAnsi="仿宋" w:eastAsia="仿宋" w:cs="仿宋"/>
          <w:color w:val="000000"/>
          <w:kern w:val="0"/>
          <w:sz w:val="32"/>
          <w:szCs w:val="32"/>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（四）绩效结果应用情况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580A86E6">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default" w:ascii="Times New Roman" w:hAnsi="Times New Roman" w:eastAsia="仿宋_GB2312" w:cs="Times New Roman"/>
          <w:sz w:val="32"/>
          <w:szCs w:val="32"/>
          <w:highlight w:val="none"/>
          <w:u w:val="none"/>
          <w:lang w:bidi="ar"/>
        </w:rPr>
      </w:pPr>
      <w:r>
        <w:rPr>
          <w:rFonts w:hint="eastAsia" w:ascii="Times New Roman" w:hAnsi="Times New Roman" w:eastAsia="仿宋_GB2312" w:cs="Times New Roman"/>
          <w:sz w:val="32"/>
          <w:szCs w:val="32"/>
          <w:highlight w:val="none"/>
          <w:u w:val="none"/>
          <w:lang w:val="zh-CN" w:eastAsia="zh-CN" w:bidi="ar"/>
        </w:rPr>
        <w:t>绩效结果</w:t>
      </w:r>
      <w:r>
        <w:rPr>
          <w:rFonts w:hint="eastAsia" w:ascii="Times New Roman" w:hAnsi="Times New Roman" w:eastAsia="仿宋_GB2312" w:cs="Times New Roman"/>
          <w:sz w:val="32"/>
          <w:szCs w:val="32"/>
          <w:highlight w:val="none"/>
          <w:u w:val="none"/>
          <w:lang w:val="en-US" w:eastAsia="zh-CN" w:bidi="ar"/>
        </w:rPr>
        <w:t>应用</w:t>
      </w:r>
      <w:r>
        <w:rPr>
          <w:rFonts w:hint="eastAsia" w:ascii="Times New Roman" w:hAnsi="Times New Roman" w:eastAsia="仿宋_GB2312" w:cs="Times New Roman"/>
          <w:sz w:val="32"/>
          <w:szCs w:val="32"/>
          <w:highlight w:val="none"/>
          <w:u w:val="none"/>
          <w:lang w:val="zh-CN" w:eastAsia="zh-CN" w:bidi="ar"/>
        </w:rPr>
        <w:t>为</w:t>
      </w:r>
      <w:r>
        <w:rPr>
          <w:rFonts w:hint="eastAsia" w:ascii="Times New Roman" w:hAnsi="Times New Roman" w:eastAsia="仿宋_GB2312" w:cs="Times New Roman"/>
          <w:sz w:val="32"/>
          <w:szCs w:val="32"/>
          <w:highlight w:val="none"/>
          <w:u w:val="none"/>
          <w:lang w:val="en-US" w:eastAsia="zh-CN" w:bidi="ar"/>
        </w:rPr>
        <w:t>我镇项目资金的</w:t>
      </w:r>
      <w:r>
        <w:rPr>
          <w:rFonts w:hint="eastAsia" w:ascii="Times New Roman" w:hAnsi="Times New Roman" w:eastAsia="仿宋_GB2312" w:cs="Times New Roman"/>
          <w:sz w:val="32"/>
          <w:szCs w:val="32"/>
          <w:highlight w:val="none"/>
          <w:u w:val="none"/>
          <w:lang w:val="zh-CN" w:eastAsia="zh-CN" w:bidi="ar"/>
        </w:rPr>
        <w:t>调整提供重要参考。通过对绩效数据的综合分析，了解</w:t>
      </w:r>
      <w:r>
        <w:rPr>
          <w:rFonts w:hint="eastAsia" w:ascii="Times New Roman" w:hAnsi="Times New Roman" w:eastAsia="仿宋_GB2312" w:cs="Times New Roman"/>
          <w:sz w:val="32"/>
          <w:szCs w:val="32"/>
          <w:highlight w:val="none"/>
          <w:u w:val="none"/>
          <w:lang w:val="en-US" w:eastAsia="zh-CN" w:bidi="ar"/>
        </w:rPr>
        <w:t>项目的</w:t>
      </w:r>
      <w:r>
        <w:rPr>
          <w:rFonts w:hint="eastAsia" w:ascii="Times New Roman" w:hAnsi="Times New Roman" w:eastAsia="仿宋_GB2312" w:cs="Times New Roman"/>
          <w:sz w:val="32"/>
          <w:szCs w:val="32"/>
          <w:highlight w:val="none"/>
          <w:u w:val="none"/>
          <w:lang w:val="zh-CN" w:eastAsia="zh-CN" w:bidi="ar"/>
        </w:rPr>
        <w:t>执行情况和效果，及时发现</w:t>
      </w:r>
      <w:r>
        <w:rPr>
          <w:rFonts w:hint="eastAsia" w:ascii="Times New Roman" w:hAnsi="Times New Roman" w:eastAsia="仿宋_GB2312" w:cs="Times New Roman"/>
          <w:sz w:val="32"/>
          <w:szCs w:val="32"/>
          <w:highlight w:val="none"/>
          <w:u w:val="none"/>
          <w:lang w:val="en-US" w:eastAsia="zh-CN" w:bidi="ar"/>
        </w:rPr>
        <w:t>项目</w:t>
      </w:r>
      <w:r>
        <w:rPr>
          <w:rFonts w:hint="eastAsia" w:ascii="Times New Roman" w:hAnsi="Times New Roman" w:eastAsia="仿宋_GB2312" w:cs="Times New Roman"/>
          <w:sz w:val="32"/>
          <w:szCs w:val="32"/>
          <w:highlight w:val="none"/>
          <w:u w:val="none"/>
          <w:lang w:val="zh-CN" w:eastAsia="zh-CN" w:bidi="ar"/>
        </w:rPr>
        <w:t>实施过程中的问题和偏差，为</w:t>
      </w:r>
      <w:r>
        <w:rPr>
          <w:rFonts w:hint="eastAsia" w:ascii="Times New Roman" w:hAnsi="Times New Roman" w:eastAsia="仿宋_GB2312" w:cs="Times New Roman"/>
          <w:sz w:val="32"/>
          <w:szCs w:val="32"/>
          <w:highlight w:val="none"/>
          <w:u w:val="none"/>
          <w:lang w:val="en-US" w:eastAsia="zh-CN" w:bidi="ar"/>
        </w:rPr>
        <w:t>我镇项目</w:t>
      </w:r>
      <w:r>
        <w:rPr>
          <w:rFonts w:hint="eastAsia" w:ascii="Times New Roman" w:hAnsi="Times New Roman" w:eastAsia="仿宋_GB2312" w:cs="Times New Roman"/>
          <w:sz w:val="32"/>
          <w:szCs w:val="32"/>
          <w:highlight w:val="none"/>
          <w:u w:val="none"/>
          <w:lang w:val="zh-CN" w:eastAsia="zh-CN" w:bidi="ar"/>
        </w:rPr>
        <w:t>的调整和优化提供依据。</w:t>
      </w:r>
      <w:r>
        <w:rPr>
          <w:rFonts w:hint="eastAsia" w:ascii="Times New Roman" w:hAnsi="Times New Roman" w:eastAsia="仿宋_GB2312" w:cs="Times New Roman"/>
          <w:sz w:val="32"/>
          <w:szCs w:val="32"/>
          <w:highlight w:val="none"/>
          <w:u w:val="none"/>
          <w:lang w:val="en-US" w:eastAsia="zh-CN" w:bidi="ar"/>
        </w:rPr>
        <w:t>我镇</w:t>
      </w:r>
      <w:r>
        <w:rPr>
          <w:rFonts w:hint="eastAsia" w:ascii="Times New Roman" w:hAnsi="Times New Roman" w:eastAsia="仿宋_GB2312" w:cs="Times New Roman"/>
          <w:sz w:val="32"/>
          <w:szCs w:val="32"/>
          <w:highlight w:val="none"/>
          <w:u w:val="none"/>
          <w:lang w:val="zh-CN" w:eastAsia="zh-CN" w:bidi="ar"/>
        </w:rPr>
        <w:t>根据绩效结果</w:t>
      </w:r>
      <w:r>
        <w:rPr>
          <w:rFonts w:hint="eastAsia" w:ascii="Times New Roman" w:hAnsi="Times New Roman" w:eastAsia="仿宋_GB2312" w:cs="Times New Roman"/>
          <w:sz w:val="32"/>
          <w:szCs w:val="32"/>
          <w:highlight w:val="none"/>
          <w:u w:val="none"/>
          <w:lang w:val="en-US" w:eastAsia="zh-CN" w:bidi="ar"/>
        </w:rPr>
        <w:t>应用</w:t>
      </w:r>
      <w:r>
        <w:rPr>
          <w:rFonts w:hint="eastAsia" w:ascii="Times New Roman" w:hAnsi="Times New Roman" w:eastAsia="仿宋_GB2312" w:cs="Times New Roman"/>
          <w:sz w:val="32"/>
          <w:szCs w:val="32"/>
          <w:highlight w:val="none"/>
          <w:u w:val="none"/>
          <w:lang w:val="zh-CN" w:eastAsia="zh-CN" w:bidi="ar"/>
        </w:rPr>
        <w:t>确定</w:t>
      </w:r>
      <w:r>
        <w:rPr>
          <w:rFonts w:hint="eastAsia" w:ascii="Times New Roman" w:hAnsi="Times New Roman" w:eastAsia="仿宋_GB2312" w:cs="Times New Roman"/>
          <w:sz w:val="32"/>
          <w:szCs w:val="32"/>
          <w:highlight w:val="none"/>
          <w:u w:val="none"/>
          <w:lang w:val="en-US" w:eastAsia="zh-CN" w:bidi="ar"/>
        </w:rPr>
        <w:t>2024年预算</w:t>
      </w:r>
      <w:r>
        <w:rPr>
          <w:rFonts w:hint="eastAsia" w:ascii="Times New Roman" w:hAnsi="Times New Roman" w:eastAsia="仿宋_GB2312" w:cs="Times New Roman"/>
          <w:sz w:val="32"/>
          <w:szCs w:val="32"/>
          <w:highlight w:val="none"/>
          <w:u w:val="none"/>
          <w:lang w:val="zh-CN" w:eastAsia="zh-CN" w:bidi="ar"/>
        </w:rPr>
        <w:t>的资源分配方向。提高资源利用效率，促进</w:t>
      </w:r>
      <w:r>
        <w:rPr>
          <w:rFonts w:hint="eastAsia" w:ascii="Times New Roman" w:hAnsi="Times New Roman" w:eastAsia="仿宋_GB2312" w:cs="Times New Roman"/>
          <w:sz w:val="32"/>
          <w:szCs w:val="32"/>
          <w:highlight w:val="none"/>
          <w:u w:val="none"/>
          <w:lang w:val="en-US" w:eastAsia="zh-CN" w:bidi="ar"/>
        </w:rPr>
        <w:t>项目</w:t>
      </w:r>
      <w:r>
        <w:rPr>
          <w:rFonts w:hint="eastAsia" w:ascii="Times New Roman" w:hAnsi="Times New Roman" w:eastAsia="仿宋_GB2312" w:cs="Times New Roman"/>
          <w:sz w:val="32"/>
          <w:szCs w:val="32"/>
          <w:highlight w:val="none"/>
          <w:u w:val="none"/>
          <w:lang w:val="zh-CN" w:eastAsia="zh-CN" w:bidi="ar"/>
        </w:rPr>
        <w:t>整体绩效的提升。</w:t>
      </w:r>
      <w:r>
        <w:rPr>
          <w:rFonts w:hint="eastAsia" w:ascii="仿宋" w:hAnsi="仿宋" w:eastAsia="仿宋" w:cs="仿宋"/>
          <w:sz w:val="32"/>
          <w:szCs w:val="32"/>
          <w:lang w:val="en-US" w:eastAsia="zh-CN"/>
        </w:rPr>
        <w:t>三家镇</w:t>
      </w:r>
      <w:r>
        <w:rPr>
          <w:rFonts w:hint="eastAsia" w:ascii="仿宋" w:hAnsi="仿宋" w:eastAsia="仿宋" w:cs="仿宋"/>
          <w:sz w:val="32"/>
          <w:szCs w:val="32"/>
        </w:rPr>
        <w:t>按照</w:t>
      </w:r>
      <w:r>
        <w:rPr>
          <w:rFonts w:hint="eastAsia" w:ascii="仿宋" w:hAnsi="仿宋" w:eastAsia="仿宋" w:cs="仿宋"/>
          <w:sz w:val="32"/>
          <w:szCs w:val="32"/>
          <w:lang w:val="en-US" w:eastAsia="zh-CN"/>
        </w:rPr>
        <w:t>区</w:t>
      </w:r>
      <w:r>
        <w:rPr>
          <w:rFonts w:hint="eastAsia" w:ascii="仿宋" w:hAnsi="仿宋" w:eastAsia="仿宋" w:cs="仿宋"/>
          <w:sz w:val="32"/>
          <w:szCs w:val="32"/>
        </w:rPr>
        <w:t>财政统一要求按时按质地主动做好预决算公开工作，公开部门预决算在</w:t>
      </w:r>
      <w:r>
        <w:rPr>
          <w:rFonts w:hint="eastAsia" w:ascii="仿宋" w:hAnsi="仿宋" w:eastAsia="仿宋" w:cs="仿宋"/>
          <w:sz w:val="32"/>
          <w:szCs w:val="32"/>
          <w:lang w:val="en-US" w:eastAsia="zh-CN"/>
        </w:rPr>
        <w:t>区</w:t>
      </w:r>
      <w:r>
        <w:rPr>
          <w:rFonts w:hint="eastAsia" w:ascii="仿宋" w:hAnsi="仿宋" w:eastAsia="仿宋" w:cs="仿宋"/>
          <w:sz w:val="32"/>
          <w:szCs w:val="32"/>
        </w:rPr>
        <w:t>政府门户网站公示，接受社会监督。</w:t>
      </w:r>
    </w:p>
    <w:p w14:paraId="41F5398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default" w:eastAsia="黑体" w:cs="Times New Roman"/>
          <w:color w:val="000000"/>
          <w:kern w:val="0"/>
          <w:sz w:val="32"/>
          <w:szCs w:val="32"/>
          <w:highlight w:val="none"/>
          <w:shd w:val="clear" w:color="auto" w:fill="FFFFFF"/>
          <w:lang w:val="zh-CN" w:eastAsia="zh-CN"/>
        </w:rPr>
        <w:t>四、</w:t>
      </w:r>
      <w:r>
        <w:rPr>
          <w:rFonts w:hint="default" w:eastAsia="黑体" w:cs="Times New Roman"/>
          <w:color w:val="000000"/>
          <w:kern w:val="0"/>
          <w:sz w:val="32"/>
          <w:szCs w:val="32"/>
          <w:highlight w:val="none"/>
          <w:shd w:val="clear" w:color="auto" w:fill="FFFFFF"/>
          <w:lang w:val="zh-CN"/>
        </w:rPr>
        <w:t>评价结论及建议</w:t>
      </w:r>
    </w:p>
    <w:p w14:paraId="0A0635F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default" w:ascii="仿宋" w:hAnsi="仿宋" w:eastAsia="仿宋" w:cs="仿宋"/>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hint="eastAsia" w:ascii="仿宋" w:hAnsi="仿宋" w:eastAsia="仿宋" w:cs="仿宋"/>
          <w:sz w:val="32"/>
          <w:szCs w:val="32"/>
          <w:lang w:eastAsia="zh-CN"/>
        </w:rPr>
        <w:t>2024年</w:t>
      </w:r>
      <w:r>
        <w:rPr>
          <w:rFonts w:hint="eastAsia" w:ascii="仿宋" w:hAnsi="仿宋" w:eastAsia="仿宋" w:cs="仿宋"/>
          <w:sz w:val="32"/>
          <w:szCs w:val="32"/>
        </w:rPr>
        <w:t>，</w:t>
      </w:r>
      <w:r>
        <w:rPr>
          <w:rFonts w:hint="eastAsia" w:ascii="仿宋" w:hAnsi="仿宋" w:eastAsia="仿宋" w:cs="仿宋"/>
          <w:sz w:val="32"/>
          <w:szCs w:val="32"/>
          <w:lang w:val="en-US" w:eastAsia="zh-CN"/>
        </w:rPr>
        <w:t>三家镇</w:t>
      </w:r>
      <w:r>
        <w:rPr>
          <w:rFonts w:hint="eastAsia" w:ascii="仿宋" w:hAnsi="仿宋" w:eastAsia="仿宋" w:cs="仿宋"/>
          <w:sz w:val="32"/>
          <w:szCs w:val="32"/>
        </w:rPr>
        <w:t>狠抓制度建设和各项工作落实，各方面工作稳步推进，</w:t>
      </w:r>
      <w:r>
        <w:rPr>
          <w:rFonts w:hint="eastAsia" w:ascii="仿宋" w:hAnsi="仿宋" w:eastAsia="仿宋" w:cs="仿宋"/>
          <w:sz w:val="32"/>
          <w:szCs w:val="32"/>
          <w:lang w:val="en-US" w:eastAsia="zh-CN"/>
        </w:rPr>
        <w:t>顺利推进，圆满完成任务，并经村、社区居民评价，满意度为100%。</w:t>
      </w:r>
    </w:p>
    <w:p w14:paraId="6FCB3F1C">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 w:hAnsi="仿宋" w:eastAsia="仿宋" w:cs="仿宋"/>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ascii="仿宋" w:hAnsi="仿宋" w:eastAsia="仿宋" w:cs="仿宋"/>
          <w:sz w:val="32"/>
          <w:szCs w:val="32"/>
          <w:lang w:val="en-US" w:eastAsia="zh-CN"/>
        </w:rPr>
        <w:t>未查出相关问题。</w:t>
      </w:r>
    </w:p>
    <w:p w14:paraId="16B2C082">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 w:hAnsi="仿宋" w:eastAsia="仿宋" w:cs="仿宋"/>
          <w:color w:val="000000"/>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151" w:name="_Hlk110546638"/>
      <w:r>
        <w:rPr>
          <w:rFonts w:hint="eastAsia" w:ascii="仿宋" w:hAnsi="仿宋" w:eastAsia="仿宋" w:cs="仿宋"/>
          <w:sz w:val="32"/>
          <w:szCs w:val="32"/>
          <w:lang w:val="en-US" w:eastAsia="zh-CN"/>
        </w:rPr>
        <w:t>适</w:t>
      </w:r>
      <w:r>
        <w:rPr>
          <w:rFonts w:hint="eastAsia" w:ascii="仿宋" w:hAnsi="仿宋" w:eastAsia="仿宋" w:cs="仿宋"/>
          <w:color w:val="000000"/>
          <w:sz w:val="32"/>
          <w:szCs w:val="32"/>
          <w:lang w:val="en-US" w:eastAsia="zh-CN"/>
        </w:rPr>
        <w:t>当增加工作经费，加强宣传，加强监督和考核。</w:t>
      </w:r>
    </w:p>
    <w:p w14:paraId="34716652">
      <w:pPr>
        <w:pStyle w:val="3"/>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1.</w:t>
      </w:r>
      <w:r>
        <w:rPr>
          <w:rFonts w:hint="default" w:ascii="Times New Roman" w:hAnsi="Times New Roman" w:eastAsia="仿宋_GB2312" w:cs="Times New Roman"/>
          <w:kern w:val="2"/>
          <w:sz w:val="32"/>
          <w:szCs w:val="32"/>
          <w:u w:val="none"/>
          <w:lang w:val="en-US" w:eastAsia="zh-CN" w:bidi="ar"/>
        </w:rPr>
        <w:t>部门整体支出绩效自评表</w:t>
      </w:r>
    </w:p>
    <w:p w14:paraId="6E43FB3B">
      <w:pPr>
        <w:pStyle w:val="3"/>
        <w:keepNext w:val="0"/>
        <w:keepLines w:val="0"/>
        <w:pageBreakBefore w:val="0"/>
        <w:numPr>
          <w:ilvl w:val="0"/>
          <w:numId w:val="0"/>
        </w:numPr>
        <w:kinsoku/>
        <w:wordWrap/>
        <w:overflowPunct/>
        <w:topLinePunct w:val="0"/>
        <w:autoSpaceDE/>
        <w:autoSpaceDN/>
        <w:bidi w:val="0"/>
        <w:spacing w:line="560" w:lineRule="exact"/>
        <w:ind w:firstLine="1600" w:firstLineChars="500"/>
        <w:textAlignment w:val="auto"/>
        <w:rPr>
          <w:rFonts w:hint="default" w:ascii="Times New Roman" w:hAnsi="Times New Roman" w:eastAsia="仿宋_GB2312" w:cs="Times New Roman"/>
          <w:sz w:val="32"/>
          <w:szCs w:val="32"/>
          <w:lang w:val="zh-CN" w:eastAsia="zh-CN" w:bidi="ar"/>
        </w:rPr>
      </w:pPr>
      <w:r>
        <w:rPr>
          <w:rFonts w:hint="eastAsia" w:ascii="Times New Roman" w:hAnsi="Times New Roman" w:eastAsia="仿宋_GB2312" w:cs="Times New Roman"/>
          <w:kern w:val="2"/>
          <w:sz w:val="32"/>
          <w:szCs w:val="32"/>
          <w:u w:val="none"/>
          <w:lang w:val="en-US" w:eastAsia="zh-CN" w:bidi="ar"/>
        </w:rPr>
        <w:t>2.部门预算项目支出绩效自评表（2024年度）</w:t>
      </w:r>
    </w:p>
    <w:p w14:paraId="1D34EBCE">
      <w:pPr>
        <w:rPr>
          <w:rFonts w:hint="eastAsia" w:ascii="仿宋" w:hAnsi="仿宋" w:eastAsia="仿宋" w:cs="仿宋"/>
          <w:color w:val="000000"/>
          <w:sz w:val="32"/>
          <w:szCs w:val="32"/>
          <w:lang w:val="en-US" w:eastAsia="zh-CN"/>
        </w:rPr>
      </w:pPr>
      <w:bookmarkStart w:id="252" w:name="_GoBack"/>
      <w:bookmarkEnd w:id="252"/>
      <w:r>
        <w:rPr>
          <w:rFonts w:hint="eastAsia" w:ascii="仿宋" w:hAnsi="仿宋" w:eastAsia="仿宋" w:cs="仿宋"/>
          <w:color w:val="000000"/>
          <w:sz w:val="32"/>
          <w:szCs w:val="32"/>
          <w:lang w:val="en-US" w:eastAsia="zh-CN"/>
        </w:rPr>
        <w:br w:type="page"/>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9"/>
        <w:gridCol w:w="728"/>
        <w:gridCol w:w="547"/>
        <w:gridCol w:w="489"/>
        <w:gridCol w:w="1259"/>
        <w:gridCol w:w="3224"/>
        <w:gridCol w:w="578"/>
        <w:gridCol w:w="475"/>
      </w:tblGrid>
      <w:tr w14:paraId="151A5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16" w:type="pct"/>
            <w:tcBorders>
              <w:top w:val="nil"/>
              <w:left w:val="nil"/>
              <w:bottom w:val="nil"/>
              <w:right w:val="nil"/>
            </w:tcBorders>
            <w:shd w:val="clear" w:color="auto" w:fill="auto"/>
            <w:noWrap/>
            <w:vAlign w:val="center"/>
          </w:tcPr>
          <w:p w14:paraId="154E97F7">
            <w:pPr>
              <w:keepNext w:val="0"/>
              <w:keepLines w:val="0"/>
              <w:widowControl/>
              <w:suppressLineNumbers w:val="0"/>
              <w:jc w:val="center"/>
              <w:textAlignment w:val="center"/>
              <w:rPr>
                <w:rFonts w:ascii="黑体" w:hAnsi="宋体" w:eastAsia="黑体" w:cs="黑体"/>
                <w:i w:val="0"/>
                <w:iCs w:val="0"/>
                <w:color w:val="000000"/>
                <w:sz w:val="36"/>
                <w:szCs w:val="36"/>
                <w:u w:val="none"/>
              </w:rPr>
            </w:pPr>
            <w:r>
              <w:rPr>
                <w:rFonts w:hint="eastAsia" w:ascii="黑体" w:hAnsi="宋体" w:eastAsia="黑体" w:cs="黑体"/>
                <w:i w:val="0"/>
                <w:iCs w:val="0"/>
                <w:color w:val="000000"/>
                <w:kern w:val="0"/>
                <w:sz w:val="36"/>
                <w:szCs w:val="36"/>
                <w:u w:val="none"/>
                <w:lang w:val="en-US" w:eastAsia="zh-CN" w:bidi="ar"/>
              </w:rPr>
              <w:t>附表1</w:t>
            </w:r>
          </w:p>
        </w:tc>
        <w:tc>
          <w:tcPr>
            <w:tcW w:w="427" w:type="pct"/>
            <w:tcBorders>
              <w:top w:val="nil"/>
              <w:left w:val="nil"/>
              <w:bottom w:val="nil"/>
              <w:right w:val="nil"/>
            </w:tcBorders>
            <w:shd w:val="clear" w:color="auto" w:fill="auto"/>
            <w:vAlign w:val="center"/>
          </w:tcPr>
          <w:p w14:paraId="47F398DE">
            <w:pPr>
              <w:jc w:val="center"/>
              <w:rPr>
                <w:rFonts w:hint="eastAsia" w:ascii="黑体" w:hAnsi="宋体" w:eastAsia="黑体" w:cs="黑体"/>
                <w:i w:val="0"/>
                <w:iCs w:val="0"/>
                <w:color w:val="000000"/>
                <w:sz w:val="36"/>
                <w:szCs w:val="36"/>
                <w:u w:val="none"/>
              </w:rPr>
            </w:pPr>
          </w:p>
        </w:tc>
        <w:tc>
          <w:tcPr>
            <w:tcW w:w="321" w:type="pct"/>
            <w:tcBorders>
              <w:top w:val="nil"/>
              <w:left w:val="nil"/>
              <w:bottom w:val="nil"/>
              <w:right w:val="nil"/>
            </w:tcBorders>
            <w:shd w:val="clear" w:color="auto" w:fill="auto"/>
            <w:vAlign w:val="center"/>
          </w:tcPr>
          <w:p w14:paraId="78368420">
            <w:pPr>
              <w:jc w:val="center"/>
              <w:rPr>
                <w:rFonts w:hint="eastAsia" w:ascii="宋体" w:hAnsi="宋体" w:eastAsia="宋体" w:cs="宋体"/>
                <w:i w:val="0"/>
                <w:iCs w:val="0"/>
                <w:color w:val="000000"/>
                <w:sz w:val="24"/>
                <w:szCs w:val="24"/>
                <w:u w:val="none"/>
              </w:rPr>
            </w:pPr>
          </w:p>
        </w:tc>
        <w:tc>
          <w:tcPr>
            <w:tcW w:w="287" w:type="pct"/>
            <w:tcBorders>
              <w:top w:val="nil"/>
              <w:left w:val="nil"/>
              <w:bottom w:val="nil"/>
              <w:right w:val="nil"/>
            </w:tcBorders>
            <w:shd w:val="clear" w:color="auto" w:fill="auto"/>
            <w:vAlign w:val="center"/>
          </w:tcPr>
          <w:p w14:paraId="766B1139">
            <w:pPr>
              <w:jc w:val="center"/>
              <w:rPr>
                <w:rFonts w:hint="eastAsia" w:ascii="宋体" w:hAnsi="宋体" w:eastAsia="宋体" w:cs="宋体"/>
                <w:i w:val="0"/>
                <w:iCs w:val="0"/>
                <w:color w:val="000000"/>
                <w:sz w:val="24"/>
                <w:szCs w:val="24"/>
                <w:u w:val="none"/>
              </w:rPr>
            </w:pPr>
          </w:p>
        </w:tc>
        <w:tc>
          <w:tcPr>
            <w:tcW w:w="739" w:type="pct"/>
            <w:tcBorders>
              <w:top w:val="nil"/>
              <w:left w:val="nil"/>
              <w:bottom w:val="nil"/>
              <w:right w:val="nil"/>
            </w:tcBorders>
            <w:shd w:val="clear" w:color="auto" w:fill="auto"/>
            <w:vAlign w:val="center"/>
          </w:tcPr>
          <w:p w14:paraId="25871863">
            <w:pPr>
              <w:jc w:val="center"/>
              <w:rPr>
                <w:rFonts w:hint="eastAsia" w:ascii="宋体" w:hAnsi="宋体" w:eastAsia="宋体" w:cs="宋体"/>
                <w:i w:val="0"/>
                <w:iCs w:val="0"/>
                <w:color w:val="000000"/>
                <w:sz w:val="24"/>
                <w:szCs w:val="24"/>
                <w:u w:val="none"/>
              </w:rPr>
            </w:pPr>
          </w:p>
        </w:tc>
        <w:tc>
          <w:tcPr>
            <w:tcW w:w="1892" w:type="pct"/>
            <w:tcBorders>
              <w:top w:val="nil"/>
              <w:left w:val="nil"/>
              <w:bottom w:val="nil"/>
              <w:right w:val="nil"/>
            </w:tcBorders>
            <w:shd w:val="clear" w:color="auto" w:fill="auto"/>
            <w:vAlign w:val="center"/>
          </w:tcPr>
          <w:p w14:paraId="39B01B50">
            <w:pPr>
              <w:jc w:val="center"/>
              <w:rPr>
                <w:rFonts w:hint="eastAsia" w:ascii="宋体" w:hAnsi="宋体" w:eastAsia="宋体" w:cs="宋体"/>
                <w:i w:val="0"/>
                <w:iCs w:val="0"/>
                <w:color w:val="000000"/>
                <w:sz w:val="16"/>
                <w:szCs w:val="16"/>
                <w:u w:val="none"/>
              </w:rPr>
            </w:pPr>
          </w:p>
        </w:tc>
        <w:tc>
          <w:tcPr>
            <w:tcW w:w="339" w:type="pct"/>
            <w:tcBorders>
              <w:top w:val="nil"/>
              <w:left w:val="nil"/>
              <w:bottom w:val="nil"/>
              <w:right w:val="nil"/>
            </w:tcBorders>
            <w:shd w:val="clear" w:color="auto" w:fill="auto"/>
            <w:vAlign w:val="center"/>
          </w:tcPr>
          <w:p w14:paraId="0848114F">
            <w:pPr>
              <w:jc w:val="center"/>
              <w:rPr>
                <w:rFonts w:hint="eastAsia" w:ascii="宋体" w:hAnsi="宋体" w:eastAsia="宋体" w:cs="宋体"/>
                <w:i w:val="0"/>
                <w:iCs w:val="0"/>
                <w:color w:val="000000"/>
                <w:sz w:val="24"/>
                <w:szCs w:val="24"/>
                <w:u w:val="none"/>
              </w:rPr>
            </w:pPr>
          </w:p>
        </w:tc>
        <w:tc>
          <w:tcPr>
            <w:tcW w:w="276" w:type="pct"/>
            <w:tcBorders>
              <w:top w:val="nil"/>
              <w:left w:val="nil"/>
              <w:bottom w:val="nil"/>
              <w:right w:val="nil"/>
            </w:tcBorders>
            <w:shd w:val="clear" w:color="auto" w:fill="auto"/>
            <w:vAlign w:val="center"/>
          </w:tcPr>
          <w:p w14:paraId="21110F24">
            <w:pPr>
              <w:jc w:val="center"/>
              <w:rPr>
                <w:rFonts w:hint="eastAsia" w:ascii="宋体" w:hAnsi="宋体" w:eastAsia="宋体" w:cs="宋体"/>
                <w:i w:val="0"/>
                <w:iCs w:val="0"/>
                <w:color w:val="000000"/>
                <w:sz w:val="24"/>
                <w:szCs w:val="24"/>
                <w:u w:val="none"/>
              </w:rPr>
            </w:pPr>
          </w:p>
        </w:tc>
      </w:tr>
      <w:tr w14:paraId="460FB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auto" w:fill="auto"/>
            <w:vAlign w:val="center"/>
          </w:tcPr>
          <w:p w14:paraId="23C0AC94">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8"/>
                <w:szCs w:val="48"/>
                <w:u w:val="none"/>
              </w:rPr>
            </w:pPr>
            <w:r>
              <w:rPr>
                <w:rFonts w:hint="eastAsia" w:ascii="黑体" w:hAnsi="黑体" w:eastAsia="黑体" w:cs="黑体"/>
                <w:b w:val="0"/>
                <w:bCs w:val="0"/>
                <w:i w:val="0"/>
                <w:iCs w:val="0"/>
                <w:color w:val="000000"/>
                <w:kern w:val="0"/>
                <w:sz w:val="48"/>
                <w:szCs w:val="48"/>
                <w:u w:val="none"/>
                <w:lang w:val="en-US" w:eastAsia="zh-CN" w:bidi="ar"/>
              </w:rPr>
              <w:t>部门整体支出绩效自评表</w:t>
            </w:r>
          </w:p>
        </w:tc>
      </w:tr>
      <w:tr w14:paraId="0265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7C05FB">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绩效指标</w:t>
            </w:r>
          </w:p>
        </w:tc>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F7F8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指标解释</w:t>
            </w:r>
          </w:p>
        </w:tc>
        <w:tc>
          <w:tcPr>
            <w:tcW w:w="18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FEFC2B">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评分说明</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30F7A">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自评得分</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189F6">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078E6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16" w:type="pct"/>
            <w:tcBorders>
              <w:top w:val="single" w:color="000000" w:sz="4" w:space="0"/>
              <w:left w:val="single" w:color="000000" w:sz="4" w:space="0"/>
              <w:bottom w:val="single" w:color="000000" w:sz="4" w:space="0"/>
              <w:right w:val="nil"/>
            </w:tcBorders>
            <w:shd w:val="clear" w:color="auto" w:fill="auto"/>
            <w:vAlign w:val="center"/>
          </w:tcPr>
          <w:p w14:paraId="69806DE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一级指标</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51B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二级指标</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BFF3A">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三级指标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9179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指标分值</w:t>
            </w:r>
          </w:p>
        </w:tc>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9C0FD">
            <w:pPr>
              <w:jc w:val="center"/>
              <w:rPr>
                <w:rFonts w:hint="eastAsia" w:ascii="黑体" w:hAnsi="宋体" w:eastAsia="黑体" w:cs="黑体"/>
                <w:i w:val="0"/>
                <w:iCs w:val="0"/>
                <w:color w:val="000000"/>
                <w:sz w:val="24"/>
                <w:szCs w:val="24"/>
                <w:u w:val="none"/>
              </w:rPr>
            </w:pPr>
          </w:p>
        </w:tc>
        <w:tc>
          <w:tcPr>
            <w:tcW w:w="18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C3D03">
            <w:pPr>
              <w:jc w:val="center"/>
              <w:rPr>
                <w:rFonts w:hint="eastAsia" w:ascii="黑体" w:hAnsi="宋体" w:eastAsia="黑体" w:cs="黑体"/>
                <w:i w:val="0"/>
                <w:iCs w:val="0"/>
                <w:color w:val="000000"/>
                <w:sz w:val="24"/>
                <w:szCs w:val="24"/>
                <w:u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6D884">
            <w:pPr>
              <w:jc w:val="center"/>
              <w:rPr>
                <w:rFonts w:hint="eastAsia" w:ascii="黑体" w:hAnsi="宋体" w:eastAsia="黑体" w:cs="黑体"/>
                <w:i w:val="0"/>
                <w:iCs w:val="0"/>
                <w:color w:val="000000"/>
                <w:sz w:val="24"/>
                <w:szCs w:val="24"/>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D159A">
            <w:pPr>
              <w:jc w:val="center"/>
              <w:rPr>
                <w:rFonts w:hint="eastAsia" w:ascii="黑体" w:hAnsi="宋体" w:eastAsia="黑体" w:cs="黑体"/>
                <w:i w:val="0"/>
                <w:iCs w:val="0"/>
                <w:color w:val="000000"/>
                <w:sz w:val="24"/>
                <w:szCs w:val="24"/>
                <w:u w:val="none"/>
              </w:rPr>
            </w:pPr>
          </w:p>
        </w:tc>
      </w:tr>
      <w:tr w14:paraId="46564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1112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总体绩效</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（65分）</w:t>
            </w:r>
          </w:p>
        </w:tc>
        <w:tc>
          <w:tcPr>
            <w:tcW w:w="427" w:type="pct"/>
            <w:vMerge w:val="restart"/>
            <w:tcBorders>
              <w:top w:val="single" w:color="000000" w:sz="4" w:space="0"/>
              <w:left w:val="single" w:color="000000" w:sz="4" w:space="0"/>
              <w:bottom w:val="nil"/>
              <w:right w:val="single" w:color="000000" w:sz="4" w:space="0"/>
            </w:tcBorders>
            <w:shd w:val="clear" w:color="auto" w:fill="auto"/>
            <w:vAlign w:val="center"/>
          </w:tcPr>
          <w:p w14:paraId="73FD2C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履职效能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（19分）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E9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强化基层党建履职效果</w:t>
            </w:r>
          </w:p>
        </w:tc>
        <w:tc>
          <w:tcPr>
            <w:tcW w:w="287" w:type="pct"/>
            <w:vMerge w:val="restart"/>
            <w:tcBorders>
              <w:top w:val="single" w:color="000000" w:sz="4" w:space="0"/>
              <w:left w:val="single" w:color="000000" w:sz="4" w:space="0"/>
              <w:bottom w:val="nil"/>
              <w:right w:val="single" w:color="000000" w:sz="4" w:space="0"/>
            </w:tcBorders>
            <w:shd w:val="clear" w:color="auto" w:fill="auto"/>
            <w:vAlign w:val="center"/>
          </w:tcPr>
          <w:p w14:paraId="1EBDA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39" w:type="pct"/>
            <w:vMerge w:val="restart"/>
            <w:tcBorders>
              <w:top w:val="single" w:color="000000" w:sz="4" w:space="0"/>
              <w:left w:val="single" w:color="000000" w:sz="4" w:space="0"/>
              <w:bottom w:val="nil"/>
              <w:right w:val="single" w:color="000000" w:sz="4" w:space="0"/>
            </w:tcBorders>
            <w:shd w:val="clear" w:color="auto" w:fill="auto"/>
            <w:vAlign w:val="center"/>
          </w:tcPr>
          <w:p w14:paraId="568C07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部门整体绩效目标中选定4-6个核心职能目标，反映该项职能目标完成效果情况</w:t>
            </w:r>
          </w:p>
        </w:tc>
        <w:tc>
          <w:tcPr>
            <w:tcW w:w="1892" w:type="pct"/>
            <w:vMerge w:val="restart"/>
            <w:tcBorders>
              <w:top w:val="single" w:color="000000" w:sz="4" w:space="0"/>
              <w:left w:val="single" w:color="000000" w:sz="4" w:space="0"/>
              <w:bottom w:val="nil"/>
              <w:right w:val="single" w:color="000000" w:sz="4" w:space="0"/>
            </w:tcBorders>
            <w:shd w:val="clear" w:color="auto" w:fill="auto"/>
            <w:vAlign w:val="center"/>
          </w:tcPr>
          <w:p w14:paraId="49E95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整体绩效目标中选定4-6个可量化计算、可评价的核心职能目标，分别设定指标分值、指标解释、评分方法和评分说明，总分值不超过10分。该项指标得分=年终完成履职效果目标数量÷年初目标设置总数×100%×指标分值。履职效能总分为各项履职效果得分的和。</w:t>
            </w:r>
          </w:p>
        </w:tc>
        <w:tc>
          <w:tcPr>
            <w:tcW w:w="339" w:type="pct"/>
            <w:vMerge w:val="restart"/>
            <w:tcBorders>
              <w:top w:val="single" w:color="000000" w:sz="4" w:space="0"/>
              <w:left w:val="single" w:color="000000" w:sz="4" w:space="0"/>
              <w:bottom w:val="nil"/>
              <w:right w:val="single" w:color="000000" w:sz="4" w:space="0"/>
            </w:tcBorders>
            <w:shd w:val="clear" w:color="auto" w:fill="auto"/>
            <w:vAlign w:val="center"/>
          </w:tcPr>
          <w:p w14:paraId="6D1CF1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6" w:type="pct"/>
            <w:vMerge w:val="restart"/>
            <w:tcBorders>
              <w:top w:val="single" w:color="000000" w:sz="4" w:space="0"/>
              <w:left w:val="single" w:color="000000" w:sz="4" w:space="0"/>
              <w:bottom w:val="nil"/>
              <w:right w:val="single" w:color="000000" w:sz="4" w:space="0"/>
            </w:tcBorders>
            <w:shd w:val="clear" w:color="auto" w:fill="auto"/>
            <w:vAlign w:val="center"/>
          </w:tcPr>
          <w:p w14:paraId="4ACB5963">
            <w:pPr>
              <w:jc w:val="center"/>
              <w:rPr>
                <w:rFonts w:hint="eastAsia" w:ascii="宋体" w:hAnsi="宋体" w:eastAsia="宋体" w:cs="宋体"/>
                <w:i w:val="0"/>
                <w:iCs w:val="0"/>
                <w:color w:val="000000"/>
                <w:sz w:val="24"/>
                <w:szCs w:val="24"/>
                <w:u w:val="none"/>
              </w:rPr>
            </w:pPr>
          </w:p>
        </w:tc>
      </w:tr>
      <w:tr w14:paraId="419C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9732F">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00BAE9FF">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620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促进乡村振兴履职效果</w:t>
            </w:r>
          </w:p>
        </w:tc>
        <w:tc>
          <w:tcPr>
            <w:tcW w:w="287" w:type="pct"/>
            <w:vMerge w:val="continue"/>
            <w:tcBorders>
              <w:top w:val="single" w:color="000000" w:sz="4" w:space="0"/>
              <w:left w:val="single" w:color="000000" w:sz="4" w:space="0"/>
              <w:bottom w:val="nil"/>
              <w:right w:val="single" w:color="000000" w:sz="4" w:space="0"/>
            </w:tcBorders>
            <w:shd w:val="clear" w:color="auto" w:fill="auto"/>
            <w:vAlign w:val="center"/>
          </w:tcPr>
          <w:p w14:paraId="59753DBC">
            <w:pPr>
              <w:jc w:val="center"/>
              <w:rPr>
                <w:rFonts w:hint="eastAsia" w:ascii="宋体" w:hAnsi="宋体" w:eastAsia="宋体" w:cs="宋体"/>
                <w:i w:val="0"/>
                <w:iCs w:val="0"/>
                <w:color w:val="000000"/>
                <w:sz w:val="24"/>
                <w:szCs w:val="24"/>
                <w:u w:val="none"/>
              </w:rPr>
            </w:pPr>
          </w:p>
        </w:tc>
        <w:tc>
          <w:tcPr>
            <w:tcW w:w="739" w:type="pct"/>
            <w:vMerge w:val="continue"/>
            <w:tcBorders>
              <w:top w:val="single" w:color="000000" w:sz="4" w:space="0"/>
              <w:left w:val="single" w:color="000000" w:sz="4" w:space="0"/>
              <w:bottom w:val="nil"/>
              <w:right w:val="single" w:color="000000" w:sz="4" w:space="0"/>
            </w:tcBorders>
            <w:shd w:val="clear" w:color="auto" w:fill="auto"/>
            <w:vAlign w:val="center"/>
          </w:tcPr>
          <w:p w14:paraId="53B3CE5A">
            <w:pPr>
              <w:jc w:val="center"/>
              <w:rPr>
                <w:rFonts w:hint="eastAsia" w:ascii="宋体" w:hAnsi="宋体" w:eastAsia="宋体" w:cs="宋体"/>
                <w:i w:val="0"/>
                <w:iCs w:val="0"/>
                <w:color w:val="000000"/>
                <w:sz w:val="24"/>
                <w:szCs w:val="24"/>
                <w:u w:val="none"/>
              </w:rPr>
            </w:pPr>
          </w:p>
        </w:tc>
        <w:tc>
          <w:tcPr>
            <w:tcW w:w="1892" w:type="pct"/>
            <w:vMerge w:val="continue"/>
            <w:tcBorders>
              <w:top w:val="single" w:color="000000" w:sz="4" w:space="0"/>
              <w:left w:val="single" w:color="000000" w:sz="4" w:space="0"/>
              <w:bottom w:val="nil"/>
              <w:right w:val="single" w:color="000000" w:sz="4" w:space="0"/>
            </w:tcBorders>
            <w:shd w:val="clear" w:color="auto" w:fill="auto"/>
            <w:vAlign w:val="center"/>
          </w:tcPr>
          <w:p w14:paraId="70FDA493">
            <w:pPr>
              <w:jc w:val="center"/>
              <w:rPr>
                <w:rFonts w:hint="eastAsia" w:ascii="宋体" w:hAnsi="宋体" w:eastAsia="宋体" w:cs="宋体"/>
                <w:i w:val="0"/>
                <w:iCs w:val="0"/>
                <w:color w:val="000000"/>
                <w:sz w:val="24"/>
                <w:szCs w:val="24"/>
                <w:u w:val="none"/>
              </w:rPr>
            </w:pPr>
          </w:p>
        </w:tc>
        <w:tc>
          <w:tcPr>
            <w:tcW w:w="339" w:type="pct"/>
            <w:vMerge w:val="continue"/>
            <w:tcBorders>
              <w:top w:val="single" w:color="000000" w:sz="4" w:space="0"/>
              <w:left w:val="single" w:color="000000" w:sz="4" w:space="0"/>
              <w:bottom w:val="nil"/>
              <w:right w:val="single" w:color="000000" w:sz="4" w:space="0"/>
            </w:tcBorders>
            <w:shd w:val="clear" w:color="auto" w:fill="auto"/>
            <w:vAlign w:val="center"/>
          </w:tcPr>
          <w:p w14:paraId="23C0A105">
            <w:pPr>
              <w:jc w:val="center"/>
              <w:rPr>
                <w:rFonts w:hint="eastAsia" w:ascii="宋体" w:hAnsi="宋体" w:eastAsia="宋体" w:cs="宋体"/>
                <w:i w:val="0"/>
                <w:iCs w:val="0"/>
                <w:color w:val="000000"/>
                <w:sz w:val="24"/>
                <w:szCs w:val="24"/>
                <w:u w:val="none"/>
              </w:rPr>
            </w:pPr>
          </w:p>
        </w:tc>
        <w:tc>
          <w:tcPr>
            <w:tcW w:w="276" w:type="pct"/>
            <w:vMerge w:val="continue"/>
            <w:tcBorders>
              <w:top w:val="single" w:color="000000" w:sz="4" w:space="0"/>
              <w:left w:val="single" w:color="000000" w:sz="4" w:space="0"/>
              <w:bottom w:val="nil"/>
              <w:right w:val="single" w:color="000000" w:sz="4" w:space="0"/>
            </w:tcBorders>
            <w:shd w:val="clear" w:color="auto" w:fill="auto"/>
            <w:vAlign w:val="center"/>
          </w:tcPr>
          <w:p w14:paraId="40A80B73">
            <w:pPr>
              <w:jc w:val="center"/>
              <w:rPr>
                <w:rFonts w:hint="eastAsia" w:ascii="宋体" w:hAnsi="宋体" w:eastAsia="宋体" w:cs="宋体"/>
                <w:i w:val="0"/>
                <w:iCs w:val="0"/>
                <w:color w:val="000000"/>
                <w:sz w:val="24"/>
                <w:szCs w:val="24"/>
                <w:u w:val="none"/>
              </w:rPr>
            </w:pPr>
          </w:p>
        </w:tc>
      </w:tr>
      <w:tr w14:paraId="54AE0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862EF">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22BDD30D">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7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聚焦改革创新履职效果</w:t>
            </w:r>
          </w:p>
        </w:tc>
        <w:tc>
          <w:tcPr>
            <w:tcW w:w="287" w:type="pct"/>
            <w:vMerge w:val="continue"/>
            <w:tcBorders>
              <w:top w:val="single" w:color="000000" w:sz="4" w:space="0"/>
              <w:left w:val="single" w:color="000000" w:sz="4" w:space="0"/>
              <w:bottom w:val="nil"/>
              <w:right w:val="single" w:color="000000" w:sz="4" w:space="0"/>
            </w:tcBorders>
            <w:shd w:val="clear" w:color="auto" w:fill="auto"/>
            <w:vAlign w:val="center"/>
          </w:tcPr>
          <w:p w14:paraId="3209C8AA">
            <w:pPr>
              <w:jc w:val="center"/>
              <w:rPr>
                <w:rFonts w:hint="eastAsia" w:ascii="宋体" w:hAnsi="宋体" w:eastAsia="宋体" w:cs="宋体"/>
                <w:i w:val="0"/>
                <w:iCs w:val="0"/>
                <w:color w:val="000000"/>
                <w:sz w:val="24"/>
                <w:szCs w:val="24"/>
                <w:u w:val="none"/>
              </w:rPr>
            </w:pPr>
          </w:p>
        </w:tc>
        <w:tc>
          <w:tcPr>
            <w:tcW w:w="739" w:type="pct"/>
            <w:vMerge w:val="continue"/>
            <w:tcBorders>
              <w:top w:val="single" w:color="000000" w:sz="4" w:space="0"/>
              <w:left w:val="single" w:color="000000" w:sz="4" w:space="0"/>
              <w:bottom w:val="nil"/>
              <w:right w:val="single" w:color="000000" w:sz="4" w:space="0"/>
            </w:tcBorders>
            <w:shd w:val="clear" w:color="auto" w:fill="auto"/>
            <w:vAlign w:val="center"/>
          </w:tcPr>
          <w:p w14:paraId="616AA6E4">
            <w:pPr>
              <w:jc w:val="center"/>
              <w:rPr>
                <w:rFonts w:hint="eastAsia" w:ascii="宋体" w:hAnsi="宋体" w:eastAsia="宋体" w:cs="宋体"/>
                <w:i w:val="0"/>
                <w:iCs w:val="0"/>
                <w:color w:val="000000"/>
                <w:sz w:val="24"/>
                <w:szCs w:val="24"/>
                <w:u w:val="none"/>
              </w:rPr>
            </w:pPr>
          </w:p>
        </w:tc>
        <w:tc>
          <w:tcPr>
            <w:tcW w:w="1892" w:type="pct"/>
            <w:vMerge w:val="continue"/>
            <w:tcBorders>
              <w:top w:val="single" w:color="000000" w:sz="4" w:space="0"/>
              <w:left w:val="single" w:color="000000" w:sz="4" w:space="0"/>
              <w:bottom w:val="nil"/>
              <w:right w:val="single" w:color="000000" w:sz="4" w:space="0"/>
            </w:tcBorders>
            <w:shd w:val="clear" w:color="auto" w:fill="auto"/>
            <w:vAlign w:val="center"/>
          </w:tcPr>
          <w:p w14:paraId="10B1AEE8">
            <w:pPr>
              <w:jc w:val="center"/>
              <w:rPr>
                <w:rFonts w:hint="eastAsia" w:ascii="宋体" w:hAnsi="宋体" w:eastAsia="宋体" w:cs="宋体"/>
                <w:i w:val="0"/>
                <w:iCs w:val="0"/>
                <w:color w:val="000000"/>
                <w:sz w:val="24"/>
                <w:szCs w:val="24"/>
                <w:u w:val="none"/>
              </w:rPr>
            </w:pPr>
          </w:p>
        </w:tc>
        <w:tc>
          <w:tcPr>
            <w:tcW w:w="339" w:type="pct"/>
            <w:vMerge w:val="continue"/>
            <w:tcBorders>
              <w:top w:val="single" w:color="000000" w:sz="4" w:space="0"/>
              <w:left w:val="single" w:color="000000" w:sz="4" w:space="0"/>
              <w:bottom w:val="nil"/>
              <w:right w:val="single" w:color="000000" w:sz="4" w:space="0"/>
            </w:tcBorders>
            <w:shd w:val="clear" w:color="auto" w:fill="auto"/>
            <w:vAlign w:val="center"/>
          </w:tcPr>
          <w:p w14:paraId="1E75E904">
            <w:pPr>
              <w:jc w:val="center"/>
              <w:rPr>
                <w:rFonts w:hint="eastAsia" w:ascii="宋体" w:hAnsi="宋体" w:eastAsia="宋体" w:cs="宋体"/>
                <w:i w:val="0"/>
                <w:iCs w:val="0"/>
                <w:color w:val="000000"/>
                <w:sz w:val="24"/>
                <w:szCs w:val="24"/>
                <w:u w:val="none"/>
              </w:rPr>
            </w:pPr>
          </w:p>
        </w:tc>
        <w:tc>
          <w:tcPr>
            <w:tcW w:w="276" w:type="pct"/>
            <w:vMerge w:val="continue"/>
            <w:tcBorders>
              <w:top w:val="single" w:color="000000" w:sz="4" w:space="0"/>
              <w:left w:val="single" w:color="000000" w:sz="4" w:space="0"/>
              <w:bottom w:val="nil"/>
              <w:right w:val="single" w:color="000000" w:sz="4" w:space="0"/>
            </w:tcBorders>
            <w:shd w:val="clear" w:color="auto" w:fill="auto"/>
            <w:vAlign w:val="center"/>
          </w:tcPr>
          <w:p w14:paraId="02AA7E44">
            <w:pPr>
              <w:jc w:val="center"/>
              <w:rPr>
                <w:rFonts w:hint="eastAsia" w:ascii="宋体" w:hAnsi="宋体" w:eastAsia="宋体" w:cs="宋体"/>
                <w:i w:val="0"/>
                <w:iCs w:val="0"/>
                <w:color w:val="000000"/>
                <w:sz w:val="24"/>
                <w:szCs w:val="24"/>
                <w:u w:val="none"/>
              </w:rPr>
            </w:pPr>
          </w:p>
        </w:tc>
      </w:tr>
      <w:tr w14:paraId="115B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C18E1">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4D70538C">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6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办好民生实事履职效果</w:t>
            </w:r>
          </w:p>
        </w:tc>
        <w:tc>
          <w:tcPr>
            <w:tcW w:w="287" w:type="pct"/>
            <w:vMerge w:val="continue"/>
            <w:tcBorders>
              <w:top w:val="single" w:color="000000" w:sz="4" w:space="0"/>
              <w:left w:val="single" w:color="000000" w:sz="4" w:space="0"/>
              <w:bottom w:val="nil"/>
              <w:right w:val="single" w:color="000000" w:sz="4" w:space="0"/>
            </w:tcBorders>
            <w:shd w:val="clear" w:color="auto" w:fill="auto"/>
            <w:vAlign w:val="center"/>
          </w:tcPr>
          <w:p w14:paraId="4C371C51">
            <w:pPr>
              <w:jc w:val="center"/>
              <w:rPr>
                <w:rFonts w:hint="eastAsia" w:ascii="宋体" w:hAnsi="宋体" w:eastAsia="宋体" w:cs="宋体"/>
                <w:i w:val="0"/>
                <w:iCs w:val="0"/>
                <w:color w:val="000000"/>
                <w:sz w:val="24"/>
                <w:szCs w:val="24"/>
                <w:u w:val="none"/>
              </w:rPr>
            </w:pPr>
          </w:p>
        </w:tc>
        <w:tc>
          <w:tcPr>
            <w:tcW w:w="739" w:type="pct"/>
            <w:vMerge w:val="continue"/>
            <w:tcBorders>
              <w:top w:val="single" w:color="000000" w:sz="4" w:space="0"/>
              <w:left w:val="single" w:color="000000" w:sz="4" w:space="0"/>
              <w:bottom w:val="nil"/>
              <w:right w:val="single" w:color="000000" w:sz="4" w:space="0"/>
            </w:tcBorders>
            <w:shd w:val="clear" w:color="auto" w:fill="auto"/>
            <w:vAlign w:val="center"/>
          </w:tcPr>
          <w:p w14:paraId="1BC24DD6">
            <w:pPr>
              <w:jc w:val="center"/>
              <w:rPr>
                <w:rFonts w:hint="eastAsia" w:ascii="宋体" w:hAnsi="宋体" w:eastAsia="宋体" w:cs="宋体"/>
                <w:i w:val="0"/>
                <w:iCs w:val="0"/>
                <w:color w:val="000000"/>
                <w:sz w:val="24"/>
                <w:szCs w:val="24"/>
                <w:u w:val="none"/>
              </w:rPr>
            </w:pPr>
          </w:p>
        </w:tc>
        <w:tc>
          <w:tcPr>
            <w:tcW w:w="1892" w:type="pct"/>
            <w:vMerge w:val="continue"/>
            <w:tcBorders>
              <w:top w:val="single" w:color="000000" w:sz="4" w:space="0"/>
              <w:left w:val="single" w:color="000000" w:sz="4" w:space="0"/>
              <w:bottom w:val="nil"/>
              <w:right w:val="single" w:color="000000" w:sz="4" w:space="0"/>
            </w:tcBorders>
            <w:shd w:val="clear" w:color="auto" w:fill="auto"/>
            <w:vAlign w:val="center"/>
          </w:tcPr>
          <w:p w14:paraId="14625D40">
            <w:pPr>
              <w:jc w:val="center"/>
              <w:rPr>
                <w:rFonts w:hint="eastAsia" w:ascii="宋体" w:hAnsi="宋体" w:eastAsia="宋体" w:cs="宋体"/>
                <w:i w:val="0"/>
                <w:iCs w:val="0"/>
                <w:color w:val="000000"/>
                <w:sz w:val="24"/>
                <w:szCs w:val="24"/>
                <w:u w:val="none"/>
              </w:rPr>
            </w:pPr>
          </w:p>
        </w:tc>
        <w:tc>
          <w:tcPr>
            <w:tcW w:w="339" w:type="pct"/>
            <w:vMerge w:val="continue"/>
            <w:tcBorders>
              <w:top w:val="single" w:color="000000" w:sz="4" w:space="0"/>
              <w:left w:val="single" w:color="000000" w:sz="4" w:space="0"/>
              <w:bottom w:val="nil"/>
              <w:right w:val="single" w:color="000000" w:sz="4" w:space="0"/>
            </w:tcBorders>
            <w:shd w:val="clear" w:color="auto" w:fill="auto"/>
            <w:vAlign w:val="center"/>
          </w:tcPr>
          <w:p w14:paraId="75E07593">
            <w:pPr>
              <w:jc w:val="center"/>
              <w:rPr>
                <w:rFonts w:hint="eastAsia" w:ascii="宋体" w:hAnsi="宋体" w:eastAsia="宋体" w:cs="宋体"/>
                <w:i w:val="0"/>
                <w:iCs w:val="0"/>
                <w:color w:val="000000"/>
                <w:sz w:val="24"/>
                <w:szCs w:val="24"/>
                <w:u w:val="none"/>
              </w:rPr>
            </w:pPr>
          </w:p>
        </w:tc>
        <w:tc>
          <w:tcPr>
            <w:tcW w:w="276" w:type="pct"/>
            <w:vMerge w:val="continue"/>
            <w:tcBorders>
              <w:top w:val="single" w:color="000000" w:sz="4" w:space="0"/>
              <w:left w:val="single" w:color="000000" w:sz="4" w:space="0"/>
              <w:bottom w:val="nil"/>
              <w:right w:val="single" w:color="000000" w:sz="4" w:space="0"/>
            </w:tcBorders>
            <w:shd w:val="clear" w:color="auto" w:fill="auto"/>
            <w:vAlign w:val="center"/>
          </w:tcPr>
          <w:p w14:paraId="3A161D6A">
            <w:pPr>
              <w:jc w:val="center"/>
              <w:rPr>
                <w:rFonts w:hint="eastAsia" w:ascii="宋体" w:hAnsi="宋体" w:eastAsia="宋体" w:cs="宋体"/>
                <w:i w:val="0"/>
                <w:iCs w:val="0"/>
                <w:color w:val="000000"/>
                <w:sz w:val="24"/>
                <w:szCs w:val="24"/>
                <w:u w:val="none"/>
              </w:rPr>
            </w:pPr>
          </w:p>
        </w:tc>
      </w:tr>
      <w:tr w14:paraId="62D3E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E7D69">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46C8785A">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5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加强社会治理履职效果</w:t>
            </w:r>
          </w:p>
        </w:tc>
        <w:tc>
          <w:tcPr>
            <w:tcW w:w="287" w:type="pct"/>
            <w:vMerge w:val="continue"/>
            <w:tcBorders>
              <w:top w:val="single" w:color="000000" w:sz="4" w:space="0"/>
              <w:left w:val="single" w:color="000000" w:sz="4" w:space="0"/>
              <w:bottom w:val="nil"/>
              <w:right w:val="single" w:color="000000" w:sz="4" w:space="0"/>
            </w:tcBorders>
            <w:shd w:val="clear" w:color="auto" w:fill="auto"/>
            <w:vAlign w:val="center"/>
          </w:tcPr>
          <w:p w14:paraId="2FF3587D">
            <w:pPr>
              <w:jc w:val="center"/>
              <w:rPr>
                <w:rFonts w:hint="eastAsia" w:ascii="宋体" w:hAnsi="宋体" w:eastAsia="宋体" w:cs="宋体"/>
                <w:i w:val="0"/>
                <w:iCs w:val="0"/>
                <w:color w:val="000000"/>
                <w:sz w:val="24"/>
                <w:szCs w:val="24"/>
                <w:u w:val="none"/>
              </w:rPr>
            </w:pPr>
          </w:p>
        </w:tc>
        <w:tc>
          <w:tcPr>
            <w:tcW w:w="739" w:type="pct"/>
            <w:vMerge w:val="continue"/>
            <w:tcBorders>
              <w:top w:val="single" w:color="000000" w:sz="4" w:space="0"/>
              <w:left w:val="single" w:color="000000" w:sz="4" w:space="0"/>
              <w:bottom w:val="nil"/>
              <w:right w:val="single" w:color="000000" w:sz="4" w:space="0"/>
            </w:tcBorders>
            <w:shd w:val="clear" w:color="auto" w:fill="auto"/>
            <w:vAlign w:val="center"/>
          </w:tcPr>
          <w:p w14:paraId="51B3058B">
            <w:pPr>
              <w:jc w:val="center"/>
              <w:rPr>
                <w:rFonts w:hint="eastAsia" w:ascii="宋体" w:hAnsi="宋体" w:eastAsia="宋体" w:cs="宋体"/>
                <w:i w:val="0"/>
                <w:iCs w:val="0"/>
                <w:color w:val="000000"/>
                <w:sz w:val="24"/>
                <w:szCs w:val="24"/>
                <w:u w:val="none"/>
              </w:rPr>
            </w:pPr>
          </w:p>
        </w:tc>
        <w:tc>
          <w:tcPr>
            <w:tcW w:w="1892" w:type="pct"/>
            <w:vMerge w:val="continue"/>
            <w:tcBorders>
              <w:top w:val="single" w:color="000000" w:sz="4" w:space="0"/>
              <w:left w:val="single" w:color="000000" w:sz="4" w:space="0"/>
              <w:bottom w:val="nil"/>
              <w:right w:val="single" w:color="000000" w:sz="4" w:space="0"/>
            </w:tcBorders>
            <w:shd w:val="clear" w:color="auto" w:fill="auto"/>
            <w:vAlign w:val="center"/>
          </w:tcPr>
          <w:p w14:paraId="50D71CD6">
            <w:pPr>
              <w:jc w:val="center"/>
              <w:rPr>
                <w:rFonts w:hint="eastAsia" w:ascii="宋体" w:hAnsi="宋体" w:eastAsia="宋体" w:cs="宋体"/>
                <w:i w:val="0"/>
                <w:iCs w:val="0"/>
                <w:color w:val="000000"/>
                <w:sz w:val="24"/>
                <w:szCs w:val="24"/>
                <w:u w:val="none"/>
              </w:rPr>
            </w:pPr>
          </w:p>
        </w:tc>
        <w:tc>
          <w:tcPr>
            <w:tcW w:w="339" w:type="pct"/>
            <w:vMerge w:val="continue"/>
            <w:tcBorders>
              <w:top w:val="single" w:color="000000" w:sz="4" w:space="0"/>
              <w:left w:val="single" w:color="000000" w:sz="4" w:space="0"/>
              <w:bottom w:val="nil"/>
              <w:right w:val="single" w:color="000000" w:sz="4" w:space="0"/>
            </w:tcBorders>
            <w:shd w:val="clear" w:color="auto" w:fill="auto"/>
            <w:vAlign w:val="center"/>
          </w:tcPr>
          <w:p w14:paraId="0166D112">
            <w:pPr>
              <w:jc w:val="center"/>
              <w:rPr>
                <w:rFonts w:hint="eastAsia" w:ascii="宋体" w:hAnsi="宋体" w:eastAsia="宋体" w:cs="宋体"/>
                <w:i w:val="0"/>
                <w:iCs w:val="0"/>
                <w:color w:val="000000"/>
                <w:sz w:val="24"/>
                <w:szCs w:val="24"/>
                <w:u w:val="none"/>
              </w:rPr>
            </w:pPr>
          </w:p>
        </w:tc>
        <w:tc>
          <w:tcPr>
            <w:tcW w:w="276" w:type="pct"/>
            <w:vMerge w:val="continue"/>
            <w:tcBorders>
              <w:top w:val="single" w:color="000000" w:sz="4" w:space="0"/>
              <w:left w:val="single" w:color="000000" w:sz="4" w:space="0"/>
              <w:bottom w:val="nil"/>
              <w:right w:val="single" w:color="000000" w:sz="4" w:space="0"/>
            </w:tcBorders>
            <w:shd w:val="clear" w:color="auto" w:fill="auto"/>
            <w:vAlign w:val="center"/>
          </w:tcPr>
          <w:p w14:paraId="18C99385">
            <w:pPr>
              <w:jc w:val="center"/>
              <w:rPr>
                <w:rFonts w:hint="eastAsia" w:ascii="宋体" w:hAnsi="宋体" w:eastAsia="宋体" w:cs="宋体"/>
                <w:i w:val="0"/>
                <w:iCs w:val="0"/>
                <w:color w:val="000000"/>
                <w:sz w:val="24"/>
                <w:szCs w:val="24"/>
                <w:u w:val="none"/>
              </w:rPr>
            </w:pPr>
          </w:p>
        </w:tc>
      </w:tr>
      <w:tr w14:paraId="0EEEC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467A0">
            <w:pPr>
              <w:jc w:val="center"/>
              <w:rPr>
                <w:rFonts w:hint="eastAsia" w:ascii="宋体" w:hAnsi="宋体" w:eastAsia="宋体" w:cs="宋体"/>
                <w:b/>
                <w:bCs/>
                <w:i w:val="0"/>
                <w:iCs w:val="0"/>
                <w:color w:val="000000"/>
                <w:sz w:val="24"/>
                <w:szCs w:val="24"/>
                <w:u w:val="none"/>
              </w:rPr>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7C144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（21分）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61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预算编制质量</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73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32E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部门是否严格按要求编制年初部门预算，年初预算编制的科学性和准确性</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A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该项指标得分=（1-财政拨款预算偏离度）×100%×8。偏离度=|预算执行数-调整预算数|÷调整预算数。</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E88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A6AE7">
            <w:pPr>
              <w:jc w:val="center"/>
              <w:rPr>
                <w:rFonts w:hint="eastAsia" w:ascii="宋体" w:hAnsi="宋体" w:eastAsia="宋体" w:cs="宋体"/>
                <w:i w:val="0"/>
                <w:iCs w:val="0"/>
                <w:color w:val="000000"/>
                <w:sz w:val="24"/>
                <w:szCs w:val="24"/>
                <w:u w:val="none"/>
              </w:rPr>
            </w:pPr>
          </w:p>
        </w:tc>
      </w:tr>
      <w:tr w14:paraId="1E466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15A9E">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2ECC2">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AEC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支出执行进度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D9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04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部门1至12月预算执行情况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D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该项指标得分=中省转移支付资金1至12月实际支出数÷1-12月预算数*3+专项债券资金实际支出数÷1-12月部门预算数*3+专项预算项目1至12月实际支出数÷1-12月预算数*3。</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F8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55F16">
            <w:pPr>
              <w:jc w:val="center"/>
              <w:rPr>
                <w:rFonts w:hint="eastAsia" w:ascii="宋体" w:hAnsi="宋体" w:eastAsia="宋体" w:cs="宋体"/>
                <w:i w:val="0"/>
                <w:iCs w:val="0"/>
                <w:color w:val="000000"/>
                <w:sz w:val="24"/>
                <w:szCs w:val="24"/>
                <w:u w:val="none"/>
              </w:rPr>
            </w:pPr>
          </w:p>
        </w:tc>
      </w:tr>
      <w:tr w14:paraId="67D04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6F674">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6580">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D2F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预算年终结余</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0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0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部门整体年终预算结余情况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4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该项指标得分=（1-部门整体预算结余率）×100%×8部门整体预算结余率为当年年终部门预算注销金额和结转金额占部门预算总金额的比率。</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7CA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CE4F4">
            <w:pPr>
              <w:jc w:val="center"/>
              <w:rPr>
                <w:rFonts w:hint="eastAsia" w:ascii="宋体" w:hAnsi="宋体" w:eastAsia="宋体" w:cs="宋体"/>
                <w:i w:val="0"/>
                <w:iCs w:val="0"/>
                <w:color w:val="000000"/>
                <w:sz w:val="24"/>
                <w:szCs w:val="24"/>
                <w:u w:val="none"/>
              </w:rPr>
            </w:pPr>
          </w:p>
        </w:tc>
      </w:tr>
      <w:tr w14:paraId="01CDB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5BEE4">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55FA7">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21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严控一般性支出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EA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E8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部门严控“三公”经费、会议、培训、差旅、办节办展、办公设备购置、信息网络及软件购置更新、课题经费等8项一般性支出情况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83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该项指标得分=基础分值+加分值。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1.基础分值。一般性支出财政拨款年初预算较上年实现压减得1.5分；一般性支出财政拨款预算执行较上年实现压减得1.5分。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2.加分值。一般性支出财政拨款年初预算较上年每压减1%得0.2分，累计不超过1分；一般性支出财政拨款预算执行较上年每压减1%得0.4分，累计不超过2分。</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D67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96A5B">
            <w:pPr>
              <w:jc w:val="center"/>
              <w:rPr>
                <w:rFonts w:hint="eastAsia" w:ascii="宋体" w:hAnsi="宋体" w:eastAsia="宋体" w:cs="宋体"/>
                <w:i w:val="0"/>
                <w:iCs w:val="0"/>
                <w:color w:val="000000"/>
                <w:sz w:val="24"/>
                <w:szCs w:val="24"/>
                <w:u w:val="none"/>
              </w:rPr>
            </w:pPr>
          </w:p>
        </w:tc>
      </w:tr>
      <w:tr w14:paraId="19B37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3F72B">
            <w:pPr>
              <w:jc w:val="center"/>
              <w:rPr>
                <w:rFonts w:hint="eastAsia" w:ascii="宋体" w:hAnsi="宋体" w:eastAsia="宋体" w:cs="宋体"/>
                <w:b/>
                <w:bCs/>
                <w:i w:val="0"/>
                <w:iCs w:val="0"/>
                <w:color w:val="000000"/>
                <w:sz w:val="24"/>
                <w:szCs w:val="24"/>
                <w:u w:val="none"/>
              </w:rPr>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4B5FD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资产管理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91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人均资产变化率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B4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8C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部门人均资产变化情况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7C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人均资产变化率Y=（2024年行政事业单位人均占有资产-2023年行政事业单位人均占有资产）÷2023年行政事业单位人均占有资产×100%。行政事业单位人均占有资产=（固定资产净值+无形资产净值）÷行政事业单位编制内实有人数。2024年区直行政事业单位人均资产变化率平均值N为-4.63%，Y≤N，得3分；N＜Y≤0.8N（即-3.704%），得2分；0.8N＜Y≤0.5N（即-2.32%），得1分；Y＞0.5N，得0分。</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E6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97D00">
            <w:pPr>
              <w:jc w:val="center"/>
              <w:rPr>
                <w:rFonts w:hint="eastAsia" w:ascii="宋体" w:hAnsi="宋体" w:eastAsia="宋体" w:cs="宋体"/>
                <w:i w:val="0"/>
                <w:iCs w:val="0"/>
                <w:color w:val="000000"/>
                <w:sz w:val="24"/>
                <w:szCs w:val="24"/>
                <w:u w:val="none"/>
              </w:rPr>
            </w:pPr>
          </w:p>
        </w:tc>
      </w:tr>
      <w:tr w14:paraId="443D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C6CF6">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A0E06">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E6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资产利用率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A30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2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部门资产超最低使用年限情况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BD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该项指标得分=（超最低使用年限的办公家具账面原值÷办公家具账面原值×100%×1.5）+（超最低使用年限的办公设备账面原值÷办公设备账面原值×100%×1.5）。</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E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E554A">
            <w:pPr>
              <w:jc w:val="center"/>
              <w:rPr>
                <w:rFonts w:hint="eastAsia" w:ascii="宋体" w:hAnsi="宋体" w:eastAsia="宋体" w:cs="宋体"/>
                <w:i w:val="0"/>
                <w:iCs w:val="0"/>
                <w:color w:val="000000"/>
                <w:sz w:val="24"/>
                <w:szCs w:val="24"/>
                <w:u w:val="none"/>
              </w:rPr>
            </w:pPr>
          </w:p>
        </w:tc>
      </w:tr>
      <w:tr w14:paraId="3B963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8B37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总体绩效</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（65分）</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0A98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资产管理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3F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资产盘活率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9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3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部门闲置一年以上的资产盘活情况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0F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闲置资产占比变化率=(本年闲置资产账面价值÷本年总资产账面价值)÷(上一年度闲置资产账面价值÷上一年度总资产账面价值)×100%，变化率在60%以下的得2.4分，60%-80%的得1.8分，80-100%的得1.2分，100%以上的不得分。两年均无闲置资产或上年度有闲置资产评价年度无闲置资产的，该项指标得3分。</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9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9E628">
            <w:pPr>
              <w:jc w:val="center"/>
              <w:rPr>
                <w:rFonts w:hint="eastAsia" w:ascii="宋体" w:hAnsi="宋体" w:eastAsia="宋体" w:cs="宋体"/>
                <w:i w:val="0"/>
                <w:iCs w:val="0"/>
                <w:color w:val="000000"/>
                <w:sz w:val="24"/>
                <w:szCs w:val="24"/>
                <w:u w:val="none"/>
              </w:rPr>
            </w:pPr>
          </w:p>
        </w:tc>
      </w:tr>
      <w:tr w14:paraId="523A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3231C">
            <w:pPr>
              <w:jc w:val="center"/>
              <w:rPr>
                <w:rFonts w:hint="eastAsia" w:ascii="宋体" w:hAnsi="宋体" w:eastAsia="宋体" w:cs="宋体"/>
                <w:b/>
                <w:bCs/>
                <w:i w:val="0"/>
                <w:iCs w:val="0"/>
                <w:color w:val="000000"/>
                <w:sz w:val="24"/>
                <w:szCs w:val="24"/>
                <w:u w:val="none"/>
              </w:rPr>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2503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（6分）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33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支持中小企业发展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03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DA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部门是否严格执行政府采购促进中小企业发展相关管理办法</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F85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对适宜由中小企业提供的采购项目和采购包，预留采购份额专门面向中小企业采购，并在采购预算中单独列示，不符合要求的扣3分。</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74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31391">
            <w:pPr>
              <w:jc w:val="center"/>
              <w:rPr>
                <w:rFonts w:hint="eastAsia" w:ascii="宋体" w:hAnsi="宋体" w:eastAsia="宋体" w:cs="宋体"/>
                <w:i w:val="0"/>
                <w:iCs w:val="0"/>
                <w:color w:val="000000"/>
                <w:sz w:val="24"/>
                <w:szCs w:val="24"/>
                <w:u w:val="none"/>
              </w:rPr>
            </w:pPr>
          </w:p>
        </w:tc>
      </w:tr>
      <w:tr w14:paraId="1C0E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F7F5B">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21274">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759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采购执行率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040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4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部门政府采购项目资金支付比例情况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07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该项指标得分=当年政府采购实际支付总金额÷（当年政府采购总预算数-当年已完成采购项目节约金额）×100%×3。</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F2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C74E5">
            <w:pPr>
              <w:jc w:val="center"/>
              <w:rPr>
                <w:rFonts w:hint="eastAsia" w:ascii="宋体" w:hAnsi="宋体" w:eastAsia="宋体" w:cs="宋体"/>
                <w:i w:val="0"/>
                <w:iCs w:val="0"/>
                <w:color w:val="000000"/>
                <w:sz w:val="24"/>
                <w:szCs w:val="24"/>
                <w:u w:val="none"/>
              </w:rPr>
            </w:pPr>
          </w:p>
        </w:tc>
      </w:tr>
      <w:tr w14:paraId="6851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EEE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项目绩效</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（35分）</w:t>
            </w:r>
          </w:p>
        </w:tc>
        <w:tc>
          <w:tcPr>
            <w:tcW w:w="427" w:type="pct"/>
            <w:vMerge w:val="restart"/>
            <w:tcBorders>
              <w:top w:val="single" w:color="000000" w:sz="4" w:space="0"/>
              <w:left w:val="single" w:color="000000" w:sz="4" w:space="0"/>
              <w:bottom w:val="nil"/>
              <w:right w:val="single" w:color="000000" w:sz="4" w:space="0"/>
            </w:tcBorders>
            <w:shd w:val="clear" w:color="auto" w:fill="auto"/>
            <w:vAlign w:val="center"/>
          </w:tcPr>
          <w:p w14:paraId="3408777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项目决策</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（12分）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F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决策程序</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E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43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部门预算项目设立是否按规定履行评估论证、申报程序</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4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4-部门未履行事前评估程序的部门预算阶段项目（含一次性项目）数量÷部门预算阶段项目（含一次性项目）总数×100%×4。抽评的部门预算阶段项目（含一次性项目）总数10个以下的全部纳入，每增加5个多纳入1个，最多不超过30个，下同。若无部门预算阶段项目（含一次性项目），则主要查看部门预算项目整体决策程序。</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778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EC81">
            <w:pPr>
              <w:jc w:val="center"/>
              <w:rPr>
                <w:rFonts w:hint="eastAsia" w:ascii="宋体" w:hAnsi="宋体" w:eastAsia="宋体" w:cs="宋体"/>
                <w:i w:val="0"/>
                <w:iCs w:val="0"/>
                <w:color w:val="000000"/>
                <w:sz w:val="24"/>
                <w:szCs w:val="24"/>
                <w:u w:val="none"/>
              </w:rPr>
            </w:pPr>
          </w:p>
        </w:tc>
      </w:tr>
      <w:tr w14:paraId="58676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00F49">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15A2C53B">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D4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目标设置</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E1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21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部门预算项目绩效目标与计划期内的任务量、预算安排的资金量匹配情况，绩效目标设置是否科学合理、规范完整、量化细化、预算匹配</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9D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4-绩效目标与计划期内的任务量、预算安排不相匹配的部门预算阶段项目（含一次性项目）数量÷部门预算阶段项目（含一次性项目）总数×100%×4。若无部门预算阶段项目（含一次性项目），则抽评涉及核心业务、资金量大的其他部门预算项目，下同。</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A6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D94E">
            <w:pPr>
              <w:jc w:val="center"/>
              <w:rPr>
                <w:rFonts w:hint="eastAsia" w:ascii="宋体" w:hAnsi="宋体" w:eastAsia="宋体" w:cs="宋体"/>
                <w:i w:val="0"/>
                <w:iCs w:val="0"/>
                <w:color w:val="000000"/>
                <w:sz w:val="24"/>
                <w:szCs w:val="24"/>
                <w:u w:val="none"/>
              </w:rPr>
            </w:pPr>
          </w:p>
        </w:tc>
      </w:tr>
      <w:tr w14:paraId="318E9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35E83">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06962932">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A55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项目入库</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2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4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部门预算项目是否在规定时间完成项目入库</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E8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该项指标得分=4-规定时间未入财政库部门预算阶段项目（含一次性项目）数量÷最终安排部门预算阶段项目（含一次性项目）总数×100%×4。（默认满分）</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26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DA6F">
            <w:pPr>
              <w:jc w:val="center"/>
              <w:rPr>
                <w:rFonts w:hint="eastAsia" w:ascii="宋体" w:hAnsi="宋体" w:eastAsia="宋体" w:cs="宋体"/>
                <w:i w:val="0"/>
                <w:iCs w:val="0"/>
                <w:color w:val="000000"/>
                <w:sz w:val="24"/>
                <w:szCs w:val="24"/>
                <w:u w:val="none"/>
              </w:rPr>
            </w:pPr>
          </w:p>
        </w:tc>
      </w:tr>
      <w:tr w14:paraId="52640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470D7">
            <w:pPr>
              <w:jc w:val="center"/>
              <w:rPr>
                <w:rFonts w:hint="eastAsia" w:ascii="宋体" w:hAnsi="宋体" w:eastAsia="宋体" w:cs="宋体"/>
                <w:b/>
                <w:bCs/>
                <w:i w:val="0"/>
                <w:iCs w:val="0"/>
                <w:color w:val="000000"/>
                <w:sz w:val="24"/>
                <w:szCs w:val="24"/>
                <w:u w:val="none"/>
              </w:rPr>
            </w:pPr>
          </w:p>
        </w:tc>
        <w:tc>
          <w:tcPr>
            <w:tcW w:w="427" w:type="pct"/>
            <w:vMerge w:val="restart"/>
            <w:tcBorders>
              <w:top w:val="single" w:color="000000" w:sz="4" w:space="0"/>
              <w:left w:val="single" w:color="000000" w:sz="4" w:space="0"/>
              <w:bottom w:val="nil"/>
              <w:right w:val="single" w:color="000000" w:sz="4" w:space="0"/>
            </w:tcBorders>
            <w:shd w:val="clear" w:color="auto" w:fill="auto"/>
            <w:vAlign w:val="center"/>
          </w:tcPr>
          <w:p w14:paraId="45D71D2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项目执行</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（12分）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7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执行同向</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5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16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部门预算项目实际列支内容是否与绩效目标设置方向相符</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D4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该项指标得分=4-实际列支内容与绩效目标设置方向不相符的部门预算阶段项目（含一次性项目）数量÷部门预算阶段项目（含一次性项目）总数×100%×5。</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8E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C53F6">
            <w:pPr>
              <w:jc w:val="center"/>
              <w:rPr>
                <w:rFonts w:hint="eastAsia" w:ascii="宋体" w:hAnsi="宋体" w:eastAsia="宋体" w:cs="宋体"/>
                <w:i w:val="0"/>
                <w:iCs w:val="0"/>
                <w:color w:val="000000"/>
                <w:sz w:val="24"/>
                <w:szCs w:val="24"/>
                <w:u w:val="none"/>
              </w:rPr>
            </w:pPr>
          </w:p>
        </w:tc>
      </w:tr>
      <w:tr w14:paraId="5DF5C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E581B">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49CE1E7B">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nil"/>
              <w:right w:val="single" w:color="000000" w:sz="4" w:space="0"/>
            </w:tcBorders>
            <w:shd w:val="clear" w:color="auto" w:fill="auto"/>
            <w:vAlign w:val="center"/>
          </w:tcPr>
          <w:p w14:paraId="2D478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项目调整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CEF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7F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部门预算项目是否采取对应调整措施</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43A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该项指标得分=4-应采取未采取收回预算、调整目标等处置措施的部门预算阶段项目（含一次性项目）数量÷应采取收回预算、调整目标等处置措施的部门预算阶段项目（含一次性项目）总数×100%×6。</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7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B239">
            <w:pPr>
              <w:jc w:val="center"/>
              <w:rPr>
                <w:rFonts w:hint="eastAsia" w:ascii="宋体" w:hAnsi="宋体" w:eastAsia="宋体" w:cs="宋体"/>
                <w:i w:val="0"/>
                <w:iCs w:val="0"/>
                <w:color w:val="000000"/>
                <w:sz w:val="24"/>
                <w:szCs w:val="24"/>
                <w:u w:val="none"/>
              </w:rPr>
            </w:pPr>
          </w:p>
        </w:tc>
      </w:tr>
      <w:tr w14:paraId="68E1E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65D46">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nil"/>
              <w:right w:val="single" w:color="000000" w:sz="4" w:space="0"/>
            </w:tcBorders>
            <w:shd w:val="clear" w:color="auto" w:fill="auto"/>
            <w:vAlign w:val="center"/>
          </w:tcPr>
          <w:p w14:paraId="65F49FB0">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18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执行结果</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7F9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57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部门预算项目预算执行情况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D36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该项指标得分=预算结余率小于10%的常年项目数量÷部门预算常年项目总数×100%×2+预算结余率小于10%的一次性项目和阶段项目数量÷部门预算一次性项目和阶段项目总数×100%×2。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97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3A200">
            <w:pPr>
              <w:jc w:val="center"/>
              <w:rPr>
                <w:rFonts w:hint="eastAsia" w:ascii="宋体" w:hAnsi="宋体" w:eastAsia="宋体" w:cs="宋体"/>
                <w:i w:val="0"/>
                <w:iCs w:val="0"/>
                <w:color w:val="000000"/>
                <w:sz w:val="24"/>
                <w:szCs w:val="24"/>
                <w:u w:val="none"/>
              </w:rPr>
            </w:pPr>
          </w:p>
        </w:tc>
      </w:tr>
      <w:tr w14:paraId="66207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8E9E9">
            <w:pPr>
              <w:jc w:val="center"/>
              <w:rPr>
                <w:rFonts w:hint="eastAsia" w:ascii="宋体" w:hAnsi="宋体" w:eastAsia="宋体" w:cs="宋体"/>
                <w:b/>
                <w:bCs/>
                <w:i w:val="0"/>
                <w:iCs w:val="0"/>
                <w:color w:val="000000"/>
                <w:sz w:val="24"/>
                <w:szCs w:val="24"/>
                <w:u w:val="none"/>
              </w:rPr>
            </w:pP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8831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目标实现</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（11分）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459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目标完成</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3F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CD0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部门预算项目绩效目标数量指标完成情况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70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该项指标得分=完成绩效目标数量指标的部门预算阶段项目（含一次性项目）数量÷部门预算阶段项目（含一次性项目）总数×100%×6。</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898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24D36">
            <w:pPr>
              <w:jc w:val="center"/>
              <w:rPr>
                <w:rFonts w:hint="eastAsia" w:ascii="宋体" w:hAnsi="宋体" w:eastAsia="宋体" w:cs="宋体"/>
                <w:i w:val="0"/>
                <w:iCs w:val="0"/>
                <w:color w:val="000000"/>
                <w:sz w:val="24"/>
                <w:szCs w:val="24"/>
                <w:u w:val="none"/>
              </w:rPr>
            </w:pPr>
          </w:p>
        </w:tc>
      </w:tr>
      <w:tr w14:paraId="7DF6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184E6">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F1178">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B8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目标偏离</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1C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4C8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部门预算项目绩效目标数量指标实现程度与预期目标的偏离情况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BF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已完成预期指标值的数量指标中偏离度在30%内的指标个数÷已完成预期指标值的数量指标个数×100%×6。偏离度=|（绩效指标实际完成值-设定预期指标值）÷设定预期指标值|。部门预算阶段项目（含一次性项目）绩效目标实际完成值偏离预期指标30%以上（含30%）的，不计分。</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A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1563">
            <w:pPr>
              <w:jc w:val="center"/>
              <w:rPr>
                <w:rFonts w:hint="eastAsia" w:ascii="宋体" w:hAnsi="宋体" w:eastAsia="宋体" w:cs="宋体"/>
                <w:i w:val="0"/>
                <w:iCs w:val="0"/>
                <w:color w:val="000000"/>
                <w:sz w:val="24"/>
                <w:szCs w:val="24"/>
                <w:u w:val="none"/>
              </w:rPr>
            </w:pPr>
          </w:p>
        </w:tc>
      </w:tr>
      <w:tr w14:paraId="24541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3E76F">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32ABF">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7C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实现效果</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44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B4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部门预算项目绩效目标效益指标实施效果</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8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该项指标得分=完成绩效目标效益指标的部门预算阶段项目（含一次性项目）数量÷部门预算阶段项目（含一次性项目）总数×100%×5。</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42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5AEBF">
            <w:pPr>
              <w:jc w:val="center"/>
              <w:rPr>
                <w:rFonts w:hint="eastAsia" w:ascii="宋体" w:hAnsi="宋体" w:eastAsia="宋体" w:cs="宋体"/>
                <w:i w:val="0"/>
                <w:iCs w:val="0"/>
                <w:color w:val="000000"/>
                <w:sz w:val="24"/>
                <w:szCs w:val="24"/>
                <w:u w:val="none"/>
              </w:rPr>
            </w:pPr>
          </w:p>
        </w:tc>
      </w:tr>
      <w:tr w14:paraId="38D81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B036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扣分项</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8D44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财务管理</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5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财务管理制度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1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E1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部门财务管理制度建立情况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3E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部门未制定内部财务管理制度等制度机制的,财务管理制度未得到落实，发现一处扣1分，扣完为止。</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3F7A5">
            <w:pPr>
              <w:jc w:val="center"/>
              <w:rPr>
                <w:rFonts w:hint="eastAsia" w:ascii="宋体" w:hAnsi="宋体" w:eastAsia="宋体" w:cs="宋体"/>
                <w:i w:val="0"/>
                <w:iCs w:val="0"/>
                <w:color w:val="000000"/>
                <w:sz w:val="24"/>
                <w:szCs w:val="24"/>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5B6F9">
            <w:pPr>
              <w:jc w:val="center"/>
              <w:rPr>
                <w:rFonts w:hint="eastAsia" w:ascii="宋体" w:hAnsi="宋体" w:eastAsia="宋体" w:cs="宋体"/>
                <w:i w:val="0"/>
                <w:iCs w:val="0"/>
                <w:color w:val="000000"/>
                <w:sz w:val="24"/>
                <w:szCs w:val="24"/>
                <w:u w:val="none"/>
              </w:rPr>
            </w:pPr>
          </w:p>
        </w:tc>
      </w:tr>
      <w:tr w14:paraId="1A42E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A275B">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A58BC">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397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财务岗位设置</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99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C4D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部门财务岗位设置是否符合相关财务管理制度要求</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89D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部门未合理设置财务工作岗位，职责权限不明确，未严格实行不相容岗位分离，发现一处扣1分，扣完为止。</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1525">
            <w:pPr>
              <w:jc w:val="center"/>
              <w:rPr>
                <w:rFonts w:hint="eastAsia" w:ascii="宋体" w:hAnsi="宋体" w:eastAsia="宋体" w:cs="宋体"/>
                <w:i w:val="0"/>
                <w:iCs w:val="0"/>
                <w:color w:val="000000"/>
                <w:sz w:val="24"/>
                <w:szCs w:val="24"/>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634BF">
            <w:pPr>
              <w:jc w:val="center"/>
              <w:rPr>
                <w:rFonts w:hint="eastAsia" w:ascii="宋体" w:hAnsi="宋体" w:eastAsia="宋体" w:cs="宋体"/>
                <w:i w:val="0"/>
                <w:iCs w:val="0"/>
                <w:color w:val="000000"/>
                <w:sz w:val="24"/>
                <w:szCs w:val="24"/>
                <w:u w:val="none"/>
              </w:rPr>
            </w:pPr>
          </w:p>
        </w:tc>
      </w:tr>
      <w:tr w14:paraId="5CB8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7D4F5">
            <w:pPr>
              <w:jc w:val="center"/>
              <w:rPr>
                <w:rFonts w:hint="eastAsia" w:ascii="宋体" w:hAnsi="宋体" w:eastAsia="宋体" w:cs="宋体"/>
                <w:b/>
                <w:bCs/>
                <w:i w:val="0"/>
                <w:iCs w:val="0"/>
                <w:color w:val="000000"/>
                <w:sz w:val="24"/>
                <w:szCs w:val="24"/>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8B426">
            <w:pPr>
              <w:jc w:val="center"/>
              <w:rPr>
                <w:rFonts w:hint="eastAsia" w:ascii="宋体" w:hAnsi="宋体" w:eastAsia="宋体" w:cs="宋体"/>
                <w:b/>
                <w:bCs/>
                <w:i w:val="0"/>
                <w:iCs w:val="0"/>
                <w:color w:val="000000"/>
                <w:sz w:val="24"/>
                <w:szCs w:val="24"/>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27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资金使用规范</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1F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1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部门资金使用是否符合相关财务管理制度规定</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7D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部门资金使用不符合相关财务管理制度规定的，发现一处扣1分，扣完为止。</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25D58">
            <w:pPr>
              <w:jc w:val="center"/>
              <w:rPr>
                <w:rFonts w:hint="eastAsia" w:ascii="宋体" w:hAnsi="宋体" w:eastAsia="宋体" w:cs="宋体"/>
                <w:i w:val="0"/>
                <w:iCs w:val="0"/>
                <w:color w:val="000000"/>
                <w:sz w:val="24"/>
                <w:szCs w:val="24"/>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E659">
            <w:pPr>
              <w:jc w:val="center"/>
              <w:rPr>
                <w:rFonts w:hint="eastAsia" w:ascii="宋体" w:hAnsi="宋体" w:eastAsia="宋体" w:cs="宋体"/>
                <w:i w:val="0"/>
                <w:iCs w:val="0"/>
                <w:color w:val="000000"/>
                <w:sz w:val="24"/>
                <w:szCs w:val="24"/>
                <w:u w:val="none"/>
              </w:rPr>
            </w:pPr>
          </w:p>
        </w:tc>
      </w:tr>
      <w:tr w14:paraId="66597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01E76">
            <w:pPr>
              <w:jc w:val="center"/>
              <w:rPr>
                <w:rFonts w:hint="eastAsia" w:ascii="宋体" w:hAnsi="宋体" w:eastAsia="宋体" w:cs="宋体"/>
                <w:b/>
                <w:bCs/>
                <w:i w:val="0"/>
                <w:iCs w:val="0"/>
                <w:color w:val="000000"/>
                <w:sz w:val="24"/>
                <w:szCs w:val="24"/>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D58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预算绩效存在问题</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901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A0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预算管理和绩效管理工作存在问题</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BD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依据评价年度人大监督、巡视巡察、审计监督、财会监督等结果以及评价指标体系涉及的履职效果、预算管理、财务管理、资产管理、采购管理、项目绩效等方面出现的问题，每有一个问题点扣1分，扣完为止。</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91D8">
            <w:pPr>
              <w:jc w:val="center"/>
              <w:rPr>
                <w:rFonts w:hint="eastAsia" w:ascii="宋体" w:hAnsi="宋体" w:eastAsia="宋体" w:cs="宋体"/>
                <w:i w:val="0"/>
                <w:iCs w:val="0"/>
                <w:color w:val="000000"/>
                <w:sz w:val="24"/>
                <w:szCs w:val="24"/>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0E1B">
            <w:pPr>
              <w:jc w:val="center"/>
              <w:rPr>
                <w:rFonts w:hint="eastAsia" w:ascii="宋体" w:hAnsi="宋体" w:eastAsia="宋体" w:cs="宋体"/>
                <w:i w:val="0"/>
                <w:iCs w:val="0"/>
                <w:color w:val="000000"/>
                <w:sz w:val="24"/>
                <w:szCs w:val="24"/>
                <w:u w:val="none"/>
              </w:rPr>
            </w:pPr>
          </w:p>
        </w:tc>
      </w:tr>
      <w:tr w14:paraId="7F06D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FA84D">
            <w:pPr>
              <w:jc w:val="center"/>
              <w:rPr>
                <w:rFonts w:hint="eastAsia" w:ascii="宋体" w:hAnsi="宋体" w:eastAsia="宋体" w:cs="宋体"/>
                <w:b/>
                <w:bCs/>
                <w:i w:val="0"/>
                <w:iCs w:val="0"/>
                <w:color w:val="000000"/>
                <w:sz w:val="24"/>
                <w:szCs w:val="24"/>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A9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被评价部门配合度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D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C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被评价对象工作配合情况</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66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评价工作开展过程中，被评价对象拖延推诿、提交资料不及时等拒不配合评价工作的，每发现一次扣1分，扣完为止。</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32DA">
            <w:pPr>
              <w:jc w:val="center"/>
              <w:rPr>
                <w:rFonts w:hint="eastAsia" w:ascii="宋体" w:hAnsi="宋体" w:eastAsia="宋体" w:cs="宋体"/>
                <w:i w:val="0"/>
                <w:iCs w:val="0"/>
                <w:color w:val="000000"/>
                <w:sz w:val="24"/>
                <w:szCs w:val="24"/>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FC42">
            <w:pPr>
              <w:jc w:val="center"/>
              <w:rPr>
                <w:rFonts w:hint="eastAsia" w:ascii="宋体" w:hAnsi="宋体" w:eastAsia="宋体" w:cs="宋体"/>
                <w:i w:val="0"/>
                <w:iCs w:val="0"/>
                <w:color w:val="000000"/>
                <w:sz w:val="24"/>
                <w:szCs w:val="24"/>
                <w:u w:val="none"/>
              </w:rPr>
            </w:pPr>
          </w:p>
        </w:tc>
      </w:tr>
      <w:tr w14:paraId="553C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46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3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365D">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FE23">
            <w:pPr>
              <w:jc w:val="center"/>
              <w:rPr>
                <w:rFonts w:hint="eastAsia" w:ascii="宋体" w:hAnsi="宋体" w:eastAsia="宋体" w:cs="宋体"/>
                <w:i w:val="0"/>
                <w:iCs w:val="0"/>
                <w:color w:val="000000"/>
                <w:sz w:val="22"/>
                <w:szCs w:val="22"/>
                <w:u w:val="none"/>
              </w:rPr>
            </w:pPr>
          </w:p>
        </w:tc>
        <w:tc>
          <w:tcPr>
            <w:tcW w:w="1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6FDB">
            <w:pPr>
              <w:jc w:val="center"/>
              <w:rPr>
                <w:rFonts w:hint="eastAsia" w:ascii="宋体" w:hAnsi="宋体" w:eastAsia="宋体" w:cs="宋体"/>
                <w:i w:val="0"/>
                <w:iCs w:val="0"/>
                <w:color w:val="000000"/>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8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881F">
            <w:pPr>
              <w:jc w:val="center"/>
              <w:rPr>
                <w:rFonts w:hint="eastAsia" w:ascii="宋体" w:hAnsi="宋体" w:eastAsia="宋体" w:cs="宋体"/>
                <w:i w:val="0"/>
                <w:iCs w:val="0"/>
                <w:color w:val="000000"/>
                <w:sz w:val="22"/>
                <w:szCs w:val="22"/>
                <w:u w:val="none"/>
              </w:rPr>
            </w:pPr>
          </w:p>
        </w:tc>
      </w:tr>
    </w:tbl>
    <w:p w14:paraId="01CA7132">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 w:hAnsi="仿宋" w:eastAsia="仿宋" w:cs="仿宋"/>
          <w:color w:val="000000"/>
          <w:sz w:val="32"/>
          <w:szCs w:val="32"/>
          <w:lang w:val="en-US" w:eastAsia="zh-CN"/>
        </w:rPr>
      </w:pPr>
    </w:p>
    <w:p w14:paraId="58119117">
      <w:pPr>
        <w:pStyle w:val="2"/>
        <w:rPr>
          <w:rFonts w:hint="eastAsia" w:ascii="仿宋" w:hAnsi="仿宋" w:eastAsia="仿宋" w:cs="仿宋"/>
          <w:color w:val="000000"/>
          <w:sz w:val="32"/>
          <w:szCs w:val="32"/>
          <w:lang w:val="en-US" w:eastAsia="zh-CN"/>
        </w:rPr>
      </w:pPr>
    </w:p>
    <w:p w14:paraId="5F11055F">
      <w:pPr>
        <w:pStyle w:val="3"/>
        <w:rPr>
          <w:rFonts w:hint="eastAsia" w:ascii="仿宋" w:hAnsi="仿宋" w:eastAsia="仿宋" w:cs="仿宋"/>
          <w:color w:val="000000"/>
          <w:sz w:val="32"/>
          <w:szCs w:val="32"/>
          <w:lang w:val="en-US" w:eastAsia="zh-CN"/>
        </w:rPr>
      </w:pPr>
    </w:p>
    <w:p w14:paraId="31755DB6">
      <w:pPr>
        <w:pStyle w:val="3"/>
        <w:rPr>
          <w:rFonts w:hint="eastAsia" w:ascii="仿宋" w:hAnsi="仿宋" w:eastAsia="仿宋" w:cs="仿宋"/>
          <w:color w:val="000000"/>
          <w:sz w:val="32"/>
          <w:szCs w:val="32"/>
          <w:lang w:val="en-US" w:eastAsia="zh-CN"/>
        </w:rPr>
      </w:pPr>
    </w:p>
    <w:bookmarkEnd w:id="151"/>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1"/>
        <w:gridCol w:w="2"/>
        <w:gridCol w:w="290"/>
        <w:gridCol w:w="289"/>
        <w:gridCol w:w="2"/>
        <w:gridCol w:w="286"/>
        <w:gridCol w:w="2"/>
        <w:gridCol w:w="2"/>
        <w:gridCol w:w="281"/>
        <w:gridCol w:w="281"/>
        <w:gridCol w:w="2"/>
        <w:gridCol w:w="2"/>
        <w:gridCol w:w="2"/>
        <w:gridCol w:w="2"/>
        <w:gridCol w:w="2"/>
        <w:gridCol w:w="2"/>
        <w:gridCol w:w="2"/>
        <w:gridCol w:w="2"/>
        <w:gridCol w:w="280"/>
        <w:gridCol w:w="263"/>
        <w:gridCol w:w="133"/>
        <w:gridCol w:w="2"/>
        <w:gridCol w:w="2"/>
        <w:gridCol w:w="2"/>
        <w:gridCol w:w="2"/>
        <w:gridCol w:w="2"/>
        <w:gridCol w:w="2"/>
        <w:gridCol w:w="2"/>
        <w:gridCol w:w="2"/>
        <w:gridCol w:w="280"/>
        <w:gridCol w:w="297"/>
        <w:gridCol w:w="115"/>
        <w:gridCol w:w="2"/>
        <w:gridCol w:w="2"/>
        <w:gridCol w:w="2"/>
        <w:gridCol w:w="2"/>
        <w:gridCol w:w="2"/>
        <w:gridCol w:w="2"/>
        <w:gridCol w:w="2"/>
        <w:gridCol w:w="2"/>
        <w:gridCol w:w="2"/>
        <w:gridCol w:w="241"/>
        <w:gridCol w:w="2"/>
        <w:gridCol w:w="240"/>
        <w:gridCol w:w="2"/>
        <w:gridCol w:w="2"/>
        <w:gridCol w:w="2"/>
        <w:gridCol w:w="230"/>
        <w:gridCol w:w="187"/>
        <w:gridCol w:w="2"/>
        <w:gridCol w:w="2"/>
        <w:gridCol w:w="2"/>
        <w:gridCol w:w="2"/>
        <w:gridCol w:w="2"/>
        <w:gridCol w:w="2"/>
        <w:gridCol w:w="245"/>
        <w:gridCol w:w="2"/>
        <w:gridCol w:w="2"/>
        <w:gridCol w:w="104"/>
        <w:gridCol w:w="246"/>
        <w:gridCol w:w="2"/>
        <w:gridCol w:w="2"/>
        <w:gridCol w:w="2"/>
        <w:gridCol w:w="2"/>
        <w:gridCol w:w="2"/>
        <w:gridCol w:w="2"/>
        <w:gridCol w:w="2"/>
        <w:gridCol w:w="2"/>
        <w:gridCol w:w="245"/>
        <w:gridCol w:w="2"/>
        <w:gridCol w:w="179"/>
        <w:gridCol w:w="2"/>
        <w:gridCol w:w="166"/>
        <w:gridCol w:w="2"/>
        <w:gridCol w:w="2"/>
        <w:gridCol w:w="2"/>
        <w:gridCol w:w="166"/>
        <w:gridCol w:w="2"/>
        <w:gridCol w:w="2"/>
        <w:gridCol w:w="2"/>
        <w:gridCol w:w="2"/>
        <w:gridCol w:w="2"/>
        <w:gridCol w:w="2"/>
        <w:gridCol w:w="2"/>
        <w:gridCol w:w="243"/>
        <w:gridCol w:w="2"/>
        <w:gridCol w:w="104"/>
        <w:gridCol w:w="2"/>
        <w:gridCol w:w="2"/>
        <w:gridCol w:w="2"/>
        <w:gridCol w:w="2"/>
        <w:gridCol w:w="104"/>
        <w:gridCol w:w="169"/>
        <w:gridCol w:w="169"/>
        <w:gridCol w:w="2"/>
        <w:gridCol w:w="267"/>
        <w:gridCol w:w="2"/>
        <w:gridCol w:w="2"/>
        <w:gridCol w:w="2"/>
        <w:gridCol w:w="2"/>
        <w:gridCol w:w="2"/>
        <w:gridCol w:w="2"/>
        <w:gridCol w:w="2"/>
        <w:gridCol w:w="250"/>
        <w:gridCol w:w="2"/>
        <w:gridCol w:w="2"/>
        <w:gridCol w:w="2"/>
        <w:gridCol w:w="104"/>
        <w:gridCol w:w="105"/>
        <w:gridCol w:w="2"/>
        <w:gridCol w:w="145"/>
        <w:gridCol w:w="136"/>
        <w:gridCol w:w="145"/>
        <w:gridCol w:w="145"/>
        <w:gridCol w:w="2"/>
        <w:gridCol w:w="304"/>
        <w:gridCol w:w="455"/>
        <w:gridCol w:w="184"/>
      </w:tblGrid>
      <w:tr w14:paraId="453EE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7B5CF7D0">
            <w:pPr>
              <w:keepNext w:val="0"/>
              <w:keepLines w:val="0"/>
              <w:widowControl/>
              <w:suppressLineNumbers w:val="0"/>
              <w:jc w:val="center"/>
              <w:textAlignment w:val="center"/>
              <w:rPr>
                <w:rFonts w:ascii="黑体" w:hAnsi="宋体" w:eastAsia="黑体" w:cs="黑体"/>
                <w:b/>
                <w:bCs/>
                <w:i w:val="0"/>
                <w:iCs w:val="0"/>
                <w:color w:val="000000"/>
                <w:sz w:val="28"/>
                <w:szCs w:val="28"/>
                <w:u w:val="none"/>
              </w:rPr>
            </w:pPr>
            <w:r>
              <w:rPr>
                <w:rFonts w:hint="eastAsia" w:ascii="黑体" w:hAnsi="宋体" w:eastAsia="黑体" w:cs="黑体"/>
                <w:b/>
                <w:bCs/>
                <w:i w:val="0"/>
                <w:iCs w:val="0"/>
                <w:color w:val="000000"/>
                <w:kern w:val="0"/>
                <w:sz w:val="28"/>
                <w:szCs w:val="28"/>
                <w:u w:val="none"/>
                <w:lang w:val="en-US" w:eastAsia="zh-CN" w:bidi="ar"/>
              </w:rPr>
              <w:t>部门预算项目支出绩效自评表（2024年度）</w:t>
            </w:r>
          </w:p>
        </w:tc>
      </w:tr>
      <w:tr w14:paraId="06103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958"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EA2C8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4041" w:type="pct"/>
            <w:gridSpan w:val="97"/>
            <w:tcBorders>
              <w:top w:val="single" w:color="000000" w:sz="4" w:space="0"/>
              <w:left w:val="single" w:color="000000" w:sz="4" w:space="0"/>
              <w:bottom w:val="single" w:color="000000" w:sz="4" w:space="0"/>
              <w:right w:val="single" w:color="000000" w:sz="4" w:space="0"/>
            </w:tcBorders>
            <w:shd w:val="clear" w:color="auto" w:fill="auto"/>
            <w:vAlign w:val="center"/>
          </w:tcPr>
          <w:p w14:paraId="315E73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51090423T000009272847-严重精神障碍患者投保监护人责任保险</w:t>
            </w:r>
          </w:p>
        </w:tc>
      </w:tr>
      <w:tr w14:paraId="28444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958"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27A50A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2226" w:type="pct"/>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4A1859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遂宁市安居区三家镇人民政府部门</w:t>
            </w:r>
          </w:p>
        </w:tc>
        <w:tc>
          <w:tcPr>
            <w:tcW w:w="455" w:type="pct"/>
            <w:gridSpan w:val="19"/>
            <w:tcBorders>
              <w:top w:val="nil"/>
              <w:left w:val="nil"/>
              <w:bottom w:val="nil"/>
              <w:right w:val="nil"/>
            </w:tcBorders>
            <w:shd w:val="clear" w:color="auto" w:fill="auto"/>
            <w:vAlign w:val="center"/>
          </w:tcPr>
          <w:p w14:paraId="0AC94254">
            <w:pPr>
              <w:keepNext w:val="0"/>
              <w:keepLines w:val="0"/>
              <w:widowControl/>
              <w:suppressLineNumbers w:val="0"/>
              <w:jc w:val="center"/>
              <w:textAlignment w:val="center"/>
              <w:rPr>
                <w:rFonts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1360"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3C3F9D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遂宁市安居区三家镇人民政府</w:t>
            </w:r>
          </w:p>
        </w:tc>
      </w:tr>
      <w:tr w14:paraId="74F6B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1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A24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644"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693B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2226" w:type="pct"/>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43C921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1815" w:type="pct"/>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57E8C777">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658A7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08"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E6F87">
            <w:pPr>
              <w:jc w:val="center"/>
              <w:rPr>
                <w:rFonts w:hint="eastAsia" w:ascii="宋体" w:hAnsi="宋体" w:eastAsia="宋体" w:cs="宋体"/>
                <w:i w:val="0"/>
                <w:iCs w:val="0"/>
                <w:color w:val="000000"/>
                <w:sz w:val="16"/>
                <w:szCs w:val="16"/>
                <w:u w:val="none"/>
              </w:rPr>
            </w:pPr>
          </w:p>
        </w:tc>
        <w:tc>
          <w:tcPr>
            <w:tcW w:w="64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FC0A0">
            <w:pPr>
              <w:jc w:val="center"/>
              <w:rPr>
                <w:rFonts w:hint="eastAsia" w:ascii="宋体" w:hAnsi="宋体" w:eastAsia="宋体" w:cs="宋体"/>
                <w:i w:val="0"/>
                <w:iCs w:val="0"/>
                <w:color w:val="000000"/>
                <w:sz w:val="16"/>
                <w:szCs w:val="16"/>
                <w:u w:val="none"/>
              </w:rPr>
            </w:pPr>
          </w:p>
        </w:tc>
        <w:tc>
          <w:tcPr>
            <w:tcW w:w="2226" w:type="pct"/>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5980236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实现对本乡镇严重精神障碍患者信息管理系统登记在册的所有患者，投保覆盖率达到 100%</w:t>
            </w:r>
          </w:p>
        </w:tc>
        <w:tc>
          <w:tcPr>
            <w:tcW w:w="1815" w:type="pct"/>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68EC7FDC">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实现对本乡镇严重精神障碍患者信息管理系统登记在册的所有患者，投保覆盖率达到 100%</w:t>
            </w:r>
          </w:p>
        </w:tc>
      </w:tr>
      <w:tr w14:paraId="7D216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A840A">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E3DF85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4041" w:type="pct"/>
            <w:gridSpan w:val="97"/>
            <w:tcBorders>
              <w:top w:val="single" w:color="000000" w:sz="4" w:space="0"/>
              <w:left w:val="single" w:color="000000" w:sz="4" w:space="0"/>
              <w:bottom w:val="single" w:color="000000" w:sz="4" w:space="0"/>
              <w:right w:val="single" w:color="000000" w:sz="4" w:space="0"/>
            </w:tcBorders>
            <w:shd w:val="clear" w:color="auto" w:fill="auto"/>
            <w:vAlign w:val="center"/>
          </w:tcPr>
          <w:p w14:paraId="36FCEE7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实现对本乡镇严重精神障碍患者信息管理系统登记在册的所有患者，投保覆盖率达到 100%</w:t>
            </w:r>
          </w:p>
        </w:tc>
      </w:tr>
      <w:tr w14:paraId="766E4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1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920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7A95B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09FBC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DA039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962"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41CF5D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2EA6F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55B57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E786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01C7E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0A12D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9F417">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66CAB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618C22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556AE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3.36</w:t>
            </w:r>
          </w:p>
        </w:tc>
        <w:tc>
          <w:tcPr>
            <w:tcW w:w="962"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48F8041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3.36</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6DC9F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337B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36949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824"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8EDAF">
            <w:pPr>
              <w:keepNext w:val="0"/>
              <w:keepLines w:val="0"/>
              <w:widowControl/>
              <w:suppressLineNumbers w:val="0"/>
              <w:jc w:val="center"/>
              <w:textAlignment w:val="center"/>
              <w:rPr>
                <w:rFonts w:hint="eastAsia" w:ascii="黑体" w:hAnsi="黑体" w:eastAsia="黑体" w:cs="黑体"/>
                <w:i/>
                <w:iCs/>
                <w:color w:val="000000"/>
                <w:sz w:val="16"/>
                <w:szCs w:val="16"/>
                <w:u w:val="none"/>
              </w:rPr>
            </w:pPr>
            <w:r>
              <w:rPr>
                <w:rFonts w:hint="eastAsia" w:ascii="黑体" w:hAnsi="黑体" w:eastAsia="黑体" w:cs="黑体"/>
                <w:i/>
                <w:iCs/>
                <w:color w:val="000000"/>
                <w:kern w:val="0"/>
                <w:sz w:val="16"/>
                <w:szCs w:val="16"/>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B77A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2976">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A204C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4111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BD2348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3.36</w:t>
            </w:r>
          </w:p>
        </w:tc>
        <w:tc>
          <w:tcPr>
            <w:tcW w:w="962"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200CDE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3.36</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548D5F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5954F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C31CF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824"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76719">
            <w:pPr>
              <w:jc w:val="center"/>
              <w:rPr>
                <w:rFonts w:hint="eastAsia" w:ascii="黑体" w:hAnsi="黑体" w:eastAsia="黑体" w:cs="黑体"/>
                <w:i/>
                <w:iCs/>
                <w:color w:val="000000"/>
                <w:sz w:val="16"/>
                <w:szCs w:val="16"/>
                <w:u w:val="none"/>
              </w:rPr>
            </w:pPr>
          </w:p>
        </w:tc>
      </w:tr>
      <w:tr w14:paraId="2EBB6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FF674">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525809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1BA0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B35F5F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962"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F2099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795DF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5472C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624A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824"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234A1">
            <w:pPr>
              <w:jc w:val="center"/>
              <w:rPr>
                <w:rFonts w:hint="eastAsia" w:ascii="黑体" w:hAnsi="黑体" w:eastAsia="黑体" w:cs="黑体"/>
                <w:i/>
                <w:iCs/>
                <w:color w:val="000000"/>
                <w:sz w:val="16"/>
                <w:szCs w:val="16"/>
                <w:u w:val="none"/>
              </w:rPr>
            </w:pPr>
          </w:p>
        </w:tc>
      </w:tr>
      <w:tr w14:paraId="2FB03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78CB7">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A4354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A872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D235B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962"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B0A92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A19E9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5FC1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1E60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824"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737C5">
            <w:pPr>
              <w:jc w:val="center"/>
              <w:rPr>
                <w:rFonts w:hint="eastAsia" w:ascii="黑体" w:hAnsi="黑体" w:eastAsia="黑体" w:cs="黑体"/>
                <w:i/>
                <w:iCs/>
                <w:color w:val="000000"/>
                <w:sz w:val="16"/>
                <w:szCs w:val="16"/>
                <w:u w:val="none"/>
              </w:rPr>
            </w:pPr>
          </w:p>
        </w:tc>
      </w:tr>
      <w:tr w14:paraId="73705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AB501">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3CCC7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5AE431">
            <w:pPr>
              <w:jc w:val="center"/>
              <w:rPr>
                <w:rFonts w:hint="eastAsia" w:ascii="微软雅黑" w:hAnsi="微软雅黑" w:eastAsia="微软雅黑" w:cs="微软雅黑"/>
                <w:i/>
                <w:iCs/>
                <w:color w:val="000000"/>
                <w:sz w:val="15"/>
                <w:szCs w:val="15"/>
                <w:u w:val="none"/>
              </w:rPr>
            </w:pP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3FCCFC2">
            <w:pPr>
              <w:jc w:val="center"/>
              <w:rPr>
                <w:rFonts w:hint="eastAsia" w:ascii="微软雅黑" w:hAnsi="微软雅黑" w:eastAsia="微软雅黑" w:cs="微软雅黑"/>
                <w:i/>
                <w:iCs/>
                <w:color w:val="000000"/>
                <w:sz w:val="15"/>
                <w:szCs w:val="15"/>
                <w:u w:val="none"/>
              </w:rPr>
            </w:pPr>
          </w:p>
        </w:tc>
        <w:tc>
          <w:tcPr>
            <w:tcW w:w="962"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C1FB732">
            <w:pPr>
              <w:jc w:val="center"/>
              <w:rPr>
                <w:rFonts w:hint="eastAsia" w:ascii="微软雅黑" w:hAnsi="微软雅黑" w:eastAsia="微软雅黑" w:cs="微软雅黑"/>
                <w:i/>
                <w:iCs/>
                <w:color w:val="000000"/>
                <w:sz w:val="15"/>
                <w:szCs w:val="15"/>
                <w:u w:val="none"/>
              </w:rPr>
            </w:pP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BB86480">
            <w:pPr>
              <w:jc w:val="center"/>
              <w:rPr>
                <w:rFonts w:hint="eastAsia" w:ascii="微软雅黑" w:hAnsi="微软雅黑" w:eastAsia="微软雅黑" w:cs="微软雅黑"/>
                <w:i/>
                <w:iCs/>
                <w:color w:val="000000"/>
                <w:sz w:val="15"/>
                <w:szCs w:val="15"/>
                <w:u w:val="none"/>
              </w:rPr>
            </w:pP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CED1FE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B252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824"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EAB28">
            <w:pPr>
              <w:jc w:val="center"/>
              <w:rPr>
                <w:rFonts w:hint="eastAsia" w:ascii="黑体" w:hAnsi="黑体" w:eastAsia="黑体" w:cs="黑体"/>
                <w:i/>
                <w:iCs/>
                <w:color w:val="000000"/>
                <w:sz w:val="16"/>
                <w:szCs w:val="16"/>
                <w:u w:val="none"/>
              </w:rPr>
            </w:pPr>
          </w:p>
        </w:tc>
      </w:tr>
      <w:tr w14:paraId="7EE8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1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71C7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A45FA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7CCFCE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DD5CE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A356D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49DB7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2B8E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3B07A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DD59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31EBE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CB68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5B5A6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A0887">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1FB2E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7659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57F18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共投入3.36万</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4F64E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020BC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3.36</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6E99B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万元</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0F7777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3.36</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AD2C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9E32A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2D6521">
            <w:pPr>
              <w:jc w:val="center"/>
              <w:rPr>
                <w:rFonts w:hint="eastAsia" w:ascii="宋体" w:hAnsi="宋体" w:eastAsia="宋体" w:cs="宋体"/>
                <w:i w:val="0"/>
                <w:iCs w:val="0"/>
                <w:color w:val="000000"/>
                <w:sz w:val="16"/>
                <w:szCs w:val="16"/>
                <w:u w:val="none"/>
              </w:rPr>
            </w:pPr>
          </w:p>
        </w:tc>
      </w:tr>
      <w:tr w14:paraId="1D09F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1B56B">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FB494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8DD34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EB048F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理赔效率</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72B4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0C392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98</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5031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45748C1">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100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DFF5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5414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2D8EF8">
            <w:pPr>
              <w:jc w:val="center"/>
              <w:rPr>
                <w:rFonts w:hint="eastAsia" w:ascii="宋体" w:hAnsi="宋体" w:eastAsia="宋体" w:cs="宋体"/>
                <w:i w:val="0"/>
                <w:iCs w:val="0"/>
                <w:color w:val="000000"/>
                <w:sz w:val="16"/>
                <w:szCs w:val="16"/>
                <w:u w:val="none"/>
              </w:rPr>
            </w:pPr>
          </w:p>
        </w:tc>
      </w:tr>
      <w:tr w14:paraId="039FD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19C77">
            <w:pPr>
              <w:jc w:val="center"/>
              <w:rPr>
                <w:rFonts w:hint="eastAsia" w:ascii="宋体" w:hAnsi="宋体" w:eastAsia="宋体" w:cs="宋体"/>
                <w:i w:val="0"/>
                <w:iCs w:val="0"/>
                <w:color w:val="000000"/>
                <w:sz w:val="16"/>
                <w:szCs w:val="16"/>
                <w:u w:val="none"/>
              </w:rPr>
            </w:pPr>
          </w:p>
        </w:tc>
        <w:tc>
          <w:tcPr>
            <w:tcW w:w="64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2B566C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CE3E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CE78F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严重精神障碍患者满意度</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234B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C03961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98</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BA47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666A448">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100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7A90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A03E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363F08">
            <w:pPr>
              <w:jc w:val="center"/>
              <w:rPr>
                <w:rFonts w:hint="eastAsia" w:ascii="宋体" w:hAnsi="宋体" w:eastAsia="宋体" w:cs="宋体"/>
                <w:i w:val="0"/>
                <w:iCs w:val="0"/>
                <w:color w:val="000000"/>
                <w:sz w:val="16"/>
                <w:szCs w:val="16"/>
                <w:u w:val="none"/>
              </w:rPr>
            </w:pPr>
          </w:p>
        </w:tc>
      </w:tr>
      <w:tr w14:paraId="098D6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540"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576EF">
            <w:pPr>
              <w:jc w:val="center"/>
              <w:rPr>
                <w:rFonts w:hint="eastAsia" w:ascii="宋体" w:hAnsi="宋体" w:eastAsia="宋体" w:cs="宋体"/>
                <w:i w:val="0"/>
                <w:iCs w:val="0"/>
                <w:color w:val="000000"/>
                <w:sz w:val="16"/>
                <w:szCs w:val="16"/>
                <w:u w:val="none"/>
              </w:rPr>
            </w:pPr>
          </w:p>
        </w:tc>
        <w:tc>
          <w:tcPr>
            <w:tcW w:w="644"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FD0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671BC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BC5E0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保险公司或相关部门在接到患者风险事件报告后，按规定时间（如 2 小时）到达现场并启动处置流程的事件占比</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F98C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02CA9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95</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6A15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0544AAB">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100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3292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3862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051C77">
            <w:pPr>
              <w:jc w:val="center"/>
              <w:rPr>
                <w:rFonts w:hint="eastAsia" w:ascii="宋体" w:hAnsi="宋体" w:eastAsia="宋体" w:cs="宋体"/>
                <w:i w:val="0"/>
                <w:iCs w:val="0"/>
                <w:color w:val="000000"/>
                <w:sz w:val="16"/>
                <w:szCs w:val="16"/>
                <w:u w:val="none"/>
              </w:rPr>
            </w:pPr>
          </w:p>
        </w:tc>
      </w:tr>
      <w:tr w14:paraId="0C027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80"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41B20">
            <w:pPr>
              <w:jc w:val="center"/>
              <w:rPr>
                <w:rFonts w:hint="eastAsia" w:ascii="宋体" w:hAnsi="宋体" w:eastAsia="宋体" w:cs="宋体"/>
                <w:i w:val="0"/>
                <w:iCs w:val="0"/>
                <w:color w:val="000000"/>
                <w:sz w:val="16"/>
                <w:szCs w:val="16"/>
                <w:u w:val="none"/>
              </w:rPr>
            </w:pPr>
          </w:p>
        </w:tc>
        <w:tc>
          <w:tcPr>
            <w:tcW w:w="64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2DAAF">
            <w:pPr>
              <w:jc w:val="center"/>
              <w:rPr>
                <w:rFonts w:hint="eastAsia" w:ascii="宋体" w:hAnsi="宋体" w:eastAsia="宋体" w:cs="宋体"/>
                <w:i w:val="0"/>
                <w:iCs w:val="0"/>
                <w:color w:val="000000"/>
                <w:sz w:val="16"/>
                <w:szCs w:val="16"/>
                <w:u w:val="none"/>
              </w:rPr>
            </w:pP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7CC0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6FB0CE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截止时间12月31日</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F9E4F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B1F97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9F80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51B2DC5">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1</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FA62F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8D76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F39843">
            <w:pPr>
              <w:jc w:val="center"/>
              <w:rPr>
                <w:rFonts w:hint="eastAsia" w:ascii="宋体" w:hAnsi="宋体" w:eastAsia="宋体" w:cs="宋体"/>
                <w:i w:val="0"/>
                <w:iCs w:val="0"/>
                <w:color w:val="000000"/>
                <w:sz w:val="16"/>
                <w:szCs w:val="16"/>
                <w:u w:val="none"/>
              </w:rPr>
            </w:pPr>
          </w:p>
        </w:tc>
      </w:tr>
      <w:tr w14:paraId="7FB7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396E3">
            <w:pPr>
              <w:jc w:val="center"/>
              <w:rPr>
                <w:rFonts w:hint="eastAsia" w:ascii="宋体" w:hAnsi="宋体" w:eastAsia="宋体" w:cs="宋体"/>
                <w:i w:val="0"/>
                <w:iCs w:val="0"/>
                <w:color w:val="000000"/>
                <w:sz w:val="16"/>
                <w:szCs w:val="16"/>
                <w:u w:val="none"/>
              </w:rPr>
            </w:pPr>
          </w:p>
        </w:tc>
        <w:tc>
          <w:tcPr>
            <w:tcW w:w="64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8EAEE">
            <w:pPr>
              <w:jc w:val="center"/>
              <w:rPr>
                <w:rFonts w:hint="eastAsia" w:ascii="宋体" w:hAnsi="宋体" w:eastAsia="宋体" w:cs="宋体"/>
                <w:i w:val="0"/>
                <w:iCs w:val="0"/>
                <w:color w:val="000000"/>
                <w:sz w:val="16"/>
                <w:szCs w:val="16"/>
                <w:u w:val="none"/>
              </w:rPr>
            </w:pPr>
          </w:p>
        </w:tc>
        <w:tc>
          <w:tcPr>
            <w:tcW w:w="54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05D852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71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5BCDF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投保率</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033C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0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06C51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98</w:t>
            </w:r>
          </w:p>
        </w:tc>
        <w:tc>
          <w:tcPr>
            <w:tcW w:w="22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BB468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5"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DF6E848">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100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14DBF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9CD2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FC5511">
            <w:pPr>
              <w:jc w:val="center"/>
              <w:rPr>
                <w:rFonts w:hint="eastAsia" w:ascii="微软雅黑" w:hAnsi="微软雅黑" w:eastAsia="微软雅黑" w:cs="微软雅黑"/>
                <w:i/>
                <w:iCs/>
                <w:color w:val="000000"/>
                <w:sz w:val="15"/>
                <w:szCs w:val="15"/>
                <w:u w:val="none"/>
              </w:rPr>
            </w:pPr>
          </w:p>
        </w:tc>
      </w:tr>
      <w:tr w14:paraId="0C28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639"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261993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7CD8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26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A3F3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8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714BA4">
            <w:pPr>
              <w:jc w:val="center"/>
              <w:rPr>
                <w:rFonts w:hint="eastAsia" w:ascii="宋体" w:hAnsi="宋体" w:eastAsia="宋体" w:cs="宋体"/>
                <w:i w:val="0"/>
                <w:iCs w:val="0"/>
                <w:color w:val="000000"/>
                <w:sz w:val="16"/>
                <w:szCs w:val="16"/>
                <w:u w:val="none"/>
              </w:rPr>
            </w:pPr>
          </w:p>
        </w:tc>
      </w:tr>
      <w:tr w14:paraId="47A4B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060" w:hRule="atLeast"/>
          <w:jc w:val="center"/>
        </w:trPr>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49B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4685" w:type="pct"/>
            <w:gridSpan w:val="115"/>
            <w:tcBorders>
              <w:top w:val="single" w:color="000000" w:sz="4" w:space="0"/>
              <w:left w:val="single" w:color="000000" w:sz="4" w:space="0"/>
              <w:bottom w:val="single" w:color="000000" w:sz="4" w:space="0"/>
              <w:right w:val="single" w:color="000000" w:sz="4" w:space="0"/>
            </w:tcBorders>
            <w:shd w:val="clear" w:color="auto" w:fill="auto"/>
            <w:vAlign w:val="center"/>
          </w:tcPr>
          <w:p w14:paraId="6B79D365">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监护人责任保险通过明确保险赔付范围与条件，将监护人的部分经济责任风险转移至保险机构，减轻了监护人因患者肇事肇祸需承担的经济赔偿压力。这不仅缓解了监护人的经济负担，还在一定程度上降低了监护人因担心承担高额赔偿而对患者疏于管理的可能性，激励监护人积极履行监护职责，主动配合相关部门做好患者的日常照护、治疗与监管工作 ，促使监护人责任从 “被动履行” 向 “主动落实” 转变。</w:t>
            </w:r>
          </w:p>
        </w:tc>
      </w:tr>
      <w:tr w14:paraId="1302C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40" w:hRule="atLeast"/>
          <w:jc w:val="center"/>
        </w:trPr>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D5FA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4685" w:type="pct"/>
            <w:gridSpan w:val="115"/>
            <w:tcBorders>
              <w:top w:val="single" w:color="000000" w:sz="4" w:space="0"/>
              <w:left w:val="single" w:color="000000" w:sz="4" w:space="0"/>
              <w:bottom w:val="single" w:color="000000" w:sz="4" w:space="0"/>
              <w:right w:val="single" w:color="000000" w:sz="4" w:space="0"/>
            </w:tcBorders>
            <w:shd w:val="clear" w:color="auto" w:fill="auto"/>
            <w:vAlign w:val="center"/>
          </w:tcPr>
          <w:p w14:paraId="65497F82">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在实际工作中，多部门协同治理仍存在信息共享不及时、职责划分不明确等问题。例如，卫健部门掌握患者的病情诊疗信息，公安部门了解患者的社会行为动态，但双方信息传递可能存在延迟，影响对患者风险的及时评估与干预。同时，在保险理赔流程中，部门之间的衔接不够顺畅，导致理赔手续繁琐、周期较长，降低了监护人对保险服务的满意度。</w:t>
            </w:r>
          </w:p>
        </w:tc>
      </w:tr>
      <w:tr w14:paraId="568AD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060" w:hRule="atLeast"/>
          <w:jc w:val="center"/>
        </w:trPr>
        <w:tc>
          <w:tcPr>
            <w:tcW w:w="3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302D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4685" w:type="pct"/>
            <w:gridSpan w:val="115"/>
            <w:tcBorders>
              <w:top w:val="single" w:color="000000" w:sz="4" w:space="0"/>
              <w:left w:val="single" w:color="000000" w:sz="4" w:space="0"/>
              <w:bottom w:val="single" w:color="000000" w:sz="4" w:space="0"/>
              <w:right w:val="single" w:color="000000" w:sz="4" w:space="0"/>
            </w:tcBorders>
            <w:shd w:val="clear" w:color="auto" w:fill="auto"/>
            <w:vAlign w:val="center"/>
          </w:tcPr>
          <w:p w14:paraId="467A7255">
            <w:pPr>
              <w:keepNext w:val="0"/>
              <w:keepLines w:val="0"/>
              <w:widowControl/>
              <w:suppressLineNumbers w:val="0"/>
              <w:jc w:val="center"/>
              <w:textAlignment w:val="center"/>
              <w:rPr>
                <w:rFonts w:hint="eastAsia" w:ascii="微软雅黑" w:hAnsi="微软雅黑" w:eastAsia="微软雅黑" w:cs="微软雅黑"/>
                <w:i/>
                <w:iCs/>
                <w:color w:val="000000"/>
                <w:sz w:val="15"/>
                <w:szCs w:val="15"/>
                <w:u w:val="none"/>
              </w:rPr>
            </w:pPr>
            <w:r>
              <w:rPr>
                <w:rFonts w:hint="eastAsia" w:ascii="微软雅黑" w:hAnsi="微软雅黑" w:eastAsia="微软雅黑" w:cs="微软雅黑"/>
                <w:i/>
                <w:iCs/>
                <w:color w:val="000000"/>
                <w:kern w:val="0"/>
                <w:sz w:val="15"/>
                <w:szCs w:val="15"/>
                <w:u w:val="none"/>
                <w:lang w:val="en-US" w:eastAsia="zh-CN" w:bidi="ar"/>
              </w:rPr>
              <w:t>政府可通过财政补贴、引入社会资本等方式，提高保险保额，扩大赔付范围，增强保险的兜底保障能力。同时，组织专业人员对保险条款进行梳理和优化，简化理赔流程，明确赔付标准，减少不合理免责条款，确保监护人在需要时能够顺利获得赔偿。通过社区宣传、入户讲解、案例分析等多种形式，广泛普及保险政策知识，提高监护人对保险重要性和实用性的认识。</w:t>
            </w:r>
          </w:p>
        </w:tc>
      </w:tr>
      <w:tr w14:paraId="51E3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54" w:type="pct"/>
            <w:gridSpan w:val="56"/>
            <w:tcBorders>
              <w:top w:val="single" w:color="000000" w:sz="4" w:space="0"/>
              <w:left w:val="single" w:color="000000" w:sz="4" w:space="0"/>
              <w:bottom w:val="single" w:color="000000" w:sz="4" w:space="0"/>
              <w:right w:val="single" w:color="000000" w:sz="4" w:space="0"/>
            </w:tcBorders>
            <w:shd w:val="clear" w:color="auto" w:fill="auto"/>
            <w:vAlign w:val="center"/>
          </w:tcPr>
          <w:p w14:paraId="525D6912">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项目负责人：胥圣权</w:t>
            </w:r>
          </w:p>
        </w:tc>
        <w:tc>
          <w:tcPr>
            <w:tcW w:w="2545" w:type="pct"/>
            <w:gridSpan w:val="61"/>
            <w:tcBorders>
              <w:top w:val="single" w:color="000000" w:sz="4" w:space="0"/>
              <w:left w:val="single" w:color="000000" w:sz="4" w:space="0"/>
              <w:bottom w:val="single" w:color="000000" w:sz="4" w:space="0"/>
              <w:right w:val="single" w:color="000000" w:sz="4" w:space="0"/>
            </w:tcBorders>
            <w:shd w:val="clear" w:color="auto" w:fill="auto"/>
            <w:vAlign w:val="center"/>
          </w:tcPr>
          <w:p w14:paraId="00B422CE">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财务负责人：徐波</w:t>
            </w:r>
          </w:p>
        </w:tc>
      </w:tr>
      <w:tr w14:paraId="15A2F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54" w:type="pct"/>
            <w:gridSpan w:val="56"/>
            <w:tcBorders>
              <w:top w:val="single" w:color="000000" w:sz="4" w:space="0"/>
              <w:left w:val="single" w:color="000000" w:sz="4" w:space="0"/>
              <w:bottom w:val="single" w:color="000000" w:sz="4" w:space="0"/>
              <w:right w:val="single" w:color="000000" w:sz="4" w:space="0"/>
            </w:tcBorders>
            <w:shd w:val="clear" w:color="auto" w:fill="auto"/>
            <w:vAlign w:val="center"/>
          </w:tcPr>
          <w:p w14:paraId="5DC68844">
            <w:pPr>
              <w:keepNext w:val="0"/>
              <w:keepLines w:val="0"/>
              <w:widowControl/>
              <w:suppressLineNumbers w:val="0"/>
              <w:jc w:val="center"/>
              <w:textAlignment w:val="center"/>
              <w:rPr>
                <w:rFonts w:hint="eastAsia" w:ascii="黑体" w:hAnsi="黑体" w:eastAsia="黑体" w:cs="黑体"/>
                <w:i w:val="0"/>
                <w:iCs w:val="0"/>
                <w:color w:val="000000"/>
                <w:kern w:val="0"/>
                <w:sz w:val="16"/>
                <w:szCs w:val="16"/>
                <w:u w:val="none"/>
                <w:lang w:val="en-US" w:eastAsia="zh-CN" w:bidi="ar"/>
              </w:rPr>
            </w:pPr>
          </w:p>
        </w:tc>
        <w:tc>
          <w:tcPr>
            <w:tcW w:w="2545" w:type="pct"/>
            <w:gridSpan w:val="61"/>
            <w:tcBorders>
              <w:top w:val="single" w:color="000000" w:sz="4" w:space="0"/>
              <w:left w:val="single" w:color="000000" w:sz="4" w:space="0"/>
              <w:bottom w:val="single" w:color="000000" w:sz="4" w:space="0"/>
              <w:right w:val="single" w:color="000000" w:sz="4" w:space="0"/>
            </w:tcBorders>
            <w:shd w:val="clear" w:color="auto" w:fill="auto"/>
            <w:vAlign w:val="center"/>
          </w:tcPr>
          <w:p w14:paraId="098E6E0F">
            <w:pPr>
              <w:keepNext w:val="0"/>
              <w:keepLines w:val="0"/>
              <w:widowControl/>
              <w:suppressLineNumbers w:val="0"/>
              <w:jc w:val="center"/>
              <w:textAlignment w:val="center"/>
              <w:rPr>
                <w:rFonts w:hint="eastAsia" w:ascii="黑体" w:hAnsi="黑体" w:eastAsia="黑体" w:cs="黑体"/>
                <w:i w:val="0"/>
                <w:iCs w:val="0"/>
                <w:color w:val="000000"/>
                <w:kern w:val="0"/>
                <w:sz w:val="16"/>
                <w:szCs w:val="16"/>
                <w:u w:val="none"/>
                <w:lang w:val="en-US" w:eastAsia="zh-CN" w:bidi="ar"/>
              </w:rPr>
            </w:pPr>
          </w:p>
        </w:tc>
      </w:tr>
      <w:tr w14:paraId="5CAAF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4C12F205">
            <w:pPr>
              <w:keepNext w:val="0"/>
              <w:keepLines w:val="0"/>
              <w:widowControl/>
              <w:suppressLineNumbers w:val="0"/>
              <w:jc w:val="left"/>
              <w:textAlignment w:val="auto"/>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 xml:space="preserve">        部门预算项目支出绩效自评表（2024年度）</w:t>
            </w:r>
          </w:p>
        </w:tc>
      </w:tr>
      <w:tr w14:paraId="71F15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420F8E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79BECD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51090424T000011119281-驻村工作队工作经费（长期）</w:t>
            </w:r>
          </w:p>
        </w:tc>
      </w:tr>
      <w:tr w14:paraId="6F6D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65BE6D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171"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451C2E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498" w:type="pct"/>
            <w:gridSpan w:val="19"/>
            <w:tcBorders>
              <w:top w:val="nil"/>
              <w:left w:val="nil"/>
              <w:bottom w:val="nil"/>
              <w:right w:val="nil"/>
            </w:tcBorders>
            <w:shd w:val="clear" w:color="auto" w:fill="auto"/>
            <w:vAlign w:val="center"/>
          </w:tcPr>
          <w:p w14:paraId="5F10A3D2">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71" w:type="pct"/>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08E81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6C063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842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BE3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171"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1F01B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869" w:type="pct"/>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14C3F2C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1DFF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0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4EF95">
            <w:pP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95004">
            <w:pPr>
              <w:rPr>
                <w:rFonts w:hint="eastAsia" w:ascii="宋体" w:hAnsi="宋体" w:eastAsia="宋体" w:cs="宋体"/>
                <w:i w:val="0"/>
                <w:iCs w:val="0"/>
                <w:color w:val="000000"/>
                <w:sz w:val="18"/>
                <w:szCs w:val="18"/>
                <w:u w:val="none"/>
              </w:rPr>
            </w:pPr>
          </w:p>
        </w:tc>
        <w:tc>
          <w:tcPr>
            <w:tcW w:w="2171"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2CB63E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完成8个驻村工作队所驻村工作经费，每个村1.5万元，包括6个贫困村和2个乡村振兴村，共计12万元</w:t>
            </w:r>
          </w:p>
        </w:tc>
        <w:tc>
          <w:tcPr>
            <w:tcW w:w="1869" w:type="pct"/>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4F36BB2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完成8个驻村工作队所驻村工作经费，每个村1.5万元，包括6个贫困村和2个乡村振兴村，共计12万元</w:t>
            </w:r>
          </w:p>
        </w:tc>
      </w:tr>
      <w:tr w14:paraId="0EE9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4F32D">
            <w:pP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0F1C9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2F3C5D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完成8个驻村工作队所驻村工作经费，每个村1.5万元，包括6个贫困村和2个乡村振兴村，共计12万元</w:t>
            </w:r>
          </w:p>
        </w:tc>
      </w:tr>
      <w:tr w14:paraId="7C3B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D49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3E4F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8982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E728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71E7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3294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1467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AECB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50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1032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B403B">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4C53B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2D7D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AD4BD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13.50</w:t>
            </w:r>
          </w:p>
        </w:tc>
        <w:tc>
          <w:tcPr>
            <w:tcW w:w="955"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39E033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13.50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365B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BF80E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B915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8098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2526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E48C5">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DC28B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47AE9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69776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13.50</w:t>
            </w:r>
          </w:p>
        </w:tc>
        <w:tc>
          <w:tcPr>
            <w:tcW w:w="955"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980F6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13.50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7853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642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72A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804D0">
            <w:pPr>
              <w:rPr>
                <w:rFonts w:hint="eastAsia" w:ascii="黑体" w:hAnsi="黑体" w:eastAsia="黑体" w:cs="黑体"/>
                <w:i/>
                <w:iCs/>
                <w:color w:val="000000"/>
                <w:sz w:val="18"/>
                <w:szCs w:val="18"/>
                <w:u w:val="none"/>
              </w:rPr>
            </w:pPr>
          </w:p>
        </w:tc>
      </w:tr>
      <w:tr w14:paraId="6A3A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90176">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02D75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FB4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3A6D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37108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6DD46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92E7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1F6F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9AC80">
            <w:pPr>
              <w:rPr>
                <w:rFonts w:hint="eastAsia" w:ascii="黑体" w:hAnsi="黑体" w:eastAsia="黑体" w:cs="黑体"/>
                <w:i/>
                <w:iCs/>
                <w:color w:val="000000"/>
                <w:sz w:val="18"/>
                <w:szCs w:val="18"/>
                <w:u w:val="none"/>
              </w:rPr>
            </w:pPr>
          </w:p>
        </w:tc>
      </w:tr>
      <w:tr w14:paraId="15FD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B9D02">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482CB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8A4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5491A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70CB0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F250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75592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5FB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04759">
            <w:pPr>
              <w:rPr>
                <w:rFonts w:hint="eastAsia" w:ascii="黑体" w:hAnsi="黑体" w:eastAsia="黑体" w:cs="黑体"/>
                <w:i/>
                <w:iCs/>
                <w:color w:val="000000"/>
                <w:sz w:val="18"/>
                <w:szCs w:val="18"/>
                <w:u w:val="none"/>
              </w:rPr>
            </w:pPr>
          </w:p>
        </w:tc>
      </w:tr>
      <w:tr w14:paraId="0EA85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BD080">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7734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08976A">
            <w:pPr>
              <w:jc w:val="center"/>
              <w:rPr>
                <w:rFonts w:hint="eastAsia" w:ascii="微软雅黑" w:hAnsi="微软雅黑" w:eastAsia="微软雅黑" w:cs="微软雅黑"/>
                <w:i/>
                <w:iCs/>
                <w:color w:val="000000"/>
                <w:sz w:val="16"/>
                <w:szCs w:val="16"/>
                <w:u w:val="none"/>
              </w:rPr>
            </w:pP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4EDD655">
            <w:pPr>
              <w:jc w:val="center"/>
              <w:rPr>
                <w:rFonts w:hint="eastAsia" w:ascii="微软雅黑" w:hAnsi="微软雅黑" w:eastAsia="微软雅黑" w:cs="微软雅黑"/>
                <w:i/>
                <w:iCs/>
                <w:color w:val="000000"/>
                <w:sz w:val="16"/>
                <w:szCs w:val="16"/>
                <w:u w:val="none"/>
              </w:rPr>
            </w:pPr>
          </w:p>
        </w:tc>
        <w:tc>
          <w:tcPr>
            <w:tcW w:w="955"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05DF52E">
            <w:pPr>
              <w:jc w:val="center"/>
              <w:rPr>
                <w:rFonts w:hint="eastAsia" w:ascii="微软雅黑" w:hAnsi="微软雅黑" w:eastAsia="微软雅黑" w:cs="微软雅黑"/>
                <w:i/>
                <w:iCs/>
                <w:color w:val="000000"/>
                <w:sz w:val="16"/>
                <w:szCs w:val="16"/>
                <w:u w:val="none"/>
              </w:rPr>
            </w:pP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1867BA0E">
            <w:pPr>
              <w:jc w:val="center"/>
              <w:rPr>
                <w:rFonts w:hint="eastAsia" w:ascii="微软雅黑" w:hAnsi="微软雅黑" w:eastAsia="微软雅黑" w:cs="微软雅黑"/>
                <w:i/>
                <w:iCs/>
                <w:color w:val="000000"/>
                <w:sz w:val="16"/>
                <w:szCs w:val="16"/>
                <w:u w:val="none"/>
              </w:rPr>
            </w:pP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6093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1DF9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9E40A">
            <w:pPr>
              <w:rPr>
                <w:rFonts w:hint="eastAsia" w:ascii="黑体" w:hAnsi="黑体" w:eastAsia="黑体" w:cs="黑体"/>
                <w:i/>
                <w:iCs/>
                <w:color w:val="000000"/>
                <w:sz w:val="18"/>
                <w:szCs w:val="18"/>
                <w:u w:val="none"/>
              </w:rPr>
            </w:pPr>
          </w:p>
        </w:tc>
      </w:tr>
      <w:tr w14:paraId="7E333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E2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E79A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9EB2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189E9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0D6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6EDDC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428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CAAA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EECB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8A4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547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2815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F1509">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C94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F683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4134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6个贫困村及2个乡村振兴村工作经费</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0161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4BE24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FAA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D4FC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B597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CFF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4383BE">
            <w:pPr>
              <w:jc w:val="center"/>
              <w:rPr>
                <w:rFonts w:hint="eastAsia" w:ascii="微软雅黑" w:hAnsi="微软雅黑" w:eastAsia="微软雅黑" w:cs="微软雅黑"/>
                <w:i/>
                <w:iCs/>
                <w:color w:val="000000"/>
                <w:sz w:val="16"/>
                <w:szCs w:val="16"/>
                <w:u w:val="none"/>
              </w:rPr>
            </w:pPr>
          </w:p>
        </w:tc>
      </w:tr>
      <w:tr w14:paraId="00280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4BD60">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1BC9C">
            <w:pPr>
              <w:jc w:val="center"/>
              <w:rPr>
                <w:rFonts w:hint="eastAsia" w:ascii="宋体" w:hAnsi="宋体" w:eastAsia="宋体" w:cs="宋体"/>
                <w:i w:val="0"/>
                <w:iCs w:val="0"/>
                <w:color w:val="000000"/>
                <w:sz w:val="18"/>
                <w:szCs w:val="18"/>
                <w:u w:val="none"/>
              </w:rPr>
            </w:pP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BA3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68400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驻村工作组经费覆盖率达到99%</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5AA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0083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DEB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2931F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6B8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09A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B0AB14">
            <w:pPr>
              <w:jc w:val="center"/>
              <w:rPr>
                <w:rFonts w:hint="eastAsia" w:ascii="微软雅黑" w:hAnsi="微软雅黑" w:eastAsia="微软雅黑" w:cs="微软雅黑"/>
                <w:i/>
                <w:iCs/>
                <w:color w:val="000000"/>
                <w:sz w:val="16"/>
                <w:szCs w:val="16"/>
                <w:u w:val="none"/>
              </w:rPr>
            </w:pPr>
          </w:p>
        </w:tc>
      </w:tr>
      <w:tr w14:paraId="3C7A2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910D3">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4F079">
            <w:pPr>
              <w:jc w:val="center"/>
              <w:rPr>
                <w:rFonts w:hint="eastAsia" w:ascii="宋体" w:hAnsi="宋体" w:eastAsia="宋体" w:cs="宋体"/>
                <w:i w:val="0"/>
                <w:iCs w:val="0"/>
                <w:color w:val="000000"/>
                <w:sz w:val="18"/>
                <w:szCs w:val="18"/>
                <w:u w:val="none"/>
              </w:rPr>
            </w:pP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45CE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43372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05C9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0A499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00D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79271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DDD7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C171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DAFF7B">
            <w:pPr>
              <w:jc w:val="center"/>
              <w:rPr>
                <w:rFonts w:hint="eastAsia" w:ascii="微软雅黑" w:hAnsi="微软雅黑" w:eastAsia="微软雅黑" w:cs="微软雅黑"/>
                <w:i/>
                <w:iCs/>
                <w:color w:val="000000"/>
                <w:sz w:val="16"/>
                <w:szCs w:val="16"/>
                <w:u w:val="none"/>
              </w:rPr>
            </w:pPr>
          </w:p>
        </w:tc>
      </w:tr>
      <w:tr w14:paraId="5DCB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072D2">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22FA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60C3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D4D2E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促进8个所驻村贫困群众增收</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46F4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051E7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8F6A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A4E0E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DEBC9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129D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81159">
            <w:pPr>
              <w:jc w:val="center"/>
              <w:rPr>
                <w:rFonts w:hint="eastAsia" w:ascii="微软雅黑" w:hAnsi="微软雅黑" w:eastAsia="微软雅黑" w:cs="微软雅黑"/>
                <w:i/>
                <w:iCs/>
                <w:color w:val="000000"/>
                <w:sz w:val="16"/>
                <w:szCs w:val="16"/>
                <w:u w:val="none"/>
              </w:rPr>
            </w:pPr>
          </w:p>
        </w:tc>
      </w:tr>
      <w:tr w14:paraId="1B0EC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5B139">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8C19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937A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47045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提高8个村群众满意度</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2AE7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0CCF3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446D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2C575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21EED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D880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8AE064">
            <w:pPr>
              <w:jc w:val="center"/>
              <w:rPr>
                <w:rFonts w:hint="eastAsia" w:ascii="微软雅黑" w:hAnsi="微软雅黑" w:eastAsia="微软雅黑" w:cs="微软雅黑"/>
                <w:i/>
                <w:iCs/>
                <w:color w:val="000000"/>
                <w:sz w:val="16"/>
                <w:szCs w:val="16"/>
                <w:u w:val="none"/>
              </w:rPr>
            </w:pPr>
          </w:p>
        </w:tc>
      </w:tr>
      <w:tr w14:paraId="08F5F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41212">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D71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22" w:type="pct"/>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94A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AE34E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水费；电费；通讯费，8个村，每个村2000元</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80A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76C2F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0EB4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185C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9C9E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E1B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6E36F7">
            <w:pPr>
              <w:jc w:val="center"/>
              <w:rPr>
                <w:rFonts w:hint="eastAsia" w:ascii="微软雅黑" w:hAnsi="微软雅黑" w:eastAsia="微软雅黑" w:cs="微软雅黑"/>
                <w:i/>
                <w:iCs/>
                <w:color w:val="000000"/>
                <w:sz w:val="16"/>
                <w:szCs w:val="16"/>
                <w:u w:val="none"/>
              </w:rPr>
            </w:pPr>
          </w:p>
        </w:tc>
      </w:tr>
      <w:tr w14:paraId="7549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7D808">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AB229">
            <w:pPr>
              <w:jc w:val="center"/>
              <w:rPr>
                <w:rFonts w:hint="eastAsia" w:ascii="宋体" w:hAnsi="宋体" w:eastAsia="宋体" w:cs="宋体"/>
                <w:i w:val="0"/>
                <w:iCs w:val="0"/>
                <w:color w:val="000000"/>
                <w:sz w:val="18"/>
                <w:szCs w:val="18"/>
                <w:u w:val="none"/>
              </w:rPr>
            </w:pPr>
          </w:p>
        </w:tc>
        <w:tc>
          <w:tcPr>
            <w:tcW w:w="522" w:type="pct"/>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60501">
            <w:pPr>
              <w:jc w:val="center"/>
              <w:rPr>
                <w:rFonts w:hint="eastAsia" w:ascii="宋体" w:hAnsi="宋体" w:eastAsia="宋体" w:cs="宋体"/>
                <w:i w:val="0"/>
                <w:iCs w:val="0"/>
                <w:color w:val="000000"/>
                <w:sz w:val="18"/>
                <w:szCs w:val="18"/>
                <w:u w:val="none"/>
              </w:rPr>
            </w:pP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A9541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购买办公用品，8个村，每个村每年1000元</w:t>
            </w:r>
          </w:p>
        </w:tc>
        <w:tc>
          <w:tcPr>
            <w:tcW w:w="2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5A1A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02F1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1DC8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91474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EB192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BEA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77425">
            <w:pPr>
              <w:jc w:val="center"/>
              <w:rPr>
                <w:rFonts w:hint="eastAsia" w:ascii="微软雅黑" w:hAnsi="微软雅黑" w:eastAsia="微软雅黑" w:cs="微软雅黑"/>
                <w:i/>
                <w:iCs/>
                <w:color w:val="000000"/>
                <w:sz w:val="16"/>
                <w:szCs w:val="16"/>
                <w:u w:val="none"/>
              </w:rPr>
            </w:pPr>
          </w:p>
        </w:tc>
      </w:tr>
      <w:tr w14:paraId="03C1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628" w:type="pct"/>
            <w:gridSpan w:val="94"/>
            <w:tcBorders>
              <w:top w:val="single" w:color="000000" w:sz="4" w:space="0"/>
              <w:left w:val="single" w:color="000000" w:sz="4" w:space="0"/>
              <w:bottom w:val="single" w:color="000000" w:sz="4" w:space="0"/>
              <w:right w:val="single" w:color="000000" w:sz="4" w:space="0"/>
            </w:tcBorders>
            <w:shd w:val="clear" w:color="auto" w:fill="auto"/>
            <w:vAlign w:val="center"/>
          </w:tcPr>
          <w:p w14:paraId="2AE10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B047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E7B4F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CAFC38">
            <w:pPr>
              <w:rPr>
                <w:rFonts w:hint="eastAsia" w:ascii="宋体" w:hAnsi="宋体" w:eastAsia="宋体" w:cs="宋体"/>
                <w:i w:val="0"/>
                <w:iCs w:val="0"/>
                <w:color w:val="000000"/>
                <w:sz w:val="18"/>
                <w:szCs w:val="18"/>
                <w:u w:val="none"/>
              </w:rPr>
            </w:pPr>
          </w:p>
        </w:tc>
      </w:tr>
      <w:tr w14:paraId="53C5D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0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3E1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1821109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Style w:val="33"/>
                <w:lang w:val="en-US" w:eastAsia="zh-CN" w:bidi="ar"/>
              </w:rPr>
              <w:t>经对驻村工作队工作经费支持项目的全面评估，项目整体达成预期目标，在乡村振兴工作中发挥了积极作用，但仍存在可优化空间。</w:t>
            </w:r>
            <w:r>
              <w:rPr>
                <w:rStyle w:val="34"/>
                <w:rFonts w:eastAsia="微软雅黑"/>
                <w:lang w:val="en-US" w:eastAsia="zh-CN" w:bidi="ar"/>
              </w:rPr>
              <w:t>​</w:t>
            </w:r>
            <w:r>
              <w:rPr>
                <w:rStyle w:val="33"/>
                <w:lang w:val="en-US" w:eastAsia="zh-CN" w:bidi="ar"/>
              </w:rPr>
              <w:br w:type="textWrapping"/>
            </w:r>
            <w:r>
              <w:rPr>
                <w:rStyle w:val="33"/>
                <w:lang w:val="en-US" w:eastAsia="zh-CN" w:bidi="ar"/>
              </w:rPr>
              <w:t>在资金使用与项目管理方面，各项目严格遵循财务管理制度，经费预算编制科学合理，紧密围绕乡村发展需求分配资金。执行过程中，资金审批流程规范，专款专用，票据合规率达 100%，未出现挪用、超支等违规现象。同时，建立了较为完善的项目管理机制，明确各方职责，保障了项目顺利推进。</w:t>
            </w:r>
          </w:p>
        </w:tc>
      </w:tr>
      <w:tr w14:paraId="35440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72"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A12D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5438266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资金到位时间存在差异，驻村工作队与乡镇政府、农业农村局、财政局等相关部门之间沟通协调不畅，在项目规划、资金拨付、技术指导等方面缺乏有效配合。部分项目在决策和实施过程中，未充分征求村民意见，村民参与项目规划、监督的渠道不畅通。村民对项目的认同感和积极性不高，甚至出现抵触情绪，影响项目的顺利推进和实施效果。</w:t>
            </w:r>
          </w:p>
        </w:tc>
      </w:tr>
      <w:tr w14:paraId="40DB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3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DF0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20997AC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建立与财政、乡镇等部门的协同工作机制，简化资金拨付流程，明确各环节办理时限。对已审批通过的项目，实行 “限时拨付”，确保资金及时到位，保障项目顺利推进。通过村民代表大会、村务公开栏、线上平台等多种渠道，广泛征求村民对项目的意见和建议。设立项目监督小组，吸纳村民代表参与项目规划、建设和监督全过程，保障村民的知情权、参与权和监督权。</w:t>
            </w:r>
          </w:p>
        </w:tc>
      </w:tr>
      <w:tr w14:paraId="31DAB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09"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2E2A0DB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项目负责人：向文浩</w:t>
            </w:r>
          </w:p>
        </w:tc>
        <w:tc>
          <w:tcPr>
            <w:tcW w:w="2590"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07AFEEF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0525A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09"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34AD15F9">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590"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2CC8EA4F">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177CE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082E63F1">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9296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8E08E6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63CA28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51090424T000011812494-2024年信创替代专项资金</w:t>
            </w:r>
          </w:p>
        </w:tc>
      </w:tr>
      <w:tr w14:paraId="7C6FF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14EF9D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170"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5BD2D2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496" w:type="pct"/>
            <w:gridSpan w:val="18"/>
            <w:tcBorders>
              <w:top w:val="nil"/>
              <w:left w:val="nil"/>
              <w:bottom w:val="nil"/>
              <w:right w:val="nil"/>
            </w:tcBorders>
            <w:shd w:val="clear" w:color="auto" w:fill="auto"/>
            <w:vAlign w:val="center"/>
          </w:tcPr>
          <w:p w14:paraId="6EE2FC2A">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72"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14:paraId="59AC69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34EB1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8EE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0BA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170"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461A5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869" w:type="pct"/>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700F2E9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E12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0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F0D0E">
            <w:pP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B5370">
            <w:pPr>
              <w:rPr>
                <w:rFonts w:hint="eastAsia" w:ascii="宋体" w:hAnsi="宋体" w:eastAsia="宋体" w:cs="宋体"/>
                <w:i w:val="0"/>
                <w:iCs w:val="0"/>
                <w:color w:val="000000"/>
                <w:sz w:val="18"/>
                <w:szCs w:val="18"/>
                <w:u w:val="none"/>
              </w:rPr>
            </w:pPr>
          </w:p>
        </w:tc>
        <w:tc>
          <w:tcPr>
            <w:tcW w:w="2170"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07B0D7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6万元用于信创产品的采购与部署，包括信创计算机终端、服务器、办公外接设备等的购置确保项目顺利推进。</w:t>
            </w:r>
          </w:p>
        </w:tc>
        <w:tc>
          <w:tcPr>
            <w:tcW w:w="1869" w:type="pct"/>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1ABBF01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于2024年购买信创电脑10台</w:t>
            </w:r>
          </w:p>
        </w:tc>
      </w:tr>
      <w:tr w14:paraId="06086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318EB">
            <w:pP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1C495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5030E8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于2024年购买信创电脑10台</w:t>
            </w:r>
          </w:p>
        </w:tc>
      </w:tr>
      <w:tr w14:paraId="1953B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CFD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EB1B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7270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81790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2"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34AF6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71D0B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50602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3C9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6FD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6A2C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1779D">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F0440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0611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5950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952"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5F5E7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1D3AB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E0D53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546AC4">
            <w:pPr>
              <w:jc w:val="center"/>
              <w:rPr>
                <w:rFonts w:hint="eastAsia" w:ascii="宋体" w:hAnsi="宋体" w:eastAsia="宋体" w:cs="宋体"/>
                <w:i w:val="0"/>
                <w:iCs w:val="0"/>
                <w:color w:val="000000"/>
                <w:sz w:val="18"/>
                <w:szCs w:val="18"/>
                <w:u w:val="none"/>
              </w:rPr>
            </w:pPr>
          </w:p>
        </w:tc>
        <w:tc>
          <w:tcPr>
            <w:tcW w:w="80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ABCC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93D4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8ABF7">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2D2A4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A14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6688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952"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62ED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B74B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4281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0D9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3761B">
            <w:pPr>
              <w:rPr>
                <w:rFonts w:hint="eastAsia" w:ascii="黑体" w:hAnsi="黑体" w:eastAsia="黑体" w:cs="黑体"/>
                <w:i/>
                <w:iCs/>
                <w:color w:val="000000"/>
                <w:sz w:val="18"/>
                <w:szCs w:val="18"/>
                <w:u w:val="none"/>
              </w:rPr>
            </w:pPr>
          </w:p>
        </w:tc>
      </w:tr>
      <w:tr w14:paraId="05A72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4E877">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AD36B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B73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9849B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B29A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A17E1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EB48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0702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3FFCC">
            <w:pPr>
              <w:rPr>
                <w:rFonts w:hint="eastAsia" w:ascii="黑体" w:hAnsi="黑体" w:eastAsia="黑体" w:cs="黑体"/>
                <w:i/>
                <w:iCs/>
                <w:color w:val="000000"/>
                <w:sz w:val="18"/>
                <w:szCs w:val="18"/>
                <w:u w:val="none"/>
              </w:rPr>
            </w:pPr>
          </w:p>
        </w:tc>
      </w:tr>
      <w:tr w14:paraId="414BE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37B70">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658A6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D049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7A67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55CC92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F952B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B2B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3C29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9B0E4">
            <w:pPr>
              <w:rPr>
                <w:rFonts w:hint="eastAsia" w:ascii="黑体" w:hAnsi="黑体" w:eastAsia="黑体" w:cs="黑体"/>
                <w:i/>
                <w:iCs/>
                <w:color w:val="000000"/>
                <w:sz w:val="18"/>
                <w:szCs w:val="18"/>
                <w:u w:val="none"/>
              </w:rPr>
            </w:pPr>
          </w:p>
        </w:tc>
      </w:tr>
      <w:tr w14:paraId="6ADFD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1973C">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6F31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9BDA02">
            <w:pPr>
              <w:jc w:val="center"/>
              <w:rPr>
                <w:rFonts w:hint="eastAsia" w:ascii="微软雅黑" w:hAnsi="微软雅黑" w:eastAsia="微软雅黑" w:cs="微软雅黑"/>
                <w:i/>
                <w:iCs/>
                <w:color w:val="000000"/>
                <w:sz w:val="16"/>
                <w:szCs w:val="16"/>
                <w:u w:val="none"/>
              </w:rPr>
            </w:pP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05C4701">
            <w:pPr>
              <w:jc w:val="center"/>
              <w:rPr>
                <w:rFonts w:hint="eastAsia" w:ascii="微软雅黑" w:hAnsi="微软雅黑" w:eastAsia="微软雅黑" w:cs="微软雅黑"/>
                <w:i/>
                <w:iCs/>
                <w:color w:val="000000"/>
                <w:sz w:val="16"/>
                <w:szCs w:val="16"/>
                <w:u w:val="none"/>
              </w:rPr>
            </w:pPr>
          </w:p>
        </w:tc>
        <w:tc>
          <w:tcPr>
            <w:tcW w:w="952"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15D652D">
            <w:pPr>
              <w:jc w:val="center"/>
              <w:rPr>
                <w:rFonts w:hint="eastAsia" w:ascii="微软雅黑" w:hAnsi="微软雅黑" w:eastAsia="微软雅黑" w:cs="微软雅黑"/>
                <w:i/>
                <w:iCs/>
                <w:color w:val="000000"/>
                <w:sz w:val="16"/>
                <w:szCs w:val="16"/>
                <w:u w:val="none"/>
              </w:rPr>
            </w:pP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CA1306D">
            <w:pPr>
              <w:jc w:val="center"/>
              <w:rPr>
                <w:rFonts w:hint="eastAsia" w:ascii="微软雅黑" w:hAnsi="微软雅黑" w:eastAsia="微软雅黑" w:cs="微软雅黑"/>
                <w:i/>
                <w:iCs/>
                <w:color w:val="000000"/>
                <w:sz w:val="16"/>
                <w:szCs w:val="16"/>
                <w:u w:val="none"/>
              </w:rPr>
            </w:pP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71F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D05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1ED4C">
            <w:pPr>
              <w:rPr>
                <w:rFonts w:hint="eastAsia" w:ascii="黑体" w:hAnsi="黑体" w:eastAsia="黑体" w:cs="黑体"/>
                <w:i/>
                <w:iCs/>
                <w:color w:val="000000"/>
                <w:sz w:val="18"/>
                <w:szCs w:val="18"/>
                <w:u w:val="none"/>
              </w:rPr>
            </w:pPr>
          </w:p>
        </w:tc>
      </w:tr>
      <w:tr w14:paraId="2861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E1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55D1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AAF5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24817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8017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8C58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7C4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C7D2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F775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F800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B6B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2D8B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60C1D">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8E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AFC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D9FF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10台电脑</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A6AB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10F28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8AEC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937CC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D27DE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456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5DA384">
            <w:pPr>
              <w:jc w:val="center"/>
              <w:rPr>
                <w:rFonts w:hint="eastAsia" w:ascii="宋体" w:hAnsi="宋体" w:eastAsia="宋体" w:cs="宋体"/>
                <w:i w:val="0"/>
                <w:iCs w:val="0"/>
                <w:color w:val="000000"/>
                <w:sz w:val="18"/>
                <w:szCs w:val="18"/>
                <w:u w:val="none"/>
              </w:rPr>
            </w:pPr>
          </w:p>
        </w:tc>
      </w:tr>
      <w:tr w14:paraId="7F152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EDD85">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9FF9A">
            <w:pPr>
              <w:jc w:val="center"/>
              <w:rPr>
                <w:rFonts w:hint="eastAsia" w:ascii="宋体" w:hAnsi="宋体" w:eastAsia="宋体" w:cs="宋体"/>
                <w:i w:val="0"/>
                <w:iCs w:val="0"/>
                <w:color w:val="000000"/>
                <w:sz w:val="18"/>
                <w:szCs w:val="18"/>
                <w:u w:val="none"/>
              </w:rPr>
            </w:pP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48BD1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5F6DF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电脑使用率达到98%</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1B37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0011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8E0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F9CE7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CB54D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5FC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E63B94">
            <w:pPr>
              <w:jc w:val="center"/>
              <w:rPr>
                <w:rFonts w:hint="eastAsia" w:ascii="宋体" w:hAnsi="宋体" w:eastAsia="宋体" w:cs="宋体"/>
                <w:i w:val="0"/>
                <w:iCs w:val="0"/>
                <w:color w:val="000000"/>
                <w:sz w:val="18"/>
                <w:szCs w:val="18"/>
                <w:u w:val="none"/>
              </w:rPr>
            </w:pPr>
          </w:p>
        </w:tc>
      </w:tr>
      <w:tr w14:paraId="62023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648AE">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3137F">
            <w:pPr>
              <w:jc w:val="center"/>
              <w:rPr>
                <w:rFonts w:hint="eastAsia" w:ascii="宋体" w:hAnsi="宋体" w:eastAsia="宋体" w:cs="宋体"/>
                <w:i w:val="0"/>
                <w:iCs w:val="0"/>
                <w:color w:val="000000"/>
                <w:sz w:val="18"/>
                <w:szCs w:val="18"/>
                <w:u w:val="none"/>
              </w:rPr>
            </w:pP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9785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75BE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1月31日-12月31日</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9B28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828C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C17F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31FE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D86FF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6456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E983AF">
            <w:pPr>
              <w:jc w:val="center"/>
              <w:rPr>
                <w:rFonts w:hint="eastAsia" w:ascii="宋体" w:hAnsi="宋体" w:eastAsia="宋体" w:cs="宋体"/>
                <w:i w:val="0"/>
                <w:iCs w:val="0"/>
                <w:color w:val="000000"/>
                <w:sz w:val="18"/>
                <w:szCs w:val="18"/>
                <w:u w:val="none"/>
              </w:rPr>
            </w:pPr>
          </w:p>
        </w:tc>
      </w:tr>
      <w:tr w14:paraId="5A235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2FC06">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DDAB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E08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A9573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工作效率提高</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05B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20B54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5B6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7459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233C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BA2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499644">
            <w:pPr>
              <w:jc w:val="center"/>
              <w:rPr>
                <w:rFonts w:hint="eastAsia" w:ascii="宋体" w:hAnsi="宋体" w:eastAsia="宋体" w:cs="宋体"/>
                <w:i w:val="0"/>
                <w:iCs w:val="0"/>
                <w:color w:val="000000"/>
                <w:sz w:val="18"/>
                <w:szCs w:val="18"/>
                <w:u w:val="none"/>
              </w:rPr>
            </w:pPr>
          </w:p>
        </w:tc>
      </w:tr>
      <w:tr w14:paraId="05BE7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2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D1DA5">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E4B1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5C2C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87531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信创项目使用单位对产品性能、技术服务满意度≥85%</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18A6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45CB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FF3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461D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28B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5C323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0932B2">
            <w:pPr>
              <w:jc w:val="center"/>
              <w:rPr>
                <w:rFonts w:hint="eastAsia" w:ascii="宋体" w:hAnsi="宋体" w:eastAsia="宋体" w:cs="宋体"/>
                <w:i w:val="0"/>
                <w:iCs w:val="0"/>
                <w:color w:val="000000"/>
                <w:sz w:val="18"/>
                <w:szCs w:val="18"/>
                <w:u w:val="none"/>
              </w:rPr>
            </w:pPr>
          </w:p>
        </w:tc>
      </w:tr>
      <w:tr w14:paraId="30DFB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4E639">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F55E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2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35AA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FCBC2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840C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FF8E8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8BA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4F1B3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0C4F3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399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452B1E">
            <w:pPr>
              <w:jc w:val="center"/>
              <w:rPr>
                <w:rFonts w:hint="eastAsia" w:ascii="微软雅黑" w:hAnsi="微软雅黑" w:eastAsia="微软雅黑" w:cs="微软雅黑"/>
                <w:i/>
                <w:iCs/>
                <w:color w:val="000000"/>
                <w:sz w:val="16"/>
                <w:szCs w:val="16"/>
                <w:u w:val="none"/>
              </w:rPr>
            </w:pPr>
          </w:p>
        </w:tc>
      </w:tr>
      <w:tr w14:paraId="3AD46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627" w:type="pct"/>
            <w:gridSpan w:val="93"/>
            <w:tcBorders>
              <w:top w:val="single" w:color="000000" w:sz="4" w:space="0"/>
              <w:left w:val="single" w:color="000000" w:sz="4" w:space="0"/>
              <w:bottom w:val="single" w:color="000000" w:sz="4" w:space="0"/>
              <w:right w:val="single" w:color="000000" w:sz="4" w:space="0"/>
            </w:tcBorders>
            <w:shd w:val="clear" w:color="auto" w:fill="auto"/>
            <w:vAlign w:val="center"/>
          </w:tcPr>
          <w:p w14:paraId="681843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4B02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532ED5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99EF1F">
            <w:pPr>
              <w:rPr>
                <w:rFonts w:hint="eastAsia" w:ascii="宋体" w:hAnsi="宋体" w:eastAsia="宋体" w:cs="宋体"/>
                <w:i w:val="0"/>
                <w:iCs w:val="0"/>
                <w:color w:val="000000"/>
                <w:sz w:val="18"/>
                <w:szCs w:val="18"/>
                <w:u w:val="none"/>
              </w:rPr>
            </w:pPr>
          </w:p>
        </w:tc>
      </w:tr>
      <w:tr w14:paraId="0902D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0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0D95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450E689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专项资金对信创基础软硬件产品采购的支持，提升了国产芯片、操作系统、数据库等产品的市场应用比例，带动了信创产业链上下游企业协同发展。同时，产学研合作项目的开展促进了创新型信创技术的试点应用，推动了信创技术成果转化，增强了信创产业的核心竞争力，助力实现技术自主可控目标。</w:t>
            </w:r>
          </w:p>
        </w:tc>
      </w:tr>
      <w:tr w14:paraId="3644B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72"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F40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64D40A4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专项资金对信创基础软硬件产品采购的支持，提升了国产芯片、操作系统、数据库等产品的市场应用比例，带动了信创产业链上下游企业协同发展。同时，产学研合作项目的开展促进了创新型信创技术的试点应用，推动了信创技术成果转化，增强了信创产业的核心竞争力，助力实现技术自主可控目标。</w:t>
            </w:r>
          </w:p>
        </w:tc>
      </w:tr>
      <w:tr w14:paraId="2782C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3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BCE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03C54EE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积极探索多元化资金筹集方式，加大财政支持力度，制定优惠政策吸引社会资本参与信创项目。优化资金分配方案，根据项目实际需求动态调整资金配比，合理增加项目管理与应急备用资金比例，保障项目顺利实施。</w:t>
            </w:r>
          </w:p>
        </w:tc>
      </w:tr>
      <w:tr w14:paraId="50B75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10"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1EAE8A3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项目负责人：徐波</w:t>
            </w:r>
          </w:p>
        </w:tc>
        <w:tc>
          <w:tcPr>
            <w:tcW w:w="2589"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2C4E3AE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305BC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10"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0B0DFFF4">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589"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3419A535">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5EA7E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10"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66F94737">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589"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6A32EAD0">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4A26F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3C863E78">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B05B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1005"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1ECD62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3994"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2AF0F4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51090425T000012407034-公共图书馆、美术馆、文化馆（站）免费开放资金</w:t>
            </w:r>
          </w:p>
        </w:tc>
      </w:tr>
      <w:tr w14:paraId="56AA7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1005"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3C11A41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268" w:type="pct"/>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3763A8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673" w:type="pct"/>
            <w:gridSpan w:val="28"/>
            <w:tcBorders>
              <w:top w:val="nil"/>
              <w:left w:val="nil"/>
              <w:bottom w:val="nil"/>
              <w:right w:val="nil"/>
            </w:tcBorders>
            <w:shd w:val="clear" w:color="auto" w:fill="auto"/>
            <w:vAlign w:val="center"/>
          </w:tcPr>
          <w:p w14:paraId="43D803F9">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0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0CF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61EA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377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67"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A13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268" w:type="pct"/>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542372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726" w:type="pct"/>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171ADB8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8B82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0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E724">
            <w:pPr>
              <w:rPr>
                <w:rFonts w:hint="eastAsia" w:ascii="宋体" w:hAnsi="宋体" w:eastAsia="宋体" w:cs="宋体"/>
                <w:i w:val="0"/>
                <w:iCs w:val="0"/>
                <w:color w:val="000000"/>
                <w:sz w:val="18"/>
                <w:szCs w:val="18"/>
                <w:u w:val="none"/>
              </w:rPr>
            </w:pPr>
          </w:p>
        </w:tc>
        <w:tc>
          <w:tcPr>
            <w:tcW w:w="667"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286D">
            <w:pPr>
              <w:rPr>
                <w:rFonts w:hint="eastAsia" w:ascii="宋体" w:hAnsi="宋体" w:eastAsia="宋体" w:cs="宋体"/>
                <w:i w:val="0"/>
                <w:iCs w:val="0"/>
                <w:color w:val="000000"/>
                <w:sz w:val="18"/>
                <w:szCs w:val="18"/>
                <w:u w:val="none"/>
              </w:rPr>
            </w:pPr>
          </w:p>
        </w:tc>
        <w:tc>
          <w:tcPr>
            <w:tcW w:w="2268" w:type="pct"/>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079231B9">
            <w:pPr>
              <w:rPr>
                <w:rFonts w:hint="eastAsia" w:ascii="宋体" w:hAnsi="宋体" w:eastAsia="宋体" w:cs="宋体"/>
                <w:i w:val="0"/>
                <w:iCs w:val="0"/>
                <w:color w:val="000000"/>
                <w:sz w:val="18"/>
                <w:szCs w:val="18"/>
                <w:u w:val="none"/>
              </w:rPr>
            </w:pPr>
          </w:p>
        </w:tc>
        <w:tc>
          <w:tcPr>
            <w:tcW w:w="1726" w:type="pct"/>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21DD9C7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14000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4C548">
            <w:pP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6A00F6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3994"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1F55E196">
            <w:pPr>
              <w:rPr>
                <w:rFonts w:hint="eastAsia" w:ascii="宋体" w:hAnsi="宋体" w:eastAsia="宋体" w:cs="宋体"/>
                <w:i w:val="0"/>
                <w:iCs w:val="0"/>
                <w:color w:val="000000"/>
                <w:sz w:val="18"/>
                <w:szCs w:val="18"/>
                <w:u w:val="none"/>
              </w:rPr>
            </w:pPr>
          </w:p>
        </w:tc>
      </w:tr>
      <w:tr w14:paraId="176F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B98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F06D3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0C38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3FE23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03EFB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B1DE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4403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73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30D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48D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1A4AE">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93482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CBE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2DA4BE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2.52</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2CB9AE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2.52</w:t>
            </w: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BE306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6BA8F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F89A">
            <w:pPr>
              <w:jc w:val="center"/>
              <w:rPr>
                <w:rFonts w:hint="eastAsia" w:ascii="宋体" w:hAnsi="宋体" w:eastAsia="宋体" w:cs="宋体"/>
                <w:i w:val="0"/>
                <w:iCs w:val="0"/>
                <w:color w:val="000000"/>
                <w:sz w:val="18"/>
                <w:szCs w:val="18"/>
                <w:u w:val="none"/>
              </w:rPr>
            </w:pP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961F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6387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E09E5">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412AB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59023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58172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2.52</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524D3B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2.52</w:t>
            </w: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55445A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0BB03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6E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260F5">
            <w:pPr>
              <w:rPr>
                <w:rFonts w:hint="eastAsia" w:ascii="黑体" w:hAnsi="黑体" w:eastAsia="黑体" w:cs="黑体"/>
                <w:i/>
                <w:iCs/>
                <w:color w:val="000000"/>
                <w:sz w:val="18"/>
                <w:szCs w:val="18"/>
                <w:u w:val="none"/>
              </w:rPr>
            </w:pPr>
          </w:p>
        </w:tc>
      </w:tr>
      <w:tr w14:paraId="5ACA1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3BAA3">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6D3B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698F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39EDB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010A8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278690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17B4E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5F8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561CB">
            <w:pPr>
              <w:rPr>
                <w:rFonts w:hint="eastAsia" w:ascii="黑体" w:hAnsi="黑体" w:eastAsia="黑体" w:cs="黑体"/>
                <w:i/>
                <w:iCs/>
                <w:color w:val="000000"/>
                <w:sz w:val="18"/>
                <w:szCs w:val="18"/>
                <w:u w:val="none"/>
              </w:rPr>
            </w:pPr>
          </w:p>
        </w:tc>
      </w:tr>
      <w:tr w14:paraId="0EF2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06D1C">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DB494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620B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05079F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BDE95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C270B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BB3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D1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8311D">
            <w:pPr>
              <w:rPr>
                <w:rFonts w:hint="eastAsia" w:ascii="黑体" w:hAnsi="黑体" w:eastAsia="黑体" w:cs="黑体"/>
                <w:i/>
                <w:iCs/>
                <w:color w:val="000000"/>
                <w:sz w:val="18"/>
                <w:szCs w:val="18"/>
                <w:u w:val="none"/>
              </w:rPr>
            </w:pPr>
          </w:p>
        </w:tc>
      </w:tr>
      <w:tr w14:paraId="14D0F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1B2AD">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F9DC3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4B1AC2">
            <w:pPr>
              <w:jc w:val="center"/>
              <w:rPr>
                <w:rFonts w:hint="eastAsia" w:ascii="微软雅黑" w:hAnsi="微软雅黑" w:eastAsia="微软雅黑" w:cs="微软雅黑"/>
                <w:i/>
                <w:iCs/>
                <w:color w:val="000000"/>
                <w:sz w:val="16"/>
                <w:szCs w:val="16"/>
                <w:u w:val="none"/>
              </w:rPr>
            </w:pP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0F979A8C">
            <w:pPr>
              <w:jc w:val="center"/>
              <w:rPr>
                <w:rFonts w:hint="eastAsia" w:ascii="微软雅黑" w:hAnsi="微软雅黑" w:eastAsia="微软雅黑" w:cs="微软雅黑"/>
                <w:i/>
                <w:iCs/>
                <w:color w:val="000000"/>
                <w:sz w:val="16"/>
                <w:szCs w:val="16"/>
                <w:u w:val="none"/>
              </w:rPr>
            </w:pP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2476E0D">
            <w:pPr>
              <w:jc w:val="center"/>
              <w:rPr>
                <w:rFonts w:hint="eastAsia" w:ascii="微软雅黑" w:hAnsi="微软雅黑" w:eastAsia="微软雅黑" w:cs="微软雅黑"/>
                <w:i/>
                <w:iCs/>
                <w:color w:val="000000"/>
                <w:sz w:val="16"/>
                <w:szCs w:val="16"/>
                <w:u w:val="none"/>
              </w:rPr>
            </w:pP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DC3CFDC">
            <w:pPr>
              <w:jc w:val="center"/>
              <w:rPr>
                <w:rFonts w:hint="eastAsia" w:ascii="微软雅黑" w:hAnsi="微软雅黑" w:eastAsia="微软雅黑" w:cs="微软雅黑"/>
                <w:i/>
                <w:iCs/>
                <w:color w:val="000000"/>
                <w:sz w:val="16"/>
                <w:szCs w:val="16"/>
                <w:u w:val="none"/>
              </w:rPr>
            </w:pP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66A1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E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CAB51">
            <w:pPr>
              <w:rPr>
                <w:rFonts w:hint="eastAsia" w:ascii="黑体" w:hAnsi="黑体" w:eastAsia="黑体" w:cs="黑体"/>
                <w:i/>
                <w:iCs/>
                <w:color w:val="000000"/>
                <w:sz w:val="18"/>
                <w:szCs w:val="18"/>
                <w:u w:val="none"/>
              </w:rPr>
            </w:pPr>
          </w:p>
        </w:tc>
      </w:tr>
      <w:tr w14:paraId="2D38E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1B7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758E7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88C7F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75CA09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7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D4E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5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B094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679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516DB6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B64A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C3C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DF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7119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0ED7F">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C8578FF">
            <w:pPr>
              <w:jc w:val="center"/>
              <w:rPr>
                <w:rFonts w:hint="eastAsia" w:ascii="宋体" w:hAnsi="宋体" w:eastAsia="宋体" w:cs="宋体"/>
                <w:i w:val="0"/>
                <w:iCs w:val="0"/>
                <w:color w:val="000000"/>
                <w:sz w:val="18"/>
                <w:szCs w:val="18"/>
                <w:u w:val="none"/>
              </w:rPr>
            </w:pP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E920100">
            <w:pPr>
              <w:jc w:val="center"/>
              <w:rPr>
                <w:rFonts w:hint="eastAsia" w:ascii="宋体" w:hAnsi="宋体" w:eastAsia="宋体" w:cs="宋体"/>
                <w:i w:val="0"/>
                <w:iCs w:val="0"/>
                <w:color w:val="000000"/>
                <w:sz w:val="18"/>
                <w:szCs w:val="18"/>
                <w:u w:val="none"/>
              </w:rPr>
            </w:pP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5765523B">
            <w:pPr>
              <w:jc w:val="center"/>
              <w:rPr>
                <w:rFonts w:hint="eastAsia" w:ascii="宋体" w:hAnsi="宋体" w:eastAsia="宋体" w:cs="宋体"/>
                <w:i w:val="0"/>
                <w:iCs w:val="0"/>
                <w:color w:val="000000"/>
                <w:sz w:val="18"/>
                <w:szCs w:val="18"/>
                <w:u w:val="none"/>
              </w:rPr>
            </w:pPr>
          </w:p>
        </w:tc>
        <w:tc>
          <w:tcPr>
            <w:tcW w:w="27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91FE64">
            <w:pPr>
              <w:jc w:val="center"/>
              <w:rPr>
                <w:rFonts w:hint="eastAsia" w:ascii="宋体" w:hAnsi="宋体" w:eastAsia="宋体" w:cs="宋体"/>
                <w:i w:val="0"/>
                <w:iCs w:val="0"/>
                <w:color w:val="000000"/>
                <w:sz w:val="18"/>
                <w:szCs w:val="18"/>
                <w:u w:val="none"/>
              </w:rPr>
            </w:pPr>
          </w:p>
        </w:tc>
        <w:tc>
          <w:tcPr>
            <w:tcW w:w="45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386A01A">
            <w:pPr>
              <w:jc w:val="center"/>
              <w:rPr>
                <w:rFonts w:hint="eastAsia" w:ascii="宋体" w:hAnsi="宋体" w:eastAsia="宋体" w:cs="宋体"/>
                <w:i w:val="0"/>
                <w:iCs w:val="0"/>
                <w:color w:val="000000"/>
                <w:sz w:val="18"/>
                <w:szCs w:val="18"/>
                <w:u w:val="none"/>
              </w:rPr>
            </w:pP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B576A7">
            <w:pPr>
              <w:jc w:val="center"/>
              <w:rPr>
                <w:rFonts w:hint="eastAsia" w:ascii="宋体" w:hAnsi="宋体" w:eastAsia="宋体" w:cs="宋体"/>
                <w:i w:val="0"/>
                <w:iCs w:val="0"/>
                <w:color w:val="000000"/>
                <w:sz w:val="18"/>
                <w:szCs w:val="18"/>
                <w:u w:val="none"/>
              </w:rPr>
            </w:pPr>
          </w:p>
        </w:tc>
        <w:tc>
          <w:tcPr>
            <w:tcW w:w="673"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474FE42">
            <w:pPr>
              <w:jc w:val="center"/>
              <w:rPr>
                <w:rFonts w:hint="eastAsia" w:ascii="微软雅黑" w:hAnsi="微软雅黑" w:eastAsia="微软雅黑" w:cs="微软雅黑"/>
                <w:i/>
                <w:iCs/>
                <w:color w:val="000000"/>
                <w:sz w:val="16"/>
                <w:szCs w:val="16"/>
                <w:u w:val="none"/>
              </w:rPr>
            </w:pP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5357773">
            <w:pPr>
              <w:jc w:val="center"/>
              <w:rPr>
                <w:rFonts w:hint="eastAsia" w:ascii="宋体" w:hAnsi="宋体" w:eastAsia="宋体" w:cs="宋体"/>
                <w:i w:val="0"/>
                <w:iCs w:val="0"/>
                <w:color w:val="000000"/>
                <w:sz w:val="18"/>
                <w:szCs w:val="18"/>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9C90">
            <w:pPr>
              <w:jc w:val="center"/>
              <w:rPr>
                <w:rFonts w:hint="eastAsia" w:ascii="宋体" w:hAnsi="宋体" w:eastAsia="宋体" w:cs="宋体"/>
                <w:i w:val="0"/>
                <w:iCs w:val="0"/>
                <w:color w:val="000000"/>
                <w:sz w:val="18"/>
                <w:szCs w:val="18"/>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ECA2D">
            <w:pPr>
              <w:jc w:val="center"/>
              <w:rPr>
                <w:rFonts w:hint="eastAsia" w:ascii="微软雅黑" w:hAnsi="微软雅黑" w:eastAsia="微软雅黑" w:cs="微软雅黑"/>
                <w:i/>
                <w:iCs/>
                <w:color w:val="000000"/>
                <w:sz w:val="16"/>
                <w:szCs w:val="16"/>
                <w:u w:val="none"/>
              </w:rPr>
            </w:pPr>
          </w:p>
        </w:tc>
      </w:tr>
      <w:tr w14:paraId="210BD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947" w:type="pct"/>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421B49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A101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F9866">
            <w:pPr>
              <w:rPr>
                <w:rFonts w:hint="eastAsia" w:ascii="宋体" w:hAnsi="宋体" w:eastAsia="宋体" w:cs="宋体"/>
                <w:i w:val="0"/>
                <w:iCs w:val="0"/>
                <w:color w:val="000000"/>
                <w:sz w:val="18"/>
                <w:szCs w:val="18"/>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2560">
            <w:pPr>
              <w:rPr>
                <w:rFonts w:hint="eastAsia" w:ascii="宋体" w:hAnsi="宋体" w:eastAsia="宋体" w:cs="宋体"/>
                <w:i w:val="0"/>
                <w:iCs w:val="0"/>
                <w:color w:val="000000"/>
                <w:sz w:val="18"/>
                <w:szCs w:val="18"/>
                <w:u w:val="none"/>
              </w:rPr>
            </w:pPr>
          </w:p>
        </w:tc>
      </w:tr>
      <w:tr w14:paraId="51FDD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0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7A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36E8199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66683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72"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00E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71C62F0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535A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3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FDB2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45851D0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3A081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589" w:type="pct"/>
            <w:gridSpan w:val="60"/>
            <w:tcBorders>
              <w:top w:val="single" w:color="000000" w:sz="4" w:space="0"/>
              <w:left w:val="single" w:color="000000" w:sz="4" w:space="0"/>
              <w:bottom w:val="single" w:color="000000" w:sz="4" w:space="0"/>
              <w:right w:val="single" w:color="000000" w:sz="4" w:space="0"/>
            </w:tcBorders>
            <w:shd w:val="clear" w:color="auto" w:fill="auto"/>
            <w:vAlign w:val="center"/>
          </w:tcPr>
          <w:p w14:paraId="7875A96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10" w:type="pct"/>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4964FF7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6522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3509A9F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bookmarkStart w:id="152" w:name="_Toc21810"/>
            <w:bookmarkStart w:id="153" w:name="_Toc13821"/>
            <w:bookmarkStart w:id="154" w:name="_Toc24778"/>
            <w:bookmarkStart w:id="155" w:name="_Toc21742"/>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481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1005"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827DE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3994"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3CE452E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51090423T000009272847-严重精神障碍患者投保监护人责任保险</w:t>
            </w:r>
          </w:p>
        </w:tc>
      </w:tr>
      <w:tr w14:paraId="5C159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1005"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06B1CF7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268" w:type="pct"/>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42562C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496" w:type="pct"/>
            <w:gridSpan w:val="19"/>
            <w:tcBorders>
              <w:top w:val="nil"/>
              <w:left w:val="nil"/>
              <w:bottom w:val="nil"/>
              <w:right w:val="nil"/>
            </w:tcBorders>
            <w:shd w:val="clear" w:color="auto" w:fill="auto"/>
            <w:vAlign w:val="center"/>
          </w:tcPr>
          <w:p w14:paraId="5BFABAD8">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29"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05DA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2C70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AA8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67"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B04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268" w:type="pct"/>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07F1E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726" w:type="pct"/>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5F8D16B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B1E3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0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C637F">
            <w:pPr>
              <w:rPr>
                <w:rFonts w:hint="eastAsia" w:ascii="宋体" w:hAnsi="宋体" w:eastAsia="宋体" w:cs="宋体"/>
                <w:i w:val="0"/>
                <w:iCs w:val="0"/>
                <w:color w:val="000000"/>
                <w:sz w:val="18"/>
                <w:szCs w:val="18"/>
                <w:u w:val="none"/>
              </w:rPr>
            </w:pPr>
          </w:p>
        </w:tc>
        <w:tc>
          <w:tcPr>
            <w:tcW w:w="667"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E5F6E">
            <w:pPr>
              <w:rPr>
                <w:rFonts w:hint="eastAsia" w:ascii="宋体" w:hAnsi="宋体" w:eastAsia="宋体" w:cs="宋体"/>
                <w:i w:val="0"/>
                <w:iCs w:val="0"/>
                <w:color w:val="000000"/>
                <w:sz w:val="18"/>
                <w:szCs w:val="18"/>
                <w:u w:val="none"/>
              </w:rPr>
            </w:pPr>
          </w:p>
        </w:tc>
        <w:tc>
          <w:tcPr>
            <w:tcW w:w="2268" w:type="pct"/>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0CB0DD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实现对本乡镇严重精神障碍患者信息管理系统登记在册的所有患者，投保覆盖率达到 100%</w:t>
            </w:r>
          </w:p>
        </w:tc>
        <w:tc>
          <w:tcPr>
            <w:tcW w:w="1726" w:type="pct"/>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1EDE64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实现对本乡镇严重精神障碍患者信息管理系统登记在册的所有患者，投保覆盖率达到 100%</w:t>
            </w:r>
          </w:p>
        </w:tc>
      </w:tr>
      <w:tr w14:paraId="67A80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9D446">
            <w:pP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2BB09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3994"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691534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实现对本乡镇严重精神障碍患者信息管理系统登记在册的所有患者，投保覆盖率达到 100%</w:t>
            </w:r>
          </w:p>
        </w:tc>
      </w:tr>
      <w:tr w14:paraId="01C5E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4E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4ECB6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7024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B199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2E93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227A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D312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F79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9EA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A823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78DBC">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34FAB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C48EB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07BD2E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DFE8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F492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74EC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A2A1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859B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B22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53996">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4B287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5B55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65DAC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970BF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7499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3C7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48C8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B363D">
            <w:pPr>
              <w:rPr>
                <w:rFonts w:hint="eastAsia" w:ascii="黑体" w:hAnsi="黑体" w:eastAsia="黑体" w:cs="黑体"/>
                <w:i/>
                <w:iCs/>
                <w:color w:val="000000"/>
                <w:sz w:val="18"/>
                <w:szCs w:val="18"/>
                <w:u w:val="none"/>
              </w:rPr>
            </w:pPr>
          </w:p>
        </w:tc>
      </w:tr>
      <w:tr w14:paraId="32068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2AAEC">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2B323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8EDEC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19D2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22066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E79A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833C5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8532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17CAA">
            <w:pPr>
              <w:rPr>
                <w:rFonts w:hint="eastAsia" w:ascii="黑体" w:hAnsi="黑体" w:eastAsia="黑体" w:cs="黑体"/>
                <w:i/>
                <w:iCs/>
                <w:color w:val="000000"/>
                <w:sz w:val="18"/>
                <w:szCs w:val="18"/>
                <w:u w:val="none"/>
              </w:rPr>
            </w:pPr>
          </w:p>
        </w:tc>
      </w:tr>
      <w:tr w14:paraId="42D4B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4540C">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C3944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3A95B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70880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0A82E2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670E3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CC32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B65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D2359">
            <w:pPr>
              <w:rPr>
                <w:rFonts w:hint="eastAsia" w:ascii="黑体" w:hAnsi="黑体" w:eastAsia="黑体" w:cs="黑体"/>
                <w:i/>
                <w:iCs/>
                <w:color w:val="000000"/>
                <w:sz w:val="18"/>
                <w:szCs w:val="18"/>
                <w:u w:val="none"/>
              </w:rPr>
            </w:pPr>
          </w:p>
        </w:tc>
      </w:tr>
      <w:tr w14:paraId="2DE1C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8F309">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D8D6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AF8F8A2">
            <w:pPr>
              <w:jc w:val="center"/>
              <w:rPr>
                <w:rFonts w:hint="eastAsia" w:ascii="微软雅黑" w:hAnsi="微软雅黑" w:eastAsia="微软雅黑" w:cs="微软雅黑"/>
                <w:i/>
                <w:iCs/>
                <w:color w:val="000000"/>
                <w:sz w:val="16"/>
                <w:szCs w:val="16"/>
                <w:u w:val="none"/>
              </w:rPr>
            </w:pP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2D3E338C">
            <w:pPr>
              <w:jc w:val="center"/>
              <w:rPr>
                <w:rFonts w:hint="eastAsia" w:ascii="微软雅黑" w:hAnsi="微软雅黑" w:eastAsia="微软雅黑" w:cs="微软雅黑"/>
                <w:i/>
                <w:iCs/>
                <w:color w:val="000000"/>
                <w:sz w:val="16"/>
                <w:szCs w:val="16"/>
                <w:u w:val="none"/>
              </w:rPr>
            </w:pPr>
          </w:p>
        </w:tc>
        <w:tc>
          <w:tcPr>
            <w:tcW w:w="957"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5A108F1">
            <w:pPr>
              <w:jc w:val="center"/>
              <w:rPr>
                <w:rFonts w:hint="eastAsia" w:ascii="微软雅黑" w:hAnsi="微软雅黑" w:eastAsia="微软雅黑" w:cs="微软雅黑"/>
                <w:i/>
                <w:iCs/>
                <w:color w:val="000000"/>
                <w:sz w:val="16"/>
                <w:szCs w:val="16"/>
                <w:u w:val="none"/>
              </w:rPr>
            </w:pP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8C69E94">
            <w:pPr>
              <w:jc w:val="center"/>
              <w:rPr>
                <w:rFonts w:hint="eastAsia" w:ascii="微软雅黑" w:hAnsi="微软雅黑" w:eastAsia="微软雅黑" w:cs="微软雅黑"/>
                <w:i/>
                <w:iCs/>
                <w:color w:val="000000"/>
                <w:sz w:val="16"/>
                <w:szCs w:val="16"/>
                <w:u w:val="none"/>
              </w:rPr>
            </w:pP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523AA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037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B1A03">
            <w:pPr>
              <w:rPr>
                <w:rFonts w:hint="eastAsia" w:ascii="黑体" w:hAnsi="黑体" w:eastAsia="黑体" w:cs="黑体"/>
                <w:i/>
                <w:iCs/>
                <w:color w:val="000000"/>
                <w:sz w:val="18"/>
                <w:szCs w:val="18"/>
                <w:u w:val="none"/>
              </w:rPr>
            </w:pPr>
          </w:p>
        </w:tc>
      </w:tr>
      <w:tr w14:paraId="7E9E8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90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D639B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2240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08AE30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6D8B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6678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B893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72626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AC71E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CE63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3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ACE9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9465C">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6C10D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BB2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5A8090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共投入3.36万</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6BC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C7B3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E196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D9FE2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2AAF4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997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9570">
            <w:pPr>
              <w:jc w:val="center"/>
              <w:rPr>
                <w:rFonts w:hint="eastAsia" w:ascii="宋体" w:hAnsi="宋体" w:eastAsia="宋体" w:cs="宋体"/>
                <w:i w:val="0"/>
                <w:iCs w:val="0"/>
                <w:color w:val="000000"/>
                <w:sz w:val="18"/>
                <w:szCs w:val="18"/>
                <w:u w:val="none"/>
              </w:rPr>
            </w:pPr>
          </w:p>
        </w:tc>
      </w:tr>
      <w:tr w14:paraId="767A3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058BE">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B52D0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6F05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0D1BA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理赔效率</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04E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D5A3B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7DD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A8AE5A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4ECDE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256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92A35">
            <w:pPr>
              <w:jc w:val="center"/>
              <w:rPr>
                <w:rFonts w:hint="eastAsia" w:ascii="宋体" w:hAnsi="宋体" w:eastAsia="宋体" w:cs="宋体"/>
                <w:i w:val="0"/>
                <w:iCs w:val="0"/>
                <w:color w:val="000000"/>
                <w:sz w:val="18"/>
                <w:szCs w:val="18"/>
                <w:u w:val="none"/>
              </w:rPr>
            </w:pPr>
          </w:p>
        </w:tc>
      </w:tr>
      <w:tr w14:paraId="4AFA2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0C4A2">
            <w:pPr>
              <w:jc w:val="center"/>
              <w:rPr>
                <w:rFonts w:hint="eastAsia" w:ascii="宋体" w:hAnsi="宋体" w:eastAsia="宋体" w:cs="宋体"/>
                <w:i w:val="0"/>
                <w:iCs w:val="0"/>
                <w:color w:val="000000"/>
                <w:sz w:val="18"/>
                <w:szCs w:val="18"/>
                <w:u w:val="none"/>
              </w:rPr>
            </w:pPr>
          </w:p>
        </w:tc>
        <w:tc>
          <w:tcPr>
            <w:tcW w:w="667"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553A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9AB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947CE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严重精神障碍患者满意度</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3F0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798A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485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118F9CB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9D5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4281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266C">
            <w:pPr>
              <w:jc w:val="center"/>
              <w:rPr>
                <w:rFonts w:hint="eastAsia" w:ascii="宋体" w:hAnsi="宋体" w:eastAsia="宋体" w:cs="宋体"/>
                <w:i w:val="0"/>
                <w:iCs w:val="0"/>
                <w:color w:val="000000"/>
                <w:sz w:val="18"/>
                <w:szCs w:val="18"/>
                <w:u w:val="none"/>
              </w:rPr>
            </w:pPr>
          </w:p>
        </w:tc>
      </w:tr>
      <w:tr w14:paraId="11BBC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54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4B44D">
            <w:pPr>
              <w:jc w:val="center"/>
              <w:rPr>
                <w:rFonts w:hint="eastAsia" w:ascii="宋体" w:hAnsi="宋体" w:eastAsia="宋体" w:cs="宋体"/>
                <w:i w:val="0"/>
                <w:iCs w:val="0"/>
                <w:color w:val="000000"/>
                <w:sz w:val="18"/>
                <w:szCs w:val="18"/>
                <w:u w:val="none"/>
              </w:rPr>
            </w:pPr>
          </w:p>
        </w:tc>
        <w:tc>
          <w:tcPr>
            <w:tcW w:w="667"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DD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1B79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652E8F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保险公司或相关部门在接到患者风险事件报告后，按规定时间（如 2 小时）到达现场并启动处置流程的事件占比</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69E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7909B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6F36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907C9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DD7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B710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8B4C4">
            <w:pPr>
              <w:jc w:val="center"/>
              <w:rPr>
                <w:rFonts w:hint="eastAsia" w:ascii="宋体" w:hAnsi="宋体" w:eastAsia="宋体" w:cs="宋体"/>
                <w:i w:val="0"/>
                <w:iCs w:val="0"/>
                <w:color w:val="000000"/>
                <w:sz w:val="18"/>
                <w:szCs w:val="18"/>
                <w:u w:val="none"/>
              </w:rPr>
            </w:pPr>
          </w:p>
        </w:tc>
      </w:tr>
      <w:tr w14:paraId="65D89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8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7159B">
            <w:pPr>
              <w:jc w:val="center"/>
              <w:rPr>
                <w:rFonts w:hint="eastAsia" w:ascii="宋体" w:hAnsi="宋体" w:eastAsia="宋体" w:cs="宋体"/>
                <w:i w:val="0"/>
                <w:iCs w:val="0"/>
                <w:color w:val="000000"/>
                <w:sz w:val="18"/>
                <w:szCs w:val="18"/>
                <w:u w:val="none"/>
              </w:rPr>
            </w:pPr>
          </w:p>
        </w:tc>
        <w:tc>
          <w:tcPr>
            <w:tcW w:w="667"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BA039">
            <w:pPr>
              <w:jc w:val="center"/>
              <w:rPr>
                <w:rFonts w:hint="eastAsia" w:ascii="宋体" w:hAnsi="宋体" w:eastAsia="宋体" w:cs="宋体"/>
                <w:i w:val="0"/>
                <w:iCs w:val="0"/>
                <w:color w:val="000000"/>
                <w:sz w:val="18"/>
                <w:szCs w:val="18"/>
                <w:u w:val="none"/>
              </w:rPr>
            </w:pP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79BE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292279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截止时间12月31日</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405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200F2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689F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2AFFAC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531A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2B45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3987">
            <w:pPr>
              <w:jc w:val="center"/>
              <w:rPr>
                <w:rFonts w:hint="eastAsia" w:ascii="宋体" w:hAnsi="宋体" w:eastAsia="宋体" w:cs="宋体"/>
                <w:i w:val="0"/>
                <w:iCs w:val="0"/>
                <w:color w:val="000000"/>
                <w:sz w:val="18"/>
                <w:szCs w:val="18"/>
                <w:u w:val="none"/>
              </w:rPr>
            </w:pPr>
          </w:p>
        </w:tc>
      </w:tr>
      <w:tr w14:paraId="6243A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31634">
            <w:pPr>
              <w:jc w:val="center"/>
              <w:rPr>
                <w:rFonts w:hint="eastAsia" w:ascii="宋体" w:hAnsi="宋体" w:eastAsia="宋体" w:cs="宋体"/>
                <w:i w:val="0"/>
                <w:iCs w:val="0"/>
                <w:color w:val="000000"/>
                <w:sz w:val="18"/>
                <w:szCs w:val="18"/>
                <w:u w:val="none"/>
              </w:rPr>
            </w:pPr>
          </w:p>
        </w:tc>
        <w:tc>
          <w:tcPr>
            <w:tcW w:w="667"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68FE2">
            <w:pPr>
              <w:jc w:val="center"/>
              <w:rPr>
                <w:rFonts w:hint="eastAsia" w:ascii="宋体" w:hAnsi="宋体" w:eastAsia="宋体" w:cs="宋体"/>
                <w:i w:val="0"/>
                <w:iCs w:val="0"/>
                <w:color w:val="000000"/>
                <w:sz w:val="18"/>
                <w:szCs w:val="18"/>
                <w:u w:val="none"/>
              </w:rPr>
            </w:pPr>
          </w:p>
        </w:tc>
        <w:tc>
          <w:tcPr>
            <w:tcW w:w="56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1B175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41" w:type="pct"/>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743BFF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投保率</w:t>
            </w:r>
          </w:p>
        </w:tc>
        <w:tc>
          <w:tcPr>
            <w:tcW w:w="24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E0E1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81"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2D569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A50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8483AB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DA5F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705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C379A">
            <w:pPr>
              <w:jc w:val="center"/>
              <w:rPr>
                <w:rFonts w:hint="eastAsia" w:ascii="微软雅黑" w:hAnsi="微软雅黑" w:eastAsia="微软雅黑" w:cs="微软雅黑"/>
                <w:i/>
                <w:iCs/>
                <w:color w:val="000000"/>
                <w:sz w:val="16"/>
                <w:szCs w:val="16"/>
                <w:u w:val="none"/>
              </w:rPr>
            </w:pPr>
          </w:p>
        </w:tc>
      </w:tr>
      <w:tr w14:paraId="0795D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770" w:type="pct"/>
            <w:gridSpan w:val="99"/>
            <w:tcBorders>
              <w:top w:val="single" w:color="000000" w:sz="4" w:space="0"/>
              <w:left w:val="single" w:color="000000" w:sz="4" w:space="0"/>
              <w:bottom w:val="single" w:color="000000" w:sz="4" w:space="0"/>
              <w:right w:val="single" w:color="000000" w:sz="4" w:space="0"/>
            </w:tcBorders>
            <w:shd w:val="clear" w:color="auto" w:fill="auto"/>
            <w:vAlign w:val="center"/>
          </w:tcPr>
          <w:p w14:paraId="3260B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8514C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7957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3F722">
            <w:pPr>
              <w:rPr>
                <w:rFonts w:hint="eastAsia" w:ascii="宋体" w:hAnsi="宋体" w:eastAsia="宋体" w:cs="宋体"/>
                <w:i w:val="0"/>
                <w:iCs w:val="0"/>
                <w:color w:val="000000"/>
                <w:sz w:val="18"/>
                <w:szCs w:val="18"/>
                <w:u w:val="none"/>
              </w:rPr>
            </w:pPr>
          </w:p>
        </w:tc>
      </w:tr>
      <w:tr w14:paraId="124AA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060"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83BE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6D68EDC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监护人责任保险通过明确保险赔付范围与条件，将监护人的部分经济责任风险转移至保险机构，减轻了监护人因患者肇事肇祸需承担的经济赔偿压力。这不仅缓解了监护人的经济负担，还在一定程度上降低了监护人因担心承担高额赔偿而对患者疏于管理的可能性，激励监护人积极履行监护职责，主动配合相关部门做好患者的日常照护、治疗与监管工作 ，促使监护人责任从 “被动履行” 向 “主动落实” 转变。</w:t>
            </w:r>
          </w:p>
        </w:tc>
      </w:tr>
      <w:tr w14:paraId="33ABC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40"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074A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387AB23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实际工作中，多部门协同治理仍存在信息共享不及时、职责划分不明确等问题。例如，卫健部门掌握患者的病情诊疗信息，公安部门了解患者的社会行为动态，但双方信息传递可能存在延迟，影响对患者风险的及时评估与干预。同时，在保险理赔流程中，部门之间的衔接不够顺畅，导致理赔手续繁琐、周期较长，降低了监护人对保险服务的满意度。</w:t>
            </w:r>
          </w:p>
        </w:tc>
      </w:tr>
      <w:tr w14:paraId="0786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060"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5383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38EA0B7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政府可通过财政补贴、引入社会资本等方式，提高保险保额，扩大赔付范围，增强保险的兜底保障能力。同时，组织专业人员对保险条款进行梳理和优化，简化理赔流程，明确赔付标准，减少不合理免责条款，确保监护人在需要时能够顺利获得赔偿。通过社区宣传、入户讲解、案例分析等多种形式，广泛普及保险政策知识，提高监护人对保险重要性和实用性的认识。</w:t>
            </w:r>
          </w:p>
        </w:tc>
      </w:tr>
      <w:tr w14:paraId="6824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560" w:type="pct"/>
            <w:gridSpan w:val="60"/>
            <w:tcBorders>
              <w:top w:val="single" w:color="000000" w:sz="4" w:space="0"/>
              <w:left w:val="single" w:color="000000" w:sz="4" w:space="0"/>
              <w:bottom w:val="single" w:color="000000" w:sz="4" w:space="0"/>
              <w:right w:val="single" w:color="000000" w:sz="4" w:space="0"/>
            </w:tcBorders>
            <w:shd w:val="clear" w:color="auto" w:fill="auto"/>
            <w:vAlign w:val="center"/>
          </w:tcPr>
          <w:p w14:paraId="4566BF9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项目负责人：胥圣权</w:t>
            </w:r>
          </w:p>
        </w:tc>
        <w:tc>
          <w:tcPr>
            <w:tcW w:w="2439" w:type="pct"/>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1B8C94D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11AFD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560" w:type="pct"/>
            <w:gridSpan w:val="60"/>
            <w:tcBorders>
              <w:top w:val="single" w:color="000000" w:sz="4" w:space="0"/>
              <w:left w:val="single" w:color="000000" w:sz="4" w:space="0"/>
              <w:bottom w:val="single" w:color="000000" w:sz="4" w:space="0"/>
              <w:right w:val="single" w:color="000000" w:sz="4" w:space="0"/>
            </w:tcBorders>
            <w:shd w:val="clear" w:color="auto" w:fill="auto"/>
            <w:vAlign w:val="center"/>
          </w:tcPr>
          <w:p w14:paraId="0694653E">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439" w:type="pct"/>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2C0F18B3">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30DDF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6DD7995E">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9812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253C08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04D342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51090424T000011119020-安全生产监管（森林防火、食品安全）等经费(长期)</w:t>
            </w:r>
          </w:p>
        </w:tc>
      </w:tr>
      <w:tr w14:paraId="13D4F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11D9F6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170" w:type="pct"/>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4D0998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498" w:type="pct"/>
            <w:gridSpan w:val="19"/>
            <w:tcBorders>
              <w:top w:val="nil"/>
              <w:left w:val="nil"/>
              <w:bottom w:val="nil"/>
              <w:right w:val="nil"/>
            </w:tcBorders>
            <w:shd w:val="clear" w:color="auto" w:fill="auto"/>
            <w:vAlign w:val="center"/>
          </w:tcPr>
          <w:p w14:paraId="68012368">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72"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14:paraId="2ED6B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74A65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CE4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AD7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170" w:type="pct"/>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6BCB0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870" w:type="pct"/>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5FC3788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1235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38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6F546">
            <w:pP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EB010">
            <w:pPr>
              <w:rPr>
                <w:rFonts w:hint="eastAsia" w:ascii="宋体" w:hAnsi="宋体" w:eastAsia="宋体" w:cs="宋体"/>
                <w:i w:val="0"/>
                <w:iCs w:val="0"/>
                <w:color w:val="000000"/>
                <w:sz w:val="18"/>
                <w:szCs w:val="18"/>
                <w:u w:val="none"/>
              </w:rPr>
            </w:pPr>
          </w:p>
        </w:tc>
        <w:tc>
          <w:tcPr>
            <w:tcW w:w="2170" w:type="pct"/>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64DCDC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方位开展安全宣传教育。加强与传统媒体及新兴媒体合作，曝光违法违规行为，大力开展安全生产月、安全生产法宣传周浦发活动，建立健全应急救援体系，进一步提升各部门对突发事件的综合应对能力和协调能力。</w:t>
            </w:r>
          </w:p>
        </w:tc>
        <w:tc>
          <w:tcPr>
            <w:tcW w:w="1870" w:type="pct"/>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0EDCE45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方位开展安全宣传教育。加强与传统媒体及新兴媒体合作，曝光违法违规行为，大力开展安全生产月、安全生产法宣传周浦发活动，建立健全应急救援体系，进一步提升各部门对突发事件的综合应对能力和协调能力。</w:t>
            </w:r>
          </w:p>
        </w:tc>
      </w:tr>
      <w:tr w14:paraId="1250D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A3B90">
            <w:pP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E2C8A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081D9F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方位开展安全宣传教育。加强与传统媒体及新兴媒体合作，曝光违法违规行为，大力开展安全生产月、安全生产法宣传周浦发活动，建立健全应急救援体系，进一步提升各部门对突发事件的综合应对能力和协调能力。</w:t>
            </w:r>
          </w:p>
        </w:tc>
      </w:tr>
      <w:tr w14:paraId="601CF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885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F17C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B17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623A9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4"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3E226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225D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B060B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705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1D7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6381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0933C">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9EB3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0275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FC1C7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954"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919A0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4A83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4D55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FE8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F582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51A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466DE">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43D0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364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37551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954"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12734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1CAE3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5E0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385F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83397">
            <w:pPr>
              <w:rPr>
                <w:rFonts w:hint="eastAsia" w:ascii="黑体" w:hAnsi="黑体" w:eastAsia="黑体" w:cs="黑体"/>
                <w:i/>
                <w:iCs/>
                <w:color w:val="000000"/>
                <w:sz w:val="18"/>
                <w:szCs w:val="18"/>
                <w:u w:val="none"/>
              </w:rPr>
            </w:pPr>
          </w:p>
        </w:tc>
      </w:tr>
      <w:tr w14:paraId="5B3C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06960">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9986A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CED3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343FF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4"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EC2D6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DB10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A810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A320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22656">
            <w:pPr>
              <w:rPr>
                <w:rFonts w:hint="eastAsia" w:ascii="黑体" w:hAnsi="黑体" w:eastAsia="黑体" w:cs="黑体"/>
                <w:i/>
                <w:iCs/>
                <w:color w:val="000000"/>
                <w:sz w:val="18"/>
                <w:szCs w:val="18"/>
                <w:u w:val="none"/>
              </w:rPr>
            </w:pPr>
          </w:p>
        </w:tc>
      </w:tr>
      <w:tr w14:paraId="0665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45F12">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12BF6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7F8D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E32C5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4"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56204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25BD5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7817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07E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A9020">
            <w:pPr>
              <w:rPr>
                <w:rFonts w:hint="eastAsia" w:ascii="黑体" w:hAnsi="黑体" w:eastAsia="黑体" w:cs="黑体"/>
                <w:i/>
                <w:iCs/>
                <w:color w:val="000000"/>
                <w:sz w:val="18"/>
                <w:szCs w:val="18"/>
                <w:u w:val="none"/>
              </w:rPr>
            </w:pPr>
          </w:p>
        </w:tc>
      </w:tr>
      <w:tr w14:paraId="2A8C5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AD3A4">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62DD6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CD7F97">
            <w:pPr>
              <w:jc w:val="center"/>
              <w:rPr>
                <w:rFonts w:hint="eastAsia" w:ascii="微软雅黑" w:hAnsi="微软雅黑" w:eastAsia="微软雅黑" w:cs="微软雅黑"/>
                <w:i/>
                <w:iCs/>
                <w:color w:val="000000"/>
                <w:sz w:val="16"/>
                <w:szCs w:val="16"/>
                <w:u w:val="none"/>
              </w:rPr>
            </w:pP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0416A95">
            <w:pPr>
              <w:jc w:val="center"/>
              <w:rPr>
                <w:rFonts w:hint="eastAsia" w:ascii="微软雅黑" w:hAnsi="微软雅黑" w:eastAsia="微软雅黑" w:cs="微软雅黑"/>
                <w:i/>
                <w:iCs/>
                <w:color w:val="000000"/>
                <w:sz w:val="16"/>
                <w:szCs w:val="16"/>
                <w:u w:val="none"/>
              </w:rPr>
            </w:pPr>
          </w:p>
        </w:tc>
        <w:tc>
          <w:tcPr>
            <w:tcW w:w="954"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ADABF56">
            <w:pPr>
              <w:jc w:val="center"/>
              <w:rPr>
                <w:rFonts w:hint="eastAsia" w:ascii="微软雅黑" w:hAnsi="微软雅黑" w:eastAsia="微软雅黑" w:cs="微软雅黑"/>
                <w:i/>
                <w:iCs/>
                <w:color w:val="000000"/>
                <w:sz w:val="16"/>
                <w:szCs w:val="16"/>
                <w:u w:val="none"/>
              </w:rPr>
            </w:pP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04F4760">
            <w:pPr>
              <w:jc w:val="center"/>
              <w:rPr>
                <w:rFonts w:hint="eastAsia" w:ascii="微软雅黑" w:hAnsi="微软雅黑" w:eastAsia="微软雅黑" w:cs="微软雅黑"/>
                <w:i/>
                <w:iCs/>
                <w:color w:val="000000"/>
                <w:sz w:val="16"/>
                <w:szCs w:val="16"/>
                <w:u w:val="none"/>
              </w:rPr>
            </w:pP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0D6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076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1AFFE">
            <w:pPr>
              <w:rPr>
                <w:rFonts w:hint="eastAsia" w:ascii="黑体" w:hAnsi="黑体" w:eastAsia="黑体" w:cs="黑体"/>
                <w:i/>
                <w:iCs/>
                <w:color w:val="000000"/>
                <w:sz w:val="18"/>
                <w:szCs w:val="18"/>
                <w:u w:val="none"/>
              </w:rPr>
            </w:pPr>
          </w:p>
        </w:tc>
      </w:tr>
      <w:tr w14:paraId="21611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71B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A0726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146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7C8F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2FEF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6A688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2856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9DA2C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43D7D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BB66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EAB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6EE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6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97F27">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56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D5D1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84C0C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完成40个村（社区）安全生产监管及森林防火任务</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E2E28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7FB87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ADE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3404A9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013CF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9713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B4D820">
            <w:pPr>
              <w:jc w:val="center"/>
              <w:rPr>
                <w:rFonts w:hint="eastAsia" w:ascii="微软雅黑" w:hAnsi="微软雅黑" w:eastAsia="微软雅黑" w:cs="微软雅黑"/>
                <w:i/>
                <w:iCs/>
                <w:color w:val="000000"/>
                <w:sz w:val="16"/>
                <w:szCs w:val="16"/>
                <w:u w:val="none"/>
              </w:rPr>
            </w:pPr>
          </w:p>
        </w:tc>
      </w:tr>
      <w:tr w14:paraId="744FD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58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3B359">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4C678">
            <w:pPr>
              <w:jc w:val="center"/>
              <w:rPr>
                <w:rFonts w:hint="eastAsia" w:ascii="宋体" w:hAnsi="宋体" w:eastAsia="宋体" w:cs="宋体"/>
                <w:i w:val="0"/>
                <w:iCs w:val="0"/>
                <w:color w:val="000000"/>
                <w:sz w:val="18"/>
                <w:szCs w:val="18"/>
                <w:u w:val="none"/>
              </w:rPr>
            </w:pP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0515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2FCA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加强安全生产工作，防止和减少安全生产事故，保障人民群众生命和财产安全，促进经济社会持续健康发展，事故发生率比上年底50%</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A62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424AC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BF7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6CA5FA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6DE2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119D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B50B9B">
            <w:pPr>
              <w:jc w:val="center"/>
              <w:rPr>
                <w:rFonts w:hint="eastAsia" w:ascii="微软雅黑" w:hAnsi="微软雅黑" w:eastAsia="微软雅黑" w:cs="微软雅黑"/>
                <w:i/>
                <w:iCs/>
                <w:color w:val="000000"/>
                <w:sz w:val="16"/>
                <w:szCs w:val="16"/>
                <w:u w:val="none"/>
              </w:rPr>
            </w:pPr>
          </w:p>
        </w:tc>
      </w:tr>
      <w:tr w14:paraId="009AF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8C0C6">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C79B">
            <w:pPr>
              <w:jc w:val="center"/>
              <w:rPr>
                <w:rFonts w:hint="eastAsia" w:ascii="宋体" w:hAnsi="宋体" w:eastAsia="宋体" w:cs="宋体"/>
                <w:i w:val="0"/>
                <w:iCs w:val="0"/>
                <w:color w:val="000000"/>
                <w:sz w:val="18"/>
                <w:szCs w:val="18"/>
                <w:u w:val="none"/>
              </w:rPr>
            </w:pP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E242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E3417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时间期限为2024年1月1日-2024年12月31日</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2656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EEE3D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BA2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1061EB4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5A9D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5868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4A42DC">
            <w:pPr>
              <w:jc w:val="center"/>
              <w:rPr>
                <w:rFonts w:hint="eastAsia" w:ascii="微软雅黑" w:hAnsi="微软雅黑" w:eastAsia="微软雅黑" w:cs="微软雅黑"/>
                <w:i/>
                <w:iCs/>
                <w:color w:val="000000"/>
                <w:sz w:val="16"/>
                <w:szCs w:val="16"/>
                <w:u w:val="none"/>
              </w:rPr>
            </w:pPr>
          </w:p>
        </w:tc>
      </w:tr>
      <w:tr w14:paraId="5814E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86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89647">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1C1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4CE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D85DF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改善安全生产条件，提高安全生产水平，安全生产率达到98%</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E465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A4EB8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B81F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AE2BE9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260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44E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F58C94">
            <w:pPr>
              <w:jc w:val="center"/>
              <w:rPr>
                <w:rFonts w:hint="eastAsia" w:ascii="微软雅黑" w:hAnsi="微软雅黑" w:eastAsia="微软雅黑" w:cs="微软雅黑"/>
                <w:i/>
                <w:iCs/>
                <w:color w:val="000000"/>
                <w:sz w:val="16"/>
                <w:szCs w:val="16"/>
                <w:u w:val="none"/>
              </w:rPr>
            </w:pPr>
          </w:p>
        </w:tc>
      </w:tr>
      <w:tr w14:paraId="1429B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8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C9614">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F2DFF">
            <w:pPr>
              <w:jc w:val="center"/>
              <w:rPr>
                <w:rFonts w:hint="eastAsia" w:ascii="宋体" w:hAnsi="宋体" w:eastAsia="宋体" w:cs="宋体"/>
                <w:i w:val="0"/>
                <w:iCs w:val="0"/>
                <w:color w:val="000000"/>
                <w:sz w:val="18"/>
                <w:szCs w:val="18"/>
                <w:u w:val="none"/>
              </w:rPr>
            </w:pP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EBD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F8EA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达到实现环境效益、社会效益和经济效益协调发展的目的，协调率达到90%</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150CD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A488E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B97B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1A75D4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9258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8405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906A0A">
            <w:pPr>
              <w:jc w:val="center"/>
              <w:rPr>
                <w:rFonts w:hint="eastAsia" w:ascii="微软雅黑" w:hAnsi="微软雅黑" w:eastAsia="微软雅黑" w:cs="微软雅黑"/>
                <w:i/>
                <w:iCs/>
                <w:color w:val="000000"/>
                <w:sz w:val="16"/>
                <w:szCs w:val="16"/>
                <w:u w:val="none"/>
              </w:rPr>
            </w:pPr>
          </w:p>
        </w:tc>
      </w:tr>
      <w:tr w14:paraId="168C9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88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F501B">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304D0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2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540E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015B8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改善安全生产条件，提高群众满意度，服务对象满意度达到90%</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B17B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E0DA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5AF3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947C64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7BCF9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F6E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0CDF42">
            <w:pPr>
              <w:jc w:val="center"/>
              <w:rPr>
                <w:rFonts w:hint="eastAsia" w:ascii="微软雅黑" w:hAnsi="微软雅黑" w:eastAsia="微软雅黑" w:cs="微软雅黑"/>
                <w:i/>
                <w:iCs/>
                <w:color w:val="000000"/>
                <w:sz w:val="16"/>
                <w:szCs w:val="16"/>
                <w:u w:val="none"/>
              </w:rPr>
            </w:pPr>
          </w:p>
        </w:tc>
      </w:tr>
      <w:tr w14:paraId="14C5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7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85B63">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AD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21"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1FD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D149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护林员劳务费，4个，预计每个每年5000元，共计2万元</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34D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0E012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CD7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EB299C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90A7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7C6C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602419">
            <w:pPr>
              <w:jc w:val="center"/>
              <w:rPr>
                <w:rFonts w:hint="eastAsia" w:ascii="微软雅黑" w:hAnsi="微软雅黑" w:eastAsia="微软雅黑" w:cs="微软雅黑"/>
                <w:i/>
                <w:iCs/>
                <w:color w:val="000000"/>
                <w:sz w:val="16"/>
                <w:szCs w:val="16"/>
                <w:u w:val="none"/>
              </w:rPr>
            </w:pPr>
          </w:p>
        </w:tc>
      </w:tr>
      <w:tr w14:paraId="273D4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88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DE188">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77910">
            <w:pPr>
              <w:jc w:val="center"/>
              <w:rPr>
                <w:rFonts w:hint="eastAsia" w:ascii="宋体" w:hAnsi="宋体" w:eastAsia="宋体" w:cs="宋体"/>
                <w:i w:val="0"/>
                <w:iCs w:val="0"/>
                <w:color w:val="000000"/>
                <w:sz w:val="18"/>
                <w:szCs w:val="18"/>
                <w:u w:val="none"/>
              </w:rPr>
            </w:pPr>
          </w:p>
        </w:tc>
        <w:tc>
          <w:tcPr>
            <w:tcW w:w="521"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3E3ED">
            <w:pPr>
              <w:jc w:val="center"/>
              <w:rPr>
                <w:rFonts w:hint="eastAsia" w:ascii="宋体" w:hAnsi="宋体" w:eastAsia="宋体" w:cs="宋体"/>
                <w:i w:val="0"/>
                <w:iCs w:val="0"/>
                <w:color w:val="000000"/>
                <w:sz w:val="18"/>
                <w:szCs w:val="18"/>
                <w:u w:val="none"/>
              </w:rPr>
            </w:pP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5DF7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购买森林防火器材（防火服3套，灭火器80），预计花费6000元</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5C5E8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1C7F2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0.6</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AD0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C96A8B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0.6</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4808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C06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ACD89A">
            <w:pPr>
              <w:jc w:val="center"/>
              <w:rPr>
                <w:rFonts w:hint="eastAsia" w:ascii="微软雅黑" w:hAnsi="微软雅黑" w:eastAsia="微软雅黑" w:cs="微软雅黑"/>
                <w:i/>
                <w:iCs/>
                <w:color w:val="000000"/>
                <w:sz w:val="16"/>
                <w:szCs w:val="16"/>
                <w:u w:val="none"/>
              </w:rPr>
            </w:pPr>
          </w:p>
        </w:tc>
      </w:tr>
      <w:tr w14:paraId="4AE95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7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37AE1">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ED0AC">
            <w:pPr>
              <w:jc w:val="center"/>
              <w:rPr>
                <w:rFonts w:hint="eastAsia" w:ascii="宋体" w:hAnsi="宋体" w:eastAsia="宋体" w:cs="宋体"/>
                <w:i w:val="0"/>
                <w:iCs w:val="0"/>
                <w:color w:val="000000"/>
                <w:sz w:val="18"/>
                <w:szCs w:val="18"/>
                <w:u w:val="none"/>
              </w:rPr>
            </w:pPr>
          </w:p>
        </w:tc>
        <w:tc>
          <w:tcPr>
            <w:tcW w:w="521"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E8A19">
            <w:pPr>
              <w:jc w:val="center"/>
              <w:rPr>
                <w:rFonts w:hint="eastAsia" w:ascii="宋体" w:hAnsi="宋体" w:eastAsia="宋体" w:cs="宋体"/>
                <w:i w:val="0"/>
                <w:iCs w:val="0"/>
                <w:color w:val="000000"/>
                <w:sz w:val="18"/>
                <w:szCs w:val="18"/>
                <w:u w:val="none"/>
              </w:rPr>
            </w:pPr>
          </w:p>
        </w:tc>
        <w:tc>
          <w:tcPr>
            <w:tcW w:w="69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708E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制作安全月宣传册3000本，每本8元，共计2.4万元</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467A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3A22C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C44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98"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9AA53D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2.4</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9AF5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46CB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5715DB">
            <w:pPr>
              <w:jc w:val="center"/>
              <w:rPr>
                <w:rFonts w:hint="eastAsia" w:ascii="微软雅黑" w:hAnsi="微软雅黑" w:eastAsia="微软雅黑" w:cs="微软雅黑"/>
                <w:i/>
                <w:iCs/>
                <w:color w:val="000000"/>
                <w:sz w:val="16"/>
                <w:szCs w:val="16"/>
                <w:u w:val="none"/>
              </w:rPr>
            </w:pPr>
          </w:p>
        </w:tc>
      </w:tr>
      <w:tr w14:paraId="4D57F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627" w:type="pct"/>
            <w:gridSpan w:val="93"/>
            <w:tcBorders>
              <w:top w:val="single" w:color="000000" w:sz="4" w:space="0"/>
              <w:left w:val="single" w:color="000000" w:sz="4" w:space="0"/>
              <w:bottom w:val="single" w:color="000000" w:sz="4" w:space="0"/>
              <w:right w:val="single" w:color="000000" w:sz="4" w:space="0"/>
            </w:tcBorders>
            <w:shd w:val="clear" w:color="auto" w:fill="auto"/>
            <w:vAlign w:val="center"/>
          </w:tcPr>
          <w:p w14:paraId="293BC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8F4F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05686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ACC9E0">
            <w:pPr>
              <w:rPr>
                <w:rFonts w:hint="eastAsia" w:ascii="宋体" w:hAnsi="宋体" w:eastAsia="宋体" w:cs="宋体"/>
                <w:i w:val="0"/>
                <w:iCs w:val="0"/>
                <w:color w:val="000000"/>
                <w:sz w:val="18"/>
                <w:szCs w:val="18"/>
                <w:u w:val="none"/>
              </w:rPr>
            </w:pPr>
          </w:p>
        </w:tc>
      </w:tr>
      <w:tr w14:paraId="0F72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80"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1461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051C180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森林防火领域，经费投入用于购置先进的监测设备，如红外热成像仪、无人机巡护系统，大幅提升了火情监测的及时性和准确性，有效减少了森林火灾隐患。同时，资金支持专业队伍建设，开展防火演练和技能培训，增强了应急处置能力，降低了森林火灾发生率。在食品安全方面，经费用于食品抽检、实验室检测设备更新，扩大了抽检覆盖面，及时发现并处置不合格食品，保障了群众 “舌尖上的安全”，维护了社会公共安全秩序。</w:t>
            </w:r>
          </w:p>
        </w:tc>
      </w:tr>
      <w:tr w14:paraId="506C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72"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7D1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267F319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目前，森林防火和食品安全监管经费主要依赖政府财政投入，社会资本参与度低。缺乏有效的政策引导和激励机制，难以吸引企业、社会组织等参与安全生产基础设施建设和技术研发，限制了安全生产工作的资金支持和创新发展。</w:t>
            </w:r>
          </w:p>
        </w:tc>
      </w:tr>
      <w:tr w14:paraId="4F1E8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3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1C55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27AADB8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制定优惠政策，鼓励企业、社会组织、个人等社会资本参与安全生产基础设施建设、技术研发和宣传教育等工作。通过政府和社会资本合作（PPP）模式、设立安全生产产业基金等方式，拓宽资金来源渠道，形成多元化的投入格局，为安全生产工作提供充足的资金保障。</w:t>
            </w:r>
          </w:p>
        </w:tc>
      </w:tr>
      <w:tr w14:paraId="664CA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08"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260D3AB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项目负责人：胥圣权</w:t>
            </w:r>
          </w:p>
        </w:tc>
        <w:tc>
          <w:tcPr>
            <w:tcW w:w="2591"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665B7F1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4C80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08"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7FC805F1">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591"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00D2CA7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bookmarkEnd w:id="152"/>
      <w:bookmarkEnd w:id="153"/>
      <w:bookmarkEnd w:id="154"/>
      <w:bookmarkEnd w:id="155"/>
      <w:tr w14:paraId="31412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904" w:hRule="atLeast"/>
          <w:jc w:val="center"/>
        </w:trPr>
        <w:tc>
          <w:tcPr>
            <w:tcW w:w="8491" w:type="dxa"/>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5E93F1B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bookmarkStart w:id="156" w:name="_Toc6095"/>
            <w:bookmarkStart w:id="157" w:name="_Toc5233"/>
            <w:bookmarkStart w:id="158" w:name="_Toc15673"/>
            <w:bookmarkStart w:id="159" w:name="_Toc5913"/>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E200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286" w:hRule="atLeast"/>
          <w:jc w:val="center"/>
        </w:trPr>
        <w:tc>
          <w:tcPr>
            <w:tcW w:w="3217" w:type="dxa"/>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662BA1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5274" w:type="dxa"/>
            <w:gridSpan w:val="80"/>
            <w:tcBorders>
              <w:top w:val="single" w:color="000000" w:sz="4" w:space="0"/>
              <w:left w:val="single" w:color="000000" w:sz="4" w:space="0"/>
              <w:bottom w:val="single" w:color="000000" w:sz="4" w:space="0"/>
              <w:right w:val="single" w:color="000000" w:sz="4" w:space="0"/>
            </w:tcBorders>
            <w:shd w:val="clear" w:color="auto" w:fill="auto"/>
            <w:vAlign w:val="center"/>
          </w:tcPr>
          <w:p w14:paraId="43B21C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51090424T000011119029-创新社区管理经费（长期）</w:t>
            </w:r>
          </w:p>
        </w:tc>
      </w:tr>
      <w:tr w14:paraId="07BC8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512" w:hRule="atLeast"/>
          <w:jc w:val="center"/>
        </w:trPr>
        <w:tc>
          <w:tcPr>
            <w:tcW w:w="3217" w:type="dxa"/>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4F23BC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610"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293AD4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846" w:type="dxa"/>
            <w:gridSpan w:val="22"/>
            <w:tcBorders>
              <w:top w:val="nil"/>
              <w:left w:val="nil"/>
              <w:bottom w:val="nil"/>
              <w:right w:val="nil"/>
            </w:tcBorders>
            <w:shd w:val="clear" w:color="auto" w:fill="auto"/>
            <w:vAlign w:val="center"/>
          </w:tcPr>
          <w:p w14:paraId="7B3B54F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81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308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1918E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286" w:hRule="atLeast"/>
          <w:jc w:val="center"/>
        </w:trPr>
        <w:tc>
          <w:tcPr>
            <w:tcW w:w="1223" w:type="dxa"/>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476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994" w:type="dxa"/>
            <w:gridSpan w:val="2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188C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610"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2CCF8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64"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635EE3E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F341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232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8A0DE">
            <w:pPr>
              <w:rPr>
                <w:rFonts w:hint="eastAsia" w:ascii="宋体" w:hAnsi="宋体" w:eastAsia="宋体" w:cs="宋体"/>
                <w:i w:val="0"/>
                <w:iCs w:val="0"/>
                <w:color w:val="000000"/>
                <w:sz w:val="18"/>
                <w:szCs w:val="18"/>
                <w:u w:val="none"/>
              </w:rPr>
            </w:pPr>
          </w:p>
        </w:tc>
        <w:tc>
          <w:tcPr>
            <w:tcW w:w="1994" w:type="dxa"/>
            <w:gridSpan w:val="2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5A30F">
            <w:pPr>
              <w:rPr>
                <w:rFonts w:hint="eastAsia" w:ascii="宋体" w:hAnsi="宋体" w:eastAsia="宋体" w:cs="宋体"/>
                <w:i w:val="0"/>
                <w:iCs w:val="0"/>
                <w:color w:val="000000"/>
                <w:sz w:val="18"/>
                <w:szCs w:val="18"/>
                <w:u w:val="none"/>
              </w:rPr>
            </w:pPr>
          </w:p>
        </w:tc>
        <w:tc>
          <w:tcPr>
            <w:tcW w:w="2610"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0F628E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完成5个社区创新管理，管控社区突发事件、群体事件、毒品活动、黑恶活动，震慑</w:t>
            </w:r>
            <w:r>
              <w:rPr>
                <w:rFonts w:hint="eastAsia" w:ascii="宋体" w:hAnsi="宋体" w:cs="宋体"/>
                <w:i w:val="0"/>
                <w:iCs w:val="0"/>
                <w:color w:val="000000"/>
                <w:kern w:val="0"/>
                <w:sz w:val="18"/>
                <w:szCs w:val="18"/>
                <w:u w:val="none"/>
                <w:lang w:val="en-US" w:eastAsia="zh-CN" w:bidi="ar"/>
              </w:rPr>
              <w:t>各类不法分子</w:t>
            </w:r>
            <w:r>
              <w:rPr>
                <w:rFonts w:ascii="宋体" w:hAnsi="宋体" w:eastAsia="宋体" w:cs="宋体"/>
                <w:i w:val="0"/>
                <w:iCs w:val="0"/>
                <w:color w:val="000000"/>
                <w:kern w:val="0"/>
                <w:sz w:val="18"/>
                <w:szCs w:val="18"/>
                <w:u w:val="none"/>
                <w:lang w:val="en-US" w:eastAsia="zh-CN" w:bidi="ar"/>
              </w:rPr>
              <w:t>，遏制我镇各类违法犯罪活动，维护我镇社会和平稳定，维护人民群众身体健康和家庭和谐幸福。对吸毒人员进行重点整治，做到底数清、情况明，建立一人一档，确保对吸毒人员长期可控。宣传思想与精神文明建设工作、文化教育阵地建设工作。做好劳动和社会保障工作，社会事务工作，食品安全工作。做好基层组织建设工作。</w:t>
            </w:r>
          </w:p>
        </w:tc>
        <w:tc>
          <w:tcPr>
            <w:tcW w:w="2664"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14106FF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5个社区创新管理，管控社区突发事件、群体事件、毒品活动、黑恶活动，震慑各类不法分子，遏制我镇各类违法犯罪活动，维护我镇社会和平稳定，维护人民群众身体健康和家庭和谐幸福。对吸毒人员进行重点整治，做到底数清、情况明，建立一人一档，确保对吸毒人员长期可控。宣传思想与精神文明建设工作、文化教育阵地建设工作。做好劳动和社会保障工作，社会事务工作，食品安全工作。做好基层组织建设工作。</w:t>
            </w:r>
          </w:p>
        </w:tc>
      </w:tr>
      <w:tr w14:paraId="35532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114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35D39">
            <w:pP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6F585D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5274" w:type="dxa"/>
            <w:gridSpan w:val="80"/>
            <w:tcBorders>
              <w:top w:val="single" w:color="000000" w:sz="4" w:space="0"/>
              <w:left w:val="single" w:color="000000" w:sz="4" w:space="0"/>
              <w:bottom w:val="single" w:color="000000" w:sz="4" w:space="0"/>
              <w:right w:val="single" w:color="000000" w:sz="4" w:space="0"/>
            </w:tcBorders>
            <w:shd w:val="clear" w:color="auto" w:fill="auto"/>
            <w:vAlign w:val="center"/>
          </w:tcPr>
          <w:p w14:paraId="2B364D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完成5个社区创新管理，管控社区突发事件、群体事件、毒品活动、黑恶活动，震慑</w:t>
            </w:r>
            <w:r>
              <w:rPr>
                <w:rFonts w:hint="eastAsia" w:ascii="宋体" w:hAnsi="宋体" w:cs="宋体"/>
                <w:i w:val="0"/>
                <w:iCs w:val="0"/>
                <w:color w:val="000000"/>
                <w:kern w:val="0"/>
                <w:sz w:val="18"/>
                <w:szCs w:val="18"/>
                <w:u w:val="none"/>
                <w:lang w:val="en-US" w:eastAsia="zh-CN" w:bidi="ar"/>
              </w:rPr>
              <w:t>各类不法分子</w:t>
            </w:r>
            <w:r>
              <w:rPr>
                <w:rFonts w:ascii="宋体" w:hAnsi="宋体" w:eastAsia="宋体" w:cs="宋体"/>
                <w:i w:val="0"/>
                <w:iCs w:val="0"/>
                <w:color w:val="000000"/>
                <w:kern w:val="0"/>
                <w:sz w:val="18"/>
                <w:szCs w:val="18"/>
                <w:u w:val="none"/>
                <w:lang w:val="en-US" w:eastAsia="zh-CN" w:bidi="ar"/>
              </w:rPr>
              <w:t>，遏制我镇各类违法犯罪活动，维护我镇社会和平稳定，维护人民群众身体健康和家庭和谐幸福。对吸毒人员进行重点整治，做到底数清、情况明，建立一人一档，确保对吸毒人员长期可控。宣传思想与精神文明建设工作、文化教育阵地建设工作。做好劳动和社会保障工作，社会事务工作，食品安全工作。做好基层组织建设工作。</w:t>
            </w:r>
          </w:p>
        </w:tc>
      </w:tr>
      <w:tr w14:paraId="5C179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361" w:hRule="atLeast"/>
          <w:jc w:val="center"/>
        </w:trPr>
        <w:tc>
          <w:tcPr>
            <w:tcW w:w="1223" w:type="dxa"/>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DBE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6CB72F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2C778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3DFC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368"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30EC2A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1A0ED7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20F2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B0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8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BFE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346"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9531">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F326F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EBB6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EDD8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1368"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6827CE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129226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93ACE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164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1986A">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C3EB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391"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1B05">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A738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FE10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75A5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1368"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7D7D00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65B42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1C7F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458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EF628">
            <w:pPr>
              <w:rPr>
                <w:rFonts w:hint="eastAsia" w:ascii="黑体" w:hAnsi="黑体" w:eastAsia="黑体" w:cs="黑体"/>
                <w:i/>
                <w:iCs/>
                <w:color w:val="000000"/>
                <w:sz w:val="18"/>
                <w:szCs w:val="18"/>
                <w:u w:val="none"/>
              </w:rPr>
            </w:pPr>
          </w:p>
        </w:tc>
      </w:tr>
      <w:tr w14:paraId="5F5DA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407"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0560D">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F94C7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611F2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F946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68"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0D3818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1E633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C0C4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2D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F8790">
            <w:pPr>
              <w:rPr>
                <w:rFonts w:hint="eastAsia" w:ascii="黑体" w:hAnsi="黑体" w:eastAsia="黑体" w:cs="黑体"/>
                <w:i/>
                <w:iCs/>
                <w:color w:val="000000"/>
                <w:sz w:val="18"/>
                <w:szCs w:val="18"/>
                <w:u w:val="none"/>
              </w:rPr>
            </w:pPr>
          </w:p>
        </w:tc>
      </w:tr>
      <w:tr w14:paraId="3D697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361"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8EE88">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74DFA6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9BA15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942B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68"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425FB9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60479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583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EB2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285AF">
            <w:pPr>
              <w:rPr>
                <w:rFonts w:hint="eastAsia" w:ascii="黑体" w:hAnsi="黑体" w:eastAsia="黑体" w:cs="黑体"/>
                <w:i/>
                <w:iCs/>
                <w:color w:val="000000"/>
                <w:sz w:val="18"/>
                <w:szCs w:val="18"/>
                <w:u w:val="none"/>
              </w:rPr>
            </w:pPr>
          </w:p>
        </w:tc>
      </w:tr>
      <w:tr w14:paraId="754B2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339"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187B0">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9E29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7C8136C">
            <w:pPr>
              <w:jc w:val="center"/>
              <w:rPr>
                <w:rFonts w:hint="eastAsia" w:ascii="微软雅黑" w:hAnsi="微软雅黑" w:eastAsia="微软雅黑" w:cs="微软雅黑"/>
                <w:i/>
                <w:iCs/>
                <w:color w:val="000000"/>
                <w:sz w:val="16"/>
                <w:szCs w:val="16"/>
                <w:u w:val="none"/>
              </w:rPr>
            </w:pP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7079BFE">
            <w:pPr>
              <w:jc w:val="center"/>
              <w:rPr>
                <w:rFonts w:hint="eastAsia" w:ascii="微软雅黑" w:hAnsi="微软雅黑" w:eastAsia="微软雅黑" w:cs="微软雅黑"/>
                <w:i/>
                <w:iCs/>
                <w:color w:val="000000"/>
                <w:sz w:val="16"/>
                <w:szCs w:val="16"/>
                <w:u w:val="none"/>
              </w:rPr>
            </w:pPr>
          </w:p>
        </w:tc>
        <w:tc>
          <w:tcPr>
            <w:tcW w:w="1368"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359F2AB5">
            <w:pPr>
              <w:jc w:val="center"/>
              <w:rPr>
                <w:rFonts w:hint="eastAsia" w:ascii="微软雅黑" w:hAnsi="微软雅黑" w:eastAsia="微软雅黑" w:cs="微软雅黑"/>
                <w:i/>
                <w:iCs/>
                <w:color w:val="000000"/>
                <w:sz w:val="16"/>
                <w:szCs w:val="16"/>
                <w:u w:val="none"/>
              </w:rPr>
            </w:pP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4904574E">
            <w:pPr>
              <w:jc w:val="center"/>
              <w:rPr>
                <w:rFonts w:hint="eastAsia" w:ascii="微软雅黑" w:hAnsi="微软雅黑" w:eastAsia="微软雅黑" w:cs="微软雅黑"/>
                <w:i/>
                <w:iCs/>
                <w:color w:val="000000"/>
                <w:sz w:val="16"/>
                <w:szCs w:val="16"/>
                <w:u w:val="none"/>
              </w:rPr>
            </w:pP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F20D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19C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03754">
            <w:pPr>
              <w:rPr>
                <w:rFonts w:hint="eastAsia" w:ascii="黑体" w:hAnsi="黑体" w:eastAsia="黑体" w:cs="黑体"/>
                <w:i/>
                <w:iCs/>
                <w:color w:val="000000"/>
                <w:sz w:val="18"/>
                <w:szCs w:val="18"/>
                <w:u w:val="none"/>
              </w:rPr>
            </w:pPr>
          </w:p>
        </w:tc>
      </w:tr>
      <w:tr w14:paraId="57270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452" w:hRule="atLeast"/>
          <w:jc w:val="center"/>
        </w:trPr>
        <w:tc>
          <w:tcPr>
            <w:tcW w:w="1223" w:type="dxa"/>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D6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3CF9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529F3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4E0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BA38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331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3BF4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11119A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CCFE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A80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9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61C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106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FEB68">
            <w:pPr>
              <w:jc w:val="center"/>
              <w:rPr>
                <w:rFonts w:hint="eastAsia" w:ascii="宋体" w:hAnsi="宋体" w:eastAsia="宋体" w:cs="宋体"/>
                <w:i w:val="0"/>
                <w:iCs w:val="0"/>
                <w:color w:val="000000"/>
                <w:sz w:val="18"/>
                <w:szCs w:val="18"/>
                <w:u w:val="none"/>
              </w:rPr>
            </w:pPr>
          </w:p>
        </w:tc>
        <w:tc>
          <w:tcPr>
            <w:tcW w:w="1994" w:type="dxa"/>
            <w:gridSpan w:val="2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83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76" w:type="dxa"/>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2F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CF42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优化政府治理结构，增强政府服务能力，减少群众上访率，上访率比2023年下降100%</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A58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E17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5D3B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32894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F4F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7F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5F43">
            <w:pPr>
              <w:jc w:val="center"/>
              <w:rPr>
                <w:rFonts w:hint="eastAsia" w:ascii="微软雅黑" w:hAnsi="微软雅黑" w:eastAsia="微软雅黑" w:cs="微软雅黑"/>
                <w:i/>
                <w:iCs/>
                <w:color w:val="000000"/>
                <w:sz w:val="16"/>
                <w:szCs w:val="16"/>
                <w:u w:val="none"/>
              </w:rPr>
            </w:pPr>
          </w:p>
        </w:tc>
      </w:tr>
      <w:tr w14:paraId="74483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86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84DAC">
            <w:pPr>
              <w:jc w:val="center"/>
              <w:rPr>
                <w:rFonts w:hint="eastAsia" w:ascii="宋体" w:hAnsi="宋体" w:eastAsia="宋体" w:cs="宋体"/>
                <w:i w:val="0"/>
                <w:iCs w:val="0"/>
                <w:color w:val="000000"/>
                <w:sz w:val="18"/>
                <w:szCs w:val="18"/>
                <w:u w:val="none"/>
              </w:rPr>
            </w:pPr>
          </w:p>
        </w:tc>
        <w:tc>
          <w:tcPr>
            <w:tcW w:w="1994" w:type="dxa"/>
            <w:gridSpan w:val="2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795CB">
            <w:pPr>
              <w:jc w:val="center"/>
              <w:rPr>
                <w:rFonts w:hint="eastAsia" w:ascii="宋体" w:hAnsi="宋体" w:eastAsia="宋体" w:cs="宋体"/>
                <w:i w:val="0"/>
                <w:iCs w:val="0"/>
                <w:color w:val="000000"/>
                <w:sz w:val="18"/>
                <w:szCs w:val="18"/>
                <w:u w:val="none"/>
              </w:rPr>
            </w:pPr>
          </w:p>
        </w:tc>
        <w:tc>
          <w:tcPr>
            <w:tcW w:w="576"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A4B3">
            <w:pPr>
              <w:jc w:val="center"/>
              <w:rPr>
                <w:rFonts w:hint="eastAsia" w:ascii="宋体" w:hAnsi="宋体" w:eastAsia="宋体" w:cs="宋体"/>
                <w:i w:val="0"/>
                <w:iCs w:val="0"/>
                <w:color w:val="000000"/>
                <w:sz w:val="18"/>
                <w:szCs w:val="18"/>
                <w:u w:val="none"/>
              </w:rPr>
            </w:pP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4E09E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完成5个社区创新管理（包括民生、禁毒、重点工作等）</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C1EA8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1D99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3915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31755D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DB4E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16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3EF9">
            <w:pPr>
              <w:jc w:val="center"/>
              <w:rPr>
                <w:rFonts w:hint="eastAsia" w:ascii="微软雅黑" w:hAnsi="微软雅黑" w:eastAsia="微软雅黑" w:cs="微软雅黑"/>
                <w:i/>
                <w:iCs/>
                <w:color w:val="000000"/>
                <w:sz w:val="16"/>
                <w:szCs w:val="16"/>
                <w:u w:val="none"/>
              </w:rPr>
            </w:pPr>
          </w:p>
        </w:tc>
      </w:tr>
      <w:tr w14:paraId="0C2CB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58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E5C42">
            <w:pPr>
              <w:jc w:val="center"/>
              <w:rPr>
                <w:rFonts w:hint="eastAsia" w:ascii="宋体" w:hAnsi="宋体" w:eastAsia="宋体" w:cs="宋体"/>
                <w:i w:val="0"/>
                <w:iCs w:val="0"/>
                <w:color w:val="000000"/>
                <w:sz w:val="18"/>
                <w:szCs w:val="18"/>
                <w:u w:val="none"/>
              </w:rPr>
            </w:pPr>
          </w:p>
        </w:tc>
        <w:tc>
          <w:tcPr>
            <w:tcW w:w="1994" w:type="dxa"/>
            <w:gridSpan w:val="2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A5362">
            <w:pPr>
              <w:jc w:val="center"/>
              <w:rPr>
                <w:rFonts w:hint="eastAsia" w:ascii="宋体" w:hAnsi="宋体" w:eastAsia="宋体" w:cs="宋体"/>
                <w:i w:val="0"/>
                <w:iCs w:val="0"/>
                <w:color w:val="000000"/>
                <w:sz w:val="18"/>
                <w:szCs w:val="18"/>
                <w:u w:val="none"/>
              </w:rPr>
            </w:pPr>
          </w:p>
        </w:tc>
        <w:tc>
          <w:tcPr>
            <w:tcW w:w="576" w:type="dxa"/>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15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8A66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5个社区管理有序，服务完善，治安良好</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907C3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C0D4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2AD4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271581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893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251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33FC">
            <w:pPr>
              <w:jc w:val="center"/>
              <w:rPr>
                <w:rFonts w:hint="eastAsia" w:ascii="微软雅黑" w:hAnsi="微软雅黑" w:eastAsia="微软雅黑" w:cs="微软雅黑"/>
                <w:i/>
                <w:iCs/>
                <w:color w:val="000000"/>
                <w:sz w:val="16"/>
                <w:szCs w:val="16"/>
                <w:u w:val="none"/>
              </w:rPr>
            </w:pPr>
          </w:p>
        </w:tc>
      </w:tr>
      <w:tr w14:paraId="67E08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96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ACB04">
            <w:pPr>
              <w:jc w:val="center"/>
              <w:rPr>
                <w:rFonts w:hint="eastAsia" w:ascii="宋体" w:hAnsi="宋体" w:eastAsia="宋体" w:cs="宋体"/>
                <w:i w:val="0"/>
                <w:iCs w:val="0"/>
                <w:color w:val="000000"/>
                <w:sz w:val="18"/>
                <w:szCs w:val="18"/>
                <w:u w:val="none"/>
              </w:rPr>
            </w:pPr>
          </w:p>
        </w:tc>
        <w:tc>
          <w:tcPr>
            <w:tcW w:w="1994" w:type="dxa"/>
            <w:gridSpan w:val="2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5BB88">
            <w:pPr>
              <w:jc w:val="center"/>
              <w:rPr>
                <w:rFonts w:hint="eastAsia" w:ascii="宋体" w:hAnsi="宋体" w:eastAsia="宋体" w:cs="宋体"/>
                <w:i w:val="0"/>
                <w:iCs w:val="0"/>
                <w:color w:val="000000"/>
                <w:sz w:val="18"/>
                <w:szCs w:val="18"/>
                <w:u w:val="none"/>
              </w:rPr>
            </w:pPr>
          </w:p>
        </w:tc>
        <w:tc>
          <w:tcPr>
            <w:tcW w:w="576" w:type="dxa"/>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88938">
            <w:pPr>
              <w:jc w:val="center"/>
              <w:rPr>
                <w:rFonts w:hint="eastAsia" w:ascii="宋体" w:hAnsi="宋体" w:eastAsia="宋体" w:cs="宋体"/>
                <w:i w:val="0"/>
                <w:iCs w:val="0"/>
                <w:color w:val="000000"/>
                <w:sz w:val="18"/>
                <w:szCs w:val="18"/>
                <w:u w:val="none"/>
              </w:rPr>
            </w:pP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56AB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构建多元参与的社区治理模式，群众参与社区质量意愿增强。</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42CE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9B2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AC9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3694BF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1C99E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636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5A8A">
            <w:pPr>
              <w:jc w:val="center"/>
              <w:rPr>
                <w:rFonts w:hint="eastAsia" w:ascii="微软雅黑" w:hAnsi="微软雅黑" w:eastAsia="微软雅黑" w:cs="微软雅黑"/>
                <w:i/>
                <w:iCs/>
                <w:color w:val="000000"/>
                <w:sz w:val="16"/>
                <w:szCs w:val="16"/>
                <w:u w:val="none"/>
              </w:rPr>
            </w:pPr>
          </w:p>
        </w:tc>
      </w:tr>
      <w:tr w14:paraId="1649B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452"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1E2FC">
            <w:pPr>
              <w:jc w:val="center"/>
              <w:rPr>
                <w:rFonts w:hint="eastAsia" w:ascii="宋体" w:hAnsi="宋体" w:eastAsia="宋体" w:cs="宋体"/>
                <w:i w:val="0"/>
                <w:iCs w:val="0"/>
                <w:color w:val="000000"/>
                <w:sz w:val="18"/>
                <w:szCs w:val="18"/>
                <w:u w:val="none"/>
              </w:rPr>
            </w:pPr>
          </w:p>
        </w:tc>
        <w:tc>
          <w:tcPr>
            <w:tcW w:w="1994" w:type="dxa"/>
            <w:gridSpan w:val="2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0E4EB">
            <w:pPr>
              <w:jc w:val="center"/>
              <w:rPr>
                <w:rFonts w:hint="eastAsia" w:ascii="宋体" w:hAnsi="宋体" w:eastAsia="宋体" w:cs="宋体"/>
                <w:i w:val="0"/>
                <w:iCs w:val="0"/>
                <w:color w:val="000000"/>
                <w:sz w:val="18"/>
                <w:szCs w:val="18"/>
                <w:u w:val="none"/>
              </w:rPr>
            </w:pP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908FC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3764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04CC8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EF7F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AF4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594D9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BC6AD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7BC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0ABE">
            <w:pPr>
              <w:jc w:val="center"/>
              <w:rPr>
                <w:rFonts w:hint="eastAsia" w:ascii="微软雅黑" w:hAnsi="微软雅黑" w:eastAsia="微软雅黑" w:cs="微软雅黑"/>
                <w:i/>
                <w:iCs/>
                <w:color w:val="000000"/>
                <w:sz w:val="16"/>
                <w:szCs w:val="16"/>
                <w:u w:val="none"/>
              </w:rPr>
            </w:pPr>
          </w:p>
        </w:tc>
      </w:tr>
      <w:tr w14:paraId="36262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60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E56BA">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574A31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50D7C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A488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5个社区服务人员办事效率提高，服务水平上升</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33D3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1D9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3A2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079094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42B3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F8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13E0">
            <w:pPr>
              <w:jc w:val="center"/>
              <w:rPr>
                <w:rFonts w:hint="eastAsia" w:ascii="微软雅黑" w:hAnsi="微软雅黑" w:eastAsia="微软雅黑" w:cs="微软雅黑"/>
                <w:i/>
                <w:iCs/>
                <w:color w:val="000000"/>
                <w:sz w:val="16"/>
                <w:szCs w:val="16"/>
                <w:u w:val="none"/>
              </w:rPr>
            </w:pPr>
          </w:p>
        </w:tc>
      </w:tr>
      <w:tr w14:paraId="42BBC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60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9E058">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BB852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078B9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EF64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5个社区服务人员办事效率提高，服务水平上升</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67797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9B7B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CFF7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21704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FE33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C2F8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5B04">
            <w:pPr>
              <w:jc w:val="center"/>
              <w:rPr>
                <w:rFonts w:hint="eastAsia" w:ascii="微软雅黑" w:hAnsi="微软雅黑" w:eastAsia="微软雅黑" w:cs="微软雅黑"/>
                <w:i/>
                <w:iCs/>
                <w:color w:val="000000"/>
                <w:sz w:val="16"/>
                <w:szCs w:val="16"/>
                <w:u w:val="none"/>
              </w:rPr>
            </w:pPr>
          </w:p>
        </w:tc>
      </w:tr>
      <w:tr w14:paraId="57566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860" w:hRule="atLeast"/>
          <w:jc w:val="center"/>
        </w:trPr>
        <w:tc>
          <w:tcPr>
            <w:tcW w:w="122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330D3">
            <w:pPr>
              <w:jc w:val="center"/>
              <w:rPr>
                <w:rFonts w:hint="eastAsia" w:ascii="宋体" w:hAnsi="宋体" w:eastAsia="宋体" w:cs="宋体"/>
                <w:i w:val="0"/>
                <w:iCs w:val="0"/>
                <w:color w:val="000000"/>
                <w:sz w:val="18"/>
                <w:szCs w:val="18"/>
                <w:u w:val="none"/>
              </w:rPr>
            </w:pPr>
          </w:p>
        </w:tc>
        <w:tc>
          <w:tcPr>
            <w:tcW w:w="1994"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18D1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7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FB57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66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9DDC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完成禁毒宣传、摸排。每个社区11300元资金，共计5.65万元</w:t>
            </w:r>
          </w:p>
        </w:tc>
        <w:tc>
          <w:tcPr>
            <w:tcW w:w="3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AD9AE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F915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3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E32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46" w:type="dxa"/>
            <w:gridSpan w:val="22"/>
            <w:tcBorders>
              <w:top w:val="single" w:color="000000" w:sz="4" w:space="0"/>
              <w:left w:val="single" w:color="000000" w:sz="4" w:space="0"/>
              <w:bottom w:val="single" w:color="000000" w:sz="4" w:space="0"/>
              <w:right w:val="single" w:color="000000" w:sz="4" w:space="0"/>
            </w:tcBorders>
            <w:shd w:val="clear" w:color="auto" w:fill="auto"/>
            <w:vAlign w:val="center"/>
          </w:tcPr>
          <w:p w14:paraId="64B47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0CA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0C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4C21">
            <w:pPr>
              <w:jc w:val="center"/>
              <w:rPr>
                <w:rFonts w:hint="eastAsia" w:ascii="微软雅黑" w:hAnsi="微软雅黑" w:eastAsia="微软雅黑" w:cs="微软雅黑"/>
                <w:i/>
                <w:iCs/>
                <w:color w:val="000000"/>
                <w:sz w:val="16"/>
                <w:szCs w:val="16"/>
                <w:u w:val="none"/>
              </w:rPr>
            </w:pPr>
          </w:p>
        </w:tc>
      </w:tr>
      <w:tr w14:paraId="069D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286" w:hRule="atLeast"/>
          <w:jc w:val="center"/>
        </w:trPr>
        <w:tc>
          <w:tcPr>
            <w:tcW w:w="6673"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1932D1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06BE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410C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D8ED">
            <w:pPr>
              <w:rPr>
                <w:rFonts w:hint="eastAsia" w:ascii="宋体" w:hAnsi="宋体" w:eastAsia="宋体" w:cs="宋体"/>
                <w:i w:val="0"/>
                <w:iCs w:val="0"/>
                <w:color w:val="000000"/>
                <w:sz w:val="18"/>
                <w:szCs w:val="18"/>
                <w:u w:val="none"/>
              </w:rPr>
            </w:pPr>
          </w:p>
        </w:tc>
      </w:tr>
      <w:tr w14:paraId="171F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603" w:hRule="atLeast"/>
          <w:jc w:val="center"/>
        </w:trPr>
        <w:tc>
          <w:tcPr>
            <w:tcW w:w="122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8563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268"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55C0D38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社区管理经费投入用于养老、托幼、助残等多元化民生服务项目，有效满足居民需求。如设立社区老年食堂、建设儿童活动中心，为特殊群体提供便利服务；支持社区医疗站点建设，开展健康体检、义诊等活动，提升居民健康保障水平，切实增强居民生活的幸福感与获得感。</w:t>
            </w:r>
          </w:p>
        </w:tc>
      </w:tr>
      <w:tr w14:paraId="55CDA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572" w:hRule="atLeast"/>
          <w:jc w:val="center"/>
        </w:trPr>
        <w:tc>
          <w:tcPr>
            <w:tcW w:w="122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B2E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268"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7F29582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社区管理经费主要依赖政府财政拨款，社会资本、企业赞助、居民自筹等渠道开发不足。缺乏吸引社会力量参与的激励政策与合作机制，导致社区建设资金来源单一，难以形成多元化投入格局，限制了社区管理创新发展的规模与速度。</w:t>
            </w:r>
          </w:p>
        </w:tc>
      </w:tr>
      <w:tr w14:paraId="2CBAA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780" w:hRule="atLeast"/>
          <w:jc w:val="center"/>
        </w:trPr>
        <w:tc>
          <w:tcPr>
            <w:tcW w:w="122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5D0E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268"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6206E74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开展社区工作者专业培训，提升其资金管理、项目策划与执行能力。同时，吸引高校、科研机构等专业力量参与社区管理研究与实践指导，为社区管理经费的科学使用与社区治理创新提供智力支持。结合社区实际需求与发展规划，制定科学合理的经费分配方案。优先保障民生服务、智慧社区建设、社区安全等重点领域，集中资金打造示范项目，以点带面推动社区整体发展。建立动态调整机制，根据社区发展变化及时优化资金分配方向。</w:t>
            </w:r>
          </w:p>
        </w:tc>
      </w:tr>
      <w:tr w14:paraId="776E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0" w:type="auto"/>
          <w:wAfter w:w="2" w:type="dxa"/>
          <w:trHeight w:val="286" w:hRule="atLeast"/>
          <w:jc w:val="center"/>
        </w:trPr>
        <w:tc>
          <w:tcPr>
            <w:tcW w:w="4855" w:type="dxa"/>
            <w:gridSpan w:val="69"/>
            <w:tcBorders>
              <w:top w:val="single" w:color="000000" w:sz="4" w:space="0"/>
              <w:left w:val="single" w:color="000000" w:sz="4" w:space="0"/>
              <w:bottom w:val="single" w:color="000000" w:sz="4" w:space="0"/>
              <w:right w:val="single" w:color="000000" w:sz="4" w:space="0"/>
            </w:tcBorders>
            <w:shd w:val="clear" w:color="auto" w:fill="auto"/>
            <w:vAlign w:val="center"/>
          </w:tcPr>
          <w:p w14:paraId="6941DC1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项目负责人：江明冬</w:t>
            </w:r>
          </w:p>
        </w:tc>
        <w:tc>
          <w:tcPr>
            <w:tcW w:w="3636"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26D3398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35122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Before w:w="1" w:type="dxa"/>
          <w:wAfter w:w="2" w:type="dxa"/>
          <w:trHeight w:val="286" w:hRule="atLeast"/>
          <w:jc w:val="center"/>
        </w:trPr>
        <w:tc>
          <w:tcPr>
            <w:tcW w:w="4855" w:type="dxa"/>
            <w:gridSpan w:val="69"/>
            <w:tcBorders>
              <w:top w:val="single" w:color="000000" w:sz="4" w:space="0"/>
              <w:left w:val="single" w:color="000000" w:sz="4" w:space="0"/>
              <w:bottom w:val="single" w:color="000000" w:sz="4" w:space="0"/>
              <w:right w:val="single" w:color="000000" w:sz="4" w:space="0"/>
            </w:tcBorders>
            <w:shd w:val="clear" w:color="auto" w:fill="auto"/>
            <w:vAlign w:val="center"/>
          </w:tcPr>
          <w:p w14:paraId="7B76E5CC">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3636"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13141684">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0265A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8424" w:type="dxa"/>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4414201F">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C9D1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1441"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18072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6983" w:type="dxa"/>
            <w:gridSpan w:val="98"/>
            <w:tcBorders>
              <w:top w:val="single" w:color="000000" w:sz="4" w:space="0"/>
              <w:left w:val="single" w:color="000000" w:sz="4" w:space="0"/>
              <w:bottom w:val="single" w:color="000000" w:sz="4" w:space="0"/>
              <w:right w:val="single" w:color="000000" w:sz="4" w:space="0"/>
            </w:tcBorders>
            <w:shd w:val="clear" w:color="auto" w:fill="auto"/>
            <w:vAlign w:val="center"/>
          </w:tcPr>
          <w:p w14:paraId="672462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51090424T000011119050-防灾应急救助经费（长期）</w:t>
            </w:r>
          </w:p>
        </w:tc>
      </w:tr>
      <w:tr w14:paraId="45FC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1441"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82F000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899"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723C16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925" w:type="dxa"/>
            <w:gridSpan w:val="14"/>
            <w:tcBorders>
              <w:top w:val="nil"/>
              <w:left w:val="nil"/>
              <w:bottom w:val="nil"/>
              <w:right w:val="nil"/>
            </w:tcBorders>
            <w:shd w:val="clear" w:color="auto" w:fill="auto"/>
            <w:vAlign w:val="center"/>
          </w:tcPr>
          <w:p w14:paraId="14499FE8">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59"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52A22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4855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706"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AB8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3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496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899"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5CCE9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084"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14:paraId="7026C45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20A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919A6">
            <w:pPr>
              <w:rPr>
                <w:rFonts w:hint="eastAsia" w:ascii="宋体" w:hAnsi="宋体" w:eastAsia="宋体" w:cs="宋体"/>
                <w:i w:val="0"/>
                <w:iCs w:val="0"/>
                <w:color w:val="000000"/>
                <w:sz w:val="18"/>
                <w:szCs w:val="18"/>
                <w:u w:val="none"/>
              </w:rPr>
            </w:pPr>
          </w:p>
        </w:tc>
        <w:tc>
          <w:tcPr>
            <w:tcW w:w="73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AB2F9">
            <w:pPr>
              <w:rPr>
                <w:rFonts w:hint="eastAsia" w:ascii="宋体" w:hAnsi="宋体" w:eastAsia="宋体" w:cs="宋体"/>
                <w:i w:val="0"/>
                <w:iCs w:val="0"/>
                <w:color w:val="000000"/>
                <w:sz w:val="18"/>
                <w:szCs w:val="18"/>
                <w:u w:val="none"/>
              </w:rPr>
            </w:pPr>
          </w:p>
        </w:tc>
        <w:tc>
          <w:tcPr>
            <w:tcW w:w="2899"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5BDA536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做好2024年40个村（社区）防灾应急救助相关工作资金保障，保障能够应付紧急情况下的各种灾情、险情</w:t>
            </w:r>
          </w:p>
        </w:tc>
        <w:tc>
          <w:tcPr>
            <w:tcW w:w="4084"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14:paraId="3096055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做好2024年40个村（社区）防灾应急救助相关工作资金保障，保障能够应付紧急情况下的各种灾情、险情</w:t>
            </w:r>
          </w:p>
        </w:tc>
      </w:tr>
      <w:tr w14:paraId="6BE1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109FB">
            <w:pP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21581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6983" w:type="dxa"/>
            <w:gridSpan w:val="98"/>
            <w:tcBorders>
              <w:top w:val="single" w:color="000000" w:sz="4" w:space="0"/>
              <w:left w:val="single" w:color="000000" w:sz="4" w:space="0"/>
              <w:bottom w:val="single" w:color="000000" w:sz="4" w:space="0"/>
              <w:right w:val="single" w:color="000000" w:sz="4" w:space="0"/>
            </w:tcBorders>
            <w:shd w:val="clear" w:color="auto" w:fill="auto"/>
            <w:vAlign w:val="center"/>
          </w:tcPr>
          <w:p w14:paraId="341128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做好2024年40个村（社区）防灾应急救助相关工作资金保障，保障能够应付紧急情况下的各种灾情、险情</w:t>
            </w:r>
          </w:p>
        </w:tc>
      </w:tr>
      <w:tr w14:paraId="5D5B5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706"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78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DFDB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8C28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80F5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332"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3E279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668F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9E6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6B28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C95C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3E90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33877">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117F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C895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ED7A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332"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76A87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E875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7283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796F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71" w:type="dxa"/>
            <w:gridSpan w:val="2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4BCF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C1AD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CF6C6">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28A5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D900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3B4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332"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313AC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1969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DF8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C7A9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71"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8B117">
            <w:pPr>
              <w:rPr>
                <w:rFonts w:hint="eastAsia" w:ascii="黑体" w:hAnsi="黑体" w:eastAsia="黑体" w:cs="黑体"/>
                <w:i/>
                <w:iCs/>
                <w:color w:val="000000"/>
                <w:sz w:val="18"/>
                <w:szCs w:val="18"/>
                <w:u w:val="none"/>
              </w:rPr>
            </w:pPr>
          </w:p>
        </w:tc>
      </w:tr>
      <w:tr w14:paraId="6138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68C2B">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E710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7088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40A9D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32"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105995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181A3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95A8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A022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71"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BD633">
            <w:pPr>
              <w:rPr>
                <w:rFonts w:hint="eastAsia" w:ascii="黑体" w:hAnsi="黑体" w:eastAsia="黑体" w:cs="黑体"/>
                <w:i/>
                <w:iCs/>
                <w:color w:val="000000"/>
                <w:sz w:val="18"/>
                <w:szCs w:val="18"/>
                <w:u w:val="none"/>
              </w:rPr>
            </w:pPr>
          </w:p>
        </w:tc>
      </w:tr>
      <w:tr w14:paraId="213B4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C4030">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6B28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004CA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0860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32"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76295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FE56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CF4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C1075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71"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A6006">
            <w:pPr>
              <w:rPr>
                <w:rFonts w:hint="eastAsia" w:ascii="黑体" w:hAnsi="黑体" w:eastAsia="黑体" w:cs="黑体"/>
                <w:i/>
                <w:iCs/>
                <w:color w:val="000000"/>
                <w:sz w:val="18"/>
                <w:szCs w:val="18"/>
                <w:u w:val="none"/>
              </w:rPr>
            </w:pPr>
          </w:p>
        </w:tc>
      </w:tr>
      <w:tr w14:paraId="6E0A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2D497">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0B9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3F1613">
            <w:pPr>
              <w:jc w:val="center"/>
              <w:rPr>
                <w:rFonts w:hint="eastAsia" w:ascii="微软雅黑" w:hAnsi="微软雅黑" w:eastAsia="微软雅黑" w:cs="微软雅黑"/>
                <w:i/>
                <w:iCs/>
                <w:color w:val="000000"/>
                <w:sz w:val="16"/>
                <w:szCs w:val="16"/>
                <w:u w:val="none"/>
              </w:rPr>
            </w:pP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AB86BF3">
            <w:pPr>
              <w:jc w:val="center"/>
              <w:rPr>
                <w:rFonts w:hint="eastAsia" w:ascii="微软雅黑" w:hAnsi="微软雅黑" w:eastAsia="微软雅黑" w:cs="微软雅黑"/>
                <w:i/>
                <w:iCs/>
                <w:color w:val="000000"/>
                <w:sz w:val="16"/>
                <w:szCs w:val="16"/>
                <w:u w:val="none"/>
              </w:rPr>
            </w:pPr>
          </w:p>
        </w:tc>
        <w:tc>
          <w:tcPr>
            <w:tcW w:w="1332" w:type="dxa"/>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7BD9B339">
            <w:pPr>
              <w:jc w:val="center"/>
              <w:rPr>
                <w:rFonts w:hint="eastAsia" w:ascii="微软雅黑" w:hAnsi="微软雅黑" w:eastAsia="微软雅黑" w:cs="微软雅黑"/>
                <w:i/>
                <w:iCs/>
                <w:color w:val="000000"/>
                <w:sz w:val="16"/>
                <w:szCs w:val="16"/>
                <w:u w:val="none"/>
              </w:rPr>
            </w:pP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97E8BFB">
            <w:pPr>
              <w:jc w:val="center"/>
              <w:rPr>
                <w:rFonts w:hint="eastAsia" w:ascii="微软雅黑" w:hAnsi="微软雅黑" w:eastAsia="微软雅黑" w:cs="微软雅黑"/>
                <w:i/>
                <w:iCs/>
                <w:color w:val="000000"/>
                <w:sz w:val="16"/>
                <w:szCs w:val="16"/>
                <w:u w:val="none"/>
              </w:rPr>
            </w:pP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056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E4DA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71" w:type="dxa"/>
            <w:gridSpan w:val="2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EF3B1">
            <w:pPr>
              <w:rPr>
                <w:rFonts w:hint="eastAsia" w:ascii="黑体" w:hAnsi="黑体" w:eastAsia="黑体" w:cs="黑体"/>
                <w:i/>
                <w:iCs/>
                <w:color w:val="000000"/>
                <w:sz w:val="18"/>
                <w:szCs w:val="18"/>
                <w:u w:val="none"/>
              </w:rPr>
            </w:pPr>
          </w:p>
        </w:tc>
      </w:tr>
      <w:tr w14:paraId="443D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706"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F95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7A7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D7D8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7AB8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92A5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D3D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0D2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F2B4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ACD8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19B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01CCE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D6A8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80"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81C3B">
            <w:pPr>
              <w:jc w:val="center"/>
              <w:rPr>
                <w:rFonts w:hint="eastAsia" w:ascii="宋体" w:hAnsi="宋体" w:eastAsia="宋体" w:cs="宋体"/>
                <w:i w:val="0"/>
                <w:iCs w:val="0"/>
                <w:color w:val="000000"/>
                <w:sz w:val="18"/>
                <w:szCs w:val="18"/>
                <w:u w:val="none"/>
              </w:rPr>
            </w:pPr>
          </w:p>
        </w:tc>
        <w:tc>
          <w:tcPr>
            <w:tcW w:w="73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518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C0438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BE84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保障三家镇40个村的防灾应急工作</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B70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99CF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D75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623F8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177D7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FEE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0766F95">
            <w:pPr>
              <w:jc w:val="center"/>
              <w:rPr>
                <w:rFonts w:hint="eastAsia" w:ascii="微软雅黑" w:hAnsi="微软雅黑" w:eastAsia="微软雅黑" w:cs="微软雅黑"/>
                <w:i/>
                <w:iCs/>
                <w:color w:val="000000"/>
                <w:sz w:val="16"/>
                <w:szCs w:val="16"/>
                <w:u w:val="none"/>
              </w:rPr>
            </w:pPr>
          </w:p>
        </w:tc>
      </w:tr>
      <w:tr w14:paraId="643C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40"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FC666">
            <w:pPr>
              <w:jc w:val="center"/>
              <w:rPr>
                <w:rFonts w:hint="eastAsia" w:ascii="宋体" w:hAnsi="宋体" w:eastAsia="宋体" w:cs="宋体"/>
                <w:i w:val="0"/>
                <w:iCs w:val="0"/>
                <w:color w:val="000000"/>
                <w:sz w:val="18"/>
                <w:szCs w:val="18"/>
                <w:u w:val="none"/>
              </w:rPr>
            </w:pPr>
          </w:p>
        </w:tc>
        <w:tc>
          <w:tcPr>
            <w:tcW w:w="73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87710">
            <w:pPr>
              <w:jc w:val="center"/>
              <w:rPr>
                <w:rFonts w:hint="eastAsia" w:ascii="宋体" w:hAnsi="宋体" w:eastAsia="宋体" w:cs="宋体"/>
                <w:i w:val="0"/>
                <w:iCs w:val="0"/>
                <w:color w:val="000000"/>
                <w:sz w:val="18"/>
                <w:szCs w:val="18"/>
                <w:u w:val="none"/>
              </w:rPr>
            </w:pP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231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3E2D0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能够应对突发灾情，保障救灾工作顺利进行</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A30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F98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CF5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CA712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5BA8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FFDE6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DD62922">
            <w:pPr>
              <w:jc w:val="center"/>
              <w:rPr>
                <w:rFonts w:hint="eastAsia" w:ascii="微软雅黑" w:hAnsi="微软雅黑" w:eastAsia="微软雅黑" w:cs="微软雅黑"/>
                <w:i/>
                <w:iCs/>
                <w:color w:val="000000"/>
                <w:sz w:val="16"/>
                <w:szCs w:val="16"/>
                <w:u w:val="none"/>
              </w:rPr>
            </w:pPr>
          </w:p>
        </w:tc>
      </w:tr>
      <w:tr w14:paraId="740DB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20"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9D84D">
            <w:pPr>
              <w:jc w:val="center"/>
              <w:rPr>
                <w:rFonts w:hint="eastAsia" w:ascii="宋体" w:hAnsi="宋体" w:eastAsia="宋体" w:cs="宋体"/>
                <w:i w:val="0"/>
                <w:iCs w:val="0"/>
                <w:color w:val="000000"/>
                <w:sz w:val="18"/>
                <w:szCs w:val="18"/>
                <w:u w:val="none"/>
              </w:rPr>
            </w:pPr>
          </w:p>
        </w:tc>
        <w:tc>
          <w:tcPr>
            <w:tcW w:w="73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61FDB">
            <w:pPr>
              <w:jc w:val="center"/>
              <w:rPr>
                <w:rFonts w:hint="eastAsia" w:ascii="宋体" w:hAnsi="宋体" w:eastAsia="宋体" w:cs="宋体"/>
                <w:i w:val="0"/>
                <w:iCs w:val="0"/>
                <w:color w:val="000000"/>
                <w:sz w:val="18"/>
                <w:szCs w:val="18"/>
                <w:u w:val="none"/>
              </w:rPr>
            </w:pP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80E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8E2DE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保障2024年全年防灾应急工作</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CF7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B716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28C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87BB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CCC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E663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5708552D">
            <w:pPr>
              <w:jc w:val="center"/>
              <w:rPr>
                <w:rFonts w:hint="eastAsia" w:ascii="微软雅黑" w:hAnsi="微软雅黑" w:eastAsia="微软雅黑" w:cs="微软雅黑"/>
                <w:i/>
                <w:iCs/>
                <w:color w:val="000000"/>
                <w:sz w:val="16"/>
                <w:szCs w:val="16"/>
                <w:u w:val="none"/>
              </w:rPr>
            </w:pPr>
          </w:p>
        </w:tc>
      </w:tr>
      <w:tr w14:paraId="7F086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60"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C4A5D">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1EEF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8C48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CFBB8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维持社会稳定，灾情发生后能积极应对</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360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BD8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8BC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DB93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B48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482A3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A6F5365">
            <w:pPr>
              <w:jc w:val="center"/>
              <w:rPr>
                <w:rFonts w:hint="eastAsia" w:ascii="微软雅黑" w:hAnsi="微软雅黑" w:eastAsia="微软雅黑" w:cs="微软雅黑"/>
                <w:i/>
                <w:iCs/>
                <w:color w:val="000000"/>
                <w:sz w:val="16"/>
                <w:szCs w:val="16"/>
                <w:u w:val="none"/>
              </w:rPr>
            </w:pPr>
          </w:p>
        </w:tc>
      </w:tr>
      <w:tr w14:paraId="6B5E6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0"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E3D16">
            <w:pPr>
              <w:jc w:val="center"/>
              <w:rPr>
                <w:rFonts w:hint="eastAsia" w:ascii="宋体" w:hAnsi="宋体" w:eastAsia="宋体" w:cs="宋体"/>
                <w:i w:val="0"/>
                <w:iCs w:val="0"/>
                <w:color w:val="000000"/>
                <w:sz w:val="18"/>
                <w:szCs w:val="18"/>
                <w:u w:val="none"/>
              </w:rPr>
            </w:pPr>
          </w:p>
        </w:tc>
        <w:tc>
          <w:tcPr>
            <w:tcW w:w="73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D13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D0F8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8ABFD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群众安居乐业，发生灾情能得到妥善安置</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8BFA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765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6F3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FF1B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4238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0DC1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439EA4E">
            <w:pPr>
              <w:jc w:val="center"/>
              <w:rPr>
                <w:rFonts w:hint="eastAsia" w:ascii="微软雅黑" w:hAnsi="微软雅黑" w:eastAsia="微软雅黑" w:cs="微软雅黑"/>
                <w:i/>
                <w:iCs/>
                <w:color w:val="000000"/>
                <w:sz w:val="16"/>
                <w:szCs w:val="16"/>
                <w:u w:val="none"/>
              </w:rPr>
            </w:pPr>
          </w:p>
        </w:tc>
      </w:tr>
      <w:tr w14:paraId="25EC7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8319F">
            <w:pPr>
              <w:jc w:val="center"/>
              <w:rPr>
                <w:rFonts w:hint="eastAsia" w:ascii="宋体" w:hAnsi="宋体" w:eastAsia="宋体" w:cs="宋体"/>
                <w:i w:val="0"/>
                <w:iCs w:val="0"/>
                <w:color w:val="000000"/>
                <w:sz w:val="18"/>
                <w:szCs w:val="18"/>
                <w:u w:val="none"/>
              </w:rPr>
            </w:pPr>
          </w:p>
        </w:tc>
        <w:tc>
          <w:tcPr>
            <w:tcW w:w="73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7E9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6F04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921A0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采购各项救灾物资5万元</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AB6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742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FA2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C6E05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8A0B4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5797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EEA0893">
            <w:pPr>
              <w:jc w:val="center"/>
              <w:rPr>
                <w:rFonts w:hint="eastAsia" w:ascii="微软雅黑" w:hAnsi="微软雅黑" w:eastAsia="微软雅黑" w:cs="微软雅黑"/>
                <w:i/>
                <w:iCs/>
                <w:color w:val="000000"/>
                <w:sz w:val="16"/>
                <w:szCs w:val="16"/>
                <w:u w:val="none"/>
              </w:rPr>
            </w:pPr>
          </w:p>
        </w:tc>
      </w:tr>
      <w:tr w14:paraId="20402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70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10DB6">
            <w:pPr>
              <w:jc w:val="center"/>
              <w:rPr>
                <w:rFonts w:hint="eastAsia" w:ascii="宋体" w:hAnsi="宋体" w:eastAsia="宋体" w:cs="宋体"/>
                <w:i w:val="0"/>
                <w:iCs w:val="0"/>
                <w:color w:val="000000"/>
                <w:sz w:val="18"/>
                <w:szCs w:val="18"/>
                <w:u w:val="none"/>
              </w:rPr>
            </w:pPr>
          </w:p>
        </w:tc>
        <w:tc>
          <w:tcPr>
            <w:tcW w:w="73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06A92">
            <w:pPr>
              <w:jc w:val="center"/>
              <w:rPr>
                <w:rFonts w:hint="eastAsia" w:ascii="宋体" w:hAnsi="宋体" w:eastAsia="宋体" w:cs="宋体"/>
                <w:i w:val="0"/>
                <w:iCs w:val="0"/>
                <w:color w:val="000000"/>
                <w:sz w:val="18"/>
                <w:szCs w:val="18"/>
                <w:u w:val="none"/>
              </w:rPr>
            </w:pPr>
          </w:p>
        </w:tc>
        <w:tc>
          <w:tcPr>
            <w:tcW w:w="69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41B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86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1559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社会稳定，不因灾情扰乱社会秩序</w:t>
            </w:r>
          </w:p>
        </w:tc>
        <w:tc>
          <w:tcPr>
            <w:tcW w:w="4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D937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3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735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23F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92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55B34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EC03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878E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D562D17">
            <w:pPr>
              <w:jc w:val="center"/>
              <w:rPr>
                <w:rFonts w:hint="eastAsia" w:ascii="微软雅黑" w:hAnsi="微软雅黑" w:eastAsia="微软雅黑" w:cs="微软雅黑"/>
                <w:i/>
                <w:iCs/>
                <w:color w:val="000000"/>
                <w:sz w:val="16"/>
                <w:szCs w:val="16"/>
                <w:u w:val="none"/>
              </w:rPr>
            </w:pPr>
          </w:p>
        </w:tc>
      </w:tr>
      <w:tr w14:paraId="7660C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5265" w:type="dxa"/>
            <w:gridSpan w:val="74"/>
            <w:tcBorders>
              <w:top w:val="single" w:color="000000" w:sz="4" w:space="0"/>
              <w:left w:val="single" w:color="000000" w:sz="4" w:space="0"/>
              <w:bottom w:val="single" w:color="000000" w:sz="4" w:space="0"/>
              <w:right w:val="single" w:color="000000" w:sz="4" w:space="0"/>
            </w:tcBorders>
            <w:shd w:val="clear" w:color="auto" w:fill="auto"/>
            <w:vAlign w:val="center"/>
          </w:tcPr>
          <w:p w14:paraId="51705A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ED6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5B3C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171"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39BF0197">
            <w:pPr>
              <w:rPr>
                <w:rFonts w:hint="eastAsia" w:ascii="宋体" w:hAnsi="宋体" w:eastAsia="宋体" w:cs="宋体"/>
                <w:i w:val="0"/>
                <w:iCs w:val="0"/>
                <w:color w:val="000000"/>
                <w:sz w:val="18"/>
                <w:szCs w:val="18"/>
                <w:u w:val="none"/>
              </w:rPr>
            </w:pPr>
          </w:p>
        </w:tc>
      </w:tr>
      <w:tr w14:paraId="165D6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70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9253E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718"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2407992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防灾应急救助经费投入用于灾害监测预警系统建设，如气象监测站、地质灾害预警设备等，提升了灾害预警的及时性与准确性，为群众撤离避险争取宝贵时间。同时，资金支持开展防灾减灾基础设施建设，加固堤坝、改造危房、建设应急避难场所等，增强了区域防灾抗灾能力，有效降低灾害发生时的人员伤亡和财产损失。</w:t>
            </w:r>
          </w:p>
        </w:tc>
      </w:tr>
      <w:tr w14:paraId="12B1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72" w:hRule="atLeast"/>
          <w:jc w:val="center"/>
        </w:trPr>
        <w:tc>
          <w:tcPr>
            <w:tcW w:w="70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0AAA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718"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37DF357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极端天气事件频发、灾害风险加剧，防灾应急救助工作面临的挑战不断增加，但部分地区财政投入增长缓慢，难以满足实际需求。在重大灾害发生时，现有经费在应急物资储备、大型救援设备购置、灾后大规模重建等方面存在较大缺口，导致救援和重建工作推进困难。</w:t>
            </w:r>
          </w:p>
        </w:tc>
      </w:tr>
      <w:tr w14:paraId="6ECCF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70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848D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718" w:type="dxa"/>
            <w:gridSpan w:val="107"/>
            <w:tcBorders>
              <w:top w:val="single" w:color="000000" w:sz="4" w:space="0"/>
              <w:left w:val="single" w:color="000000" w:sz="4" w:space="0"/>
              <w:bottom w:val="single" w:color="000000" w:sz="4" w:space="0"/>
              <w:right w:val="single" w:color="000000" w:sz="4" w:space="0"/>
            </w:tcBorders>
            <w:shd w:val="clear" w:color="auto" w:fill="auto"/>
            <w:vAlign w:val="center"/>
          </w:tcPr>
          <w:p w14:paraId="723D6D1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防灾减灾工作的重视程度，加大财政资金投入力度，建立与灾害风险程度相适应的经费增长机制。同时，积极引导社会资本参与，鼓励企业、社会组织、慈善机构通过捐赠、投资等方式支持防灾减灾事业，探索发行防灾减灾专项债券等融资方式，拓宽资金来源，充实防灾应急救助资金池。</w:t>
            </w:r>
          </w:p>
        </w:tc>
      </w:tr>
      <w:tr w14:paraId="6CBF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458"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7970A08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项目负责人：胥圣权</w:t>
            </w:r>
          </w:p>
        </w:tc>
        <w:tc>
          <w:tcPr>
            <w:tcW w:w="4966" w:type="dxa"/>
            <w:gridSpan w:val="73"/>
            <w:tcBorders>
              <w:top w:val="single" w:color="000000" w:sz="4" w:space="0"/>
              <w:left w:val="single" w:color="000000" w:sz="4" w:space="0"/>
              <w:bottom w:val="single" w:color="000000" w:sz="4" w:space="0"/>
              <w:right w:val="single" w:color="000000" w:sz="4" w:space="0"/>
            </w:tcBorders>
            <w:shd w:val="clear" w:color="auto" w:fill="auto"/>
            <w:vAlign w:val="center"/>
          </w:tcPr>
          <w:p w14:paraId="7DA1D19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2F65D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458"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0F7470B7">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4966" w:type="dxa"/>
            <w:gridSpan w:val="73"/>
            <w:tcBorders>
              <w:top w:val="single" w:color="000000" w:sz="4" w:space="0"/>
              <w:left w:val="single" w:color="000000" w:sz="4" w:space="0"/>
              <w:bottom w:val="single" w:color="000000" w:sz="4" w:space="0"/>
              <w:right w:val="single" w:color="000000" w:sz="4" w:space="0"/>
            </w:tcBorders>
            <w:shd w:val="clear" w:color="auto" w:fill="auto"/>
            <w:vAlign w:val="center"/>
          </w:tcPr>
          <w:p w14:paraId="2D92140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209D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8424" w:type="dxa"/>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025F8603">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A738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143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E4CC69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6991" w:type="dxa"/>
            <w:gridSpan w:val="99"/>
            <w:tcBorders>
              <w:top w:val="single" w:color="000000" w:sz="4" w:space="0"/>
              <w:left w:val="single" w:color="000000" w:sz="4" w:space="0"/>
              <w:bottom w:val="single" w:color="000000" w:sz="4" w:space="0"/>
              <w:right w:val="single" w:color="000000" w:sz="4" w:space="0"/>
            </w:tcBorders>
            <w:shd w:val="clear" w:color="auto" w:fill="auto"/>
            <w:vAlign w:val="center"/>
          </w:tcPr>
          <w:p w14:paraId="17B1F7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51090424T000011119098-关心下一代工作专项经费（长期）</w:t>
            </w:r>
          </w:p>
        </w:tc>
      </w:tr>
      <w:tr w14:paraId="692A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143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8E24B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937"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42A059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924" w:type="dxa"/>
            <w:gridSpan w:val="15"/>
            <w:tcBorders>
              <w:top w:val="nil"/>
              <w:left w:val="nil"/>
              <w:bottom w:val="nil"/>
              <w:right w:val="nil"/>
            </w:tcBorders>
            <w:shd w:val="clear" w:color="auto" w:fill="auto"/>
            <w:vAlign w:val="center"/>
          </w:tcPr>
          <w:p w14:paraId="7DE1D80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130" w:type="dxa"/>
            <w:gridSpan w:val="41"/>
            <w:tcBorders>
              <w:top w:val="single" w:color="000000" w:sz="4" w:space="0"/>
              <w:left w:val="single" w:color="000000" w:sz="4" w:space="0"/>
              <w:bottom w:val="single" w:color="000000" w:sz="4" w:space="0"/>
              <w:right w:val="single" w:color="000000" w:sz="4" w:space="0"/>
            </w:tcBorders>
            <w:shd w:val="clear" w:color="auto" w:fill="auto"/>
            <w:vAlign w:val="center"/>
          </w:tcPr>
          <w:p w14:paraId="2C4C8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3FA0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70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DB1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30"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E84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937"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1D9E3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054"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14:paraId="74ACF60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554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BE763">
            <w:pPr>
              <w:rPr>
                <w:rFonts w:hint="eastAsia" w:ascii="宋体" w:hAnsi="宋体" w:eastAsia="宋体" w:cs="宋体"/>
                <w:i w:val="0"/>
                <w:iCs w:val="0"/>
                <w:color w:val="000000"/>
                <w:sz w:val="18"/>
                <w:szCs w:val="18"/>
                <w:u w:val="none"/>
              </w:rPr>
            </w:pPr>
          </w:p>
        </w:tc>
        <w:tc>
          <w:tcPr>
            <w:tcW w:w="73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B3556">
            <w:pPr>
              <w:rPr>
                <w:rFonts w:hint="eastAsia" w:ascii="宋体" w:hAnsi="宋体" w:eastAsia="宋体" w:cs="宋体"/>
                <w:i w:val="0"/>
                <w:iCs w:val="0"/>
                <w:color w:val="000000"/>
                <w:sz w:val="18"/>
                <w:szCs w:val="18"/>
                <w:u w:val="none"/>
              </w:rPr>
            </w:pPr>
          </w:p>
        </w:tc>
        <w:tc>
          <w:tcPr>
            <w:tcW w:w="2937" w:type="dxa"/>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0D9BC9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慰问困难儿童40人、三八节慰问各界妇女50人、关心关爱留守儿童</w:t>
            </w:r>
          </w:p>
        </w:tc>
        <w:tc>
          <w:tcPr>
            <w:tcW w:w="4054" w:type="dxa"/>
            <w:gridSpan w:val="56"/>
            <w:tcBorders>
              <w:top w:val="single" w:color="000000" w:sz="4" w:space="0"/>
              <w:left w:val="single" w:color="000000" w:sz="4" w:space="0"/>
              <w:bottom w:val="single" w:color="000000" w:sz="4" w:space="0"/>
              <w:right w:val="single" w:color="000000" w:sz="4" w:space="0"/>
            </w:tcBorders>
            <w:shd w:val="clear" w:color="auto" w:fill="auto"/>
            <w:vAlign w:val="center"/>
          </w:tcPr>
          <w:p w14:paraId="1BC1601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慰问困难儿童40人、三八节慰问各界妇女50人、关心关爱留守儿童</w:t>
            </w:r>
          </w:p>
        </w:tc>
      </w:tr>
      <w:tr w14:paraId="6C9E1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772E4">
            <w:pP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A96F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6991" w:type="dxa"/>
            <w:gridSpan w:val="99"/>
            <w:tcBorders>
              <w:top w:val="single" w:color="000000" w:sz="4" w:space="0"/>
              <w:left w:val="single" w:color="000000" w:sz="4" w:space="0"/>
              <w:bottom w:val="single" w:color="000000" w:sz="4" w:space="0"/>
              <w:right w:val="single" w:color="000000" w:sz="4" w:space="0"/>
            </w:tcBorders>
            <w:shd w:val="clear" w:color="auto" w:fill="auto"/>
            <w:vAlign w:val="center"/>
          </w:tcPr>
          <w:p w14:paraId="29BE8D6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慰问困难儿童40人、三八节慰问各界妇女50人、关心关爱留守儿童</w:t>
            </w:r>
          </w:p>
        </w:tc>
      </w:tr>
      <w:tr w14:paraId="2181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70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D3AA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957D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3641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7B641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47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2F929C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FDE66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D56B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791C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49C8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D57A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6D7F2">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DB5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D39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44F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47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FD85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E86E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540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8A916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42" w:type="dxa"/>
            <w:gridSpan w:val="1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DDE63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F8D4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B1BDB">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6C05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881C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15AE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47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008E7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CF495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4006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8194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42"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3C355">
            <w:pPr>
              <w:rPr>
                <w:rFonts w:hint="eastAsia" w:ascii="黑体" w:hAnsi="黑体" w:eastAsia="黑体" w:cs="黑体"/>
                <w:i/>
                <w:iCs/>
                <w:color w:val="000000"/>
                <w:sz w:val="18"/>
                <w:szCs w:val="18"/>
                <w:u w:val="none"/>
              </w:rPr>
            </w:pPr>
          </w:p>
        </w:tc>
      </w:tr>
      <w:tr w14:paraId="2F485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25558">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C77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85C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14D9E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47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0C5CDD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14CD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1C24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16E0E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42"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53DAF">
            <w:pPr>
              <w:rPr>
                <w:rFonts w:hint="eastAsia" w:ascii="黑体" w:hAnsi="黑体" w:eastAsia="黑体" w:cs="黑体"/>
                <w:i/>
                <w:iCs/>
                <w:color w:val="000000"/>
                <w:sz w:val="18"/>
                <w:szCs w:val="18"/>
                <w:u w:val="none"/>
              </w:rPr>
            </w:pPr>
          </w:p>
        </w:tc>
      </w:tr>
      <w:tr w14:paraId="2E28F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1B825">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A590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B34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B1B84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47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A28B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9B09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03B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3AC7F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42"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E01A3">
            <w:pPr>
              <w:rPr>
                <w:rFonts w:hint="eastAsia" w:ascii="黑体" w:hAnsi="黑体" w:eastAsia="黑体" w:cs="黑体"/>
                <w:i/>
                <w:iCs/>
                <w:color w:val="000000"/>
                <w:sz w:val="18"/>
                <w:szCs w:val="18"/>
                <w:u w:val="none"/>
              </w:rPr>
            </w:pPr>
          </w:p>
        </w:tc>
      </w:tr>
      <w:tr w14:paraId="332A2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E7CCD">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868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0823AF">
            <w:pPr>
              <w:jc w:val="center"/>
              <w:rPr>
                <w:rFonts w:hint="eastAsia" w:ascii="微软雅黑" w:hAnsi="微软雅黑" w:eastAsia="微软雅黑" w:cs="微软雅黑"/>
                <w:i/>
                <w:iCs/>
                <w:color w:val="000000"/>
                <w:sz w:val="16"/>
                <w:szCs w:val="16"/>
                <w:u w:val="none"/>
              </w:rPr>
            </w:pP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12D740">
            <w:pPr>
              <w:jc w:val="center"/>
              <w:rPr>
                <w:rFonts w:hint="eastAsia" w:ascii="微软雅黑" w:hAnsi="微软雅黑" w:eastAsia="微软雅黑" w:cs="微软雅黑"/>
                <w:i/>
                <w:iCs/>
                <w:color w:val="000000"/>
                <w:sz w:val="16"/>
                <w:szCs w:val="16"/>
                <w:u w:val="none"/>
              </w:rPr>
            </w:pPr>
          </w:p>
        </w:tc>
        <w:tc>
          <w:tcPr>
            <w:tcW w:w="1478"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539D430">
            <w:pPr>
              <w:jc w:val="center"/>
              <w:rPr>
                <w:rFonts w:hint="eastAsia" w:ascii="微软雅黑" w:hAnsi="微软雅黑" w:eastAsia="微软雅黑" w:cs="微软雅黑"/>
                <w:i/>
                <w:iCs/>
                <w:color w:val="000000"/>
                <w:sz w:val="16"/>
                <w:szCs w:val="16"/>
                <w:u w:val="none"/>
              </w:rPr>
            </w:pP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43AA356">
            <w:pPr>
              <w:jc w:val="center"/>
              <w:rPr>
                <w:rFonts w:hint="eastAsia" w:ascii="微软雅黑" w:hAnsi="微软雅黑" w:eastAsia="微软雅黑" w:cs="微软雅黑"/>
                <w:i/>
                <w:iCs/>
                <w:color w:val="000000"/>
                <w:sz w:val="16"/>
                <w:szCs w:val="16"/>
                <w:u w:val="none"/>
              </w:rPr>
            </w:pP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011F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6CF8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142" w:type="dxa"/>
            <w:gridSpan w:val="1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84F0C">
            <w:pPr>
              <w:rPr>
                <w:rFonts w:hint="eastAsia" w:ascii="黑体" w:hAnsi="黑体" w:eastAsia="黑体" w:cs="黑体"/>
                <w:i/>
                <w:iCs/>
                <w:color w:val="000000"/>
                <w:sz w:val="18"/>
                <w:szCs w:val="18"/>
                <w:u w:val="none"/>
              </w:rPr>
            </w:pPr>
          </w:p>
        </w:tc>
      </w:tr>
      <w:tr w14:paraId="29115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70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072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AC71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19C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D916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1434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F2E3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07C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1494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8399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70A4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DEFD5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49A5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1831F">
            <w:pPr>
              <w:jc w:val="center"/>
              <w:rPr>
                <w:rFonts w:hint="eastAsia" w:ascii="宋体" w:hAnsi="宋体" w:eastAsia="宋体" w:cs="宋体"/>
                <w:i w:val="0"/>
                <w:iCs w:val="0"/>
                <w:color w:val="000000"/>
                <w:sz w:val="18"/>
                <w:szCs w:val="18"/>
                <w:u w:val="none"/>
              </w:rPr>
            </w:pPr>
          </w:p>
        </w:tc>
        <w:tc>
          <w:tcPr>
            <w:tcW w:w="730"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DC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09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C4C02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慰问困难儿童</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C445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90776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1024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978374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AEF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3B0C8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1464DAF8">
            <w:pPr>
              <w:jc w:val="center"/>
              <w:rPr>
                <w:rFonts w:hint="eastAsia" w:ascii="微软雅黑" w:hAnsi="微软雅黑" w:eastAsia="微软雅黑" w:cs="微软雅黑"/>
                <w:i/>
                <w:iCs/>
                <w:color w:val="000000"/>
                <w:sz w:val="16"/>
                <w:szCs w:val="16"/>
                <w:u w:val="none"/>
              </w:rPr>
            </w:pPr>
          </w:p>
        </w:tc>
      </w:tr>
      <w:tr w14:paraId="31F88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D7E8A">
            <w:pPr>
              <w:jc w:val="center"/>
              <w:rPr>
                <w:rFonts w:hint="eastAsia" w:ascii="宋体" w:hAnsi="宋体" w:eastAsia="宋体" w:cs="宋体"/>
                <w:i w:val="0"/>
                <w:iCs w:val="0"/>
                <w:color w:val="000000"/>
                <w:sz w:val="18"/>
                <w:szCs w:val="18"/>
                <w:u w:val="none"/>
              </w:rPr>
            </w:pPr>
          </w:p>
        </w:tc>
        <w:tc>
          <w:tcPr>
            <w:tcW w:w="73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CA198">
            <w:pPr>
              <w:jc w:val="center"/>
              <w:rPr>
                <w:rFonts w:hint="eastAsia" w:ascii="宋体" w:hAnsi="宋体" w:eastAsia="宋体" w:cs="宋体"/>
                <w:i w:val="0"/>
                <w:iCs w:val="0"/>
                <w:color w:val="000000"/>
                <w:sz w:val="18"/>
                <w:szCs w:val="18"/>
                <w:u w:val="none"/>
              </w:rPr>
            </w:pPr>
          </w:p>
        </w:tc>
        <w:tc>
          <w:tcPr>
            <w:tcW w:w="6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37FA9">
            <w:pPr>
              <w:jc w:val="center"/>
              <w:rPr>
                <w:rFonts w:hint="eastAsia" w:ascii="宋体" w:hAnsi="宋体" w:eastAsia="宋体" w:cs="宋体"/>
                <w:i w:val="0"/>
                <w:iCs w:val="0"/>
                <w:color w:val="000000"/>
                <w:sz w:val="18"/>
                <w:szCs w:val="18"/>
                <w:u w:val="none"/>
              </w:rPr>
            </w:pP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B0CF1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慰问各界妇女</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E839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4ED4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F03B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DE89FC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D658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236B0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17493FF">
            <w:pPr>
              <w:jc w:val="center"/>
              <w:rPr>
                <w:rFonts w:hint="eastAsia" w:ascii="微软雅黑" w:hAnsi="微软雅黑" w:eastAsia="微软雅黑" w:cs="微软雅黑"/>
                <w:i/>
                <w:iCs/>
                <w:color w:val="000000"/>
                <w:sz w:val="16"/>
                <w:szCs w:val="16"/>
                <w:u w:val="none"/>
              </w:rPr>
            </w:pPr>
          </w:p>
        </w:tc>
      </w:tr>
      <w:tr w14:paraId="0235D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75D8">
            <w:pPr>
              <w:jc w:val="center"/>
              <w:rPr>
                <w:rFonts w:hint="eastAsia" w:ascii="宋体" w:hAnsi="宋体" w:eastAsia="宋体" w:cs="宋体"/>
                <w:i w:val="0"/>
                <w:iCs w:val="0"/>
                <w:color w:val="000000"/>
                <w:sz w:val="18"/>
                <w:szCs w:val="18"/>
                <w:u w:val="none"/>
              </w:rPr>
            </w:pPr>
          </w:p>
        </w:tc>
        <w:tc>
          <w:tcPr>
            <w:tcW w:w="73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5A2F">
            <w:pPr>
              <w:jc w:val="center"/>
              <w:rPr>
                <w:rFonts w:hint="eastAsia" w:ascii="宋体" w:hAnsi="宋体" w:eastAsia="宋体" w:cs="宋体"/>
                <w:i w:val="0"/>
                <w:iCs w:val="0"/>
                <w:color w:val="000000"/>
                <w:sz w:val="18"/>
                <w:szCs w:val="18"/>
                <w:u w:val="none"/>
              </w:rPr>
            </w:pP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0272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8407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各类宣传宣讲工作完成率大于90%</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019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6ABAB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452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7F6727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5C7AE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04C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E9C9560">
            <w:pPr>
              <w:jc w:val="center"/>
              <w:rPr>
                <w:rFonts w:hint="eastAsia" w:ascii="微软雅黑" w:hAnsi="微软雅黑" w:eastAsia="微软雅黑" w:cs="微软雅黑"/>
                <w:i/>
                <w:iCs/>
                <w:color w:val="000000"/>
                <w:sz w:val="16"/>
                <w:szCs w:val="16"/>
                <w:u w:val="none"/>
              </w:rPr>
            </w:pPr>
          </w:p>
        </w:tc>
      </w:tr>
      <w:tr w14:paraId="4A25F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F05B5">
            <w:pPr>
              <w:jc w:val="center"/>
              <w:rPr>
                <w:rFonts w:hint="eastAsia" w:ascii="宋体" w:hAnsi="宋体" w:eastAsia="宋体" w:cs="宋体"/>
                <w:i w:val="0"/>
                <w:iCs w:val="0"/>
                <w:color w:val="000000"/>
                <w:sz w:val="18"/>
                <w:szCs w:val="18"/>
                <w:u w:val="none"/>
              </w:rPr>
            </w:pPr>
          </w:p>
        </w:tc>
        <w:tc>
          <w:tcPr>
            <w:tcW w:w="73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4C797">
            <w:pPr>
              <w:jc w:val="center"/>
              <w:rPr>
                <w:rFonts w:hint="eastAsia" w:ascii="宋体" w:hAnsi="宋体" w:eastAsia="宋体" w:cs="宋体"/>
                <w:i w:val="0"/>
                <w:iCs w:val="0"/>
                <w:color w:val="000000"/>
                <w:sz w:val="18"/>
                <w:szCs w:val="18"/>
                <w:u w:val="none"/>
              </w:rPr>
            </w:pP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20A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1702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完成2024年关心下一代相关工作</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1A14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BE11B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CB11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2D2611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E144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FEF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524D8F1F">
            <w:pPr>
              <w:jc w:val="center"/>
              <w:rPr>
                <w:rFonts w:hint="eastAsia" w:ascii="微软雅黑" w:hAnsi="微软雅黑" w:eastAsia="微软雅黑" w:cs="微软雅黑"/>
                <w:i/>
                <w:iCs/>
                <w:color w:val="000000"/>
                <w:sz w:val="16"/>
                <w:szCs w:val="16"/>
                <w:u w:val="none"/>
              </w:rPr>
            </w:pPr>
          </w:p>
        </w:tc>
      </w:tr>
      <w:tr w14:paraId="2ABD3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F079A">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1E2B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B9A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C343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儿童就学稳定</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6E5E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A10E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BD21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8C5927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5000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593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53577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90F4B33">
            <w:pPr>
              <w:jc w:val="center"/>
              <w:rPr>
                <w:rFonts w:hint="eastAsia" w:ascii="微软雅黑" w:hAnsi="微软雅黑" w:eastAsia="微软雅黑" w:cs="微软雅黑"/>
                <w:i/>
                <w:iCs/>
                <w:color w:val="000000"/>
                <w:sz w:val="16"/>
                <w:szCs w:val="16"/>
                <w:u w:val="none"/>
              </w:rPr>
            </w:pPr>
          </w:p>
        </w:tc>
      </w:tr>
      <w:tr w14:paraId="7D22D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B6E4B">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5D1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142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B472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儿童和妇女幸福感提升</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E01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C5F5D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7EE5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243522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C8A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C01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C75B954">
            <w:pPr>
              <w:jc w:val="center"/>
              <w:rPr>
                <w:rFonts w:hint="eastAsia" w:ascii="微软雅黑" w:hAnsi="微软雅黑" w:eastAsia="微软雅黑" w:cs="微软雅黑"/>
                <w:i/>
                <w:iCs/>
                <w:color w:val="000000"/>
                <w:sz w:val="16"/>
                <w:szCs w:val="16"/>
                <w:u w:val="none"/>
              </w:rPr>
            </w:pPr>
          </w:p>
        </w:tc>
      </w:tr>
      <w:tr w14:paraId="78120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70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3E87B">
            <w:pPr>
              <w:jc w:val="center"/>
              <w:rPr>
                <w:rFonts w:hint="eastAsia" w:ascii="宋体" w:hAnsi="宋体" w:eastAsia="宋体" w:cs="宋体"/>
                <w:i w:val="0"/>
                <w:iCs w:val="0"/>
                <w:color w:val="000000"/>
                <w:sz w:val="18"/>
                <w:szCs w:val="18"/>
                <w:u w:val="none"/>
              </w:rPr>
            </w:pPr>
          </w:p>
        </w:tc>
        <w:tc>
          <w:tcPr>
            <w:tcW w:w="73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18043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21C0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77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F8AE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2024年工作经费3万元</w:t>
            </w:r>
          </w:p>
        </w:tc>
        <w:tc>
          <w:tcPr>
            <w:tcW w:w="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4E1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1DAD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09D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2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52BAE4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915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1FBF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598B89B">
            <w:pPr>
              <w:jc w:val="center"/>
              <w:rPr>
                <w:rFonts w:hint="eastAsia" w:ascii="微软雅黑" w:hAnsi="微软雅黑" w:eastAsia="微软雅黑" w:cs="微软雅黑"/>
                <w:i/>
                <w:iCs/>
                <w:color w:val="000000"/>
                <w:sz w:val="16"/>
                <w:szCs w:val="16"/>
                <w:u w:val="none"/>
              </w:rPr>
            </w:pPr>
          </w:p>
        </w:tc>
      </w:tr>
      <w:tr w14:paraId="051BC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5294" w:type="dxa"/>
            <w:gridSpan w:val="75"/>
            <w:tcBorders>
              <w:top w:val="single" w:color="000000" w:sz="4" w:space="0"/>
              <w:left w:val="single" w:color="000000" w:sz="4" w:space="0"/>
              <w:bottom w:val="single" w:color="000000" w:sz="4" w:space="0"/>
              <w:right w:val="single" w:color="000000" w:sz="4" w:space="0"/>
            </w:tcBorders>
            <w:shd w:val="clear" w:color="auto" w:fill="auto"/>
            <w:vAlign w:val="center"/>
          </w:tcPr>
          <w:p w14:paraId="3B3E05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EADF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9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DB7F28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142"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10B3D63">
            <w:pPr>
              <w:rPr>
                <w:rFonts w:hint="eastAsia" w:ascii="宋体" w:hAnsi="宋体" w:eastAsia="宋体" w:cs="宋体"/>
                <w:i w:val="0"/>
                <w:iCs w:val="0"/>
                <w:color w:val="000000"/>
                <w:sz w:val="18"/>
                <w:szCs w:val="18"/>
                <w:u w:val="none"/>
              </w:rPr>
            </w:pPr>
          </w:p>
        </w:tc>
      </w:tr>
      <w:tr w14:paraId="79BC3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7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DB1E4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721" w:type="dxa"/>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6DBFEDD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专项经费投入支持开展红色教育、爱国主义教育活动，如组织青少年参观革命纪念馆、举办党史宣讲会、开展主题征文比赛等。这些活动通过丰富的形式引导青少年树立正确的世界观、人生观和价值观，传承红色基因，增强民族自豪感与爱国情怀，有效推动青少年思想道德建设。</w:t>
            </w:r>
          </w:p>
        </w:tc>
      </w:tr>
      <w:tr w14:paraId="32D79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72" w:hRule="atLeast"/>
          <w:jc w:val="center"/>
        </w:trPr>
        <w:tc>
          <w:tcPr>
            <w:tcW w:w="7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928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721" w:type="dxa"/>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7020C1C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青少年成长需求日益多样化，关心下一代工作在心理健康教育、职业规划指导、网络素养提升等新领域的拓展面临资金瓶颈。现有专项经费总量有限，无法充分覆盖各类项目，部分地区的关爱活动规模小、持续性差，难以满足青少年全方位成长需求。</w:t>
            </w:r>
          </w:p>
        </w:tc>
      </w:tr>
      <w:tr w14:paraId="4D994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7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DA11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721" w:type="dxa"/>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1835E0D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应提高对关心下一代工作的重视程度，加大财政资金投入力度，建立稳定的经费增长机制。同时，制定优惠政策，鼓励企业、社会组织、爱心人士通过捐赠、设立专项基金等方式参与关心下一代工作，探索 “公益项目认领”“校企合作” 等模式，拓宽资金来源，充实专项经费。</w:t>
            </w:r>
          </w:p>
        </w:tc>
      </w:tr>
      <w:tr w14:paraId="215A1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335" w:type="dxa"/>
            <w:gridSpan w:val="41"/>
            <w:tcBorders>
              <w:top w:val="single" w:color="000000" w:sz="4" w:space="0"/>
              <w:left w:val="single" w:color="000000" w:sz="4" w:space="0"/>
              <w:bottom w:val="single" w:color="000000" w:sz="4" w:space="0"/>
              <w:right w:val="single" w:color="000000" w:sz="4" w:space="0"/>
            </w:tcBorders>
            <w:shd w:val="clear" w:color="auto" w:fill="auto"/>
            <w:vAlign w:val="center"/>
          </w:tcPr>
          <w:p w14:paraId="70A5ECF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项目负责人：陆青青</w:t>
            </w:r>
          </w:p>
        </w:tc>
        <w:tc>
          <w:tcPr>
            <w:tcW w:w="5089" w:type="dxa"/>
            <w:gridSpan w:val="75"/>
            <w:tcBorders>
              <w:top w:val="single" w:color="000000" w:sz="4" w:space="0"/>
              <w:left w:val="single" w:color="000000" w:sz="4" w:space="0"/>
              <w:bottom w:val="single" w:color="000000" w:sz="4" w:space="0"/>
              <w:right w:val="single" w:color="000000" w:sz="4" w:space="0"/>
            </w:tcBorders>
            <w:shd w:val="clear" w:color="auto" w:fill="auto"/>
            <w:vAlign w:val="center"/>
          </w:tcPr>
          <w:p w14:paraId="6177C45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28D48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335" w:type="dxa"/>
            <w:gridSpan w:val="41"/>
            <w:tcBorders>
              <w:top w:val="single" w:color="000000" w:sz="4" w:space="0"/>
              <w:left w:val="single" w:color="000000" w:sz="4" w:space="0"/>
              <w:bottom w:val="single" w:color="000000" w:sz="4" w:space="0"/>
              <w:right w:val="single" w:color="000000" w:sz="4" w:space="0"/>
            </w:tcBorders>
            <w:shd w:val="clear" w:color="auto" w:fill="auto"/>
            <w:vAlign w:val="center"/>
          </w:tcPr>
          <w:p w14:paraId="21BE648D">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5089" w:type="dxa"/>
            <w:gridSpan w:val="75"/>
            <w:tcBorders>
              <w:top w:val="single" w:color="000000" w:sz="4" w:space="0"/>
              <w:left w:val="single" w:color="000000" w:sz="4" w:space="0"/>
              <w:bottom w:val="single" w:color="000000" w:sz="4" w:space="0"/>
              <w:right w:val="single" w:color="000000" w:sz="4" w:space="0"/>
            </w:tcBorders>
            <w:shd w:val="clear" w:color="auto" w:fill="auto"/>
            <w:vAlign w:val="center"/>
          </w:tcPr>
          <w:p w14:paraId="076FD59E">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5AF5E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8424" w:type="dxa"/>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5FA678DC">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7191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1368"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AA8B7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056" w:type="dxa"/>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43AFBA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51090424T000011119107-环境卫生整治经费（长期）</w:t>
            </w:r>
          </w:p>
        </w:tc>
      </w:tr>
      <w:tr w14:paraId="3F460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1368"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7C7D9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323"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5667B3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906" w:type="dxa"/>
            <w:gridSpan w:val="15"/>
            <w:tcBorders>
              <w:top w:val="nil"/>
              <w:left w:val="nil"/>
              <w:bottom w:val="nil"/>
              <w:right w:val="nil"/>
            </w:tcBorders>
            <w:shd w:val="clear" w:color="auto" w:fill="auto"/>
            <w:vAlign w:val="center"/>
          </w:tcPr>
          <w:p w14:paraId="7A5C814D">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827" w:type="dxa"/>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17A966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72CE7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67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B6C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9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32C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323"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4E61DB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733" w:type="dxa"/>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2DC7674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7A8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1140"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E1040">
            <w:pPr>
              <w:rPr>
                <w:rFonts w:hint="eastAsia" w:ascii="宋体" w:hAnsi="宋体" w:eastAsia="宋体" w:cs="宋体"/>
                <w:i w:val="0"/>
                <w:iCs w:val="0"/>
                <w:color w:val="000000"/>
                <w:sz w:val="18"/>
                <w:szCs w:val="18"/>
                <w:u w:val="none"/>
              </w:rPr>
            </w:pPr>
          </w:p>
        </w:tc>
        <w:tc>
          <w:tcPr>
            <w:tcW w:w="69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750FB">
            <w:pPr>
              <w:rPr>
                <w:rFonts w:hint="eastAsia" w:ascii="宋体" w:hAnsi="宋体" w:eastAsia="宋体" w:cs="宋体"/>
                <w:i w:val="0"/>
                <w:iCs w:val="0"/>
                <w:color w:val="000000"/>
                <w:sz w:val="18"/>
                <w:szCs w:val="18"/>
                <w:u w:val="none"/>
              </w:rPr>
            </w:pPr>
          </w:p>
        </w:tc>
        <w:tc>
          <w:tcPr>
            <w:tcW w:w="3323" w:type="dxa"/>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17EAD0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完成2024年40个村（社区）环境整治工作，完成40个村保洁员劳务费支出，购买垃圾池，制作环境保护宣传手册，完成40各村（社区）垃圾清运工作。完成河道漂浮物打捞工作。</w:t>
            </w:r>
          </w:p>
        </w:tc>
        <w:tc>
          <w:tcPr>
            <w:tcW w:w="3733" w:type="dxa"/>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51ED989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完成2024年40个村（社区）环境整治工作，完成40个村保洁员劳务费支出，购买垃圾池，制作环境保护宣传手册，完成40各村（社区）垃圾清运工作。完成河道漂浮物打捞工作。</w:t>
            </w:r>
          </w:p>
        </w:tc>
      </w:tr>
      <w:tr w14:paraId="28AAB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76EFD">
            <w:pP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DE373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056" w:type="dxa"/>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682538A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完成2024年40个村（社区）环境整治工作，完成40个村保洁员劳务费支出，购买垃圾池，制作环境保护宣传手册，完成40各村（社区）垃圾清运工作。完成河道漂浮物打捞工作。</w:t>
            </w:r>
          </w:p>
        </w:tc>
      </w:tr>
      <w:tr w14:paraId="1B3BA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67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BA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F921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4C139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F63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41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0C3DA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BF629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9F5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7FFAD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7AF1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119F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F8C0F">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ADA5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0A0F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395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141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437CD0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BA3D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AA32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D279F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3" w:type="dxa"/>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D70A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9BBD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E2091">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96D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D1D0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92D58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141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5DA84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53E9B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C35A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5E54D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43" w:type="dxa"/>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16091">
            <w:pPr>
              <w:rPr>
                <w:rFonts w:hint="eastAsia" w:ascii="黑体" w:hAnsi="黑体" w:eastAsia="黑体" w:cs="黑体"/>
                <w:i/>
                <w:iCs/>
                <w:color w:val="000000"/>
                <w:sz w:val="18"/>
                <w:szCs w:val="18"/>
                <w:u w:val="none"/>
              </w:rPr>
            </w:pPr>
          </w:p>
        </w:tc>
      </w:tr>
      <w:tr w14:paraId="72FCB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27BEC">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7821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D017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648E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41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B4C99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6B406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A451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222C0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43" w:type="dxa"/>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D56E4">
            <w:pPr>
              <w:rPr>
                <w:rFonts w:hint="eastAsia" w:ascii="黑体" w:hAnsi="黑体" w:eastAsia="黑体" w:cs="黑体"/>
                <w:i/>
                <w:iCs/>
                <w:color w:val="000000"/>
                <w:sz w:val="18"/>
                <w:szCs w:val="18"/>
                <w:u w:val="none"/>
              </w:rPr>
            </w:pPr>
          </w:p>
        </w:tc>
      </w:tr>
      <w:tr w14:paraId="193EC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893F2">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2246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C531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4A67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41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4AD5B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1A523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D3A2B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8C52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43" w:type="dxa"/>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04030">
            <w:pPr>
              <w:rPr>
                <w:rFonts w:hint="eastAsia" w:ascii="黑体" w:hAnsi="黑体" w:eastAsia="黑体" w:cs="黑体"/>
                <w:i/>
                <w:iCs/>
                <w:color w:val="000000"/>
                <w:sz w:val="18"/>
                <w:szCs w:val="18"/>
                <w:u w:val="none"/>
              </w:rPr>
            </w:pPr>
          </w:p>
        </w:tc>
      </w:tr>
      <w:tr w14:paraId="6421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DE950">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186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55C5037">
            <w:pPr>
              <w:jc w:val="center"/>
              <w:rPr>
                <w:rFonts w:hint="eastAsia" w:ascii="微软雅黑" w:hAnsi="微软雅黑" w:eastAsia="微软雅黑" w:cs="微软雅黑"/>
                <w:i/>
                <w:iCs/>
                <w:color w:val="000000"/>
                <w:sz w:val="16"/>
                <w:szCs w:val="16"/>
                <w:u w:val="none"/>
              </w:rPr>
            </w:pP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ACD68E">
            <w:pPr>
              <w:jc w:val="center"/>
              <w:rPr>
                <w:rFonts w:hint="eastAsia" w:ascii="微软雅黑" w:hAnsi="微软雅黑" w:eastAsia="微软雅黑" w:cs="微软雅黑"/>
                <w:i/>
                <w:iCs/>
                <w:color w:val="000000"/>
                <w:sz w:val="16"/>
                <w:szCs w:val="16"/>
                <w:u w:val="none"/>
              </w:rPr>
            </w:pPr>
          </w:p>
        </w:tc>
        <w:tc>
          <w:tcPr>
            <w:tcW w:w="1413"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C5DBEDB">
            <w:pPr>
              <w:jc w:val="center"/>
              <w:rPr>
                <w:rFonts w:hint="eastAsia" w:ascii="微软雅黑" w:hAnsi="微软雅黑" w:eastAsia="微软雅黑" w:cs="微软雅黑"/>
                <w:i/>
                <w:iCs/>
                <w:color w:val="000000"/>
                <w:sz w:val="16"/>
                <w:szCs w:val="16"/>
                <w:u w:val="none"/>
              </w:rPr>
            </w:pP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C34A455">
            <w:pPr>
              <w:jc w:val="center"/>
              <w:rPr>
                <w:rFonts w:hint="eastAsia" w:ascii="微软雅黑" w:hAnsi="微软雅黑" w:eastAsia="微软雅黑" w:cs="微软雅黑"/>
                <w:i/>
                <w:iCs/>
                <w:color w:val="000000"/>
                <w:sz w:val="16"/>
                <w:szCs w:val="16"/>
                <w:u w:val="none"/>
              </w:rPr>
            </w:pP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6C47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F4D1C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43" w:type="dxa"/>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8D4B4">
            <w:pPr>
              <w:rPr>
                <w:rFonts w:hint="eastAsia" w:ascii="黑体" w:hAnsi="黑体" w:eastAsia="黑体" w:cs="黑体"/>
                <w:i/>
                <w:iCs/>
                <w:color w:val="000000"/>
                <w:sz w:val="18"/>
                <w:szCs w:val="18"/>
                <w:u w:val="none"/>
              </w:rPr>
            </w:pPr>
          </w:p>
        </w:tc>
      </w:tr>
      <w:tr w14:paraId="54B4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84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0A11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90BF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B349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3B32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D31C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7CC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96986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334F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223F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FB497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3406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6A03E">
            <w:pPr>
              <w:jc w:val="center"/>
              <w:rPr>
                <w:rFonts w:hint="eastAsia" w:ascii="宋体" w:hAnsi="宋体" w:eastAsia="宋体" w:cs="宋体"/>
                <w:i w:val="0"/>
                <w:iCs w:val="0"/>
                <w:color w:val="000000"/>
                <w:sz w:val="18"/>
                <w:szCs w:val="18"/>
                <w:u w:val="none"/>
              </w:rPr>
            </w:pPr>
          </w:p>
        </w:tc>
        <w:tc>
          <w:tcPr>
            <w:tcW w:w="69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FB2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E7232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A274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垃圾池40个</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B2B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FAF3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F02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91BD13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BCC4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9786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25AE487">
            <w:pPr>
              <w:jc w:val="center"/>
              <w:rPr>
                <w:rFonts w:hint="eastAsia" w:ascii="微软雅黑" w:hAnsi="微软雅黑" w:eastAsia="微软雅黑" w:cs="微软雅黑"/>
                <w:i/>
                <w:iCs/>
                <w:color w:val="000000"/>
                <w:sz w:val="16"/>
                <w:szCs w:val="16"/>
                <w:u w:val="none"/>
              </w:rPr>
            </w:pPr>
          </w:p>
        </w:tc>
      </w:tr>
      <w:tr w14:paraId="27A4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E7DE3">
            <w:pPr>
              <w:jc w:val="center"/>
              <w:rPr>
                <w:rFonts w:hint="eastAsia" w:ascii="宋体" w:hAnsi="宋体" w:eastAsia="宋体" w:cs="宋体"/>
                <w:i w:val="0"/>
                <w:iCs w:val="0"/>
                <w:color w:val="000000"/>
                <w:sz w:val="18"/>
                <w:szCs w:val="18"/>
                <w:u w:val="none"/>
              </w:rPr>
            </w:pPr>
          </w:p>
        </w:tc>
        <w:tc>
          <w:tcPr>
            <w:tcW w:w="69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32BD0">
            <w:pPr>
              <w:jc w:val="center"/>
              <w:rPr>
                <w:rFonts w:hint="eastAsia" w:ascii="宋体" w:hAnsi="宋体" w:eastAsia="宋体" w:cs="宋体"/>
                <w:i w:val="0"/>
                <w:iCs w:val="0"/>
                <w:color w:val="000000"/>
                <w:sz w:val="18"/>
                <w:szCs w:val="18"/>
                <w:u w:val="none"/>
              </w:rPr>
            </w:pP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A25D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06C0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环境得到有效改善，群众对环境满意度大于90%</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9FAA1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018B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5A7F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110996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ADD4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A141E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C275FC">
            <w:pPr>
              <w:jc w:val="center"/>
              <w:rPr>
                <w:rFonts w:hint="eastAsia" w:ascii="微软雅黑" w:hAnsi="微软雅黑" w:eastAsia="微软雅黑" w:cs="微软雅黑"/>
                <w:i/>
                <w:iCs/>
                <w:color w:val="000000"/>
                <w:sz w:val="16"/>
                <w:szCs w:val="16"/>
                <w:u w:val="none"/>
              </w:rPr>
            </w:pPr>
          </w:p>
        </w:tc>
      </w:tr>
      <w:tr w14:paraId="4B2CC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03F19">
            <w:pPr>
              <w:jc w:val="center"/>
              <w:rPr>
                <w:rFonts w:hint="eastAsia" w:ascii="宋体" w:hAnsi="宋体" w:eastAsia="宋体" w:cs="宋体"/>
                <w:i w:val="0"/>
                <w:iCs w:val="0"/>
                <w:color w:val="000000"/>
                <w:sz w:val="18"/>
                <w:szCs w:val="18"/>
                <w:u w:val="none"/>
              </w:rPr>
            </w:pPr>
          </w:p>
        </w:tc>
        <w:tc>
          <w:tcPr>
            <w:tcW w:w="69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C472C">
            <w:pPr>
              <w:jc w:val="center"/>
              <w:rPr>
                <w:rFonts w:hint="eastAsia" w:ascii="宋体" w:hAnsi="宋体" w:eastAsia="宋体" w:cs="宋体"/>
                <w:i w:val="0"/>
                <w:iCs w:val="0"/>
                <w:color w:val="000000"/>
                <w:sz w:val="18"/>
                <w:szCs w:val="18"/>
                <w:u w:val="none"/>
              </w:rPr>
            </w:pP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75DE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8576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截止时间</w:t>
            </w:r>
            <w:r>
              <w:rPr>
                <w:rFonts w:ascii="宋体" w:hAnsi="宋体" w:eastAsia="宋体" w:cs="宋体"/>
                <w:i w:val="0"/>
                <w:iCs w:val="0"/>
                <w:color w:val="000000"/>
                <w:kern w:val="0"/>
                <w:sz w:val="18"/>
                <w:szCs w:val="18"/>
                <w:u w:val="none"/>
                <w:lang w:val="en-US" w:eastAsia="zh-CN" w:bidi="ar"/>
              </w:rPr>
              <w:t>为2024年12月31日</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B9D98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301D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FC79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949A39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CC0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CDD6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89EAD5C">
            <w:pPr>
              <w:jc w:val="center"/>
              <w:rPr>
                <w:rFonts w:hint="eastAsia" w:ascii="微软雅黑" w:hAnsi="微软雅黑" w:eastAsia="微软雅黑" w:cs="微软雅黑"/>
                <w:i/>
                <w:iCs/>
                <w:color w:val="000000"/>
                <w:sz w:val="16"/>
                <w:szCs w:val="16"/>
                <w:u w:val="none"/>
              </w:rPr>
            </w:pPr>
          </w:p>
        </w:tc>
      </w:tr>
      <w:tr w14:paraId="7573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F4D6D">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E18D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4311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8868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减少垃圾污染，乡村环境改善覆盖率达到90%</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9A40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D73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BA64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4FE676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A2B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B6A1D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052240F">
            <w:pPr>
              <w:jc w:val="center"/>
              <w:rPr>
                <w:rFonts w:hint="eastAsia" w:ascii="微软雅黑" w:hAnsi="微软雅黑" w:eastAsia="微软雅黑" w:cs="微软雅黑"/>
                <w:i/>
                <w:iCs/>
                <w:color w:val="000000"/>
                <w:sz w:val="16"/>
                <w:szCs w:val="16"/>
                <w:u w:val="none"/>
              </w:rPr>
            </w:pPr>
          </w:p>
        </w:tc>
      </w:tr>
      <w:tr w14:paraId="6BFB9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07400">
            <w:pPr>
              <w:jc w:val="center"/>
              <w:rPr>
                <w:rFonts w:hint="eastAsia" w:ascii="宋体" w:hAnsi="宋体" w:eastAsia="宋体" w:cs="宋体"/>
                <w:i w:val="0"/>
                <w:iCs w:val="0"/>
                <w:color w:val="000000"/>
                <w:sz w:val="18"/>
                <w:szCs w:val="18"/>
                <w:u w:val="none"/>
              </w:rPr>
            </w:pPr>
          </w:p>
        </w:tc>
        <w:tc>
          <w:tcPr>
            <w:tcW w:w="6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7091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833"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60EF2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AE7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提高群众对综合环境的满意率</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281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0001D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9DA0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30708F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E98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2021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F1BF2C0">
            <w:pPr>
              <w:jc w:val="center"/>
              <w:rPr>
                <w:rFonts w:hint="eastAsia" w:ascii="微软雅黑" w:hAnsi="微软雅黑" w:eastAsia="微软雅黑" w:cs="微软雅黑"/>
                <w:i/>
                <w:iCs/>
                <w:color w:val="000000"/>
                <w:sz w:val="16"/>
                <w:szCs w:val="16"/>
                <w:u w:val="none"/>
              </w:rPr>
            </w:pPr>
          </w:p>
        </w:tc>
      </w:tr>
      <w:tr w14:paraId="7B86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5ADA7">
            <w:pPr>
              <w:jc w:val="center"/>
              <w:rPr>
                <w:rFonts w:hint="eastAsia" w:ascii="宋体" w:hAnsi="宋体" w:eastAsia="宋体" w:cs="宋体"/>
                <w:i w:val="0"/>
                <w:iCs w:val="0"/>
                <w:color w:val="000000"/>
                <w:sz w:val="18"/>
                <w:szCs w:val="18"/>
                <w:u w:val="none"/>
              </w:rPr>
            </w:pPr>
          </w:p>
        </w:tc>
        <w:tc>
          <w:tcPr>
            <w:tcW w:w="69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76B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833" w:type="dxa"/>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8B6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D1C6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完成河道漂浮物清理，预计全年12万元</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804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B5CBC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510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BB7CEF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12</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1C56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E9ED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176017C">
            <w:pPr>
              <w:jc w:val="center"/>
              <w:rPr>
                <w:rFonts w:hint="eastAsia" w:ascii="微软雅黑" w:hAnsi="微软雅黑" w:eastAsia="微软雅黑" w:cs="微软雅黑"/>
                <w:i/>
                <w:iCs/>
                <w:color w:val="000000"/>
                <w:sz w:val="16"/>
                <w:szCs w:val="16"/>
                <w:u w:val="none"/>
              </w:rPr>
            </w:pPr>
          </w:p>
        </w:tc>
      </w:tr>
      <w:tr w14:paraId="64E1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D2AFE">
            <w:pPr>
              <w:jc w:val="center"/>
              <w:rPr>
                <w:rFonts w:hint="eastAsia" w:ascii="宋体" w:hAnsi="宋体" w:eastAsia="宋体" w:cs="宋体"/>
                <w:i w:val="0"/>
                <w:iCs w:val="0"/>
                <w:color w:val="000000"/>
                <w:sz w:val="18"/>
                <w:szCs w:val="18"/>
                <w:u w:val="none"/>
              </w:rPr>
            </w:pPr>
          </w:p>
        </w:tc>
        <w:tc>
          <w:tcPr>
            <w:tcW w:w="69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21B14">
            <w:pPr>
              <w:jc w:val="center"/>
              <w:rPr>
                <w:rFonts w:hint="eastAsia" w:ascii="宋体" w:hAnsi="宋体" w:eastAsia="宋体" w:cs="宋体"/>
                <w:i w:val="0"/>
                <w:iCs w:val="0"/>
                <w:color w:val="000000"/>
                <w:sz w:val="18"/>
                <w:szCs w:val="18"/>
                <w:u w:val="none"/>
              </w:rPr>
            </w:pPr>
          </w:p>
        </w:tc>
        <w:tc>
          <w:tcPr>
            <w:tcW w:w="833" w:type="dxa"/>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B7464">
            <w:pPr>
              <w:jc w:val="center"/>
              <w:rPr>
                <w:rFonts w:hint="eastAsia" w:ascii="宋体" w:hAnsi="宋体" w:eastAsia="宋体" w:cs="宋体"/>
                <w:i w:val="0"/>
                <w:iCs w:val="0"/>
                <w:color w:val="000000"/>
                <w:sz w:val="18"/>
                <w:szCs w:val="18"/>
                <w:u w:val="none"/>
              </w:rPr>
            </w:pP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8C96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垃圾池40个，每个2000元，共计8万元</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6DC0F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2D4B8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84A7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03A576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8</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EFE3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0ABA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4CB68B6">
            <w:pPr>
              <w:jc w:val="center"/>
              <w:rPr>
                <w:rFonts w:hint="eastAsia" w:ascii="微软雅黑" w:hAnsi="微软雅黑" w:eastAsia="微软雅黑" w:cs="微软雅黑"/>
                <w:i/>
                <w:iCs/>
                <w:color w:val="000000"/>
                <w:sz w:val="16"/>
                <w:szCs w:val="16"/>
                <w:u w:val="none"/>
              </w:rPr>
            </w:pPr>
          </w:p>
        </w:tc>
      </w:tr>
      <w:tr w14:paraId="4EF9C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7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F3593">
            <w:pPr>
              <w:jc w:val="center"/>
              <w:rPr>
                <w:rFonts w:hint="eastAsia" w:ascii="宋体" w:hAnsi="宋体" w:eastAsia="宋体" w:cs="宋体"/>
                <w:i w:val="0"/>
                <w:iCs w:val="0"/>
                <w:color w:val="000000"/>
                <w:sz w:val="18"/>
                <w:szCs w:val="18"/>
                <w:u w:val="none"/>
              </w:rPr>
            </w:pPr>
          </w:p>
        </w:tc>
        <w:tc>
          <w:tcPr>
            <w:tcW w:w="69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5D518">
            <w:pPr>
              <w:jc w:val="center"/>
              <w:rPr>
                <w:rFonts w:hint="eastAsia" w:ascii="宋体" w:hAnsi="宋体" w:eastAsia="宋体" w:cs="宋体"/>
                <w:i w:val="0"/>
                <w:iCs w:val="0"/>
                <w:color w:val="000000"/>
                <w:sz w:val="18"/>
                <w:szCs w:val="18"/>
                <w:u w:val="none"/>
              </w:rPr>
            </w:pPr>
          </w:p>
        </w:tc>
        <w:tc>
          <w:tcPr>
            <w:tcW w:w="833" w:type="dxa"/>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5B9C0">
            <w:pPr>
              <w:jc w:val="center"/>
              <w:rPr>
                <w:rFonts w:hint="eastAsia" w:ascii="宋体" w:hAnsi="宋体" w:eastAsia="宋体" w:cs="宋体"/>
                <w:i w:val="0"/>
                <w:iCs w:val="0"/>
                <w:color w:val="000000"/>
                <w:sz w:val="18"/>
                <w:szCs w:val="18"/>
                <w:u w:val="none"/>
              </w:rPr>
            </w:pPr>
          </w:p>
        </w:tc>
        <w:tc>
          <w:tcPr>
            <w:tcW w:w="10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D066B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完成垃圾清运工作，预计全年产生费用20万元</w:t>
            </w:r>
          </w:p>
        </w:tc>
        <w:tc>
          <w:tcPr>
            <w:tcW w:w="47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B4F6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7161A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D5A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3FEB17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5640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29C4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70EDB0A">
            <w:pPr>
              <w:jc w:val="center"/>
              <w:rPr>
                <w:rFonts w:hint="eastAsia" w:ascii="微软雅黑" w:hAnsi="微软雅黑" w:eastAsia="微软雅黑" w:cs="微软雅黑"/>
                <w:i/>
                <w:iCs/>
                <w:color w:val="000000"/>
                <w:sz w:val="16"/>
                <w:szCs w:val="16"/>
                <w:u w:val="none"/>
              </w:rPr>
            </w:pPr>
          </w:p>
        </w:tc>
      </w:tr>
      <w:tr w14:paraId="454C3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5597" w:type="dxa"/>
            <w:gridSpan w:val="82"/>
            <w:tcBorders>
              <w:top w:val="single" w:color="000000" w:sz="4" w:space="0"/>
              <w:left w:val="single" w:color="000000" w:sz="4" w:space="0"/>
              <w:bottom w:val="single" w:color="000000" w:sz="4" w:space="0"/>
              <w:right w:val="single" w:color="000000" w:sz="4" w:space="0"/>
            </w:tcBorders>
            <w:shd w:val="clear" w:color="auto" w:fill="auto"/>
            <w:vAlign w:val="center"/>
          </w:tcPr>
          <w:p w14:paraId="498208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9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C1CE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B2D7BBB">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0AD4172">
            <w:pPr>
              <w:rPr>
                <w:rFonts w:hint="eastAsia" w:ascii="宋体" w:hAnsi="宋体" w:eastAsia="宋体" w:cs="宋体"/>
                <w:i w:val="0"/>
                <w:iCs w:val="0"/>
                <w:color w:val="000000"/>
                <w:sz w:val="18"/>
                <w:szCs w:val="18"/>
                <w:u w:val="none"/>
              </w:rPr>
            </w:pPr>
          </w:p>
        </w:tc>
      </w:tr>
      <w:tr w14:paraId="2691E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67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3E5E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751" w:type="dxa"/>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794EE67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环境卫生整治经费投入用于垃圾清理、转运和处理，有效解决了垃圾堆积、污水横流等问题。通过购置垃圾桶、垃圾清运车等设备，建立常态化保洁机制，城乡环境卫生状况得到显著改善。同时，资金支持绿化美化工程，如街道绿化、公园建设等，进一步提升了城乡整体形象，为居民创造了整洁、舒适的生活环境。</w:t>
            </w:r>
          </w:p>
        </w:tc>
      </w:tr>
      <w:tr w14:paraId="4503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0" w:hRule="atLeast"/>
          <w:jc w:val="center"/>
        </w:trPr>
        <w:tc>
          <w:tcPr>
            <w:tcW w:w="67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7E02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751" w:type="dxa"/>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05A85AC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城市化进程加快和居民对环境卫生要求的提高，环境卫生整治工作任务日益繁重，但财政投入增长缓慢，难以满足实际需求。在农村地区，环卫设施老化、短缺问题严重，垃圾处理能力不足，环境卫生整治工作面临较大压力。环境卫生整治经费主要依赖政府财政投入，社会资本参与度低。缺乏有效的政策引导和激励机制，难以吸引企业、社会组织等参与环境卫生基础设施建设和运营管理，限制了环境卫生整治工作的资金支持和创新发展。</w:t>
            </w:r>
          </w:p>
        </w:tc>
      </w:tr>
      <w:tr w14:paraId="739B0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67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C6E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751" w:type="dxa"/>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0A6DFC7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环境卫生整治工作的重视程度，加大财政资金投入力度，建立与经济发展水平相适应的经费增长机制。同时，积极争取上级专项资金支持，整合各类涉环资金，集中力量解决环境卫生整治中的重点难点问题，确保经费能够满足实际工作需要。</w:t>
            </w:r>
          </w:p>
        </w:tc>
      </w:tr>
      <w:tr w14:paraId="15AF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756" w:type="dxa"/>
            <w:gridSpan w:val="50"/>
            <w:tcBorders>
              <w:top w:val="single" w:color="000000" w:sz="4" w:space="0"/>
              <w:left w:val="single" w:color="000000" w:sz="4" w:space="0"/>
              <w:bottom w:val="single" w:color="000000" w:sz="4" w:space="0"/>
              <w:right w:val="single" w:color="000000" w:sz="4" w:space="0"/>
            </w:tcBorders>
            <w:shd w:val="clear" w:color="auto" w:fill="auto"/>
            <w:vAlign w:val="center"/>
          </w:tcPr>
          <w:p w14:paraId="37EA35A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项目负责人：江明冬</w:t>
            </w:r>
          </w:p>
        </w:tc>
        <w:tc>
          <w:tcPr>
            <w:tcW w:w="4668" w:type="dxa"/>
            <w:gridSpan w:val="66"/>
            <w:tcBorders>
              <w:top w:val="single" w:color="000000" w:sz="4" w:space="0"/>
              <w:left w:val="single" w:color="000000" w:sz="4" w:space="0"/>
              <w:bottom w:val="single" w:color="000000" w:sz="4" w:space="0"/>
              <w:right w:val="single" w:color="000000" w:sz="4" w:space="0"/>
            </w:tcBorders>
            <w:shd w:val="clear" w:color="auto" w:fill="auto"/>
            <w:vAlign w:val="center"/>
          </w:tcPr>
          <w:p w14:paraId="50FDE35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0D347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756" w:type="dxa"/>
            <w:gridSpan w:val="50"/>
            <w:tcBorders>
              <w:top w:val="single" w:color="000000" w:sz="4" w:space="0"/>
              <w:left w:val="single" w:color="000000" w:sz="4" w:space="0"/>
              <w:bottom w:val="single" w:color="000000" w:sz="4" w:space="0"/>
              <w:right w:val="single" w:color="000000" w:sz="4" w:space="0"/>
            </w:tcBorders>
            <w:shd w:val="clear" w:color="auto" w:fill="auto"/>
            <w:vAlign w:val="center"/>
          </w:tcPr>
          <w:p w14:paraId="4E39D421">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4668" w:type="dxa"/>
            <w:gridSpan w:val="66"/>
            <w:tcBorders>
              <w:top w:val="single" w:color="000000" w:sz="4" w:space="0"/>
              <w:left w:val="single" w:color="000000" w:sz="4" w:space="0"/>
              <w:bottom w:val="single" w:color="000000" w:sz="4" w:space="0"/>
              <w:right w:val="single" w:color="000000" w:sz="4" w:space="0"/>
            </w:tcBorders>
            <w:shd w:val="clear" w:color="auto" w:fill="auto"/>
            <w:vAlign w:val="center"/>
          </w:tcPr>
          <w:p w14:paraId="106DF2B1">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475BF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8424" w:type="dxa"/>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5E3D0CB9">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AC57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125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FB9C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165" w:type="dxa"/>
            <w:gridSpan w:val="105"/>
            <w:tcBorders>
              <w:top w:val="single" w:color="000000" w:sz="4" w:space="0"/>
              <w:left w:val="single" w:color="000000" w:sz="4" w:space="0"/>
              <w:bottom w:val="single" w:color="000000" w:sz="4" w:space="0"/>
              <w:right w:val="single" w:color="000000" w:sz="4" w:space="0"/>
            </w:tcBorders>
            <w:shd w:val="clear" w:color="auto" w:fill="auto"/>
            <w:vAlign w:val="center"/>
          </w:tcPr>
          <w:p w14:paraId="681C7A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51090424T000011119146-维稳信访调解经费（长期）</w:t>
            </w:r>
          </w:p>
        </w:tc>
      </w:tr>
      <w:tr w14:paraId="24A36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125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5E1D3B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556" w:type="dxa"/>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2AF6BE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914" w:type="dxa"/>
            <w:gridSpan w:val="15"/>
            <w:tcBorders>
              <w:top w:val="nil"/>
              <w:left w:val="nil"/>
              <w:bottom w:val="nil"/>
              <w:right w:val="nil"/>
            </w:tcBorders>
            <w:shd w:val="clear" w:color="auto" w:fill="auto"/>
            <w:vAlign w:val="center"/>
          </w:tcPr>
          <w:p w14:paraId="53521F04">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695" w:type="dxa"/>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42365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40476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6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FDA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3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7825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556" w:type="dxa"/>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59A30F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609"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3A5845A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050C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100"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0183F">
            <w:pPr>
              <w:rPr>
                <w:rFonts w:hint="eastAsia" w:ascii="宋体" w:hAnsi="宋体" w:eastAsia="宋体" w:cs="宋体"/>
                <w:i w:val="0"/>
                <w:iCs w:val="0"/>
                <w:color w:val="000000"/>
                <w:sz w:val="18"/>
                <w:szCs w:val="18"/>
                <w:u w:val="none"/>
              </w:rPr>
            </w:pPr>
          </w:p>
        </w:tc>
        <w:tc>
          <w:tcPr>
            <w:tcW w:w="63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3C5FA">
            <w:pPr>
              <w:rPr>
                <w:rFonts w:hint="eastAsia" w:ascii="宋体" w:hAnsi="宋体" w:eastAsia="宋体" w:cs="宋体"/>
                <w:i w:val="0"/>
                <w:iCs w:val="0"/>
                <w:color w:val="000000"/>
                <w:sz w:val="18"/>
                <w:szCs w:val="18"/>
                <w:u w:val="none"/>
              </w:rPr>
            </w:pPr>
          </w:p>
        </w:tc>
        <w:tc>
          <w:tcPr>
            <w:tcW w:w="3556" w:type="dxa"/>
            <w:gridSpan w:val="57"/>
            <w:tcBorders>
              <w:top w:val="single" w:color="000000" w:sz="4" w:space="0"/>
              <w:left w:val="single" w:color="000000" w:sz="4" w:space="0"/>
              <w:bottom w:val="single" w:color="000000" w:sz="4" w:space="0"/>
              <w:right w:val="single" w:color="000000" w:sz="4" w:space="0"/>
            </w:tcBorders>
            <w:shd w:val="clear" w:color="auto" w:fill="auto"/>
            <w:vAlign w:val="center"/>
          </w:tcPr>
          <w:p w14:paraId="20C733B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社区）维稳及信访处理，达到有效稳控，及时化解，案结事了；做好基层社会治安综合治理、维稳信访、群防群治、禁毒、防邪、打传、人口管理、社会建设、治安基础设施建设、平安创建等工作，提高辖区居民安全感，维护社会稳定，提升社会治理能力。做好业务培训宣传；开展安保、维稳应急处置、处突等应急演练。建设防邪示范乡镇，禁毒宣传基地，安全文明小区。</w:t>
            </w:r>
          </w:p>
        </w:tc>
        <w:tc>
          <w:tcPr>
            <w:tcW w:w="3609" w:type="dxa"/>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5E4FBE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40个村（社区）维稳及信访处理，达到有效稳控，及时化解，案结事了；做好基层社会治安综合治理、维稳信访、群防群治、禁毒、防邪、打传、人口管理、社会建设、治安基础设施建设、平安创建等工作，提高辖区居民安全感，维护社会稳定，提升社会治理能力。做好业务培训宣传；开展安保、维稳应急处置、处突等应急演练。建设防邪示范乡镇，禁毒宣传基地，安全文明小区。</w:t>
            </w:r>
          </w:p>
        </w:tc>
      </w:tr>
      <w:tr w14:paraId="11109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1080"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CBF6F">
            <w:pP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AC99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165" w:type="dxa"/>
            <w:gridSpan w:val="105"/>
            <w:tcBorders>
              <w:top w:val="single" w:color="000000" w:sz="4" w:space="0"/>
              <w:left w:val="single" w:color="000000" w:sz="4" w:space="0"/>
              <w:bottom w:val="single" w:color="000000" w:sz="4" w:space="0"/>
              <w:right w:val="single" w:color="000000" w:sz="4" w:space="0"/>
            </w:tcBorders>
            <w:shd w:val="clear" w:color="auto" w:fill="auto"/>
            <w:vAlign w:val="center"/>
          </w:tcPr>
          <w:p w14:paraId="5C4D64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社区）维稳及信访处理，达到有效稳控，及时化解，案结事了；做好基层社会治安综合治理、维稳信访、群防群治、禁毒、防邪、打传、人口管理、社会建设、治安基础设施建设、平安创建等工作，提高辖区居民安全感，维护社会稳定，提升社会治理能力。做好业务培训宣传；开展安保、维稳应急处置、处突等应急演练。建设防邪示范乡镇，禁毒宣传基地，安全文明小区。</w:t>
            </w:r>
          </w:p>
        </w:tc>
      </w:tr>
      <w:tr w14:paraId="2C690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6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2C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8A8E3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4707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482E4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446"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758B6B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666FE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4B5E9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C6CA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B214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6226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D4698">
            <w:pPr>
              <w:jc w:val="cente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4A95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3714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D7F88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w:t>
            </w:r>
          </w:p>
        </w:tc>
        <w:tc>
          <w:tcPr>
            <w:tcW w:w="1446"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77133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A25FC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22DD1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5FE6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5C31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1A30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2685E">
            <w:pPr>
              <w:jc w:val="cente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1955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44D3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5EC7D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w:t>
            </w:r>
          </w:p>
        </w:tc>
        <w:tc>
          <w:tcPr>
            <w:tcW w:w="1446"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15474D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C6C33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8F7B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21BE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91"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855D0">
            <w:pPr>
              <w:rPr>
                <w:rFonts w:hint="eastAsia" w:ascii="黑体" w:hAnsi="黑体" w:eastAsia="黑体" w:cs="黑体"/>
                <w:i/>
                <w:iCs/>
                <w:color w:val="000000"/>
                <w:sz w:val="18"/>
                <w:szCs w:val="18"/>
                <w:u w:val="none"/>
              </w:rPr>
            </w:pPr>
          </w:p>
        </w:tc>
      </w:tr>
      <w:tr w14:paraId="70215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1DCF9">
            <w:pPr>
              <w:jc w:val="cente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1EE54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D9FC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82B6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446"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466E73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F4C7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770FA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E2051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91"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C09A4">
            <w:pPr>
              <w:rPr>
                <w:rFonts w:hint="eastAsia" w:ascii="黑体" w:hAnsi="黑体" w:eastAsia="黑体" w:cs="黑体"/>
                <w:i/>
                <w:iCs/>
                <w:color w:val="000000"/>
                <w:sz w:val="18"/>
                <w:szCs w:val="18"/>
                <w:u w:val="none"/>
              </w:rPr>
            </w:pPr>
          </w:p>
        </w:tc>
      </w:tr>
      <w:tr w14:paraId="2CC7D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EBF36">
            <w:pPr>
              <w:jc w:val="cente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96C0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AE26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48B38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446"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1CD8F8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3FE4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6B9C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5546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91"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E2120">
            <w:pPr>
              <w:rPr>
                <w:rFonts w:hint="eastAsia" w:ascii="黑体" w:hAnsi="黑体" w:eastAsia="黑体" w:cs="黑体"/>
                <w:i/>
                <w:iCs/>
                <w:color w:val="000000"/>
                <w:sz w:val="18"/>
                <w:szCs w:val="18"/>
                <w:u w:val="none"/>
              </w:rPr>
            </w:pPr>
          </w:p>
        </w:tc>
      </w:tr>
      <w:tr w14:paraId="09757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FECB">
            <w:pPr>
              <w:jc w:val="cente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D05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2B1B963">
            <w:pPr>
              <w:jc w:val="center"/>
              <w:rPr>
                <w:rFonts w:hint="eastAsia" w:ascii="微软雅黑" w:hAnsi="微软雅黑" w:eastAsia="微软雅黑" w:cs="微软雅黑"/>
                <w:i/>
                <w:iCs/>
                <w:color w:val="000000"/>
                <w:sz w:val="16"/>
                <w:szCs w:val="16"/>
                <w:u w:val="none"/>
              </w:rPr>
            </w:pP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E120D8B">
            <w:pPr>
              <w:jc w:val="center"/>
              <w:rPr>
                <w:rFonts w:hint="eastAsia" w:ascii="微软雅黑" w:hAnsi="微软雅黑" w:eastAsia="微软雅黑" w:cs="微软雅黑"/>
                <w:i/>
                <w:iCs/>
                <w:color w:val="000000"/>
                <w:sz w:val="16"/>
                <w:szCs w:val="16"/>
                <w:u w:val="none"/>
              </w:rPr>
            </w:pPr>
          </w:p>
        </w:tc>
        <w:tc>
          <w:tcPr>
            <w:tcW w:w="1446"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13CEC74A">
            <w:pPr>
              <w:jc w:val="center"/>
              <w:rPr>
                <w:rFonts w:hint="eastAsia" w:ascii="微软雅黑" w:hAnsi="微软雅黑" w:eastAsia="微软雅黑" w:cs="微软雅黑"/>
                <w:i/>
                <w:iCs/>
                <w:color w:val="000000"/>
                <w:sz w:val="16"/>
                <w:szCs w:val="16"/>
                <w:u w:val="none"/>
              </w:rPr>
            </w:pP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7EEE2EF">
            <w:pPr>
              <w:jc w:val="center"/>
              <w:rPr>
                <w:rFonts w:hint="eastAsia" w:ascii="微软雅黑" w:hAnsi="微软雅黑" w:eastAsia="微软雅黑" w:cs="微软雅黑"/>
                <w:i/>
                <w:iCs/>
                <w:color w:val="000000"/>
                <w:sz w:val="16"/>
                <w:szCs w:val="16"/>
                <w:u w:val="none"/>
              </w:rPr>
            </w:pP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28B9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EA7D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91"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30C64">
            <w:pPr>
              <w:rPr>
                <w:rFonts w:hint="eastAsia" w:ascii="黑体" w:hAnsi="黑体" w:eastAsia="黑体" w:cs="黑体"/>
                <w:i/>
                <w:iCs/>
                <w:color w:val="000000"/>
                <w:sz w:val="18"/>
                <w:szCs w:val="18"/>
                <w:u w:val="none"/>
              </w:rPr>
            </w:pPr>
          </w:p>
        </w:tc>
      </w:tr>
      <w:tr w14:paraId="72F40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16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7DE4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C105B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0A5FB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71B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4B3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AC6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4C2F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3C56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746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DED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2C07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FB27F">
            <w:pPr>
              <w:jc w:val="center"/>
              <w:rPr>
                <w:rFonts w:hint="eastAsia" w:ascii="宋体" w:hAnsi="宋体" w:eastAsia="宋体" w:cs="宋体"/>
                <w:i w:val="0"/>
                <w:iCs w:val="0"/>
                <w:color w:val="000000"/>
                <w:sz w:val="18"/>
                <w:szCs w:val="18"/>
                <w:u w:val="none"/>
              </w:rPr>
            </w:pPr>
          </w:p>
        </w:tc>
        <w:tc>
          <w:tcPr>
            <w:tcW w:w="63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82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E2789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E519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完成40个村（社区）维稳及信访处理</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E493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5893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7761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DAC922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9B0D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15EF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465B61">
            <w:pPr>
              <w:jc w:val="center"/>
              <w:rPr>
                <w:rFonts w:hint="eastAsia" w:ascii="微软雅黑" w:hAnsi="微软雅黑" w:eastAsia="微软雅黑" w:cs="微软雅黑"/>
                <w:i/>
                <w:iCs/>
                <w:color w:val="000000"/>
                <w:sz w:val="16"/>
                <w:szCs w:val="16"/>
                <w:u w:val="none"/>
              </w:rPr>
            </w:pPr>
          </w:p>
        </w:tc>
      </w:tr>
      <w:tr w14:paraId="3EE04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B5AEB">
            <w:pPr>
              <w:jc w:val="center"/>
              <w:rPr>
                <w:rFonts w:hint="eastAsia" w:ascii="宋体" w:hAnsi="宋体" w:eastAsia="宋体" w:cs="宋体"/>
                <w:i w:val="0"/>
                <w:iCs w:val="0"/>
                <w:color w:val="000000"/>
                <w:sz w:val="18"/>
                <w:szCs w:val="18"/>
                <w:u w:val="none"/>
              </w:rPr>
            </w:pPr>
          </w:p>
        </w:tc>
        <w:tc>
          <w:tcPr>
            <w:tcW w:w="63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E4C9F">
            <w:pPr>
              <w:jc w:val="center"/>
              <w:rPr>
                <w:rFonts w:hint="eastAsia" w:ascii="宋体" w:hAnsi="宋体" w:eastAsia="宋体" w:cs="宋体"/>
                <w:i w:val="0"/>
                <w:iCs w:val="0"/>
                <w:color w:val="000000"/>
                <w:sz w:val="18"/>
                <w:szCs w:val="18"/>
                <w:u w:val="none"/>
              </w:rPr>
            </w:pP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72D2F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9C8F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提高居（村）民对毒品的抵制意识，工作完成率90%以上</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7762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9174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489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B5E87F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DD2D1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9AE3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DE9083">
            <w:pPr>
              <w:jc w:val="center"/>
              <w:rPr>
                <w:rFonts w:hint="eastAsia" w:ascii="微软雅黑" w:hAnsi="微软雅黑" w:eastAsia="微软雅黑" w:cs="微软雅黑"/>
                <w:i/>
                <w:iCs/>
                <w:color w:val="000000"/>
                <w:sz w:val="16"/>
                <w:szCs w:val="16"/>
                <w:u w:val="none"/>
              </w:rPr>
            </w:pPr>
          </w:p>
        </w:tc>
      </w:tr>
      <w:tr w14:paraId="2CD65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48F3A">
            <w:pPr>
              <w:jc w:val="center"/>
              <w:rPr>
                <w:rFonts w:hint="eastAsia" w:ascii="宋体" w:hAnsi="宋体" w:eastAsia="宋体" w:cs="宋体"/>
                <w:i w:val="0"/>
                <w:iCs w:val="0"/>
                <w:color w:val="000000"/>
                <w:sz w:val="18"/>
                <w:szCs w:val="18"/>
                <w:u w:val="none"/>
              </w:rPr>
            </w:pPr>
          </w:p>
        </w:tc>
        <w:tc>
          <w:tcPr>
            <w:tcW w:w="63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07FF8">
            <w:pPr>
              <w:jc w:val="center"/>
              <w:rPr>
                <w:rFonts w:hint="eastAsia" w:ascii="宋体" w:hAnsi="宋体" w:eastAsia="宋体" w:cs="宋体"/>
                <w:i w:val="0"/>
                <w:iCs w:val="0"/>
                <w:color w:val="000000"/>
                <w:sz w:val="18"/>
                <w:szCs w:val="18"/>
                <w:u w:val="none"/>
              </w:rPr>
            </w:pP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1317B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706F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2024年1月1日-2024年12月31日</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579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E3FD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BD77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984811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E44EB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02F1B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073774">
            <w:pPr>
              <w:jc w:val="center"/>
              <w:rPr>
                <w:rFonts w:hint="eastAsia" w:ascii="微软雅黑" w:hAnsi="微软雅黑" w:eastAsia="微软雅黑" w:cs="微软雅黑"/>
                <w:i/>
                <w:iCs/>
                <w:color w:val="000000"/>
                <w:sz w:val="16"/>
                <w:szCs w:val="16"/>
                <w:u w:val="none"/>
              </w:rPr>
            </w:pPr>
          </w:p>
        </w:tc>
      </w:tr>
      <w:tr w14:paraId="4FC7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3ACDF">
            <w:pPr>
              <w:jc w:val="center"/>
              <w:rPr>
                <w:rFonts w:hint="eastAsia" w:ascii="宋体" w:hAnsi="宋体" w:eastAsia="宋体" w:cs="宋体"/>
                <w:i w:val="0"/>
                <w:iCs w:val="0"/>
                <w:color w:val="000000"/>
                <w:sz w:val="18"/>
                <w:szCs w:val="18"/>
                <w:u w:val="none"/>
              </w:rPr>
            </w:pPr>
          </w:p>
        </w:tc>
        <w:tc>
          <w:tcPr>
            <w:tcW w:w="63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80E4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851" w:type="dxa"/>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50E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1CA2E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维护社会和谐稳定，信访率下降</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317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D245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2DB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AE4F74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9371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7B5A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097CB2">
            <w:pPr>
              <w:jc w:val="center"/>
              <w:rPr>
                <w:rFonts w:hint="eastAsia" w:ascii="微软雅黑" w:hAnsi="微软雅黑" w:eastAsia="微软雅黑" w:cs="微软雅黑"/>
                <w:i/>
                <w:iCs/>
                <w:color w:val="000000"/>
                <w:sz w:val="16"/>
                <w:szCs w:val="16"/>
                <w:u w:val="none"/>
              </w:rPr>
            </w:pPr>
          </w:p>
        </w:tc>
      </w:tr>
      <w:tr w14:paraId="7D2C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A57E6">
            <w:pPr>
              <w:jc w:val="center"/>
              <w:rPr>
                <w:rFonts w:hint="eastAsia" w:ascii="宋体" w:hAnsi="宋体" w:eastAsia="宋体" w:cs="宋体"/>
                <w:i w:val="0"/>
                <w:iCs w:val="0"/>
                <w:color w:val="000000"/>
                <w:sz w:val="18"/>
                <w:szCs w:val="18"/>
                <w:u w:val="none"/>
              </w:rPr>
            </w:pPr>
          </w:p>
        </w:tc>
        <w:tc>
          <w:tcPr>
            <w:tcW w:w="63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00765">
            <w:pPr>
              <w:jc w:val="center"/>
              <w:rPr>
                <w:rFonts w:hint="eastAsia" w:ascii="宋体" w:hAnsi="宋体" w:eastAsia="宋体" w:cs="宋体"/>
                <w:i w:val="0"/>
                <w:iCs w:val="0"/>
                <w:color w:val="000000"/>
                <w:sz w:val="18"/>
                <w:szCs w:val="18"/>
                <w:u w:val="none"/>
              </w:rPr>
            </w:pPr>
          </w:p>
        </w:tc>
        <w:tc>
          <w:tcPr>
            <w:tcW w:w="851" w:type="dxa"/>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96581">
            <w:pPr>
              <w:jc w:val="center"/>
              <w:rPr>
                <w:rFonts w:hint="eastAsia" w:ascii="宋体" w:hAnsi="宋体" w:eastAsia="宋体" w:cs="宋体"/>
                <w:i w:val="0"/>
                <w:iCs w:val="0"/>
                <w:color w:val="000000"/>
                <w:sz w:val="18"/>
                <w:szCs w:val="18"/>
                <w:u w:val="none"/>
              </w:rPr>
            </w:pP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69AC1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案结事了率达到98%</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0214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64F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EDC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6C3DE2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DA00F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26A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63F00B">
            <w:pPr>
              <w:jc w:val="center"/>
              <w:rPr>
                <w:rFonts w:hint="eastAsia" w:ascii="微软雅黑" w:hAnsi="微软雅黑" w:eastAsia="微软雅黑" w:cs="微软雅黑"/>
                <w:i/>
                <w:iCs/>
                <w:color w:val="000000"/>
                <w:sz w:val="16"/>
                <w:szCs w:val="16"/>
                <w:u w:val="none"/>
              </w:rPr>
            </w:pPr>
          </w:p>
        </w:tc>
      </w:tr>
      <w:tr w14:paraId="3A53E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19A03">
            <w:pPr>
              <w:jc w:val="center"/>
              <w:rPr>
                <w:rFonts w:hint="eastAsia" w:ascii="宋体" w:hAnsi="宋体" w:eastAsia="宋体" w:cs="宋体"/>
                <w:i w:val="0"/>
                <w:iCs w:val="0"/>
                <w:color w:val="000000"/>
                <w:sz w:val="18"/>
                <w:szCs w:val="18"/>
                <w:u w:val="none"/>
              </w:rPr>
            </w:pPr>
          </w:p>
        </w:tc>
        <w:tc>
          <w:tcPr>
            <w:tcW w:w="63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9AE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851"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4152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DAD4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提高40个（社区）信访群众满意度达90%以上</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2B9F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2DF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74B4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5EEDC7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A3E6E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BB12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1A98FB">
            <w:pPr>
              <w:jc w:val="center"/>
              <w:rPr>
                <w:rFonts w:hint="eastAsia" w:ascii="微软雅黑" w:hAnsi="微软雅黑" w:eastAsia="微软雅黑" w:cs="微软雅黑"/>
                <w:i/>
                <w:iCs/>
                <w:color w:val="000000"/>
                <w:sz w:val="16"/>
                <w:szCs w:val="16"/>
                <w:u w:val="none"/>
              </w:rPr>
            </w:pPr>
          </w:p>
        </w:tc>
      </w:tr>
      <w:tr w14:paraId="6B7B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E6AAD">
            <w:pPr>
              <w:jc w:val="center"/>
              <w:rPr>
                <w:rFonts w:hint="eastAsia" w:ascii="宋体" w:hAnsi="宋体" w:eastAsia="宋体" w:cs="宋体"/>
                <w:i w:val="0"/>
                <w:iCs w:val="0"/>
                <w:color w:val="000000"/>
                <w:sz w:val="18"/>
                <w:szCs w:val="18"/>
                <w:u w:val="none"/>
              </w:rPr>
            </w:pPr>
          </w:p>
        </w:tc>
        <w:tc>
          <w:tcPr>
            <w:tcW w:w="63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AEF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851" w:type="dxa"/>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04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09EA3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治安队管理、培训及装备购买</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2FF1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8F1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AC45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C0EC2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EE62A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A35E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2A894E">
            <w:pPr>
              <w:jc w:val="center"/>
              <w:rPr>
                <w:rFonts w:hint="eastAsia" w:ascii="微软雅黑" w:hAnsi="微软雅黑" w:eastAsia="微软雅黑" w:cs="微软雅黑"/>
                <w:i/>
                <w:iCs/>
                <w:color w:val="000000"/>
                <w:sz w:val="16"/>
                <w:szCs w:val="16"/>
                <w:u w:val="none"/>
              </w:rPr>
            </w:pPr>
          </w:p>
        </w:tc>
      </w:tr>
      <w:tr w14:paraId="1076B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45B5B">
            <w:pPr>
              <w:jc w:val="center"/>
              <w:rPr>
                <w:rFonts w:hint="eastAsia" w:ascii="宋体" w:hAnsi="宋体" w:eastAsia="宋体" w:cs="宋体"/>
                <w:i w:val="0"/>
                <w:iCs w:val="0"/>
                <w:color w:val="000000"/>
                <w:sz w:val="18"/>
                <w:szCs w:val="18"/>
                <w:u w:val="none"/>
              </w:rPr>
            </w:pPr>
          </w:p>
        </w:tc>
        <w:tc>
          <w:tcPr>
            <w:tcW w:w="63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2FD03">
            <w:pPr>
              <w:jc w:val="center"/>
              <w:rPr>
                <w:rFonts w:hint="eastAsia" w:ascii="宋体" w:hAnsi="宋体" w:eastAsia="宋体" w:cs="宋体"/>
                <w:i w:val="0"/>
                <w:iCs w:val="0"/>
                <w:color w:val="000000"/>
                <w:sz w:val="18"/>
                <w:szCs w:val="18"/>
                <w:u w:val="none"/>
              </w:rPr>
            </w:pPr>
          </w:p>
        </w:tc>
        <w:tc>
          <w:tcPr>
            <w:tcW w:w="851" w:type="dxa"/>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4BB3F">
            <w:pPr>
              <w:jc w:val="center"/>
              <w:rPr>
                <w:rFonts w:hint="eastAsia" w:ascii="宋体" w:hAnsi="宋体" w:eastAsia="宋体" w:cs="宋体"/>
                <w:i w:val="0"/>
                <w:iCs w:val="0"/>
                <w:color w:val="000000"/>
                <w:sz w:val="18"/>
                <w:szCs w:val="18"/>
                <w:u w:val="none"/>
              </w:rPr>
            </w:pP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3089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40个村（社区）禁毒费用，每村2000元，共计4万元</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4F9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4C3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526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AE5816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8</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42A06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F133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16257A">
            <w:pPr>
              <w:jc w:val="center"/>
              <w:rPr>
                <w:rFonts w:hint="eastAsia" w:ascii="微软雅黑" w:hAnsi="微软雅黑" w:eastAsia="微软雅黑" w:cs="微软雅黑"/>
                <w:i/>
                <w:iCs/>
                <w:color w:val="000000"/>
                <w:sz w:val="16"/>
                <w:szCs w:val="16"/>
                <w:u w:val="none"/>
              </w:rPr>
            </w:pPr>
          </w:p>
        </w:tc>
      </w:tr>
      <w:tr w14:paraId="1F1D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6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28EE1">
            <w:pPr>
              <w:jc w:val="center"/>
              <w:rPr>
                <w:rFonts w:hint="eastAsia" w:ascii="宋体" w:hAnsi="宋体" w:eastAsia="宋体" w:cs="宋体"/>
                <w:i w:val="0"/>
                <w:iCs w:val="0"/>
                <w:color w:val="000000"/>
                <w:sz w:val="18"/>
                <w:szCs w:val="18"/>
                <w:u w:val="none"/>
              </w:rPr>
            </w:pPr>
          </w:p>
        </w:tc>
        <w:tc>
          <w:tcPr>
            <w:tcW w:w="63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3085E">
            <w:pPr>
              <w:jc w:val="center"/>
              <w:rPr>
                <w:rFonts w:hint="eastAsia" w:ascii="宋体" w:hAnsi="宋体" w:eastAsia="宋体" w:cs="宋体"/>
                <w:i w:val="0"/>
                <w:iCs w:val="0"/>
                <w:color w:val="000000"/>
                <w:sz w:val="18"/>
                <w:szCs w:val="18"/>
                <w:u w:val="none"/>
              </w:rPr>
            </w:pPr>
          </w:p>
        </w:tc>
        <w:tc>
          <w:tcPr>
            <w:tcW w:w="851" w:type="dxa"/>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A5CBC">
            <w:pPr>
              <w:jc w:val="center"/>
              <w:rPr>
                <w:rFonts w:hint="eastAsia" w:ascii="宋体" w:hAnsi="宋体" w:eastAsia="宋体" w:cs="宋体"/>
                <w:i w:val="0"/>
                <w:iCs w:val="0"/>
                <w:color w:val="000000"/>
                <w:sz w:val="18"/>
                <w:szCs w:val="18"/>
                <w:u w:val="none"/>
              </w:rPr>
            </w:pPr>
          </w:p>
        </w:tc>
        <w:tc>
          <w:tcPr>
            <w:tcW w:w="1259"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7F34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印刷各种维稳工作资料</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E84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96D3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B742F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14"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E12B3F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4D50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8C1E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206361">
            <w:pPr>
              <w:jc w:val="center"/>
              <w:rPr>
                <w:rFonts w:hint="eastAsia" w:ascii="微软雅黑" w:hAnsi="微软雅黑" w:eastAsia="微软雅黑" w:cs="微软雅黑"/>
                <w:i/>
                <w:iCs/>
                <w:color w:val="000000"/>
                <w:sz w:val="16"/>
                <w:szCs w:val="16"/>
                <w:u w:val="none"/>
              </w:rPr>
            </w:pPr>
          </w:p>
        </w:tc>
      </w:tr>
      <w:tr w14:paraId="73150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5729" w:type="dxa"/>
            <w:gridSpan w:val="83"/>
            <w:tcBorders>
              <w:top w:val="single" w:color="000000" w:sz="4" w:space="0"/>
              <w:left w:val="single" w:color="000000" w:sz="4" w:space="0"/>
              <w:bottom w:val="single" w:color="000000" w:sz="4" w:space="0"/>
              <w:right w:val="single" w:color="000000" w:sz="4" w:space="0"/>
            </w:tcBorders>
            <w:shd w:val="clear" w:color="auto" w:fill="auto"/>
            <w:vAlign w:val="center"/>
          </w:tcPr>
          <w:p w14:paraId="6DE070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2"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434A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CBD665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590913">
            <w:pPr>
              <w:rPr>
                <w:rFonts w:hint="eastAsia" w:ascii="宋体" w:hAnsi="宋体" w:eastAsia="宋体" w:cs="宋体"/>
                <w:i w:val="0"/>
                <w:iCs w:val="0"/>
                <w:color w:val="000000"/>
                <w:sz w:val="18"/>
                <w:szCs w:val="18"/>
                <w:u w:val="none"/>
              </w:rPr>
            </w:pPr>
          </w:p>
        </w:tc>
      </w:tr>
      <w:tr w14:paraId="367AC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6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7B2B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800" w:type="dxa"/>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768353D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维稳信访调解经费投入用于支持各类矛盾纠纷排查与调解工作。通过组织专业调解队伍深入社区、企业开展矛盾隐患排查，对信访积案、邻里纠纷、劳动争议等问题进行及时介入和调解，将大量矛盾化解在基层，避免矛盾激化升级为群体性事件或恶性事件，有力维护了社会和谐稳定，降低了社会治理成本。</w:t>
            </w:r>
          </w:p>
        </w:tc>
      </w:tr>
      <w:tr w14:paraId="4BBB8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20" w:hRule="atLeast"/>
          <w:jc w:val="center"/>
        </w:trPr>
        <w:tc>
          <w:tcPr>
            <w:tcW w:w="6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01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800" w:type="dxa"/>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21D84AD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社会转型加速，利益格局调整，各类矛盾纠纷呈现复杂化、多样化趋势，维稳信访调解工作任务日益繁重。但财政对维稳信访调解经费投入有限，导致在处理重大复杂信访案件、开展专项调解行动时资金紧张，难以保障工作的全面深入开展，影响矛盾纠纷化解效果。农村地区、偏远地区经费紧张，调解队伍建设滞后，调解设备和技术手段落后，导致城乡之间维稳信访调解工作水平差距不断拉大。</w:t>
            </w:r>
          </w:p>
        </w:tc>
      </w:tr>
      <w:tr w14:paraId="47273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20" w:hRule="atLeast"/>
          <w:jc w:val="center"/>
        </w:trPr>
        <w:tc>
          <w:tcPr>
            <w:tcW w:w="6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A54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800" w:type="dxa"/>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121717F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根据矛盾纠纷的类型、特点和风险等级，科学合理分配维稳信访调解经费。加大对重点领域、重点群体矛盾纠纷化解的资金支持，优先保障涉及民生、容易引发群体性事件的矛盾调解工作。建立动态调整机制，根据实际工作需要及时优化资金使用方向。加大财政资金投入力度，建立稳定的经费增长机制。同时，积极整合社会资源，鼓励社会组织、企业等参与维稳信访调解工作，拓宽资金来源渠道，确保经费能够满足日益增长的工作需求。</w:t>
            </w:r>
          </w:p>
        </w:tc>
      </w:tr>
      <w:tr w14:paraId="0BA77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858" w:type="dxa"/>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46CB018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项目负责人：胥圣权</w:t>
            </w:r>
          </w:p>
        </w:tc>
        <w:tc>
          <w:tcPr>
            <w:tcW w:w="4566" w:type="dxa"/>
            <w:gridSpan w:val="65"/>
            <w:tcBorders>
              <w:top w:val="single" w:color="000000" w:sz="4" w:space="0"/>
              <w:left w:val="single" w:color="000000" w:sz="4" w:space="0"/>
              <w:bottom w:val="single" w:color="000000" w:sz="4" w:space="0"/>
              <w:right w:val="single" w:color="000000" w:sz="4" w:space="0"/>
            </w:tcBorders>
            <w:shd w:val="clear" w:color="auto" w:fill="auto"/>
            <w:vAlign w:val="center"/>
          </w:tcPr>
          <w:p w14:paraId="26E862E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3326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3858" w:type="dxa"/>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139B8F07">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4566" w:type="dxa"/>
            <w:gridSpan w:val="65"/>
            <w:tcBorders>
              <w:top w:val="single" w:color="000000" w:sz="4" w:space="0"/>
              <w:left w:val="single" w:color="000000" w:sz="4" w:space="0"/>
              <w:bottom w:val="single" w:color="000000" w:sz="4" w:space="0"/>
              <w:right w:val="single" w:color="000000" w:sz="4" w:space="0"/>
            </w:tcBorders>
            <w:shd w:val="clear" w:color="auto" w:fill="auto"/>
            <w:vAlign w:val="center"/>
          </w:tcPr>
          <w:p w14:paraId="4D582A8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0096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58DE153A">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E410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9B82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6"/>
            <w:tcBorders>
              <w:top w:val="single" w:color="000000" w:sz="4" w:space="0"/>
              <w:left w:val="single" w:color="000000" w:sz="4" w:space="0"/>
              <w:bottom w:val="single" w:color="000000" w:sz="4" w:space="0"/>
              <w:right w:val="single" w:color="000000" w:sz="4" w:space="0"/>
            </w:tcBorders>
            <w:shd w:val="clear" w:color="auto" w:fill="auto"/>
            <w:vAlign w:val="center"/>
          </w:tcPr>
          <w:p w14:paraId="120412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51090424T000011119160-乡风文明建设经费（长期）</w:t>
            </w:r>
          </w:p>
        </w:tc>
      </w:tr>
      <w:tr w14:paraId="3D8DF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0812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61"/>
            <w:tcBorders>
              <w:top w:val="single" w:color="000000" w:sz="4" w:space="0"/>
              <w:left w:val="single" w:color="000000" w:sz="4" w:space="0"/>
              <w:bottom w:val="single" w:color="000000" w:sz="4" w:space="0"/>
              <w:right w:val="single" w:color="000000" w:sz="4" w:space="0"/>
            </w:tcBorders>
            <w:shd w:val="clear" w:color="auto" w:fill="auto"/>
            <w:vAlign w:val="center"/>
          </w:tcPr>
          <w:p w14:paraId="12BD39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4"/>
            <w:tcBorders>
              <w:top w:val="nil"/>
              <w:left w:val="nil"/>
              <w:bottom w:val="nil"/>
              <w:right w:val="nil"/>
            </w:tcBorders>
            <w:shd w:val="clear" w:color="auto" w:fill="auto"/>
            <w:vAlign w:val="center"/>
          </w:tcPr>
          <w:p w14:paraId="345C0EE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51ED7B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19A27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90BA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72E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61"/>
            <w:tcBorders>
              <w:top w:val="single" w:color="000000" w:sz="4" w:space="0"/>
              <w:left w:val="single" w:color="000000" w:sz="4" w:space="0"/>
              <w:bottom w:val="single" w:color="000000" w:sz="4" w:space="0"/>
              <w:right w:val="single" w:color="000000" w:sz="4" w:space="0"/>
            </w:tcBorders>
            <w:shd w:val="clear" w:color="auto" w:fill="auto"/>
            <w:vAlign w:val="center"/>
          </w:tcPr>
          <w:p w14:paraId="2574A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305A616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3479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1960"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FDC41">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85943">
            <w:pPr>
              <w:rPr>
                <w:rFonts w:hint="eastAsia" w:ascii="宋体" w:hAnsi="宋体" w:eastAsia="宋体" w:cs="宋体"/>
                <w:i w:val="0"/>
                <w:iCs w:val="0"/>
                <w:color w:val="000000"/>
                <w:sz w:val="18"/>
                <w:szCs w:val="18"/>
                <w:u w:val="none"/>
              </w:rPr>
            </w:pPr>
          </w:p>
        </w:tc>
        <w:tc>
          <w:tcPr>
            <w:tcW w:w="0" w:type="auto"/>
            <w:gridSpan w:val="61"/>
            <w:tcBorders>
              <w:top w:val="single" w:color="000000" w:sz="4" w:space="0"/>
              <w:left w:val="single" w:color="000000" w:sz="4" w:space="0"/>
              <w:bottom w:val="single" w:color="000000" w:sz="4" w:space="0"/>
              <w:right w:val="single" w:color="000000" w:sz="4" w:space="0"/>
            </w:tcBorders>
            <w:shd w:val="clear" w:color="auto" w:fill="auto"/>
            <w:vAlign w:val="center"/>
          </w:tcPr>
          <w:p w14:paraId="0CBD21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以党风政府引领农村新风，落实农村基层党组织责任，发挥农村党员干部模范带头作用。增强农民群众的主人翁意识，有效发挥村民自治作用。推进移风易俗、建设文明乡风加强制度保障，对不赡养、虐待父母行为加大惩处。加强教育引导，以日常浸润的方式，把中华传统美德和现代文明转化为农民群众的行为习惯。坚持因地制宜把文明乡风建设与当地经济发展和文化传统相适应。</w:t>
            </w:r>
          </w:p>
        </w:tc>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4A4BFF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以党风政府引领农村新风，落实农村基层党组织责任，发挥农村党员干部模范带头作用。增强农民群众的主人翁意识，有效发挥村民自治作用。推进移风易俗、建设文明乡风加强制度保障，对不赡养、虐待父母行为加大惩处。加强教育引导，以日常浸润的方式，把中华传统美德和现代文明转化为农民群众的行为习惯。坚持因地制宜把文明乡风建设与当地经济发展和文化传统相适应。</w:t>
            </w:r>
          </w:p>
        </w:tc>
      </w:tr>
      <w:tr w14:paraId="319CE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60"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9759">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543DF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6"/>
            <w:tcBorders>
              <w:top w:val="single" w:color="000000" w:sz="4" w:space="0"/>
              <w:left w:val="single" w:color="000000" w:sz="4" w:space="0"/>
              <w:bottom w:val="single" w:color="000000" w:sz="4" w:space="0"/>
              <w:right w:val="single" w:color="000000" w:sz="4" w:space="0"/>
            </w:tcBorders>
            <w:shd w:val="clear" w:color="auto" w:fill="auto"/>
            <w:vAlign w:val="center"/>
          </w:tcPr>
          <w:p w14:paraId="6495C6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以党风政府引领农村新风，落实农村基层党组织责任，发挥农村党员干部模范带头作用。增强农民群众的主人翁意识，有效发挥村民自治作用。推进移风易俗、建设文明乡风加强制度保障，对不赡养、虐待父母行为加大惩处。加强教育引导，以日常浸润的方式，把中华传统美德和现代文明转化为农民群众的行为习惯。坚持因地制宜把文明乡风建设与当地经济发展和文化传统相适应。</w:t>
            </w:r>
          </w:p>
        </w:tc>
      </w:tr>
      <w:tr w14:paraId="3D368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47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D40A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195B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14951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2E2E8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3C4E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7DFB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1E6D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9BBB1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4D3B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B49B3">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693E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9384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E0DA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56E34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2C5B4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D3CC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DC9F5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8885F">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A4EC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458B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8351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EA60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1F037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73E336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727F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0B86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82C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A711E">
            <w:pPr>
              <w:rPr>
                <w:rFonts w:hint="eastAsia" w:ascii="黑体" w:hAnsi="黑体" w:eastAsia="黑体" w:cs="黑体"/>
                <w:i/>
                <w:iCs/>
                <w:color w:val="000000"/>
                <w:sz w:val="18"/>
                <w:szCs w:val="18"/>
                <w:u w:val="none"/>
              </w:rPr>
            </w:pPr>
          </w:p>
        </w:tc>
      </w:tr>
      <w:tr w14:paraId="00DFB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3911">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FC07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A307A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4B617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0C84AA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36DBD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72D7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D7DD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8DF8B">
            <w:pPr>
              <w:rPr>
                <w:rFonts w:hint="eastAsia" w:ascii="黑体" w:hAnsi="黑体" w:eastAsia="黑体" w:cs="黑体"/>
                <w:i/>
                <w:iCs/>
                <w:color w:val="000000"/>
                <w:sz w:val="18"/>
                <w:szCs w:val="18"/>
                <w:u w:val="none"/>
              </w:rPr>
            </w:pPr>
          </w:p>
        </w:tc>
      </w:tr>
      <w:tr w14:paraId="3A2B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D4E8B">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84E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AFE05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27DE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3C61D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F43F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82D72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5FAB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A98B7">
            <w:pPr>
              <w:rPr>
                <w:rFonts w:hint="eastAsia" w:ascii="黑体" w:hAnsi="黑体" w:eastAsia="黑体" w:cs="黑体"/>
                <w:i/>
                <w:iCs/>
                <w:color w:val="000000"/>
                <w:sz w:val="18"/>
                <w:szCs w:val="18"/>
                <w:u w:val="none"/>
              </w:rPr>
            </w:pPr>
          </w:p>
        </w:tc>
      </w:tr>
      <w:tr w14:paraId="673B5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51C63">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014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DB4E5CA">
            <w:pPr>
              <w:jc w:val="center"/>
              <w:rPr>
                <w:rFonts w:hint="eastAsia" w:ascii="微软雅黑" w:hAnsi="微软雅黑" w:eastAsia="微软雅黑" w:cs="微软雅黑"/>
                <w:i/>
                <w:iCs/>
                <w:color w:val="000000"/>
                <w:sz w:val="16"/>
                <w:szCs w:val="16"/>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D54B5A1">
            <w:pPr>
              <w:jc w:val="center"/>
              <w:rPr>
                <w:rFonts w:hint="eastAsia" w:ascii="微软雅黑" w:hAnsi="微软雅黑" w:eastAsia="微软雅黑" w:cs="微软雅黑"/>
                <w:i/>
                <w:iCs/>
                <w:color w:val="000000"/>
                <w:sz w:val="16"/>
                <w:szCs w:val="16"/>
                <w:u w:val="none"/>
              </w:rPr>
            </w:pP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0C3F32ED">
            <w:pPr>
              <w:jc w:val="center"/>
              <w:rPr>
                <w:rFonts w:hint="eastAsia" w:ascii="微软雅黑" w:hAnsi="微软雅黑" w:eastAsia="微软雅黑" w:cs="微软雅黑"/>
                <w:i/>
                <w:iCs/>
                <w:color w:val="000000"/>
                <w:sz w:val="16"/>
                <w:szCs w:val="16"/>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DCA4BFE">
            <w:pPr>
              <w:jc w:val="center"/>
              <w:rPr>
                <w:rFonts w:hint="eastAsia" w:ascii="微软雅黑" w:hAnsi="微软雅黑" w:eastAsia="微软雅黑" w:cs="微软雅黑"/>
                <w:i/>
                <w:iCs/>
                <w:color w:val="000000"/>
                <w:sz w:val="16"/>
                <w:szCs w:val="16"/>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EC1C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E566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9FADA">
            <w:pPr>
              <w:rPr>
                <w:rFonts w:hint="eastAsia" w:ascii="黑体" w:hAnsi="黑体" w:eastAsia="黑体" w:cs="黑体"/>
                <w:i/>
                <w:iCs/>
                <w:color w:val="000000"/>
                <w:sz w:val="18"/>
                <w:szCs w:val="18"/>
                <w:u w:val="none"/>
              </w:rPr>
            </w:pPr>
          </w:p>
        </w:tc>
      </w:tr>
      <w:tr w14:paraId="66F5C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9BB1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60C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3C03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D7BED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AD51A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2CEA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6C9C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73F8D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6AFD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5562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141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BB87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9CB5A">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6A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35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D2C79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提升群众的获得感、幸福感、安全感</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63D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FAA1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05A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人/户</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7A3C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5737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7A56A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690A5EF">
            <w:pPr>
              <w:jc w:val="center"/>
              <w:rPr>
                <w:rFonts w:hint="eastAsia" w:ascii="微软雅黑" w:hAnsi="微软雅黑" w:eastAsia="微软雅黑" w:cs="微软雅黑"/>
                <w:i/>
                <w:iCs/>
                <w:color w:val="000000"/>
                <w:sz w:val="16"/>
                <w:szCs w:val="16"/>
                <w:u w:val="none"/>
              </w:rPr>
            </w:pPr>
          </w:p>
        </w:tc>
      </w:tr>
      <w:tr w14:paraId="1119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16EA5">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C6F2A">
            <w:pPr>
              <w:jc w:val="center"/>
              <w:rPr>
                <w:rFonts w:hint="eastAsia" w:ascii="宋体" w:hAnsi="宋体" w:eastAsia="宋体" w:cs="宋体"/>
                <w:i w:val="0"/>
                <w:iCs w:val="0"/>
                <w:color w:val="000000"/>
                <w:sz w:val="18"/>
                <w:szCs w:val="18"/>
                <w:u w:val="none"/>
              </w:rPr>
            </w:pP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9548D">
            <w:pPr>
              <w:jc w:val="center"/>
              <w:rPr>
                <w:rFonts w:hint="eastAsia" w:ascii="宋体" w:hAnsi="宋体" w:eastAsia="宋体" w:cs="宋体"/>
                <w:i w:val="0"/>
                <w:iCs w:val="0"/>
                <w:color w:val="000000"/>
                <w:sz w:val="18"/>
                <w:szCs w:val="18"/>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67755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群众幸福感提高率大于30%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E9C6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30181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702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1818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4A09E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AFE0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773410">
            <w:pPr>
              <w:jc w:val="center"/>
              <w:rPr>
                <w:rFonts w:hint="eastAsia" w:ascii="微软雅黑" w:hAnsi="微软雅黑" w:eastAsia="微软雅黑" w:cs="微软雅黑"/>
                <w:i/>
                <w:iCs/>
                <w:color w:val="000000"/>
                <w:sz w:val="16"/>
                <w:szCs w:val="16"/>
                <w:u w:val="none"/>
              </w:rPr>
            </w:pPr>
          </w:p>
        </w:tc>
      </w:tr>
      <w:tr w14:paraId="136B1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CB9E3">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0B284">
            <w:pPr>
              <w:jc w:val="center"/>
              <w:rPr>
                <w:rFonts w:hint="eastAsia" w:ascii="宋体" w:hAnsi="宋体" w:eastAsia="宋体" w:cs="宋体"/>
                <w:i w:val="0"/>
                <w:iCs w:val="0"/>
                <w:color w:val="000000"/>
                <w:sz w:val="18"/>
                <w:szCs w:val="18"/>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5C75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09CA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完成2024年乡风文明建设相关业务</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90E8B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1C3C9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817F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EAD19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AC79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B0F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EDF48D0">
            <w:pPr>
              <w:jc w:val="center"/>
              <w:rPr>
                <w:rFonts w:hint="eastAsia" w:ascii="微软雅黑" w:hAnsi="微软雅黑" w:eastAsia="微软雅黑" w:cs="微软雅黑"/>
                <w:i/>
                <w:iCs/>
                <w:color w:val="000000"/>
                <w:sz w:val="16"/>
                <w:szCs w:val="16"/>
                <w:u w:val="none"/>
              </w:rPr>
            </w:pPr>
          </w:p>
        </w:tc>
      </w:tr>
      <w:tr w14:paraId="462EA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C265D">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2D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10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CD8DA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让群众从思想上充分认识乡风文明的重要性</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30BE1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17F31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806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605F7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172BE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5917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D04CA3B">
            <w:pPr>
              <w:jc w:val="center"/>
              <w:rPr>
                <w:rFonts w:hint="eastAsia" w:ascii="微软雅黑" w:hAnsi="微软雅黑" w:eastAsia="微软雅黑" w:cs="微软雅黑"/>
                <w:i/>
                <w:iCs/>
                <w:color w:val="000000"/>
                <w:sz w:val="16"/>
                <w:szCs w:val="16"/>
                <w:u w:val="none"/>
              </w:rPr>
            </w:pPr>
          </w:p>
        </w:tc>
      </w:tr>
      <w:tr w14:paraId="5E660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A6EC0">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087C2">
            <w:pPr>
              <w:jc w:val="center"/>
              <w:rPr>
                <w:rFonts w:hint="eastAsia" w:ascii="宋体" w:hAnsi="宋体" w:eastAsia="宋体" w:cs="宋体"/>
                <w:i w:val="0"/>
                <w:iCs w:val="0"/>
                <w:color w:val="000000"/>
                <w:sz w:val="18"/>
                <w:szCs w:val="18"/>
                <w:u w:val="none"/>
              </w:rPr>
            </w:pP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404E0">
            <w:pPr>
              <w:jc w:val="center"/>
              <w:rPr>
                <w:rFonts w:hint="eastAsia" w:ascii="宋体" w:hAnsi="宋体" w:eastAsia="宋体" w:cs="宋体"/>
                <w:i w:val="0"/>
                <w:iCs w:val="0"/>
                <w:color w:val="000000"/>
                <w:sz w:val="18"/>
                <w:szCs w:val="18"/>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B6ED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开展各类文化宣传教育活动，形成良好社会新风尚</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C19C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AAAD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064F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8669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D29DC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B3F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A12710">
            <w:pPr>
              <w:jc w:val="center"/>
              <w:rPr>
                <w:rFonts w:hint="eastAsia" w:ascii="微软雅黑" w:hAnsi="微软雅黑" w:eastAsia="微软雅黑" w:cs="微软雅黑"/>
                <w:i/>
                <w:iCs/>
                <w:color w:val="000000"/>
                <w:sz w:val="16"/>
                <w:szCs w:val="16"/>
                <w:u w:val="none"/>
              </w:rPr>
            </w:pPr>
          </w:p>
        </w:tc>
      </w:tr>
      <w:tr w14:paraId="07E9C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25461">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51936">
            <w:pPr>
              <w:jc w:val="center"/>
              <w:rPr>
                <w:rFonts w:hint="eastAsia" w:ascii="宋体" w:hAnsi="宋体" w:eastAsia="宋体" w:cs="宋体"/>
                <w:i w:val="0"/>
                <w:iCs w:val="0"/>
                <w:color w:val="000000"/>
                <w:sz w:val="18"/>
                <w:szCs w:val="18"/>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27DBB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60E64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创造持续的文明环境。促进文明城市创建维护</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F0065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1458B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C110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0295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9A069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DCF28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835EF2B">
            <w:pPr>
              <w:jc w:val="center"/>
              <w:rPr>
                <w:rFonts w:hint="eastAsia" w:ascii="微软雅黑" w:hAnsi="微软雅黑" w:eastAsia="微软雅黑" w:cs="微软雅黑"/>
                <w:i/>
                <w:iCs/>
                <w:color w:val="000000"/>
                <w:sz w:val="16"/>
                <w:szCs w:val="16"/>
                <w:u w:val="none"/>
              </w:rPr>
            </w:pPr>
          </w:p>
        </w:tc>
      </w:tr>
      <w:tr w14:paraId="2808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888E7">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164A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14CA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DC42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提高服务对象满意度，各村群众满意度达90%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A2D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79708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7981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E1A76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8B606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551D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36C074">
            <w:pPr>
              <w:jc w:val="center"/>
              <w:rPr>
                <w:rFonts w:hint="eastAsia" w:ascii="微软雅黑" w:hAnsi="微软雅黑" w:eastAsia="微软雅黑" w:cs="微软雅黑"/>
                <w:i/>
                <w:iCs/>
                <w:color w:val="000000"/>
                <w:sz w:val="16"/>
                <w:szCs w:val="16"/>
                <w:u w:val="none"/>
              </w:rPr>
            </w:pPr>
          </w:p>
        </w:tc>
      </w:tr>
      <w:tr w14:paraId="6563A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FB6DC">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D47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8738C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E9A3C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广告制作，宣传乡风文明习惯</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503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E3CFA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F64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C52B5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4B183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3F10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353B556">
            <w:pPr>
              <w:jc w:val="center"/>
              <w:rPr>
                <w:rFonts w:hint="eastAsia" w:ascii="微软雅黑" w:hAnsi="微软雅黑" w:eastAsia="微软雅黑" w:cs="微软雅黑"/>
                <w:i/>
                <w:iCs/>
                <w:color w:val="000000"/>
                <w:sz w:val="16"/>
                <w:szCs w:val="16"/>
                <w:u w:val="none"/>
              </w:rPr>
            </w:pPr>
          </w:p>
        </w:tc>
      </w:tr>
      <w:tr w14:paraId="4B8CC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5"/>
            <w:tcBorders>
              <w:top w:val="single" w:color="000000" w:sz="4" w:space="0"/>
              <w:left w:val="single" w:color="000000" w:sz="4" w:space="0"/>
              <w:bottom w:val="single" w:color="000000" w:sz="4" w:space="0"/>
              <w:right w:val="single" w:color="000000" w:sz="4" w:space="0"/>
            </w:tcBorders>
            <w:shd w:val="clear" w:color="auto" w:fill="auto"/>
            <w:vAlign w:val="center"/>
          </w:tcPr>
          <w:p w14:paraId="7187D3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4A82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D2E46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6426E55">
            <w:pPr>
              <w:rPr>
                <w:rFonts w:hint="eastAsia" w:ascii="宋体" w:hAnsi="宋体" w:eastAsia="宋体" w:cs="宋体"/>
                <w:i w:val="0"/>
                <w:iCs w:val="0"/>
                <w:color w:val="000000"/>
                <w:sz w:val="18"/>
                <w:szCs w:val="18"/>
                <w:u w:val="none"/>
              </w:rPr>
            </w:pPr>
          </w:p>
        </w:tc>
      </w:tr>
      <w:tr w14:paraId="290B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7D0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30696B4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风文明建设经费投入用于保护和挖掘乡村传统文化，支持修缮古村落、古建筑，整理民间故事、传统技艺，开展民俗文化活动。如举办非遗手工艺展、传统节庆庆典等，不仅传承了乡村文化基因，还让村民感受到乡土文化的独特魅力，增强了文化认同感和自豪感，为乡村振兴注入文化动力。</w:t>
            </w:r>
          </w:p>
        </w:tc>
      </w:tr>
      <w:tr w14:paraId="5CF3E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80"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DB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69E49EB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乡村振兴战略的深入推进，乡风文明建设涵盖内容不断拓展，对资金的需求日益增加。但目前财政对乡风文明建设经费投入有限，社会资本参与度低，导致在文化遗产保护、文化产业发展、文明实践活动开展等方面资金短缺，许多建设项目难以落地或推进缓慢。在经费分配过程中，存在 “撒胡椒面” 现象，未能根据乡村实际需求和发展规划，集中资金解决关键问题。</w:t>
            </w:r>
          </w:p>
        </w:tc>
      </w:tr>
      <w:tr w14:paraId="51B96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60"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F9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544DBF5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乡风文明建设重要性的认识，加大财政资金投入力度，建立稳定的经费增长机制。同时，制定优惠政策，吸引企业、社会组织、乡贤等社会力量通过捐赠、投资、合作等方式参与乡风文明建设，设立乡村文化发展基金，探索政府与社会资本合作模式。加大财政资金投入力度，建立稳定的经费增长机制。同时，制定优惠政策，吸引企业、社会组织、乡贤等社会力量通过捐赠、投资、合作等方式参与乡风文明建设。</w:t>
            </w:r>
          </w:p>
        </w:tc>
      </w:tr>
      <w:tr w14:paraId="35F0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4F2E2EB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项目负责人：冯杨</w:t>
            </w:r>
          </w:p>
        </w:tc>
        <w:tc>
          <w:tcPr>
            <w:tcW w:w="0" w:type="auto"/>
            <w:gridSpan w:val="68"/>
            <w:tcBorders>
              <w:top w:val="single" w:color="000000" w:sz="4" w:space="0"/>
              <w:left w:val="single" w:color="000000" w:sz="4" w:space="0"/>
              <w:bottom w:val="single" w:color="000000" w:sz="4" w:space="0"/>
              <w:right w:val="single" w:color="000000" w:sz="4" w:space="0"/>
            </w:tcBorders>
            <w:shd w:val="clear" w:color="auto" w:fill="auto"/>
            <w:vAlign w:val="center"/>
          </w:tcPr>
          <w:p w14:paraId="49CF938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687A4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08B49D1B">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68"/>
            <w:tcBorders>
              <w:top w:val="single" w:color="000000" w:sz="4" w:space="0"/>
              <w:left w:val="single" w:color="000000" w:sz="4" w:space="0"/>
              <w:bottom w:val="single" w:color="000000" w:sz="4" w:space="0"/>
              <w:right w:val="single" w:color="000000" w:sz="4" w:space="0"/>
            </w:tcBorders>
            <w:shd w:val="clear" w:color="auto" w:fill="auto"/>
            <w:vAlign w:val="center"/>
          </w:tcPr>
          <w:p w14:paraId="738A47DD">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10CF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37853F3E">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0BA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2D05B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11E11D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51090424T000011119189-乡镇便民服务大厅维护及农村“三资”集体管理经费（长期）</w:t>
            </w:r>
          </w:p>
        </w:tc>
      </w:tr>
      <w:tr w14:paraId="7E6D1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1FF46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264D42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67FC4A6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46396F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41E3E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78E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F5E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29EB12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687F5D7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74A3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9ED2C">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AA342">
            <w:pPr>
              <w:rPr>
                <w:rFonts w:hint="eastAsia" w:ascii="宋体" w:hAnsi="宋体" w:eastAsia="宋体" w:cs="宋体"/>
                <w:i w:val="0"/>
                <w:iCs w:val="0"/>
                <w:color w:val="000000"/>
                <w:sz w:val="18"/>
                <w:szCs w:val="18"/>
                <w:u w:val="none"/>
              </w:rPr>
            </w:pP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578B8B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完成三家镇便民服务大厅2024年各项工作及2024年“三资”管理相关业务。便民服务大厅环境有所改善，为民办事效率有所提高。各村做到账目了然</w:t>
            </w: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12DBA6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完成三家镇便民服务大厅2024年各项工作及2024年“三资”管理相关业务。便民服务大厅环境有所改善，为民办事效率有所提高。各村做到账目了然</w:t>
            </w:r>
          </w:p>
        </w:tc>
      </w:tr>
      <w:tr w14:paraId="44E59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1D015">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6AA2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28BD8B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完成三家镇便民服务大厅2024年各项工作及2024年“三资”管理相关业务。便民服务大厅环境有所改善，为民办事效率有所提高。各村做到账目了然</w:t>
            </w:r>
          </w:p>
        </w:tc>
      </w:tr>
      <w:tr w14:paraId="40973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BD7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B39A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3B2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54C03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052E88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F60D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0863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CCB44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EF6B6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E76E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C81E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FBF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7ED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7F961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4D0B3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D67C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1A04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C8786F1">
            <w:pPr>
              <w:jc w:val="center"/>
              <w:rPr>
                <w:rFonts w:hint="eastAsia" w:ascii="宋体" w:hAnsi="宋体" w:eastAsia="宋体" w:cs="宋体"/>
                <w:i w:val="0"/>
                <w:iCs w:val="0"/>
                <w:color w:val="000000"/>
                <w:sz w:val="18"/>
                <w:szCs w:val="18"/>
                <w:u w:val="none"/>
              </w:rPr>
            </w:pP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9F54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2064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E4A08">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A16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ECE0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2E32A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6E124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48BC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C3F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B4BF4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5E445">
            <w:pPr>
              <w:rPr>
                <w:rFonts w:hint="eastAsia" w:ascii="黑体" w:hAnsi="黑体" w:eastAsia="黑体" w:cs="黑体"/>
                <w:i/>
                <w:iCs/>
                <w:color w:val="000000"/>
                <w:sz w:val="18"/>
                <w:szCs w:val="18"/>
                <w:u w:val="none"/>
              </w:rPr>
            </w:pPr>
          </w:p>
        </w:tc>
      </w:tr>
      <w:tr w14:paraId="5E26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EC0A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0EB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526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E8A5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1B6E9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CCE7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84A0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ACE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70816">
            <w:pPr>
              <w:rPr>
                <w:rFonts w:hint="eastAsia" w:ascii="黑体" w:hAnsi="黑体" w:eastAsia="黑体" w:cs="黑体"/>
                <w:i/>
                <w:iCs/>
                <w:color w:val="000000"/>
                <w:sz w:val="18"/>
                <w:szCs w:val="18"/>
                <w:u w:val="none"/>
              </w:rPr>
            </w:pPr>
          </w:p>
        </w:tc>
      </w:tr>
      <w:tr w14:paraId="4542C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2D39F">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BED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6B8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6798FA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52B50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48BC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69C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EBD9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56FF9">
            <w:pPr>
              <w:rPr>
                <w:rFonts w:hint="eastAsia" w:ascii="黑体" w:hAnsi="黑体" w:eastAsia="黑体" w:cs="黑体"/>
                <w:i/>
                <w:iCs/>
                <w:color w:val="000000"/>
                <w:sz w:val="18"/>
                <w:szCs w:val="18"/>
                <w:u w:val="none"/>
              </w:rPr>
            </w:pPr>
          </w:p>
        </w:tc>
      </w:tr>
      <w:tr w14:paraId="73992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073C0">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9DA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8BE644">
            <w:pPr>
              <w:jc w:val="center"/>
              <w:rPr>
                <w:rFonts w:hint="eastAsia" w:ascii="微软雅黑" w:hAnsi="微软雅黑" w:eastAsia="微软雅黑" w:cs="微软雅黑"/>
                <w:i/>
                <w:iCs/>
                <w:color w:val="000000"/>
                <w:sz w:val="16"/>
                <w:szCs w:val="16"/>
                <w:u w:val="none"/>
              </w:rPr>
            </w:pP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0E688E3E">
            <w:pPr>
              <w:jc w:val="center"/>
              <w:rPr>
                <w:rFonts w:hint="eastAsia" w:ascii="微软雅黑" w:hAnsi="微软雅黑" w:eastAsia="微软雅黑" w:cs="微软雅黑"/>
                <w:i/>
                <w:iCs/>
                <w:color w:val="000000"/>
                <w:sz w:val="16"/>
                <w:szCs w:val="16"/>
                <w:u w:val="none"/>
              </w:rPr>
            </w:pP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1175DEE2">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6F265C6">
            <w:pPr>
              <w:jc w:val="center"/>
              <w:rPr>
                <w:rFonts w:hint="eastAsia" w:ascii="微软雅黑" w:hAnsi="微软雅黑" w:eastAsia="微软雅黑" w:cs="微软雅黑"/>
                <w:i/>
                <w:iCs/>
                <w:color w:val="000000"/>
                <w:sz w:val="16"/>
                <w:szCs w:val="16"/>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C3D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0702C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78A57">
            <w:pPr>
              <w:rPr>
                <w:rFonts w:hint="eastAsia" w:ascii="黑体" w:hAnsi="黑体" w:eastAsia="黑体" w:cs="黑体"/>
                <w:i/>
                <w:iCs/>
                <w:color w:val="000000"/>
                <w:sz w:val="18"/>
                <w:szCs w:val="18"/>
                <w:u w:val="none"/>
              </w:rPr>
            </w:pPr>
          </w:p>
        </w:tc>
      </w:tr>
      <w:tr w14:paraId="6B4E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997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514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1B50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B4BD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A94C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48C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DA0E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307C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7AAE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9C51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E4BF3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D61D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2F02E">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98F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35F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557CC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完成40个村（社区）2023年做账任务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73EE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AFD9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004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E93CF1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B20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AF25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F2E8821">
            <w:pPr>
              <w:jc w:val="center"/>
              <w:rPr>
                <w:rFonts w:hint="eastAsia" w:ascii="微软雅黑" w:hAnsi="微软雅黑" w:eastAsia="微软雅黑" w:cs="微软雅黑"/>
                <w:i/>
                <w:iCs/>
                <w:color w:val="000000"/>
                <w:sz w:val="16"/>
                <w:szCs w:val="16"/>
                <w:u w:val="none"/>
              </w:rPr>
            </w:pPr>
          </w:p>
        </w:tc>
      </w:tr>
      <w:tr w14:paraId="717C4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9DC06">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15728">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FAD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4E210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对便民服务中心人员进行培训2次，达到举止文明，办事公正，有良好的修养和素质</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7BF7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1EE2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41D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1A2D04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616E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0641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3C3E13B">
            <w:pPr>
              <w:jc w:val="center"/>
              <w:rPr>
                <w:rFonts w:hint="eastAsia" w:ascii="微软雅黑" w:hAnsi="微软雅黑" w:eastAsia="微软雅黑" w:cs="微软雅黑"/>
                <w:i/>
                <w:iCs/>
                <w:color w:val="000000"/>
                <w:sz w:val="16"/>
                <w:szCs w:val="16"/>
                <w:u w:val="none"/>
              </w:rPr>
            </w:pPr>
          </w:p>
        </w:tc>
      </w:tr>
      <w:tr w14:paraId="59D8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1356"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91F69">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944A8">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795B3">
            <w:pPr>
              <w:jc w:val="center"/>
              <w:rPr>
                <w:rFonts w:hint="eastAsia" w:ascii="宋体" w:hAnsi="宋体" w:eastAsia="宋体" w:cs="宋体"/>
                <w:i w:val="0"/>
                <w:iCs w:val="0"/>
                <w:color w:val="000000"/>
                <w:sz w:val="18"/>
                <w:szCs w:val="18"/>
                <w:u w:val="none"/>
              </w:rPr>
            </w:pP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168F3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完成三家镇便民服务大厅2022年各项工作及2022年“三资”管理相关业务。便民服务大厅环境有所改善，为民办事效率有所提高。各村做到账目了然</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F09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EE71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217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0AE708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A69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3801C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AFB9C5A">
            <w:pPr>
              <w:jc w:val="center"/>
              <w:rPr>
                <w:rFonts w:hint="eastAsia" w:ascii="微软雅黑" w:hAnsi="微软雅黑" w:eastAsia="微软雅黑" w:cs="微软雅黑"/>
                <w:i/>
                <w:iCs/>
                <w:color w:val="000000"/>
                <w:sz w:val="16"/>
                <w:szCs w:val="16"/>
                <w:u w:val="none"/>
              </w:rPr>
            </w:pPr>
          </w:p>
        </w:tc>
      </w:tr>
      <w:tr w14:paraId="5224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928E3">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F1164">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B481A">
            <w:pPr>
              <w:jc w:val="center"/>
              <w:rPr>
                <w:rFonts w:hint="eastAsia" w:ascii="宋体" w:hAnsi="宋体" w:eastAsia="宋体" w:cs="宋体"/>
                <w:i w:val="0"/>
                <w:iCs w:val="0"/>
                <w:color w:val="000000"/>
                <w:sz w:val="18"/>
                <w:szCs w:val="18"/>
                <w:u w:val="none"/>
              </w:rPr>
            </w:pP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16B5D8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各村（社区）对三资管理做账满意度提高到98%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4D93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D57E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E42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7E1561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6BB4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5FD6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9A3CD59">
            <w:pPr>
              <w:jc w:val="center"/>
              <w:rPr>
                <w:rFonts w:hint="eastAsia" w:ascii="微软雅黑" w:hAnsi="微软雅黑" w:eastAsia="微软雅黑" w:cs="微软雅黑"/>
                <w:i/>
                <w:iCs/>
                <w:color w:val="000000"/>
                <w:sz w:val="16"/>
                <w:szCs w:val="16"/>
                <w:u w:val="none"/>
              </w:rPr>
            </w:pPr>
          </w:p>
        </w:tc>
      </w:tr>
      <w:tr w14:paraId="12EC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0C99F">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1BCCA">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B976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246C4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DCF6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8CE7A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8EB4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B92DB0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D99B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9C55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7455FA9">
            <w:pPr>
              <w:jc w:val="center"/>
              <w:rPr>
                <w:rFonts w:hint="eastAsia" w:ascii="微软雅黑" w:hAnsi="微软雅黑" w:eastAsia="微软雅黑" w:cs="微软雅黑"/>
                <w:i/>
                <w:iCs/>
                <w:color w:val="000000"/>
                <w:sz w:val="16"/>
                <w:szCs w:val="16"/>
                <w:u w:val="none"/>
              </w:rPr>
            </w:pPr>
          </w:p>
        </w:tc>
      </w:tr>
      <w:tr w14:paraId="63DC9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C3DD1">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AF9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178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22641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解决群众社保、医保等问题，维护群众利益</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642E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1D6A1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00A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CAC0AD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FD1C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C8D16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EE4407C">
            <w:pPr>
              <w:jc w:val="center"/>
              <w:rPr>
                <w:rFonts w:hint="eastAsia" w:ascii="微软雅黑" w:hAnsi="微软雅黑" w:eastAsia="微软雅黑" w:cs="微软雅黑"/>
                <w:i/>
                <w:iCs/>
                <w:color w:val="000000"/>
                <w:sz w:val="16"/>
                <w:szCs w:val="16"/>
                <w:u w:val="none"/>
              </w:rPr>
            </w:pPr>
          </w:p>
        </w:tc>
      </w:tr>
      <w:tr w14:paraId="4D6D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0C3C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B49D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F30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06358C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便民服务中心群众满意度达到98%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B1E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8BB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5991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43B827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5596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48F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10ED046">
            <w:pPr>
              <w:jc w:val="center"/>
              <w:rPr>
                <w:rFonts w:hint="eastAsia" w:ascii="微软雅黑" w:hAnsi="微软雅黑" w:eastAsia="微软雅黑" w:cs="微软雅黑"/>
                <w:i/>
                <w:iCs/>
                <w:color w:val="000000"/>
                <w:sz w:val="16"/>
                <w:szCs w:val="16"/>
                <w:u w:val="none"/>
              </w:rPr>
            </w:pPr>
          </w:p>
        </w:tc>
      </w:tr>
      <w:tr w14:paraId="7559A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6199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3FC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1F7F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32E85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便民服务中心运行工作经费1万元</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FAF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A3E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2BA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081BEE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BD6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68F76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2D28150">
            <w:pPr>
              <w:jc w:val="center"/>
              <w:rPr>
                <w:rFonts w:hint="eastAsia" w:ascii="微软雅黑" w:hAnsi="微软雅黑" w:eastAsia="微软雅黑" w:cs="微软雅黑"/>
                <w:i/>
                <w:iCs/>
                <w:color w:val="000000"/>
                <w:sz w:val="16"/>
                <w:szCs w:val="16"/>
                <w:u w:val="none"/>
              </w:rPr>
            </w:pPr>
          </w:p>
        </w:tc>
      </w:tr>
      <w:tr w14:paraId="7D59F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2"/>
            <w:tcBorders>
              <w:top w:val="single" w:color="000000" w:sz="4" w:space="0"/>
              <w:left w:val="single" w:color="000000" w:sz="4" w:space="0"/>
              <w:bottom w:val="single" w:color="000000" w:sz="4" w:space="0"/>
              <w:right w:val="single" w:color="000000" w:sz="4" w:space="0"/>
            </w:tcBorders>
            <w:shd w:val="clear" w:color="auto" w:fill="auto"/>
            <w:vAlign w:val="center"/>
          </w:tcPr>
          <w:p w14:paraId="270703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E51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AACCF6">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EC64EFF">
            <w:pPr>
              <w:rPr>
                <w:rFonts w:hint="eastAsia" w:ascii="宋体" w:hAnsi="宋体" w:eastAsia="宋体" w:cs="宋体"/>
                <w:i w:val="0"/>
                <w:iCs w:val="0"/>
                <w:color w:val="000000"/>
                <w:sz w:val="18"/>
                <w:szCs w:val="18"/>
                <w:u w:val="none"/>
              </w:rPr>
            </w:pPr>
          </w:p>
        </w:tc>
      </w:tr>
      <w:tr w14:paraId="3AFB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60"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5D3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70B4AEE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镇便民服务大厅维护经费投入，保障了大厅基础环境与服务设施的正常运转。资金用于大厅的日常修缮、设备更新，如更换老化的电脑、打印机，升级网络系统，优化群众办事体验。同时，经费支持开展窗口人员培训，提升服务能力与服务态度，推动政务服务事项 “一站式” 办结，减少群众办事跑腿次数，切实增强了群众的满意度与获得感。</w:t>
            </w:r>
          </w:p>
        </w:tc>
      </w:tr>
      <w:tr w14:paraId="0495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80"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0F2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5DE2202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随着乡镇政务服务事项不断增加、农村集体经济发展壮大，乡镇便民服务大厅维护及农村 “三资” 管理工作面临更高要求，但财政投入有限。便民服务大厅存在设备老化、功能分区不完善等问题；农村 “三资” 管理在信息化系统升级资金缺口大，制约工作高质量开展。在经费分配上，存在平均用力现象。资金未优先保障智能化设备采购；农村 “三资” 管理经费对历史遗留问题处理、风险防控体系建设投入不足，导致部分工作浮于表面。</w:t>
            </w:r>
          </w:p>
        </w:tc>
      </w:tr>
      <w:tr w14:paraId="77197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00"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B6ED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3FFB5F9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应提高对乡镇便民服务与农村 “三资” 管理工作的重视，加大财政资金投入，建立稳定的经费增长机制。同时，鼓励社会资本参与，如通过政府购买服务方式引入企业参与便民服务大厅智能化建设，引导金融机构支持农村集体经济发展项目，拓宽资金来源。建立健全经费预算管理制度，细化预算项目与资金使用标准。加强资金使用全过程监督，引入第三方审计机构对经费使用情况进行核查。</w:t>
            </w:r>
          </w:p>
        </w:tc>
      </w:tr>
      <w:tr w14:paraId="442F1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67FBBE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项目负责人：陈俊宇</w:t>
            </w:r>
          </w:p>
        </w:tc>
        <w:tc>
          <w:tcPr>
            <w:tcW w:w="0" w:type="auto"/>
            <w:gridSpan w:val="65"/>
            <w:tcBorders>
              <w:top w:val="single" w:color="000000" w:sz="4" w:space="0"/>
              <w:left w:val="single" w:color="000000" w:sz="4" w:space="0"/>
              <w:bottom w:val="single" w:color="000000" w:sz="4" w:space="0"/>
              <w:right w:val="single" w:color="000000" w:sz="4" w:space="0"/>
            </w:tcBorders>
            <w:shd w:val="clear" w:color="auto" w:fill="auto"/>
            <w:vAlign w:val="center"/>
          </w:tcPr>
          <w:p w14:paraId="07540FB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47D11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48ABA98B">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65"/>
            <w:tcBorders>
              <w:top w:val="single" w:color="000000" w:sz="4" w:space="0"/>
              <w:left w:val="single" w:color="000000" w:sz="4" w:space="0"/>
              <w:bottom w:val="single" w:color="000000" w:sz="4" w:space="0"/>
              <w:right w:val="single" w:color="000000" w:sz="4" w:space="0"/>
            </w:tcBorders>
            <w:shd w:val="clear" w:color="auto" w:fill="auto"/>
            <w:vAlign w:val="center"/>
          </w:tcPr>
          <w:p w14:paraId="77EEB30B">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29B00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4E30F2CE">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3F8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4EAC6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4"/>
            <w:tcBorders>
              <w:top w:val="single" w:color="000000" w:sz="4" w:space="0"/>
              <w:left w:val="single" w:color="000000" w:sz="4" w:space="0"/>
              <w:bottom w:val="single" w:color="000000" w:sz="4" w:space="0"/>
              <w:right w:val="single" w:color="000000" w:sz="4" w:space="0"/>
            </w:tcBorders>
            <w:shd w:val="clear" w:color="auto" w:fill="auto"/>
            <w:vAlign w:val="center"/>
          </w:tcPr>
          <w:p w14:paraId="28397B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51090424T000011119195-乡镇基础设施和场镇街道维护经费（长期）</w:t>
            </w:r>
          </w:p>
        </w:tc>
      </w:tr>
      <w:tr w14:paraId="2D61A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030657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59D0B3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4"/>
            <w:tcBorders>
              <w:top w:val="nil"/>
              <w:left w:val="nil"/>
              <w:bottom w:val="nil"/>
              <w:right w:val="nil"/>
            </w:tcBorders>
            <w:shd w:val="clear" w:color="auto" w:fill="auto"/>
            <w:vAlign w:val="center"/>
          </w:tcPr>
          <w:p w14:paraId="1657B94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120D38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47C1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35E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A3A3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4A7C7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1BB085C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2E76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1020"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71588">
            <w:pP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AF881">
            <w:pPr>
              <w:rPr>
                <w:rFonts w:hint="eastAsia" w:ascii="宋体" w:hAnsi="宋体" w:eastAsia="宋体" w:cs="宋体"/>
                <w:i w:val="0"/>
                <w:iCs w:val="0"/>
                <w:color w:val="000000"/>
                <w:sz w:val="18"/>
                <w:szCs w:val="18"/>
                <w:u w:val="none"/>
              </w:rPr>
            </w:pPr>
          </w:p>
        </w:tc>
        <w:tc>
          <w:tcPr>
            <w:tcW w:w="0" w:type="auto"/>
            <w:gridSpan w:val="59"/>
            <w:tcBorders>
              <w:top w:val="single" w:color="000000" w:sz="4" w:space="0"/>
              <w:left w:val="single" w:color="000000" w:sz="4" w:space="0"/>
              <w:bottom w:val="single" w:color="000000" w:sz="4" w:space="0"/>
              <w:right w:val="single" w:color="000000" w:sz="4" w:space="0"/>
            </w:tcBorders>
            <w:shd w:val="clear" w:color="auto" w:fill="auto"/>
            <w:vAlign w:val="center"/>
          </w:tcPr>
          <w:p w14:paraId="55D33F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完成家园社、家鑫社区、大坡社区、太平社区、大安社区基础设施修缮，促进场镇街道维护管理，改善场镇生产生活条件，提升城镇形象。对老旧房屋安全隐患进行定期整治。完善部分场镇街道功能设施。</w:t>
            </w:r>
          </w:p>
        </w:tc>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2B10901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完成家园社、家鑫社区、大坡社区、太平社区、大安社区基础设施修缮，促进场镇街道维护管理，改善场镇生产生活条件，提升城镇形象。对老旧房屋安全隐患进行定期整治。完善部分场镇街道功能设施。</w:t>
            </w:r>
          </w:p>
        </w:tc>
      </w:tr>
      <w:tr w14:paraId="519C9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A05EA">
            <w:pP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CCB5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4"/>
            <w:tcBorders>
              <w:top w:val="single" w:color="000000" w:sz="4" w:space="0"/>
              <w:left w:val="single" w:color="000000" w:sz="4" w:space="0"/>
              <w:bottom w:val="single" w:color="000000" w:sz="4" w:space="0"/>
              <w:right w:val="single" w:color="000000" w:sz="4" w:space="0"/>
            </w:tcBorders>
            <w:shd w:val="clear" w:color="auto" w:fill="auto"/>
            <w:vAlign w:val="center"/>
          </w:tcPr>
          <w:p w14:paraId="6A19A2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完成家园社、家鑫社区、大坡社区、太平社区、大安社区基础设施修缮，促进场镇街道维护管理，改善场镇生产生活条件，提升城镇形象。对老旧房屋安全隐患进行定期整治。完善部分场镇街道功能设施。</w:t>
            </w:r>
          </w:p>
        </w:tc>
      </w:tr>
      <w:tr w14:paraId="5FC2B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30B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4D9F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29E11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45E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1083C9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3B0C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498C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9741D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F926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AD0C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B6118">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711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8623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8A619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6E110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131F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E36C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F6D2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E8893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46D8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3EDE8">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ED9B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830A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BAFF3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4B5B5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573F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B00D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CC7C6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8E9EB">
            <w:pPr>
              <w:rPr>
                <w:rFonts w:hint="eastAsia" w:ascii="黑体" w:hAnsi="黑体" w:eastAsia="黑体" w:cs="黑体"/>
                <w:i/>
                <w:iCs/>
                <w:color w:val="000000"/>
                <w:sz w:val="18"/>
                <w:szCs w:val="18"/>
                <w:u w:val="none"/>
              </w:rPr>
            </w:pPr>
          </w:p>
        </w:tc>
      </w:tr>
      <w:tr w14:paraId="6E59A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83664">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36CA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C58DF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DD45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0D90E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491A0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0D904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B674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31BF8">
            <w:pPr>
              <w:rPr>
                <w:rFonts w:hint="eastAsia" w:ascii="黑体" w:hAnsi="黑体" w:eastAsia="黑体" w:cs="黑体"/>
                <w:i/>
                <w:iCs/>
                <w:color w:val="000000"/>
                <w:sz w:val="18"/>
                <w:szCs w:val="18"/>
                <w:u w:val="none"/>
              </w:rPr>
            </w:pPr>
          </w:p>
        </w:tc>
      </w:tr>
      <w:tr w14:paraId="2C93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7CF14">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289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CE9B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B427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74671C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F396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5A307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BF768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FC4E6">
            <w:pPr>
              <w:rPr>
                <w:rFonts w:hint="eastAsia" w:ascii="黑体" w:hAnsi="黑体" w:eastAsia="黑体" w:cs="黑体"/>
                <w:i/>
                <w:iCs/>
                <w:color w:val="000000"/>
                <w:sz w:val="18"/>
                <w:szCs w:val="18"/>
                <w:u w:val="none"/>
              </w:rPr>
            </w:pPr>
          </w:p>
        </w:tc>
      </w:tr>
      <w:tr w14:paraId="58A3F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F02B7">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52D3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7CB7C21">
            <w:pPr>
              <w:jc w:val="center"/>
              <w:rPr>
                <w:rFonts w:hint="eastAsia" w:ascii="微软雅黑" w:hAnsi="微软雅黑" w:eastAsia="微软雅黑" w:cs="微软雅黑"/>
                <w:i/>
                <w:iCs/>
                <w:color w:val="000000"/>
                <w:sz w:val="16"/>
                <w:szCs w:val="16"/>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565F5F">
            <w:pPr>
              <w:jc w:val="center"/>
              <w:rPr>
                <w:rFonts w:hint="eastAsia" w:ascii="微软雅黑" w:hAnsi="微软雅黑" w:eastAsia="微软雅黑" w:cs="微软雅黑"/>
                <w:i/>
                <w:iCs/>
                <w:color w:val="000000"/>
                <w:sz w:val="16"/>
                <w:szCs w:val="16"/>
                <w:u w:val="none"/>
              </w:rPr>
            </w:pP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3045BDFF">
            <w:pPr>
              <w:jc w:val="center"/>
              <w:rPr>
                <w:rFonts w:hint="eastAsia" w:ascii="微软雅黑" w:hAnsi="微软雅黑" w:eastAsia="微软雅黑" w:cs="微软雅黑"/>
                <w:i/>
                <w:iCs/>
                <w:color w:val="000000"/>
                <w:sz w:val="16"/>
                <w:szCs w:val="16"/>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9F57067">
            <w:pPr>
              <w:jc w:val="center"/>
              <w:rPr>
                <w:rFonts w:hint="eastAsia" w:ascii="微软雅黑" w:hAnsi="微软雅黑" w:eastAsia="微软雅黑" w:cs="微软雅黑"/>
                <w:i/>
                <w:iCs/>
                <w:color w:val="000000"/>
                <w:sz w:val="16"/>
                <w:szCs w:val="16"/>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85F9A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5B1A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4FB71">
            <w:pPr>
              <w:rPr>
                <w:rFonts w:hint="eastAsia" w:ascii="黑体" w:hAnsi="黑体" w:eastAsia="黑体" w:cs="黑体"/>
                <w:i/>
                <w:iCs/>
                <w:color w:val="000000"/>
                <w:sz w:val="18"/>
                <w:szCs w:val="18"/>
                <w:u w:val="none"/>
              </w:rPr>
            </w:pPr>
          </w:p>
        </w:tc>
      </w:tr>
      <w:tr w14:paraId="5C257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E3F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03EC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BA23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F1DB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F5AF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EA2D8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FB4C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8FCE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C496A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77C4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C347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B08F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3EA5E">
            <w:pPr>
              <w:jc w:val="center"/>
              <w:rPr>
                <w:rFonts w:hint="eastAsia" w:ascii="宋体" w:hAnsi="宋体" w:eastAsia="宋体" w:cs="宋体"/>
                <w:i w:val="0"/>
                <w:iCs w:val="0"/>
                <w:color w:val="000000"/>
                <w:sz w:val="18"/>
                <w:szCs w:val="18"/>
                <w:u w:val="none"/>
              </w:rPr>
            </w:pP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BD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E7C20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ADAB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完成5个社区场镇街道维护</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54B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2A7FE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67E7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70C752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40FE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7B02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F7D4E24">
            <w:pPr>
              <w:jc w:val="center"/>
              <w:rPr>
                <w:rFonts w:hint="eastAsia" w:ascii="微软雅黑" w:hAnsi="微软雅黑" w:eastAsia="微软雅黑" w:cs="微软雅黑"/>
                <w:i/>
                <w:iCs/>
                <w:color w:val="000000"/>
                <w:sz w:val="16"/>
                <w:szCs w:val="16"/>
                <w:u w:val="none"/>
              </w:rPr>
            </w:pPr>
          </w:p>
        </w:tc>
      </w:tr>
      <w:tr w14:paraId="39946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CA023">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FC776">
            <w:pPr>
              <w:jc w:val="center"/>
              <w:rPr>
                <w:rFonts w:hint="eastAsia" w:ascii="宋体" w:hAnsi="宋体" w:eastAsia="宋体" w:cs="宋体"/>
                <w:i w:val="0"/>
                <w:iCs w:val="0"/>
                <w:color w:val="000000"/>
                <w:sz w:val="18"/>
                <w:szCs w:val="18"/>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52C4A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984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对老旧房屋安全隐患进行定期整治，预计整治率达到90%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7D96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B90DA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4334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9C2581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6499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BE0B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7452ED4">
            <w:pPr>
              <w:jc w:val="center"/>
              <w:rPr>
                <w:rFonts w:hint="eastAsia" w:ascii="微软雅黑" w:hAnsi="微软雅黑" w:eastAsia="微软雅黑" w:cs="微软雅黑"/>
                <w:i/>
                <w:iCs/>
                <w:color w:val="000000"/>
                <w:sz w:val="16"/>
                <w:szCs w:val="16"/>
                <w:u w:val="none"/>
              </w:rPr>
            </w:pPr>
          </w:p>
        </w:tc>
      </w:tr>
      <w:tr w14:paraId="5103E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0471C">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9A6E4">
            <w:pPr>
              <w:jc w:val="center"/>
              <w:rPr>
                <w:rFonts w:hint="eastAsia" w:ascii="宋体" w:hAnsi="宋体" w:eastAsia="宋体" w:cs="宋体"/>
                <w:i w:val="0"/>
                <w:iCs w:val="0"/>
                <w:color w:val="000000"/>
                <w:sz w:val="18"/>
                <w:szCs w:val="18"/>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2204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6D1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2024年12月31日前</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E56B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5BFC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CDF6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7C95C9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DDD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B3AC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64BEBDD">
            <w:pPr>
              <w:jc w:val="center"/>
              <w:rPr>
                <w:rFonts w:hint="eastAsia" w:ascii="微软雅黑" w:hAnsi="微软雅黑" w:eastAsia="微软雅黑" w:cs="微软雅黑"/>
                <w:i/>
                <w:iCs/>
                <w:color w:val="000000"/>
                <w:sz w:val="16"/>
                <w:szCs w:val="16"/>
                <w:u w:val="none"/>
              </w:rPr>
            </w:pPr>
          </w:p>
        </w:tc>
      </w:tr>
      <w:tr w14:paraId="6BB7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0AC30">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3B88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CBB36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4EA3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改善场镇生活条件，完善部分功能设施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A047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217A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2178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B85BDD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43167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478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546C0B8">
            <w:pPr>
              <w:jc w:val="center"/>
              <w:rPr>
                <w:rFonts w:hint="eastAsia" w:ascii="微软雅黑" w:hAnsi="微软雅黑" w:eastAsia="微软雅黑" w:cs="微软雅黑"/>
                <w:i/>
                <w:iCs/>
                <w:color w:val="000000"/>
                <w:sz w:val="16"/>
                <w:szCs w:val="16"/>
                <w:u w:val="none"/>
              </w:rPr>
            </w:pPr>
          </w:p>
        </w:tc>
      </w:tr>
      <w:tr w14:paraId="52C7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7C26E">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7658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F7AA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6F5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提高5个社区群众满意度</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E2C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32C8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54C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AE98A9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93F4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E393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E48D1AF">
            <w:pPr>
              <w:jc w:val="center"/>
              <w:rPr>
                <w:rFonts w:hint="eastAsia" w:ascii="微软雅黑" w:hAnsi="微软雅黑" w:eastAsia="微软雅黑" w:cs="微软雅黑"/>
                <w:i/>
                <w:iCs/>
                <w:color w:val="000000"/>
                <w:sz w:val="16"/>
                <w:szCs w:val="16"/>
                <w:u w:val="none"/>
              </w:rPr>
            </w:pPr>
          </w:p>
        </w:tc>
      </w:tr>
      <w:tr w14:paraId="20A9B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2020F">
            <w:pPr>
              <w:jc w:val="center"/>
              <w:rPr>
                <w:rFonts w:hint="eastAsia" w:ascii="宋体" w:hAnsi="宋体" w:eastAsia="宋体" w:cs="宋体"/>
                <w:i w:val="0"/>
                <w:iCs w:val="0"/>
                <w:color w:val="000000"/>
                <w:sz w:val="18"/>
                <w:szCs w:val="18"/>
                <w:u w:val="none"/>
              </w:rPr>
            </w:pP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68D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94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1A28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制作横幅、宣传册等广告费，计划每个社区0.8万元，共4万元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0781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15E2E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979D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6C8CF4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D548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BDB4E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D2E2EC">
            <w:pPr>
              <w:jc w:val="center"/>
              <w:rPr>
                <w:rFonts w:hint="eastAsia" w:ascii="微软雅黑" w:hAnsi="微软雅黑" w:eastAsia="微软雅黑" w:cs="微软雅黑"/>
                <w:i/>
                <w:iCs/>
                <w:color w:val="000000"/>
                <w:sz w:val="16"/>
                <w:szCs w:val="16"/>
                <w:u w:val="none"/>
              </w:rPr>
            </w:pPr>
          </w:p>
        </w:tc>
      </w:tr>
      <w:tr w14:paraId="610A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7EAB3">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5A31">
            <w:pPr>
              <w:jc w:val="center"/>
              <w:rPr>
                <w:rFonts w:hint="eastAsia" w:ascii="宋体" w:hAnsi="宋体" w:eastAsia="宋体" w:cs="宋体"/>
                <w:i w:val="0"/>
                <w:iCs w:val="0"/>
                <w:color w:val="000000"/>
                <w:sz w:val="18"/>
                <w:szCs w:val="18"/>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2860C">
            <w:pPr>
              <w:jc w:val="cente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21D0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5个社区购买及完善基础设施，计划每个社区2万元共10万元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2E2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8C17E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ECDC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A352E4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FB67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5738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794F3C5">
            <w:pPr>
              <w:jc w:val="center"/>
              <w:rPr>
                <w:rFonts w:hint="eastAsia" w:ascii="微软雅黑" w:hAnsi="微软雅黑" w:eastAsia="微软雅黑" w:cs="微软雅黑"/>
                <w:i/>
                <w:iCs/>
                <w:color w:val="000000"/>
                <w:sz w:val="16"/>
                <w:szCs w:val="16"/>
                <w:u w:val="none"/>
              </w:rPr>
            </w:pPr>
          </w:p>
        </w:tc>
      </w:tr>
      <w:tr w14:paraId="4C64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525C1">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F5644">
            <w:pPr>
              <w:jc w:val="center"/>
              <w:rPr>
                <w:rFonts w:hint="eastAsia" w:ascii="宋体" w:hAnsi="宋体" w:eastAsia="宋体" w:cs="宋体"/>
                <w:i w:val="0"/>
                <w:iCs w:val="0"/>
                <w:color w:val="000000"/>
                <w:sz w:val="18"/>
                <w:szCs w:val="18"/>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7CB55">
            <w:pPr>
              <w:jc w:val="cente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8E0F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对5个社区老旧方案排危，预计每个社区4万元，共20万元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03D8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620D8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9204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CBE766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1F0A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D2AF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C77FE4">
            <w:pPr>
              <w:jc w:val="center"/>
              <w:rPr>
                <w:rFonts w:hint="eastAsia" w:ascii="微软雅黑" w:hAnsi="微软雅黑" w:eastAsia="微软雅黑" w:cs="微软雅黑"/>
                <w:i/>
                <w:iCs/>
                <w:color w:val="000000"/>
                <w:sz w:val="16"/>
                <w:szCs w:val="16"/>
                <w:u w:val="none"/>
              </w:rPr>
            </w:pPr>
          </w:p>
        </w:tc>
      </w:tr>
      <w:tr w14:paraId="2F567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5"/>
            <w:tcBorders>
              <w:top w:val="single" w:color="000000" w:sz="4" w:space="0"/>
              <w:left w:val="single" w:color="000000" w:sz="4" w:space="0"/>
              <w:bottom w:val="single" w:color="000000" w:sz="4" w:space="0"/>
              <w:right w:val="single" w:color="000000" w:sz="4" w:space="0"/>
            </w:tcBorders>
            <w:shd w:val="clear" w:color="auto" w:fill="auto"/>
            <w:vAlign w:val="center"/>
          </w:tcPr>
          <w:p w14:paraId="2DA7A3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1E288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C2B6B9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BD07E51">
            <w:pPr>
              <w:rPr>
                <w:rFonts w:hint="eastAsia" w:ascii="宋体" w:hAnsi="宋体" w:eastAsia="宋体" w:cs="宋体"/>
                <w:i w:val="0"/>
                <w:iCs w:val="0"/>
                <w:color w:val="000000"/>
                <w:sz w:val="18"/>
                <w:szCs w:val="18"/>
                <w:u w:val="none"/>
              </w:rPr>
            </w:pPr>
          </w:p>
        </w:tc>
      </w:tr>
      <w:tr w14:paraId="4AD6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60" w:hRule="atLeast"/>
          <w:jc w:val="center"/>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E50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18BF63E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此项经费投入，有力推动了道路修缮、路灯安装、排水管网改造等基础工程建设。破损道路得以修复，居民出行更加便捷；排水系统的完善减少了内涝隐患；路灯的增设保障了夜间出行安全。这些举措切实改善了乡镇居民的生活环境，提升了居民的生活幸福感和满意度。资金用于场镇街道的绿化、美化工程，如种植花草树木、绘制文化墙、规范广告牌匾等。这些举措不仅美化了场镇街道的景观，还展现了乡镇的文化特色，提升了乡镇的整体形象.</w:t>
            </w:r>
          </w:p>
        </w:tc>
      </w:tr>
      <w:tr w14:paraId="6043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40" w:hRule="atLeast"/>
          <w:jc w:val="center"/>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741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33B3901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乡镇建设的快速发展以及居民对生活品质要求的不断提高，对基础设施和场镇街道维护的需求日益增长。但财政投入有限，难以满足道路升级、管网改造、设施智能化等方面的资金需求，导致一些关键项目无法实施，乡镇基础设施和场镇街道维护工作滞后。在经费使用过程中，存在资金分配不合理的现象。资金过度集中于场镇中心区域的建设和维护，而对偏远乡村的基础设施投入较少，导致区域发展不均衡。</w:t>
            </w:r>
          </w:p>
        </w:tc>
      </w:tr>
      <w:tr w14:paraId="44C9A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20" w:hRule="atLeast"/>
          <w:jc w:val="center"/>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6F25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604D083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应加大对乡镇基础设施和场镇街道维护的财政支持力度，建立稳定的经费增长机制。同时，积极探索多元化筹资方式，如发行专项债券、引入 PPP 模式，鼓励社会资本通过投资、捐赠等方式参与乡镇建设，缓解资金压力，满足建设需求。结合乡镇发展规划和居民实际需求，制定科学合理的经费分配方案。优先保障道路、供水、排水等民生基础设施的维护和升级，兼顾场镇街道的美化、亮化工程。集中资金解决关键问题，提高资金使用的针对性。</w:t>
            </w:r>
          </w:p>
        </w:tc>
      </w:tr>
      <w:tr w14:paraId="2E726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7"/>
            <w:tcBorders>
              <w:top w:val="single" w:color="000000" w:sz="4" w:space="0"/>
              <w:left w:val="single" w:color="000000" w:sz="4" w:space="0"/>
              <w:bottom w:val="single" w:color="000000" w:sz="4" w:space="0"/>
              <w:right w:val="single" w:color="000000" w:sz="4" w:space="0"/>
            </w:tcBorders>
            <w:shd w:val="clear" w:color="auto" w:fill="auto"/>
            <w:vAlign w:val="center"/>
          </w:tcPr>
          <w:p w14:paraId="2730893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项目负责人：梁立国</w:t>
            </w:r>
          </w:p>
        </w:tc>
        <w:tc>
          <w:tcPr>
            <w:tcW w:w="0" w:type="auto"/>
            <w:gridSpan w:val="69"/>
            <w:tcBorders>
              <w:top w:val="single" w:color="000000" w:sz="4" w:space="0"/>
              <w:left w:val="single" w:color="000000" w:sz="4" w:space="0"/>
              <w:bottom w:val="single" w:color="000000" w:sz="4" w:space="0"/>
              <w:right w:val="single" w:color="000000" w:sz="4" w:space="0"/>
            </w:tcBorders>
            <w:shd w:val="clear" w:color="auto" w:fill="auto"/>
            <w:vAlign w:val="center"/>
          </w:tcPr>
          <w:p w14:paraId="0404F28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1CA55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253BB613">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6972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BCE49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0"/>
            <w:tcBorders>
              <w:top w:val="single" w:color="000000" w:sz="4" w:space="0"/>
              <w:left w:val="single" w:color="000000" w:sz="4" w:space="0"/>
              <w:bottom w:val="single" w:color="000000" w:sz="4" w:space="0"/>
              <w:right w:val="single" w:color="000000" w:sz="4" w:space="0"/>
            </w:tcBorders>
            <w:shd w:val="clear" w:color="auto" w:fill="auto"/>
            <w:vAlign w:val="center"/>
          </w:tcPr>
          <w:p w14:paraId="1596D1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51090424T000011119210-乡镇监察工作经费（长期）</w:t>
            </w:r>
          </w:p>
        </w:tc>
      </w:tr>
      <w:tr w14:paraId="07A7B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4015E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4808DF1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01B2726B">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9"/>
            <w:tcBorders>
              <w:top w:val="single" w:color="000000" w:sz="4" w:space="0"/>
              <w:left w:val="single" w:color="000000" w:sz="4" w:space="0"/>
              <w:bottom w:val="single" w:color="000000" w:sz="4" w:space="0"/>
              <w:right w:val="single" w:color="000000" w:sz="4" w:space="0"/>
            </w:tcBorders>
            <w:shd w:val="clear" w:color="auto" w:fill="auto"/>
            <w:vAlign w:val="center"/>
          </w:tcPr>
          <w:p w14:paraId="7F3914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1977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48BA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6E0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6737EB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31EC164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247F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50D7A">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231E4">
            <w:pPr>
              <w:rPr>
                <w:rFonts w:hint="eastAsia" w:ascii="宋体" w:hAnsi="宋体" w:eastAsia="宋体" w:cs="宋体"/>
                <w:i w:val="0"/>
                <w:iCs w:val="0"/>
                <w:color w:val="000000"/>
                <w:sz w:val="18"/>
                <w:szCs w:val="18"/>
                <w:u w:val="none"/>
              </w:rPr>
            </w:pPr>
          </w:p>
        </w:tc>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7B70D0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完成40个村纪检监察相关工作，制作防贪污、受贿、渎职等宣传手册。</w:t>
            </w: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5AC2F39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完成40个村纪检监察相关工作，制作防贪污、受贿、渎职等宣传手册。</w:t>
            </w:r>
          </w:p>
        </w:tc>
      </w:tr>
      <w:tr w14:paraId="533B7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E5077">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B00B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0"/>
            <w:tcBorders>
              <w:top w:val="single" w:color="000000" w:sz="4" w:space="0"/>
              <w:left w:val="single" w:color="000000" w:sz="4" w:space="0"/>
              <w:bottom w:val="single" w:color="000000" w:sz="4" w:space="0"/>
              <w:right w:val="single" w:color="000000" w:sz="4" w:space="0"/>
            </w:tcBorders>
            <w:shd w:val="clear" w:color="auto" w:fill="auto"/>
            <w:vAlign w:val="center"/>
          </w:tcPr>
          <w:p w14:paraId="7FAFA0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完成40个村纪检监察相关工作，制作防贪污、受贿、渎职等宣传手册。</w:t>
            </w:r>
          </w:p>
        </w:tc>
      </w:tr>
      <w:tr w14:paraId="42CC5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C23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F76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816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995E4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556D3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00E1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0CC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DADE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9ADBD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F725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E53A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6423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1231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DD8B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74B822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5420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DC50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47AEC5">
            <w:pPr>
              <w:jc w:val="center"/>
              <w:rPr>
                <w:rFonts w:hint="eastAsia" w:ascii="宋体" w:hAnsi="宋体" w:eastAsia="宋体" w:cs="宋体"/>
                <w:i w:val="0"/>
                <w:iCs w:val="0"/>
                <w:color w:val="000000"/>
                <w:sz w:val="18"/>
                <w:szCs w:val="18"/>
                <w:u w:val="none"/>
              </w:rPr>
            </w:pPr>
          </w:p>
        </w:tc>
        <w:tc>
          <w:tcPr>
            <w:tcW w:w="0" w:type="auto"/>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56DE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21BE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5E378">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FEB1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0A7E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29F9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734186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9AD73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4C56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3D6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538CE">
            <w:pPr>
              <w:rPr>
                <w:rFonts w:hint="eastAsia" w:ascii="黑体" w:hAnsi="黑体" w:eastAsia="黑体" w:cs="黑体"/>
                <w:i/>
                <w:iCs/>
                <w:color w:val="000000"/>
                <w:sz w:val="18"/>
                <w:szCs w:val="18"/>
                <w:u w:val="none"/>
              </w:rPr>
            </w:pPr>
          </w:p>
        </w:tc>
      </w:tr>
      <w:tr w14:paraId="4069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76B8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BE5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AC31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F8958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35066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A272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5204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DCD5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D34C5">
            <w:pPr>
              <w:rPr>
                <w:rFonts w:hint="eastAsia" w:ascii="黑体" w:hAnsi="黑体" w:eastAsia="黑体" w:cs="黑体"/>
                <w:i/>
                <w:iCs/>
                <w:color w:val="000000"/>
                <w:sz w:val="18"/>
                <w:szCs w:val="18"/>
                <w:u w:val="none"/>
              </w:rPr>
            </w:pPr>
          </w:p>
        </w:tc>
      </w:tr>
      <w:tr w14:paraId="66FE7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7544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1114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ADC7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6760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462DB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3A6C2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4951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88B4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4C736">
            <w:pPr>
              <w:rPr>
                <w:rFonts w:hint="eastAsia" w:ascii="黑体" w:hAnsi="黑体" w:eastAsia="黑体" w:cs="黑体"/>
                <w:i/>
                <w:iCs/>
                <w:color w:val="000000"/>
                <w:sz w:val="18"/>
                <w:szCs w:val="18"/>
                <w:u w:val="none"/>
              </w:rPr>
            </w:pPr>
          </w:p>
        </w:tc>
      </w:tr>
      <w:tr w14:paraId="4C94E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C082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5884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C1CE94">
            <w:pPr>
              <w:jc w:val="center"/>
              <w:rPr>
                <w:rFonts w:hint="eastAsia" w:ascii="微软雅黑" w:hAnsi="微软雅黑" w:eastAsia="微软雅黑" w:cs="微软雅黑"/>
                <w:i/>
                <w:iCs/>
                <w:color w:val="000000"/>
                <w:sz w:val="16"/>
                <w:szCs w:val="16"/>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10797C6">
            <w:pPr>
              <w:jc w:val="center"/>
              <w:rPr>
                <w:rFonts w:hint="eastAsia" w:ascii="微软雅黑" w:hAnsi="微软雅黑" w:eastAsia="微软雅黑" w:cs="微软雅黑"/>
                <w:i/>
                <w:iCs/>
                <w:color w:val="000000"/>
                <w:sz w:val="16"/>
                <w:szCs w:val="16"/>
                <w:u w:val="none"/>
              </w:rPr>
            </w:pPr>
          </w:p>
        </w:tc>
        <w:tc>
          <w:tcPr>
            <w:tcW w:w="0" w:type="auto"/>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45482131">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E1A8B66">
            <w:pPr>
              <w:jc w:val="center"/>
              <w:rPr>
                <w:rFonts w:hint="eastAsia" w:ascii="微软雅黑" w:hAnsi="微软雅黑" w:eastAsia="微软雅黑" w:cs="微软雅黑"/>
                <w:i/>
                <w:iCs/>
                <w:color w:val="000000"/>
                <w:sz w:val="16"/>
                <w:szCs w:val="16"/>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7AB2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3CE8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2971B">
            <w:pPr>
              <w:rPr>
                <w:rFonts w:hint="eastAsia" w:ascii="黑体" w:hAnsi="黑体" w:eastAsia="黑体" w:cs="黑体"/>
                <w:i/>
                <w:iCs/>
                <w:color w:val="000000"/>
                <w:sz w:val="18"/>
                <w:szCs w:val="18"/>
                <w:u w:val="none"/>
              </w:rPr>
            </w:pPr>
          </w:p>
        </w:tc>
      </w:tr>
      <w:tr w14:paraId="0F627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77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378A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D743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AABD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2E7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8F1BE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A58A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0CD2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158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F7C7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D0181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96CF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05163">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24A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31A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FAAB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40个村（社区）纪检监察工作</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FC93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B99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2AD6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0D95F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D212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E41E8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5489487">
            <w:pPr>
              <w:jc w:val="center"/>
              <w:rPr>
                <w:rFonts w:hint="eastAsia" w:ascii="微软雅黑" w:hAnsi="微软雅黑" w:eastAsia="微软雅黑" w:cs="微软雅黑"/>
                <w:i/>
                <w:iCs/>
                <w:color w:val="000000"/>
                <w:sz w:val="16"/>
                <w:szCs w:val="16"/>
                <w:u w:val="none"/>
              </w:rPr>
            </w:pPr>
          </w:p>
        </w:tc>
      </w:tr>
      <w:tr w14:paraId="1FA34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61545">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9E3C">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1D1F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0E700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办案了结率达到90%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263E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C216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1F1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EA02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576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1A39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057EEB3">
            <w:pPr>
              <w:jc w:val="center"/>
              <w:rPr>
                <w:rFonts w:hint="eastAsia" w:ascii="微软雅黑" w:hAnsi="微软雅黑" w:eastAsia="微软雅黑" w:cs="微软雅黑"/>
                <w:i/>
                <w:iCs/>
                <w:color w:val="000000"/>
                <w:sz w:val="16"/>
                <w:szCs w:val="16"/>
                <w:u w:val="none"/>
              </w:rPr>
            </w:pPr>
          </w:p>
        </w:tc>
      </w:tr>
      <w:tr w14:paraId="3CED8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A72AC">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A576A">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759E9">
            <w:pPr>
              <w:jc w:val="center"/>
              <w:rPr>
                <w:rFonts w:hint="eastAsia" w:ascii="宋体" w:hAnsi="宋体" w:eastAsia="宋体" w:cs="宋体"/>
                <w:i w:val="0"/>
                <w:iCs w:val="0"/>
                <w:color w:val="000000"/>
                <w:sz w:val="18"/>
                <w:szCs w:val="18"/>
                <w:u w:val="none"/>
              </w:rPr>
            </w:pP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CC6C2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2名办案人员素质提升，办案效率提高</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9C3B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4A15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EA0F3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2718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341D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396A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78CEAA5">
            <w:pPr>
              <w:jc w:val="center"/>
              <w:rPr>
                <w:rFonts w:hint="eastAsia" w:ascii="微软雅黑" w:hAnsi="微软雅黑" w:eastAsia="微软雅黑" w:cs="微软雅黑"/>
                <w:i/>
                <w:iCs/>
                <w:color w:val="000000"/>
                <w:sz w:val="16"/>
                <w:szCs w:val="16"/>
                <w:u w:val="none"/>
              </w:rPr>
            </w:pPr>
          </w:p>
        </w:tc>
      </w:tr>
      <w:tr w14:paraId="41A01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A24F1">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23F4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A723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7936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0A8E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A2ED2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8902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69D35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EE4D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7405B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D2B0821">
            <w:pPr>
              <w:jc w:val="center"/>
              <w:rPr>
                <w:rFonts w:hint="eastAsia" w:ascii="微软雅黑" w:hAnsi="微软雅黑" w:eastAsia="微软雅黑" w:cs="微软雅黑"/>
                <w:i/>
                <w:iCs/>
                <w:color w:val="000000"/>
                <w:sz w:val="16"/>
                <w:szCs w:val="16"/>
                <w:u w:val="none"/>
              </w:rPr>
            </w:pPr>
          </w:p>
        </w:tc>
      </w:tr>
      <w:tr w14:paraId="22108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68FC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B3A2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4456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B129E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提升人民群众对党和政府工作的满意度、信任度，预防干部职务犯罪。</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30EB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9C05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F85F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01CC9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48D2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FE4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30DE503">
            <w:pPr>
              <w:jc w:val="center"/>
              <w:rPr>
                <w:rFonts w:hint="eastAsia" w:ascii="微软雅黑" w:hAnsi="微软雅黑" w:eastAsia="微软雅黑" w:cs="微软雅黑"/>
                <w:i/>
                <w:iCs/>
                <w:color w:val="000000"/>
                <w:sz w:val="16"/>
                <w:szCs w:val="16"/>
                <w:u w:val="none"/>
              </w:rPr>
            </w:pPr>
          </w:p>
        </w:tc>
      </w:tr>
      <w:tr w14:paraId="2720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F9EAE">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520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400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C0CFE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提高群众满意度</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D4AD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E2D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6C9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148E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B39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21F59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81B75B3">
            <w:pPr>
              <w:jc w:val="center"/>
              <w:rPr>
                <w:rFonts w:hint="eastAsia" w:ascii="微软雅黑" w:hAnsi="微软雅黑" w:eastAsia="微软雅黑" w:cs="微软雅黑"/>
                <w:i/>
                <w:iCs/>
                <w:color w:val="000000"/>
                <w:sz w:val="16"/>
                <w:szCs w:val="16"/>
                <w:u w:val="none"/>
              </w:rPr>
            </w:pPr>
          </w:p>
        </w:tc>
      </w:tr>
      <w:tr w14:paraId="4CF1E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3FADF">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838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9043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930A9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购办公用品，每年10000元</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58F2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7A5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F02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C1EB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6AD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7B1D2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489EA44">
            <w:pPr>
              <w:jc w:val="center"/>
              <w:rPr>
                <w:rFonts w:hint="eastAsia" w:ascii="微软雅黑" w:hAnsi="微软雅黑" w:eastAsia="微软雅黑" w:cs="微软雅黑"/>
                <w:i/>
                <w:iCs/>
                <w:color w:val="000000"/>
                <w:sz w:val="16"/>
                <w:szCs w:val="16"/>
                <w:u w:val="none"/>
              </w:rPr>
            </w:pPr>
          </w:p>
        </w:tc>
      </w:tr>
      <w:tr w14:paraId="5086D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7FA3">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A03CF">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484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43EE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减少违法乱纪现象，下降幅度不低于10%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159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6FBD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572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BE31D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C8F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508D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74A6691">
            <w:pPr>
              <w:jc w:val="center"/>
              <w:rPr>
                <w:rFonts w:hint="eastAsia" w:ascii="微软雅黑" w:hAnsi="微软雅黑" w:eastAsia="微软雅黑" w:cs="微软雅黑"/>
                <w:i/>
                <w:iCs/>
                <w:color w:val="000000"/>
                <w:sz w:val="16"/>
                <w:szCs w:val="16"/>
                <w:u w:val="none"/>
              </w:rPr>
            </w:pPr>
          </w:p>
        </w:tc>
      </w:tr>
      <w:tr w14:paraId="6E72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77"/>
            <w:tcBorders>
              <w:top w:val="single" w:color="000000" w:sz="4" w:space="0"/>
              <w:left w:val="single" w:color="000000" w:sz="4" w:space="0"/>
              <w:bottom w:val="single" w:color="000000" w:sz="4" w:space="0"/>
              <w:right w:val="single" w:color="000000" w:sz="4" w:space="0"/>
            </w:tcBorders>
            <w:shd w:val="clear" w:color="auto" w:fill="auto"/>
            <w:vAlign w:val="center"/>
          </w:tcPr>
          <w:p w14:paraId="41A75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F18E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70409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19C5D3F">
            <w:pPr>
              <w:rPr>
                <w:rFonts w:hint="eastAsia" w:ascii="宋体" w:hAnsi="宋体" w:eastAsia="宋体" w:cs="宋体"/>
                <w:i w:val="0"/>
                <w:iCs w:val="0"/>
                <w:color w:val="000000"/>
                <w:sz w:val="18"/>
                <w:szCs w:val="18"/>
                <w:u w:val="none"/>
              </w:rPr>
            </w:pPr>
          </w:p>
        </w:tc>
      </w:tr>
      <w:tr w14:paraId="31AF2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0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E288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703E690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镇监察工作经费为日常监督检查、专项巡察提供了有力支撑。资金用于开展村级财务审计、惠民政策落实情况核查等工作，及时发现并纠正基层干部在资金使用、项目审批等环节的违规行为。通过经费支持组建专项督查组，对乡村振兴项目、扶贫资金发放等重点领域进行全程监督，确保政策落实到位，维护群众切身利益。经费投入用于组织乡镇监察干部参加业务培训、廉政教育、法律知识讲座等活动，提升其政治素养和专业水平。</w:t>
            </w:r>
          </w:p>
        </w:tc>
      </w:tr>
      <w:tr w14:paraId="0BFFB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8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8C4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49FC700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基层监察工作范围不断扩大，对资金的需求日益增加，但财政对乡镇监察工作经费投入有限。在面对复杂的案件调查、专业的审计鉴定时，因资金短缺导致无法聘请专业人员或购买技术支持，影响案件查办效率和质量，制约监察工作深入开展。经费在使用过程中存在分配不均衡的问题，乡镇将大量资金用于日常办公开支，而在廉政教育创新、信息化监察平台建设等重点工作上投入较少。</w:t>
            </w:r>
          </w:p>
        </w:tc>
      </w:tr>
      <w:tr w14:paraId="2565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4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B9C3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08"/>
            <w:tcBorders>
              <w:top w:val="single" w:color="000000" w:sz="4" w:space="0"/>
              <w:left w:val="single" w:color="000000" w:sz="4" w:space="0"/>
              <w:bottom w:val="single" w:color="000000" w:sz="4" w:space="0"/>
              <w:right w:val="single" w:color="000000" w:sz="4" w:space="0"/>
            </w:tcBorders>
            <w:shd w:val="clear" w:color="auto" w:fill="auto"/>
            <w:vAlign w:val="center"/>
          </w:tcPr>
          <w:p w14:paraId="50A0B08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乡镇监察工作的重视程度，加大财政资金投入力度，建立稳定的经费增长机制。同时，探索多元化资金来源，鼓励社会力量通过合法合规方式支持廉政文化建设项目，如企业赞助廉政宣传活动、社会组织捐赠监察设备等，充实监察工作经费。结合乡镇监察工作实际需求，科学制定经费分配方案。优先保障案件查办、信息化平台建设、专业人才培养等重点领域资金需求。</w:t>
            </w:r>
          </w:p>
        </w:tc>
      </w:tr>
      <w:tr w14:paraId="0080F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0A5E472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项目负责人：谢晓兰</w:t>
            </w:r>
          </w:p>
        </w:tc>
        <w:tc>
          <w:tcPr>
            <w:tcW w:w="0" w:type="auto"/>
            <w:gridSpan w:val="70"/>
            <w:tcBorders>
              <w:top w:val="single" w:color="000000" w:sz="4" w:space="0"/>
              <w:left w:val="single" w:color="000000" w:sz="4" w:space="0"/>
              <w:bottom w:val="single" w:color="000000" w:sz="4" w:space="0"/>
              <w:right w:val="single" w:color="000000" w:sz="4" w:space="0"/>
            </w:tcBorders>
            <w:shd w:val="clear" w:color="auto" w:fill="auto"/>
            <w:vAlign w:val="center"/>
          </w:tcPr>
          <w:p w14:paraId="539B1C7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31802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0E360752">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0"/>
            <w:tcBorders>
              <w:top w:val="single" w:color="000000" w:sz="4" w:space="0"/>
              <w:left w:val="single" w:color="000000" w:sz="4" w:space="0"/>
              <w:bottom w:val="single" w:color="000000" w:sz="4" w:space="0"/>
              <w:right w:val="single" w:color="000000" w:sz="4" w:space="0"/>
            </w:tcBorders>
            <w:shd w:val="clear" w:color="auto" w:fill="auto"/>
            <w:vAlign w:val="center"/>
          </w:tcPr>
          <w:p w14:paraId="117DE89F">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65C4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0649046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4F5C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68777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2"/>
            <w:tcBorders>
              <w:top w:val="single" w:color="000000" w:sz="4" w:space="0"/>
              <w:left w:val="single" w:color="000000" w:sz="4" w:space="0"/>
              <w:bottom w:val="single" w:color="000000" w:sz="4" w:space="0"/>
              <w:right w:val="single" w:color="000000" w:sz="4" w:space="0"/>
            </w:tcBorders>
            <w:shd w:val="clear" w:color="auto" w:fill="auto"/>
            <w:vAlign w:val="center"/>
          </w:tcPr>
          <w:p w14:paraId="3417FD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51090424T000011119221-乡镇人大代表监督、视察等经费（长期）</w:t>
            </w:r>
          </w:p>
        </w:tc>
      </w:tr>
      <w:tr w14:paraId="3FAD6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C04D1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55967C0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2CD3663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6"/>
            <w:tcBorders>
              <w:top w:val="single" w:color="000000" w:sz="4" w:space="0"/>
              <w:left w:val="single" w:color="000000" w:sz="4" w:space="0"/>
              <w:bottom w:val="single" w:color="000000" w:sz="4" w:space="0"/>
              <w:right w:val="single" w:color="000000" w:sz="4" w:space="0"/>
            </w:tcBorders>
            <w:shd w:val="clear" w:color="auto" w:fill="auto"/>
            <w:vAlign w:val="center"/>
          </w:tcPr>
          <w:p w14:paraId="1BB020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52148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682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F6C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2338A9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39D1ECA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2448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DC26B">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0761D">
            <w:pPr>
              <w:rPr>
                <w:rFonts w:hint="eastAsia" w:ascii="宋体" w:hAnsi="宋体" w:eastAsia="宋体" w:cs="宋体"/>
                <w:i w:val="0"/>
                <w:iCs w:val="0"/>
                <w:color w:val="000000"/>
                <w:sz w:val="18"/>
                <w:szCs w:val="18"/>
                <w:u w:val="none"/>
              </w:rPr>
            </w:pP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7896777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完成人大代表视察工作经费保障，人大代表视察40次，提供有效意见20条。</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6E6A620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完成人大代表视察工作经费保障，人大代表视察40次，提供有效意见20条。</w:t>
            </w:r>
          </w:p>
        </w:tc>
      </w:tr>
      <w:tr w14:paraId="1CEAB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A6722">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164B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2"/>
            <w:tcBorders>
              <w:top w:val="single" w:color="000000" w:sz="4" w:space="0"/>
              <w:left w:val="single" w:color="000000" w:sz="4" w:space="0"/>
              <w:bottom w:val="single" w:color="000000" w:sz="4" w:space="0"/>
              <w:right w:val="single" w:color="000000" w:sz="4" w:space="0"/>
            </w:tcBorders>
            <w:shd w:val="clear" w:color="auto" w:fill="auto"/>
            <w:vAlign w:val="center"/>
          </w:tcPr>
          <w:p w14:paraId="55346A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完成人大代表视察工作经费保障，人大代表视察40次，提供有效意见20条。</w:t>
            </w:r>
          </w:p>
        </w:tc>
      </w:tr>
      <w:tr w14:paraId="7889A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399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DEC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8CD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8831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7C39C0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7A1D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532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B9C8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1D72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0D92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81F66">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2A4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61D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C73D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530CA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AE522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D903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4276890">
            <w:pPr>
              <w:jc w:val="center"/>
              <w:rPr>
                <w:rFonts w:hint="eastAsia" w:ascii="宋体" w:hAnsi="宋体" w:eastAsia="宋体" w:cs="宋体"/>
                <w:i w:val="0"/>
                <w:iCs w:val="0"/>
                <w:color w:val="000000"/>
                <w:sz w:val="18"/>
                <w:szCs w:val="18"/>
                <w:u w:val="none"/>
              </w:rPr>
            </w:pPr>
          </w:p>
        </w:tc>
        <w:tc>
          <w:tcPr>
            <w:tcW w:w="0" w:type="auto"/>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79ED4">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B59A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20493">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A24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7BC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3A732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22C187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E7834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347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81A59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86B96">
            <w:pPr>
              <w:rPr>
                <w:rFonts w:hint="eastAsia" w:ascii="黑体" w:hAnsi="黑体" w:eastAsia="黑体" w:cs="黑体"/>
                <w:i/>
                <w:iCs/>
                <w:color w:val="000000"/>
                <w:sz w:val="18"/>
                <w:szCs w:val="18"/>
                <w:u w:val="none"/>
              </w:rPr>
            </w:pPr>
          </w:p>
        </w:tc>
      </w:tr>
      <w:tr w14:paraId="1AF64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CE7F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D33A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C28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2BC3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6E44E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C92E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6F8A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3E96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FA918">
            <w:pPr>
              <w:rPr>
                <w:rFonts w:hint="eastAsia" w:ascii="黑体" w:hAnsi="黑体" w:eastAsia="黑体" w:cs="黑体"/>
                <w:i/>
                <w:iCs/>
                <w:color w:val="000000"/>
                <w:sz w:val="18"/>
                <w:szCs w:val="18"/>
                <w:u w:val="none"/>
              </w:rPr>
            </w:pPr>
          </w:p>
        </w:tc>
      </w:tr>
      <w:tr w14:paraId="16B82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FB6A1">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6D72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3C47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82A53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2E0D7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5623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E1595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CF84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5088C">
            <w:pPr>
              <w:rPr>
                <w:rFonts w:hint="eastAsia" w:ascii="黑体" w:hAnsi="黑体" w:eastAsia="黑体" w:cs="黑体"/>
                <w:i/>
                <w:iCs/>
                <w:color w:val="000000"/>
                <w:sz w:val="18"/>
                <w:szCs w:val="18"/>
                <w:u w:val="none"/>
              </w:rPr>
            </w:pPr>
          </w:p>
        </w:tc>
      </w:tr>
      <w:tr w14:paraId="107F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C8EA">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6437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5527E4">
            <w:pPr>
              <w:jc w:val="center"/>
              <w:rPr>
                <w:rFonts w:hint="eastAsia" w:ascii="微软雅黑" w:hAnsi="微软雅黑" w:eastAsia="微软雅黑" w:cs="微软雅黑"/>
                <w:i/>
                <w:iCs/>
                <w:color w:val="000000"/>
                <w:sz w:val="16"/>
                <w:szCs w:val="16"/>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D42A0B3">
            <w:pPr>
              <w:jc w:val="center"/>
              <w:rPr>
                <w:rFonts w:hint="eastAsia" w:ascii="微软雅黑" w:hAnsi="微软雅黑" w:eastAsia="微软雅黑" w:cs="微软雅黑"/>
                <w:i/>
                <w:iCs/>
                <w:color w:val="000000"/>
                <w:sz w:val="16"/>
                <w:szCs w:val="16"/>
                <w:u w:val="none"/>
              </w:rPr>
            </w:pPr>
          </w:p>
        </w:tc>
        <w:tc>
          <w:tcPr>
            <w:tcW w:w="0" w:type="auto"/>
            <w:gridSpan w:val="31"/>
            <w:tcBorders>
              <w:top w:val="single" w:color="000000" w:sz="4" w:space="0"/>
              <w:left w:val="single" w:color="000000" w:sz="4" w:space="0"/>
              <w:bottom w:val="single" w:color="000000" w:sz="4" w:space="0"/>
              <w:right w:val="single" w:color="000000" w:sz="4" w:space="0"/>
            </w:tcBorders>
            <w:shd w:val="clear" w:color="auto" w:fill="auto"/>
            <w:vAlign w:val="center"/>
          </w:tcPr>
          <w:p w14:paraId="231BDEFF">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8C3BBED">
            <w:pPr>
              <w:jc w:val="center"/>
              <w:rPr>
                <w:rFonts w:hint="eastAsia" w:ascii="微软雅黑" w:hAnsi="微软雅黑" w:eastAsia="微软雅黑" w:cs="微软雅黑"/>
                <w:i/>
                <w:iCs/>
                <w:color w:val="000000"/>
                <w:sz w:val="16"/>
                <w:szCs w:val="16"/>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5AD2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2015D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6EBB8">
            <w:pPr>
              <w:rPr>
                <w:rFonts w:hint="eastAsia" w:ascii="黑体" w:hAnsi="黑体" w:eastAsia="黑体" w:cs="黑体"/>
                <w:i/>
                <w:iCs/>
                <w:color w:val="000000"/>
                <w:sz w:val="18"/>
                <w:szCs w:val="18"/>
                <w:u w:val="none"/>
              </w:rPr>
            </w:pPr>
          </w:p>
        </w:tc>
      </w:tr>
      <w:tr w14:paraId="5358E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C8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86F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CC6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3335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F518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6601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A86B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6732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721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6AFA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21EF6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8CB6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459BE">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45C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24F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1F7A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完成人大代表视察40次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084D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1EAE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69D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B681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B485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11CE5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8364DDD">
            <w:pPr>
              <w:jc w:val="center"/>
              <w:rPr>
                <w:rFonts w:hint="eastAsia" w:ascii="微软雅黑" w:hAnsi="微软雅黑" w:eastAsia="微软雅黑" w:cs="微软雅黑"/>
                <w:i/>
                <w:iCs/>
                <w:color w:val="000000"/>
                <w:sz w:val="16"/>
                <w:szCs w:val="16"/>
                <w:u w:val="none"/>
              </w:rPr>
            </w:pPr>
          </w:p>
        </w:tc>
      </w:tr>
      <w:tr w14:paraId="7E06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30379">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DA6D0">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B58D4">
            <w:pPr>
              <w:jc w:val="cente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93C8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保障人大代表各项调研和专题活动的顺利开展，提出有效建议20条。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464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BAE4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A8FA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条</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BAEBF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5BB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617B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62FEAB1">
            <w:pPr>
              <w:jc w:val="center"/>
              <w:rPr>
                <w:rFonts w:hint="eastAsia" w:ascii="微软雅黑" w:hAnsi="微软雅黑" w:eastAsia="微软雅黑" w:cs="微软雅黑"/>
                <w:i/>
                <w:iCs/>
                <w:color w:val="000000"/>
                <w:sz w:val="16"/>
                <w:szCs w:val="16"/>
                <w:u w:val="none"/>
              </w:rPr>
            </w:pPr>
          </w:p>
        </w:tc>
      </w:tr>
      <w:tr w14:paraId="3E706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42F17">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6F2E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70C2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834B3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保证代表建议办结率达到100%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13FD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667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78F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61D7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0D57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3A906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3A6D8CE">
            <w:pPr>
              <w:jc w:val="center"/>
              <w:rPr>
                <w:rFonts w:hint="eastAsia" w:ascii="微软雅黑" w:hAnsi="微软雅黑" w:eastAsia="微软雅黑" w:cs="微软雅黑"/>
                <w:i/>
                <w:iCs/>
                <w:color w:val="000000"/>
                <w:sz w:val="16"/>
                <w:szCs w:val="16"/>
                <w:u w:val="none"/>
              </w:rPr>
            </w:pPr>
          </w:p>
        </w:tc>
      </w:tr>
      <w:tr w14:paraId="7911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4934F">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149BA">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DC9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9CD6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0CF5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C9D5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37A7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57B6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A4E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FE3D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7B3583B">
            <w:pPr>
              <w:jc w:val="center"/>
              <w:rPr>
                <w:rFonts w:hint="eastAsia" w:ascii="微软雅黑" w:hAnsi="微软雅黑" w:eastAsia="微软雅黑" w:cs="微软雅黑"/>
                <w:i/>
                <w:iCs/>
                <w:color w:val="000000"/>
                <w:sz w:val="16"/>
                <w:szCs w:val="16"/>
                <w:u w:val="none"/>
              </w:rPr>
            </w:pPr>
          </w:p>
        </w:tc>
      </w:tr>
      <w:tr w14:paraId="52037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EFD3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EEAC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D45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2BAA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群众关心热点难点得到解决</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E961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88FF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3F7A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27CA8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8276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327A5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3FC4474">
            <w:pPr>
              <w:jc w:val="center"/>
              <w:rPr>
                <w:rFonts w:hint="eastAsia" w:ascii="微软雅黑" w:hAnsi="微软雅黑" w:eastAsia="微软雅黑" w:cs="微软雅黑"/>
                <w:i/>
                <w:iCs/>
                <w:color w:val="000000"/>
                <w:sz w:val="16"/>
                <w:szCs w:val="16"/>
                <w:u w:val="none"/>
              </w:rPr>
            </w:pPr>
          </w:p>
        </w:tc>
      </w:tr>
      <w:tr w14:paraId="6E2C2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0193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901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A10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73D5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人大代表满意度达到90%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2568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D237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96D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2EAF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D3D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53B0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AD88BB2">
            <w:pPr>
              <w:jc w:val="center"/>
              <w:rPr>
                <w:rFonts w:hint="eastAsia" w:ascii="微软雅黑" w:hAnsi="微软雅黑" w:eastAsia="微软雅黑" w:cs="微软雅黑"/>
                <w:i/>
                <w:iCs/>
                <w:color w:val="000000"/>
                <w:sz w:val="16"/>
                <w:szCs w:val="16"/>
                <w:u w:val="none"/>
              </w:rPr>
            </w:pPr>
          </w:p>
        </w:tc>
      </w:tr>
      <w:tr w14:paraId="4583B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B5151">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044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7B5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BC666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人大代表视察40次，每次400元，共计16000元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B65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63F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6D3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8CD29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78D3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BBAE0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0AF8F38">
            <w:pPr>
              <w:jc w:val="center"/>
              <w:rPr>
                <w:rFonts w:hint="eastAsia" w:ascii="微软雅黑" w:hAnsi="微软雅黑" w:eastAsia="微软雅黑" w:cs="微软雅黑"/>
                <w:i/>
                <w:iCs/>
                <w:color w:val="000000"/>
                <w:sz w:val="16"/>
                <w:szCs w:val="16"/>
                <w:u w:val="none"/>
              </w:rPr>
            </w:pPr>
          </w:p>
        </w:tc>
      </w:tr>
      <w:tr w14:paraId="358FD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C1211">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2EEDD">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7B1C5">
            <w:pPr>
              <w:jc w:val="cente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48AB7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印刷宣传资料共4000元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2AC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6545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A3A4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C2B65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87D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1F39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E7944F6">
            <w:pPr>
              <w:jc w:val="center"/>
              <w:rPr>
                <w:rFonts w:hint="eastAsia" w:ascii="微软雅黑" w:hAnsi="微软雅黑" w:eastAsia="微软雅黑" w:cs="微软雅黑"/>
                <w:i/>
                <w:iCs/>
                <w:color w:val="000000"/>
                <w:sz w:val="16"/>
                <w:szCs w:val="16"/>
                <w:u w:val="none"/>
              </w:rPr>
            </w:pPr>
          </w:p>
        </w:tc>
      </w:tr>
      <w:tr w14:paraId="69B65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0"/>
            <w:tcBorders>
              <w:top w:val="single" w:color="000000" w:sz="4" w:space="0"/>
              <w:left w:val="single" w:color="000000" w:sz="4" w:space="0"/>
              <w:bottom w:val="single" w:color="000000" w:sz="4" w:space="0"/>
              <w:right w:val="single" w:color="000000" w:sz="4" w:space="0"/>
            </w:tcBorders>
            <w:shd w:val="clear" w:color="auto" w:fill="auto"/>
            <w:vAlign w:val="center"/>
          </w:tcPr>
          <w:p w14:paraId="4242FC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89B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6A9D3B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183C93D">
            <w:pPr>
              <w:rPr>
                <w:rFonts w:hint="eastAsia" w:ascii="宋体" w:hAnsi="宋体" w:eastAsia="宋体" w:cs="宋体"/>
                <w:i w:val="0"/>
                <w:iCs w:val="0"/>
                <w:color w:val="000000"/>
                <w:sz w:val="18"/>
                <w:szCs w:val="18"/>
                <w:u w:val="none"/>
              </w:rPr>
            </w:pPr>
          </w:p>
        </w:tc>
      </w:tr>
      <w:tr w14:paraId="638B0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8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F00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79CC960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镇人大代表监督、视察经费为代表开展日常监督、专项视察提供了坚实保障。资金用于支持代表深入基层，对乡村振兴项目推进、惠民政策落实、乡镇财政收支等情况进行实地调研，及时发现问题并提出整改建议。例如，在对农村饮水安全工程的视察中，代表们通过经费支持开展走访调研，推动解决了部分村庄供水设施老化问题，切实增强了监督工作的针对性和实效性。</w:t>
            </w:r>
          </w:p>
        </w:tc>
      </w:tr>
      <w:tr w14:paraId="32FD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8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6C3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6B09BB0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乡镇人大工作任务日益繁重，对经费的需求不断增加，但部分地区财政对乡镇人大代表监督、视察等经费投入有限。经费短缺导致代表开展调研、视察的范围受限，无法深入全面地了解情况；一些培训、交流活动难以开展，影响代表履职能力的提升，制约了人大工作的有效开展。在经费使用过程中，存在资金分配不合理的现象。将经费过度集中于少数大型活动，而对代表日常履职活动、小型专题调研等支持不足。</w:t>
            </w:r>
          </w:p>
        </w:tc>
      </w:tr>
      <w:tr w14:paraId="61BC4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2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2D11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5670BBA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经费使用过程中，存在资金分配不合理的现象。部分乡镇将经费过度集中于少数大型活动，而对代表日常履职活动、小型专题调研等支持不足。结合乡镇人大工作实际需求，科学制定经费分配方案。优先保障代表日常履职、专题调研、监督检查等重点工作的资金需求，合理安排培训、交流等活动经费。建立动态调整机制，根据不同阶段人大工作的重点任务，及时优化资金使用方向，提高资金使用的针对性和实效性。</w:t>
            </w:r>
          </w:p>
        </w:tc>
      </w:tr>
      <w:tr w14:paraId="3C50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4"/>
            <w:tcBorders>
              <w:top w:val="single" w:color="000000" w:sz="4" w:space="0"/>
              <w:left w:val="single" w:color="000000" w:sz="4" w:space="0"/>
              <w:bottom w:val="single" w:color="000000" w:sz="4" w:space="0"/>
              <w:right w:val="single" w:color="000000" w:sz="4" w:space="0"/>
            </w:tcBorders>
            <w:shd w:val="clear" w:color="auto" w:fill="auto"/>
            <w:vAlign w:val="center"/>
          </w:tcPr>
          <w:p w14:paraId="6DCC03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项目负责人：邹天豪</w:t>
            </w:r>
          </w:p>
        </w:tc>
        <w:tc>
          <w:tcPr>
            <w:tcW w:w="0" w:type="auto"/>
            <w:gridSpan w:val="72"/>
            <w:tcBorders>
              <w:top w:val="single" w:color="000000" w:sz="4" w:space="0"/>
              <w:left w:val="single" w:color="000000" w:sz="4" w:space="0"/>
              <w:bottom w:val="single" w:color="000000" w:sz="4" w:space="0"/>
              <w:right w:val="single" w:color="000000" w:sz="4" w:space="0"/>
            </w:tcBorders>
            <w:shd w:val="clear" w:color="auto" w:fill="auto"/>
            <w:vAlign w:val="center"/>
          </w:tcPr>
          <w:p w14:paraId="02BD06F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7A824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4"/>
            <w:tcBorders>
              <w:top w:val="single" w:color="000000" w:sz="4" w:space="0"/>
              <w:left w:val="single" w:color="000000" w:sz="4" w:space="0"/>
              <w:bottom w:val="single" w:color="000000" w:sz="4" w:space="0"/>
              <w:right w:val="single" w:color="000000" w:sz="4" w:space="0"/>
            </w:tcBorders>
            <w:shd w:val="clear" w:color="auto" w:fill="auto"/>
            <w:vAlign w:val="center"/>
          </w:tcPr>
          <w:p w14:paraId="71E14210">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2"/>
            <w:tcBorders>
              <w:top w:val="single" w:color="000000" w:sz="4" w:space="0"/>
              <w:left w:val="single" w:color="000000" w:sz="4" w:space="0"/>
              <w:bottom w:val="single" w:color="000000" w:sz="4" w:space="0"/>
              <w:right w:val="single" w:color="000000" w:sz="4" w:space="0"/>
            </w:tcBorders>
            <w:shd w:val="clear" w:color="auto" w:fill="auto"/>
            <w:vAlign w:val="center"/>
          </w:tcPr>
          <w:p w14:paraId="65A6C48F">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5E2B5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5A646CC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9ED9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6E237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4"/>
            <w:tcBorders>
              <w:top w:val="single" w:color="000000" w:sz="4" w:space="0"/>
              <w:left w:val="single" w:color="000000" w:sz="4" w:space="0"/>
              <w:bottom w:val="single" w:color="000000" w:sz="4" w:space="0"/>
              <w:right w:val="single" w:color="000000" w:sz="4" w:space="0"/>
            </w:tcBorders>
            <w:shd w:val="clear" w:color="auto" w:fill="auto"/>
            <w:vAlign w:val="center"/>
          </w:tcPr>
          <w:p w14:paraId="72E5F0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51090424T000011119232-乡镇人大代表经费（长期）</w:t>
            </w:r>
          </w:p>
        </w:tc>
      </w:tr>
      <w:tr w14:paraId="46924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6209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8"/>
            <w:tcBorders>
              <w:top w:val="single" w:color="000000" w:sz="4" w:space="0"/>
              <w:left w:val="single" w:color="000000" w:sz="4" w:space="0"/>
              <w:bottom w:val="single" w:color="000000" w:sz="4" w:space="0"/>
              <w:right w:val="single" w:color="000000" w:sz="4" w:space="0"/>
            </w:tcBorders>
            <w:shd w:val="clear" w:color="auto" w:fill="auto"/>
            <w:vAlign w:val="center"/>
          </w:tcPr>
          <w:p w14:paraId="08F5A6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4"/>
            <w:tcBorders>
              <w:top w:val="nil"/>
              <w:left w:val="nil"/>
              <w:bottom w:val="nil"/>
              <w:right w:val="nil"/>
            </w:tcBorders>
            <w:shd w:val="clear" w:color="auto" w:fill="auto"/>
            <w:vAlign w:val="center"/>
          </w:tcPr>
          <w:p w14:paraId="3DF3EF0F">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33376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5526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D1744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960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8"/>
            <w:tcBorders>
              <w:top w:val="single" w:color="000000" w:sz="4" w:space="0"/>
              <w:left w:val="single" w:color="000000" w:sz="4" w:space="0"/>
              <w:bottom w:val="single" w:color="000000" w:sz="4" w:space="0"/>
              <w:right w:val="single" w:color="000000" w:sz="4" w:space="0"/>
            </w:tcBorders>
            <w:shd w:val="clear" w:color="auto" w:fill="auto"/>
            <w:vAlign w:val="center"/>
          </w:tcPr>
          <w:p w14:paraId="3F243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3BB08AB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1995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B2FE7">
            <w:pP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6F671">
            <w:pPr>
              <w:rPr>
                <w:rFonts w:hint="eastAsia" w:ascii="宋体" w:hAnsi="宋体" w:eastAsia="宋体" w:cs="宋体"/>
                <w:i w:val="0"/>
                <w:iCs w:val="0"/>
                <w:color w:val="000000"/>
                <w:sz w:val="18"/>
                <w:szCs w:val="18"/>
                <w:u w:val="none"/>
              </w:rPr>
            </w:pPr>
          </w:p>
        </w:tc>
        <w:tc>
          <w:tcPr>
            <w:tcW w:w="0" w:type="auto"/>
            <w:gridSpan w:val="58"/>
            <w:tcBorders>
              <w:top w:val="single" w:color="000000" w:sz="4" w:space="0"/>
              <w:left w:val="single" w:color="000000" w:sz="4" w:space="0"/>
              <w:bottom w:val="single" w:color="000000" w:sz="4" w:space="0"/>
              <w:right w:val="single" w:color="000000" w:sz="4" w:space="0"/>
            </w:tcBorders>
            <w:shd w:val="clear" w:color="auto" w:fill="auto"/>
            <w:vAlign w:val="center"/>
          </w:tcPr>
          <w:p w14:paraId="26EF2E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大代表工作经费，2024年人大代表107人，每人500元工作经费，共计5.35万元。预计召开会议4次，每次会议费5000元，共计20000元，印刷费3000本人大宣传册，每本5元，共计15000元，劳务费10000元，电费及通讯费8500元。</w:t>
            </w:r>
          </w:p>
        </w:tc>
        <w:tc>
          <w:tcPr>
            <w:tcW w:w="0" w:type="auto"/>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06BD92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人大代表工作经费，2024年人大代表107人，每人500元工作经费，共计5.35万元。预计召开会议4次，每次会议费5000元，共计20000元，印刷费3000本人大宣传册，每本5元，共计15000元，劳务费10000元，电费及通讯费8500元。</w:t>
            </w:r>
          </w:p>
        </w:tc>
      </w:tr>
      <w:tr w14:paraId="0223A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44570">
            <w:pP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09C4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4"/>
            <w:tcBorders>
              <w:top w:val="single" w:color="000000" w:sz="4" w:space="0"/>
              <w:left w:val="single" w:color="000000" w:sz="4" w:space="0"/>
              <w:bottom w:val="single" w:color="000000" w:sz="4" w:space="0"/>
              <w:right w:val="single" w:color="000000" w:sz="4" w:space="0"/>
            </w:tcBorders>
            <w:shd w:val="clear" w:color="auto" w:fill="auto"/>
            <w:vAlign w:val="center"/>
          </w:tcPr>
          <w:p w14:paraId="3225A6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大代表工作经费，2024年人大代表107人，每人500元工作经费，共计5.35万元。预计召开会议4次，每次会议费5000元，共计20000元，印刷费3000本人大宣传册，每本5元，共计15000元，劳务费10000元，电费及通讯费8500元。</w:t>
            </w:r>
          </w:p>
        </w:tc>
      </w:tr>
      <w:tr w14:paraId="2F55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6EC1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F7B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04EE8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94518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7AD074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AEB6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2691D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98B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570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A40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71361">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4C32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6B9A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60F37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0CA3C2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CA97F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7A3D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1BFB5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2A51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2598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46EE2">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7633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C009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F2274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34DCF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959C7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9DBD0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2C318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170C7">
            <w:pPr>
              <w:rPr>
                <w:rFonts w:hint="eastAsia" w:ascii="黑体" w:hAnsi="黑体" w:eastAsia="黑体" w:cs="黑体"/>
                <w:i/>
                <w:iCs/>
                <w:color w:val="000000"/>
                <w:sz w:val="18"/>
                <w:szCs w:val="18"/>
                <w:u w:val="none"/>
              </w:rPr>
            </w:pPr>
          </w:p>
        </w:tc>
      </w:tr>
      <w:tr w14:paraId="447A6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6D708">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12B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B789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C821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4EAA60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389D5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45EDC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7EDB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4BFA5">
            <w:pPr>
              <w:rPr>
                <w:rFonts w:hint="eastAsia" w:ascii="黑体" w:hAnsi="黑体" w:eastAsia="黑体" w:cs="黑体"/>
                <w:i/>
                <w:iCs/>
                <w:color w:val="000000"/>
                <w:sz w:val="18"/>
                <w:szCs w:val="18"/>
                <w:u w:val="none"/>
              </w:rPr>
            </w:pPr>
          </w:p>
        </w:tc>
      </w:tr>
      <w:tr w14:paraId="15311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ECAB5">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D6E2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99BCB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691B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61AF8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0C154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E934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D0EC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0445E">
            <w:pPr>
              <w:rPr>
                <w:rFonts w:hint="eastAsia" w:ascii="黑体" w:hAnsi="黑体" w:eastAsia="黑体" w:cs="黑体"/>
                <w:i/>
                <w:iCs/>
                <w:color w:val="000000"/>
                <w:sz w:val="18"/>
                <w:szCs w:val="18"/>
                <w:u w:val="none"/>
              </w:rPr>
            </w:pPr>
          </w:p>
        </w:tc>
      </w:tr>
      <w:tr w14:paraId="36A0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E289C">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E721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4E32DE">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0D08AB7">
            <w:pPr>
              <w:jc w:val="center"/>
              <w:rPr>
                <w:rFonts w:hint="eastAsia" w:ascii="微软雅黑" w:hAnsi="微软雅黑" w:eastAsia="微软雅黑" w:cs="微软雅黑"/>
                <w:i/>
                <w:iCs/>
                <w:color w:val="000000"/>
                <w:sz w:val="16"/>
                <w:szCs w:val="16"/>
                <w:u w:val="none"/>
              </w:rPr>
            </w:pP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63EDA330">
            <w:pPr>
              <w:jc w:val="center"/>
              <w:rPr>
                <w:rFonts w:hint="eastAsia" w:ascii="微软雅黑" w:hAnsi="微软雅黑" w:eastAsia="微软雅黑" w:cs="微软雅黑"/>
                <w:i/>
                <w:iCs/>
                <w:color w:val="000000"/>
                <w:sz w:val="16"/>
                <w:szCs w:val="16"/>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9087513">
            <w:pPr>
              <w:jc w:val="center"/>
              <w:rPr>
                <w:rFonts w:hint="eastAsia" w:ascii="微软雅黑" w:hAnsi="微软雅黑" w:eastAsia="微软雅黑" w:cs="微软雅黑"/>
                <w:i/>
                <w:iCs/>
                <w:color w:val="000000"/>
                <w:sz w:val="16"/>
                <w:szCs w:val="16"/>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58408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EEA6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5B57B">
            <w:pPr>
              <w:rPr>
                <w:rFonts w:hint="eastAsia" w:ascii="黑体" w:hAnsi="黑体" w:eastAsia="黑体" w:cs="黑体"/>
                <w:i/>
                <w:iCs/>
                <w:color w:val="000000"/>
                <w:sz w:val="18"/>
                <w:szCs w:val="18"/>
                <w:u w:val="none"/>
              </w:rPr>
            </w:pPr>
          </w:p>
        </w:tc>
      </w:tr>
      <w:tr w14:paraId="659E7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0F1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0D1A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0E540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689B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43C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D315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A82B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F237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5895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BD23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31E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F29C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0F829">
            <w:pPr>
              <w:jc w:val="center"/>
              <w:rPr>
                <w:rFonts w:hint="eastAsia" w:ascii="宋体" w:hAnsi="宋体" w:eastAsia="宋体" w:cs="宋体"/>
                <w:i w:val="0"/>
                <w:iCs w:val="0"/>
                <w:color w:val="000000"/>
                <w:sz w:val="18"/>
                <w:szCs w:val="18"/>
                <w:u w:val="none"/>
              </w:rPr>
            </w:pP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B9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D212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4668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组织代表培训2次以上</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A69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D84A2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87F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29C248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DAAC5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8878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3B833C">
            <w:pPr>
              <w:jc w:val="center"/>
              <w:rPr>
                <w:rFonts w:hint="eastAsia" w:ascii="微软雅黑" w:hAnsi="微软雅黑" w:eastAsia="微软雅黑" w:cs="微软雅黑"/>
                <w:i/>
                <w:iCs/>
                <w:color w:val="000000"/>
                <w:sz w:val="16"/>
                <w:szCs w:val="16"/>
                <w:u w:val="none"/>
              </w:rPr>
            </w:pPr>
          </w:p>
        </w:tc>
      </w:tr>
      <w:tr w14:paraId="47499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A0971">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0B940">
            <w:pPr>
              <w:jc w:val="center"/>
              <w:rPr>
                <w:rFonts w:hint="eastAsia" w:ascii="宋体" w:hAnsi="宋体" w:eastAsia="宋体" w:cs="宋体"/>
                <w:i w:val="0"/>
                <w:iCs w:val="0"/>
                <w:color w:val="000000"/>
                <w:sz w:val="18"/>
                <w:szCs w:val="18"/>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F1281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9B0F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人大代表履行代表权益便捷率达到90%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1FD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3855F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C69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BC8804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FA08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4BACA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3DEB1B">
            <w:pPr>
              <w:jc w:val="center"/>
              <w:rPr>
                <w:rFonts w:hint="eastAsia" w:ascii="微软雅黑" w:hAnsi="微软雅黑" w:eastAsia="微软雅黑" w:cs="微软雅黑"/>
                <w:i/>
                <w:iCs/>
                <w:color w:val="000000"/>
                <w:sz w:val="16"/>
                <w:szCs w:val="16"/>
                <w:u w:val="none"/>
              </w:rPr>
            </w:pPr>
          </w:p>
        </w:tc>
      </w:tr>
      <w:tr w14:paraId="4E257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05182">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FC436">
            <w:pPr>
              <w:jc w:val="center"/>
              <w:rPr>
                <w:rFonts w:hint="eastAsia" w:ascii="宋体" w:hAnsi="宋体" w:eastAsia="宋体" w:cs="宋体"/>
                <w:i w:val="0"/>
                <w:iCs w:val="0"/>
                <w:color w:val="000000"/>
                <w:sz w:val="18"/>
                <w:szCs w:val="18"/>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C9D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CC6F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完成2024年全年人大代表相关工作</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2D2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D09A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EE41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D03EFB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57C7B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7FA5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C287C8">
            <w:pPr>
              <w:jc w:val="center"/>
              <w:rPr>
                <w:rFonts w:hint="eastAsia" w:ascii="微软雅黑" w:hAnsi="微软雅黑" w:eastAsia="微软雅黑" w:cs="微软雅黑"/>
                <w:i/>
                <w:iCs/>
                <w:color w:val="000000"/>
                <w:sz w:val="16"/>
                <w:szCs w:val="16"/>
                <w:u w:val="none"/>
              </w:rPr>
            </w:pPr>
          </w:p>
        </w:tc>
      </w:tr>
      <w:tr w14:paraId="02779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78491">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114C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3E59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A8956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召开人大代表会议2次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AA3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55763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9DD8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963B37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F623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65963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52F2CD0">
            <w:pPr>
              <w:jc w:val="center"/>
              <w:rPr>
                <w:rFonts w:hint="eastAsia" w:ascii="微软雅黑" w:hAnsi="微软雅黑" w:eastAsia="微软雅黑" w:cs="微软雅黑"/>
                <w:i/>
                <w:iCs/>
                <w:color w:val="000000"/>
                <w:sz w:val="16"/>
                <w:szCs w:val="16"/>
                <w:u w:val="none"/>
              </w:rPr>
            </w:pPr>
          </w:p>
        </w:tc>
      </w:tr>
      <w:tr w14:paraId="4B2B5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0FE8">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1A9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31CD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8CD72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对组织开展人大代表调研、视察、执法检查等活动满意度</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E55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C711C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A92B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0A21E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5E99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DD7F6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93A846">
            <w:pPr>
              <w:jc w:val="center"/>
              <w:rPr>
                <w:rFonts w:hint="eastAsia" w:ascii="微软雅黑" w:hAnsi="微软雅黑" w:eastAsia="微软雅黑" w:cs="微软雅黑"/>
                <w:i/>
                <w:iCs/>
                <w:color w:val="000000"/>
                <w:sz w:val="16"/>
                <w:szCs w:val="16"/>
                <w:u w:val="none"/>
              </w:rPr>
            </w:pPr>
          </w:p>
        </w:tc>
      </w:tr>
      <w:tr w14:paraId="0B585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7BFE2">
            <w:pPr>
              <w:jc w:val="center"/>
              <w:rPr>
                <w:rFonts w:hint="eastAsia" w:ascii="宋体" w:hAnsi="宋体" w:eastAsia="宋体" w:cs="宋体"/>
                <w:i w:val="0"/>
                <w:iCs w:val="0"/>
                <w:color w:val="000000"/>
                <w:sz w:val="18"/>
                <w:szCs w:val="18"/>
                <w:u w:val="none"/>
              </w:rPr>
            </w:pP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B92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2AE9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425F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劳务费10000元；电费及通讯费8500元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8F5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573A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18500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6A5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93FF54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18500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32EA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6BAD7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36DACE">
            <w:pPr>
              <w:jc w:val="center"/>
              <w:rPr>
                <w:rFonts w:hint="eastAsia" w:ascii="微软雅黑" w:hAnsi="微软雅黑" w:eastAsia="微软雅黑" w:cs="微软雅黑"/>
                <w:i/>
                <w:iCs/>
                <w:color w:val="000000"/>
                <w:sz w:val="16"/>
                <w:szCs w:val="16"/>
                <w:u w:val="none"/>
              </w:rPr>
            </w:pPr>
          </w:p>
        </w:tc>
      </w:tr>
      <w:tr w14:paraId="30A4A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703AD">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F2A6E">
            <w:pPr>
              <w:jc w:val="center"/>
              <w:rPr>
                <w:rFonts w:hint="eastAsia" w:ascii="宋体" w:hAnsi="宋体" w:eastAsia="宋体" w:cs="宋体"/>
                <w:i w:val="0"/>
                <w:iCs w:val="0"/>
                <w:color w:val="000000"/>
                <w:sz w:val="18"/>
                <w:szCs w:val="18"/>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33110">
            <w:pPr>
              <w:jc w:val="center"/>
              <w:rPr>
                <w:rFonts w:hint="eastAsia" w:ascii="宋体" w:hAnsi="宋体" w:eastAsia="宋体" w:cs="宋体"/>
                <w:i w:val="0"/>
                <w:iCs w:val="0"/>
                <w:color w:val="000000"/>
                <w:sz w:val="18"/>
                <w:szCs w:val="18"/>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20BB1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印刷人大相关宣传册3000本，共计15000元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B26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41C7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854C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E3601C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15000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2EDE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F1F83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AFBE4F">
            <w:pPr>
              <w:jc w:val="center"/>
              <w:rPr>
                <w:rFonts w:hint="eastAsia" w:ascii="微软雅黑" w:hAnsi="微软雅黑" w:eastAsia="微软雅黑" w:cs="微软雅黑"/>
                <w:i/>
                <w:iCs/>
                <w:color w:val="000000"/>
                <w:sz w:val="16"/>
                <w:szCs w:val="16"/>
                <w:u w:val="none"/>
              </w:rPr>
            </w:pPr>
          </w:p>
        </w:tc>
      </w:tr>
      <w:tr w14:paraId="1CA2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C4577">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A9404">
            <w:pPr>
              <w:jc w:val="center"/>
              <w:rPr>
                <w:rFonts w:hint="eastAsia" w:ascii="宋体" w:hAnsi="宋体" w:eastAsia="宋体" w:cs="宋体"/>
                <w:i w:val="0"/>
                <w:iCs w:val="0"/>
                <w:color w:val="000000"/>
                <w:sz w:val="18"/>
                <w:szCs w:val="18"/>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55683">
            <w:pPr>
              <w:jc w:val="center"/>
              <w:rPr>
                <w:rFonts w:hint="eastAsia" w:ascii="宋体" w:hAnsi="宋体" w:eastAsia="宋体" w:cs="宋体"/>
                <w:i w:val="0"/>
                <w:iCs w:val="0"/>
                <w:color w:val="000000"/>
                <w:sz w:val="18"/>
                <w:szCs w:val="18"/>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FAF3F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召开会议4次，预估会议费2万元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429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B6ECF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7AF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6235D2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CAA9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2F28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9BC22F">
            <w:pPr>
              <w:jc w:val="center"/>
              <w:rPr>
                <w:rFonts w:hint="eastAsia" w:ascii="微软雅黑" w:hAnsi="微软雅黑" w:eastAsia="微软雅黑" w:cs="微软雅黑"/>
                <w:i/>
                <w:iCs/>
                <w:color w:val="000000"/>
                <w:sz w:val="16"/>
                <w:szCs w:val="16"/>
                <w:u w:val="none"/>
              </w:rPr>
            </w:pPr>
          </w:p>
        </w:tc>
      </w:tr>
      <w:tr w14:paraId="5D5AA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4"/>
            <w:tcBorders>
              <w:top w:val="single" w:color="000000" w:sz="4" w:space="0"/>
              <w:left w:val="single" w:color="000000" w:sz="4" w:space="0"/>
              <w:bottom w:val="single" w:color="000000" w:sz="4" w:space="0"/>
              <w:right w:val="single" w:color="000000" w:sz="4" w:space="0"/>
            </w:tcBorders>
            <w:shd w:val="clear" w:color="auto" w:fill="auto"/>
            <w:vAlign w:val="center"/>
          </w:tcPr>
          <w:p w14:paraId="68D34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CC7D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152D1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B63072">
            <w:pPr>
              <w:rPr>
                <w:rFonts w:hint="eastAsia" w:ascii="宋体" w:hAnsi="宋体" w:eastAsia="宋体" w:cs="宋体"/>
                <w:i w:val="0"/>
                <w:iCs w:val="0"/>
                <w:color w:val="000000"/>
                <w:sz w:val="18"/>
                <w:szCs w:val="18"/>
                <w:u w:val="none"/>
              </w:rPr>
            </w:pPr>
          </w:p>
        </w:tc>
      </w:tr>
      <w:tr w14:paraId="4C851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D28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6A29BF5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乡镇人大代表经费有力支撑代表履职，通过保障监督视察、丰富活动形式，推动代表深入基层调研，促进乡镇民主决策与民生问题解决；同时助力代表联系群众，增强履职能力，密切了干群关系。</w:t>
            </w:r>
          </w:p>
        </w:tc>
      </w:tr>
      <w:tr w14:paraId="445AF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72" w:hRule="atLeast"/>
          <w:jc w:val="center"/>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DF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6E86061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当前经费存在投入不足、分配不均、管理不规范等问题。资金短缺限制履职深度，使用时存在 “重大型活动、轻日常履职” 现象；区域间投入差距大，经济薄弱地区活动受限；预算编制与监管不足，资金使用效率和透明度亟待提升。</w:t>
            </w:r>
          </w:p>
        </w:tc>
      </w:tr>
      <w:tr w14:paraId="21C0D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32A9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204FE0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当前经费存在投入不足、分配不均、管理不规范等问题。部分地区资金短缺限制履职深度，使用时存在 “重大型活动、轻日常履职” 现象；区域间投入差距大，经济薄弱地区活动受限；预算编制与监管不足，资金使用效率和透明度亟待提升。</w:t>
            </w:r>
          </w:p>
        </w:tc>
      </w:tr>
      <w:tr w14:paraId="1EBAF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1422E48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项目负责人：邹天豪</w:t>
            </w:r>
          </w:p>
        </w:tc>
        <w:tc>
          <w:tcPr>
            <w:tcW w:w="0" w:type="auto"/>
            <w:gridSpan w:val="68"/>
            <w:tcBorders>
              <w:top w:val="single" w:color="000000" w:sz="4" w:space="0"/>
              <w:left w:val="single" w:color="000000" w:sz="4" w:space="0"/>
              <w:bottom w:val="single" w:color="000000" w:sz="4" w:space="0"/>
              <w:right w:val="single" w:color="000000" w:sz="4" w:space="0"/>
            </w:tcBorders>
            <w:shd w:val="clear" w:color="auto" w:fill="auto"/>
            <w:vAlign w:val="center"/>
          </w:tcPr>
          <w:p w14:paraId="4A6AB89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0EF8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4CEC44EC">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68"/>
            <w:tcBorders>
              <w:top w:val="single" w:color="000000" w:sz="4" w:space="0"/>
              <w:left w:val="single" w:color="000000" w:sz="4" w:space="0"/>
              <w:bottom w:val="single" w:color="000000" w:sz="4" w:space="0"/>
              <w:right w:val="single" w:color="000000" w:sz="4" w:space="0"/>
            </w:tcBorders>
            <w:shd w:val="clear" w:color="auto" w:fill="auto"/>
            <w:vAlign w:val="center"/>
          </w:tcPr>
          <w:p w14:paraId="4BE3229B">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091C1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134C8171">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B357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D7B4C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2"/>
            <w:tcBorders>
              <w:top w:val="single" w:color="000000" w:sz="4" w:space="0"/>
              <w:left w:val="single" w:color="000000" w:sz="4" w:space="0"/>
              <w:bottom w:val="single" w:color="000000" w:sz="4" w:space="0"/>
              <w:right w:val="single" w:color="000000" w:sz="4" w:space="0"/>
            </w:tcBorders>
            <w:shd w:val="clear" w:color="auto" w:fill="auto"/>
            <w:vAlign w:val="center"/>
          </w:tcPr>
          <w:p w14:paraId="6D3518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51090424T000011119249-乡镇武装部工作经费（含征兵工作经费）（长期）</w:t>
            </w:r>
          </w:p>
        </w:tc>
      </w:tr>
      <w:tr w14:paraId="6F785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257A8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3DFFF1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4"/>
            <w:tcBorders>
              <w:top w:val="nil"/>
              <w:left w:val="nil"/>
              <w:bottom w:val="nil"/>
              <w:right w:val="nil"/>
            </w:tcBorders>
            <w:shd w:val="clear" w:color="auto" w:fill="auto"/>
            <w:vAlign w:val="center"/>
          </w:tcPr>
          <w:p w14:paraId="19F0F8E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2E3B67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2E716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573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963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38B5F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672EDDD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037F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5A3CB">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5DF70">
            <w:pPr>
              <w:rPr>
                <w:rFonts w:hint="eastAsia" w:ascii="宋体" w:hAnsi="宋体" w:eastAsia="宋体" w:cs="宋体"/>
                <w:i w:val="0"/>
                <w:iCs w:val="0"/>
                <w:color w:val="000000"/>
                <w:sz w:val="18"/>
                <w:szCs w:val="18"/>
                <w:u w:val="none"/>
              </w:rPr>
            </w:pP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2313BD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完成2024年民兵培训1次，40人次。完成2024年度征兵工作。完成国防宣传工作。完成战备、训练物资更新补充工作。</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6C74B47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完成2024年民兵培训1次，40人次。完成2024年度征兵工作。完成国防宣传工作。完成战备、训练物资更新补充工作。</w:t>
            </w:r>
          </w:p>
        </w:tc>
      </w:tr>
      <w:tr w14:paraId="67626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AED83">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C8B8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2"/>
            <w:tcBorders>
              <w:top w:val="single" w:color="000000" w:sz="4" w:space="0"/>
              <w:left w:val="single" w:color="000000" w:sz="4" w:space="0"/>
              <w:bottom w:val="single" w:color="000000" w:sz="4" w:space="0"/>
              <w:right w:val="single" w:color="000000" w:sz="4" w:space="0"/>
            </w:tcBorders>
            <w:shd w:val="clear" w:color="auto" w:fill="auto"/>
            <w:vAlign w:val="center"/>
          </w:tcPr>
          <w:p w14:paraId="157633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完成2024年民兵培训1次，40人次。完成2024年度征兵工作。完成国防宣传工作。完成战备、训练物资更新补充工作。</w:t>
            </w:r>
          </w:p>
        </w:tc>
      </w:tr>
      <w:tr w14:paraId="68A37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1F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A8E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BE9E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F7FB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2E4BE1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F8F5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B68B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16424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9CBE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F0A0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10EA7">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408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2FF7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10571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54C6D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D39E8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7FE7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6215F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B9A5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9BC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0F08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D69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C65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BECEC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7732CD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006D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69A8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FA3EB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FD522">
            <w:pPr>
              <w:rPr>
                <w:rFonts w:hint="eastAsia" w:ascii="黑体" w:hAnsi="黑体" w:eastAsia="黑体" w:cs="黑体"/>
                <w:i/>
                <w:iCs/>
                <w:color w:val="000000"/>
                <w:sz w:val="18"/>
                <w:szCs w:val="18"/>
                <w:u w:val="none"/>
              </w:rPr>
            </w:pPr>
          </w:p>
        </w:tc>
      </w:tr>
      <w:tr w14:paraId="2265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8BEA1">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E8AC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8F00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BFA0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173E4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9AC3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5327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A0E6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47F8E">
            <w:pPr>
              <w:rPr>
                <w:rFonts w:hint="eastAsia" w:ascii="黑体" w:hAnsi="黑体" w:eastAsia="黑体" w:cs="黑体"/>
                <w:i/>
                <w:iCs/>
                <w:color w:val="000000"/>
                <w:sz w:val="18"/>
                <w:szCs w:val="18"/>
                <w:u w:val="none"/>
              </w:rPr>
            </w:pPr>
          </w:p>
        </w:tc>
      </w:tr>
      <w:tr w14:paraId="5812F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7519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68E1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3CD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81880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33095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32D8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F0B3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057A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ADFEE">
            <w:pPr>
              <w:rPr>
                <w:rFonts w:hint="eastAsia" w:ascii="黑体" w:hAnsi="黑体" w:eastAsia="黑体" w:cs="黑体"/>
                <w:i/>
                <w:iCs/>
                <w:color w:val="000000"/>
                <w:sz w:val="18"/>
                <w:szCs w:val="18"/>
                <w:u w:val="none"/>
              </w:rPr>
            </w:pPr>
          </w:p>
        </w:tc>
      </w:tr>
      <w:tr w14:paraId="3BFC7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7D98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8398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B57DA4">
            <w:pPr>
              <w:jc w:val="center"/>
              <w:rPr>
                <w:rFonts w:hint="eastAsia" w:ascii="微软雅黑" w:hAnsi="微软雅黑" w:eastAsia="微软雅黑" w:cs="微软雅黑"/>
                <w:i/>
                <w:iCs/>
                <w:color w:val="000000"/>
                <w:sz w:val="16"/>
                <w:szCs w:val="16"/>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A00F2D0">
            <w:pPr>
              <w:jc w:val="center"/>
              <w:rPr>
                <w:rFonts w:hint="eastAsia" w:ascii="微软雅黑" w:hAnsi="微软雅黑" w:eastAsia="微软雅黑" w:cs="微软雅黑"/>
                <w:i/>
                <w:iCs/>
                <w:color w:val="000000"/>
                <w:sz w:val="16"/>
                <w:szCs w:val="16"/>
                <w:u w:val="none"/>
              </w:rPr>
            </w:pP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3C8FFABB">
            <w:pPr>
              <w:jc w:val="center"/>
              <w:rPr>
                <w:rFonts w:hint="eastAsia" w:ascii="微软雅黑" w:hAnsi="微软雅黑" w:eastAsia="微软雅黑" w:cs="微软雅黑"/>
                <w:i/>
                <w:iCs/>
                <w:color w:val="000000"/>
                <w:sz w:val="16"/>
                <w:szCs w:val="16"/>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18D3D79">
            <w:pPr>
              <w:jc w:val="center"/>
              <w:rPr>
                <w:rFonts w:hint="eastAsia" w:ascii="微软雅黑" w:hAnsi="微软雅黑" w:eastAsia="微软雅黑" w:cs="微软雅黑"/>
                <w:i/>
                <w:iCs/>
                <w:color w:val="000000"/>
                <w:sz w:val="16"/>
                <w:szCs w:val="16"/>
                <w:u w:val="none"/>
              </w:rPr>
            </w:pP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D85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6B7DF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C2833">
            <w:pPr>
              <w:rPr>
                <w:rFonts w:hint="eastAsia" w:ascii="黑体" w:hAnsi="黑体" w:eastAsia="黑体" w:cs="黑体"/>
                <w:i/>
                <w:iCs/>
                <w:color w:val="000000"/>
                <w:sz w:val="18"/>
                <w:szCs w:val="18"/>
                <w:u w:val="none"/>
              </w:rPr>
            </w:pPr>
          </w:p>
        </w:tc>
      </w:tr>
      <w:tr w14:paraId="74BA9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922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49F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E947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CD20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6FDC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63AF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05DD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F857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3DA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6DA18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02DE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FC47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0BFD5">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17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3CEF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A692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完成2024年民兵培训1次及征兵工作，作战能力显著增强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ADE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EB6B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B86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83C49E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A94D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B3143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1679043">
            <w:pPr>
              <w:jc w:val="center"/>
              <w:rPr>
                <w:rFonts w:hint="eastAsia" w:ascii="微软雅黑" w:hAnsi="微软雅黑" w:eastAsia="微软雅黑" w:cs="微软雅黑"/>
                <w:i/>
                <w:iCs/>
                <w:color w:val="000000"/>
                <w:sz w:val="16"/>
                <w:szCs w:val="16"/>
                <w:u w:val="none"/>
              </w:rPr>
            </w:pPr>
          </w:p>
        </w:tc>
      </w:tr>
      <w:tr w14:paraId="046A3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02318">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F12E1">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A323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35E8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40名民兵训练质量达到上级要求，作战能力显著增强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746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6F1B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2B3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C98126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6EBA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AC71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B33E51A">
            <w:pPr>
              <w:jc w:val="center"/>
              <w:rPr>
                <w:rFonts w:hint="eastAsia" w:ascii="微软雅黑" w:hAnsi="微软雅黑" w:eastAsia="微软雅黑" w:cs="微软雅黑"/>
                <w:i/>
                <w:iCs/>
                <w:color w:val="000000"/>
                <w:sz w:val="16"/>
                <w:szCs w:val="16"/>
                <w:u w:val="none"/>
              </w:rPr>
            </w:pPr>
          </w:p>
        </w:tc>
      </w:tr>
      <w:tr w14:paraId="33FA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93B01">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C936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779A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C21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8FF7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C8D8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E82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CDA67A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A30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59C2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6132BFB">
            <w:pPr>
              <w:jc w:val="center"/>
              <w:rPr>
                <w:rFonts w:hint="eastAsia" w:ascii="微软雅黑" w:hAnsi="微软雅黑" w:eastAsia="微软雅黑" w:cs="微软雅黑"/>
                <w:i/>
                <w:iCs/>
                <w:color w:val="000000"/>
                <w:sz w:val="16"/>
                <w:szCs w:val="16"/>
                <w:u w:val="none"/>
              </w:rPr>
            </w:pPr>
          </w:p>
        </w:tc>
      </w:tr>
      <w:tr w14:paraId="263C0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43682">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05B2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8D1B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D22F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治安环境得到明显改善，犯罪率有所降低</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9B3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2922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503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A6859D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AF377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DC7D7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6AC8249">
            <w:pPr>
              <w:jc w:val="center"/>
              <w:rPr>
                <w:rFonts w:hint="eastAsia" w:ascii="微软雅黑" w:hAnsi="微软雅黑" w:eastAsia="微软雅黑" w:cs="微软雅黑"/>
                <w:i/>
                <w:iCs/>
                <w:color w:val="000000"/>
                <w:sz w:val="16"/>
                <w:szCs w:val="16"/>
                <w:u w:val="none"/>
              </w:rPr>
            </w:pPr>
          </w:p>
        </w:tc>
      </w:tr>
      <w:tr w14:paraId="49D4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647B">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9364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BC39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47F6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参加训练人员满意度</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67D6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C4F8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11A0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0B13C7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1E2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16CB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714F354">
            <w:pPr>
              <w:jc w:val="center"/>
              <w:rPr>
                <w:rFonts w:hint="eastAsia" w:ascii="微软雅黑" w:hAnsi="微软雅黑" w:eastAsia="微软雅黑" w:cs="微软雅黑"/>
                <w:i/>
                <w:iCs/>
                <w:color w:val="000000"/>
                <w:sz w:val="16"/>
                <w:szCs w:val="16"/>
                <w:u w:val="none"/>
              </w:rPr>
            </w:pPr>
          </w:p>
        </w:tc>
      </w:tr>
      <w:tr w14:paraId="3326D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1ABA0">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5B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46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4EDA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完成2023年度征兵工作，预计需要差旅10000元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6186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2AD8B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F30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FF9FDE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582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0884B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E5431F9">
            <w:pPr>
              <w:jc w:val="center"/>
              <w:rPr>
                <w:rFonts w:hint="eastAsia" w:ascii="微软雅黑" w:hAnsi="微软雅黑" w:eastAsia="微软雅黑" w:cs="微软雅黑"/>
                <w:i/>
                <w:iCs/>
                <w:color w:val="000000"/>
                <w:sz w:val="16"/>
                <w:szCs w:val="16"/>
                <w:u w:val="none"/>
              </w:rPr>
            </w:pPr>
          </w:p>
        </w:tc>
      </w:tr>
      <w:tr w14:paraId="778FB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B6F39">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65442">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AE4D6">
            <w:pPr>
              <w:jc w:val="center"/>
              <w:rPr>
                <w:rFonts w:hint="eastAsia" w:ascii="宋体" w:hAnsi="宋体" w:eastAsia="宋体" w:cs="宋体"/>
                <w:i w:val="0"/>
                <w:iCs w:val="0"/>
                <w:color w:val="000000"/>
                <w:sz w:val="18"/>
                <w:szCs w:val="18"/>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AF75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完成征兵工作资料印刷，预计1万元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12B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1B05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6CC8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CD1D9D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1DFC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D9360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D62EF93">
            <w:pPr>
              <w:jc w:val="center"/>
              <w:rPr>
                <w:rFonts w:hint="eastAsia" w:ascii="微软雅黑" w:hAnsi="微软雅黑" w:eastAsia="微软雅黑" w:cs="微软雅黑"/>
                <w:i/>
                <w:iCs/>
                <w:color w:val="000000"/>
                <w:sz w:val="16"/>
                <w:szCs w:val="16"/>
                <w:u w:val="none"/>
              </w:rPr>
            </w:pPr>
          </w:p>
        </w:tc>
      </w:tr>
      <w:tr w14:paraId="33B52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79"/>
            <w:tcBorders>
              <w:top w:val="single" w:color="000000" w:sz="4" w:space="0"/>
              <w:left w:val="single" w:color="000000" w:sz="4" w:space="0"/>
              <w:bottom w:val="single" w:color="000000" w:sz="4" w:space="0"/>
              <w:right w:val="single" w:color="000000" w:sz="4" w:space="0"/>
            </w:tcBorders>
            <w:shd w:val="clear" w:color="auto" w:fill="auto"/>
            <w:vAlign w:val="center"/>
          </w:tcPr>
          <w:p w14:paraId="50225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A6B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CF9EEB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97BA316">
            <w:pPr>
              <w:rPr>
                <w:rFonts w:hint="eastAsia" w:ascii="宋体" w:hAnsi="宋体" w:eastAsia="宋体" w:cs="宋体"/>
                <w:i w:val="0"/>
                <w:iCs w:val="0"/>
                <w:color w:val="000000"/>
                <w:sz w:val="18"/>
                <w:szCs w:val="18"/>
                <w:u w:val="none"/>
              </w:rPr>
            </w:pPr>
          </w:p>
        </w:tc>
      </w:tr>
      <w:tr w14:paraId="5EAD2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157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558CA4D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镇武装部工作经费为日常军事训练、民兵整组、国防教育等工作提供了必要支持。资金用于购置训练器材、维护装备设施，保障民兵军事训练常态化开展，提升民兵队伍应急应战能力。同时，经费支持开展国防教育宣传活动，通过制作宣传展板、举办国防知识讲座等形式，增强群众国防意识，营造崇军尚武的良好氛围，为国防动员工作筑牢思想根基。</w:t>
            </w:r>
          </w:p>
        </w:tc>
      </w:tr>
      <w:tr w14:paraId="38553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4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2DFD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658483A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国防动员工作任务日益繁重，对乡镇武装部工作经费的需求不断增加，但财政投入有限。在军事训练器材更新、信息化建设、征兵宣传创新等方面资金短缺，导致训练条件简陋、宣传手段单一，制约了武装工作和征兵工作高质量发展。在经费使用过程中，存在资金分配不均衡的问题。大量经费用于日常办公开支，而对军事训练、征兵宣传创新、民兵应急分队建设等重点工作投入较少。</w:t>
            </w:r>
          </w:p>
        </w:tc>
      </w:tr>
      <w:tr w14:paraId="280C9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6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1F40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57477C1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乡镇武装工作的重视程度，加大财政资金投入力度，建立稳定的经费增长机制。同时，积极探索多元化筹资方式，鼓励企业、社会组织通过赞助、捐赠等方式支持国防教育、民兵建设等项目，拓宽资金来源，缓解经费压力。结合乡镇武装工作实际需求，科学制定经费分配方案。优先保障军事训练、征兵工作、民兵应急分队建设等重点领域资金需求，合理安排办公开支等一般性支出。根据不同阶段武装工作任务变化，及时优化资金使用方向。</w:t>
            </w:r>
          </w:p>
        </w:tc>
      </w:tr>
      <w:tr w14:paraId="114EB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5DA2F90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项目负责人：陈尚利</w:t>
            </w:r>
          </w:p>
        </w:tc>
        <w:tc>
          <w:tcPr>
            <w:tcW w:w="0" w:type="auto"/>
            <w:gridSpan w:val="73"/>
            <w:tcBorders>
              <w:top w:val="single" w:color="000000" w:sz="4" w:space="0"/>
              <w:left w:val="single" w:color="000000" w:sz="4" w:space="0"/>
              <w:bottom w:val="single" w:color="000000" w:sz="4" w:space="0"/>
              <w:right w:val="single" w:color="000000" w:sz="4" w:space="0"/>
            </w:tcBorders>
            <w:shd w:val="clear" w:color="auto" w:fill="auto"/>
            <w:vAlign w:val="center"/>
          </w:tcPr>
          <w:p w14:paraId="625204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7BF2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3"/>
            <w:tcBorders>
              <w:top w:val="single" w:color="000000" w:sz="4" w:space="0"/>
              <w:left w:val="single" w:color="000000" w:sz="4" w:space="0"/>
              <w:bottom w:val="single" w:color="000000" w:sz="4" w:space="0"/>
              <w:right w:val="single" w:color="000000" w:sz="4" w:space="0"/>
            </w:tcBorders>
            <w:shd w:val="clear" w:color="auto" w:fill="auto"/>
            <w:vAlign w:val="center"/>
          </w:tcPr>
          <w:p w14:paraId="2F3721B3">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3"/>
            <w:tcBorders>
              <w:top w:val="single" w:color="000000" w:sz="4" w:space="0"/>
              <w:left w:val="single" w:color="000000" w:sz="4" w:space="0"/>
              <w:bottom w:val="single" w:color="000000" w:sz="4" w:space="0"/>
              <w:right w:val="single" w:color="000000" w:sz="4" w:space="0"/>
            </w:tcBorders>
            <w:shd w:val="clear" w:color="auto" w:fill="auto"/>
            <w:vAlign w:val="center"/>
          </w:tcPr>
          <w:p w14:paraId="16439B7A">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4EB51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23D1A59A">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512A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437E5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2"/>
            <w:tcBorders>
              <w:top w:val="single" w:color="000000" w:sz="4" w:space="0"/>
              <w:left w:val="single" w:color="000000" w:sz="4" w:space="0"/>
              <w:bottom w:val="single" w:color="000000" w:sz="4" w:space="0"/>
              <w:right w:val="single" w:color="000000" w:sz="4" w:space="0"/>
            </w:tcBorders>
            <w:shd w:val="clear" w:color="auto" w:fill="auto"/>
            <w:vAlign w:val="center"/>
          </w:tcPr>
          <w:p w14:paraId="475E8B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51090424T000011119257-政协委员视察经费（长期）</w:t>
            </w:r>
          </w:p>
        </w:tc>
      </w:tr>
      <w:tr w14:paraId="228A1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820F6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7672C1A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064B9DA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6"/>
            <w:tcBorders>
              <w:top w:val="single" w:color="000000" w:sz="4" w:space="0"/>
              <w:left w:val="single" w:color="000000" w:sz="4" w:space="0"/>
              <w:bottom w:val="single" w:color="000000" w:sz="4" w:space="0"/>
              <w:right w:val="single" w:color="000000" w:sz="4" w:space="0"/>
            </w:tcBorders>
            <w:shd w:val="clear" w:color="auto" w:fill="auto"/>
            <w:vAlign w:val="center"/>
          </w:tcPr>
          <w:p w14:paraId="369A07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235F0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9127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7A0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516E50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2FA23D6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F09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02FA9">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73F0A">
            <w:pPr>
              <w:rPr>
                <w:rFonts w:hint="eastAsia" w:ascii="宋体" w:hAnsi="宋体" w:eastAsia="宋体" w:cs="宋体"/>
                <w:i w:val="0"/>
                <w:iCs w:val="0"/>
                <w:color w:val="000000"/>
                <w:sz w:val="18"/>
                <w:szCs w:val="18"/>
                <w:u w:val="none"/>
              </w:rPr>
            </w:pP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203251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完成2024年政协委员视察工作，政协委员参政议政权力得到保障，提出有效建议得到采纳。</w:t>
            </w:r>
          </w:p>
        </w:tc>
        <w:tc>
          <w:tcPr>
            <w:tcW w:w="0" w:type="auto"/>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5A2DD4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完成2024年政协委员视察工作，政协委员参政议政权力得到保障，提出有效建议得到采纳。</w:t>
            </w:r>
          </w:p>
        </w:tc>
      </w:tr>
      <w:tr w14:paraId="01C6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CFE8B">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66AD2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2"/>
            <w:tcBorders>
              <w:top w:val="single" w:color="000000" w:sz="4" w:space="0"/>
              <w:left w:val="single" w:color="000000" w:sz="4" w:space="0"/>
              <w:bottom w:val="single" w:color="000000" w:sz="4" w:space="0"/>
              <w:right w:val="single" w:color="000000" w:sz="4" w:space="0"/>
            </w:tcBorders>
            <w:shd w:val="clear" w:color="auto" w:fill="auto"/>
            <w:vAlign w:val="center"/>
          </w:tcPr>
          <w:p w14:paraId="068C75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完成2024年政协委员视察工作，政协委员参政议政权力得到保障，提出有效建议得到采纳。</w:t>
            </w:r>
          </w:p>
        </w:tc>
      </w:tr>
      <w:tr w14:paraId="07B5D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1C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6E91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53B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2F09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0ABEB1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A390D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6CD9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F6CC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527C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78D4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A56A2">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626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1455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283A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61A5D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957A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FDD4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878D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49F1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7C09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8AFAB">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5FA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33F6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502CB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68567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DA717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D605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604D2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3973D">
            <w:pPr>
              <w:rPr>
                <w:rFonts w:hint="eastAsia" w:ascii="黑体" w:hAnsi="黑体" w:eastAsia="黑体" w:cs="黑体"/>
                <w:i/>
                <w:iCs/>
                <w:color w:val="000000"/>
                <w:sz w:val="18"/>
                <w:szCs w:val="18"/>
                <w:u w:val="none"/>
              </w:rPr>
            </w:pPr>
          </w:p>
        </w:tc>
      </w:tr>
      <w:tr w14:paraId="6A855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706A">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E908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CD28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F1F7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08331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6009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4BD4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9477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2EE29">
            <w:pPr>
              <w:rPr>
                <w:rFonts w:hint="eastAsia" w:ascii="黑体" w:hAnsi="黑体" w:eastAsia="黑体" w:cs="黑体"/>
                <w:i/>
                <w:iCs/>
                <w:color w:val="000000"/>
                <w:sz w:val="18"/>
                <w:szCs w:val="18"/>
                <w:u w:val="none"/>
              </w:rPr>
            </w:pPr>
          </w:p>
        </w:tc>
      </w:tr>
      <w:tr w14:paraId="7FCC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5DE30">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6C58F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047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7F2D3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7790B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5529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1BCA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19FB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201B3">
            <w:pPr>
              <w:rPr>
                <w:rFonts w:hint="eastAsia" w:ascii="黑体" w:hAnsi="黑体" w:eastAsia="黑体" w:cs="黑体"/>
                <w:i/>
                <w:iCs/>
                <w:color w:val="000000"/>
                <w:sz w:val="18"/>
                <w:szCs w:val="18"/>
                <w:u w:val="none"/>
              </w:rPr>
            </w:pPr>
          </w:p>
        </w:tc>
      </w:tr>
      <w:tr w14:paraId="7595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7F7D6">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62D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38F9D4">
            <w:pPr>
              <w:jc w:val="center"/>
              <w:rPr>
                <w:rFonts w:hint="eastAsia" w:ascii="微软雅黑" w:hAnsi="微软雅黑" w:eastAsia="微软雅黑" w:cs="微软雅黑"/>
                <w:i/>
                <w:iCs/>
                <w:color w:val="000000"/>
                <w:sz w:val="16"/>
                <w:szCs w:val="16"/>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729D949">
            <w:pPr>
              <w:jc w:val="center"/>
              <w:rPr>
                <w:rFonts w:hint="eastAsia" w:ascii="微软雅黑" w:hAnsi="微软雅黑" w:eastAsia="微软雅黑" w:cs="微软雅黑"/>
                <w:i/>
                <w:iCs/>
                <w:color w:val="000000"/>
                <w:sz w:val="16"/>
                <w:szCs w:val="16"/>
                <w:u w:val="none"/>
              </w:rPr>
            </w:pP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155633AD">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433E09D">
            <w:pPr>
              <w:jc w:val="center"/>
              <w:rPr>
                <w:rFonts w:hint="eastAsia" w:ascii="微软雅黑" w:hAnsi="微软雅黑" w:eastAsia="微软雅黑" w:cs="微软雅黑"/>
                <w:i/>
                <w:iCs/>
                <w:color w:val="000000"/>
                <w:sz w:val="16"/>
                <w:szCs w:val="16"/>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F0F2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44830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B3A6C">
            <w:pPr>
              <w:rPr>
                <w:rFonts w:hint="eastAsia" w:ascii="黑体" w:hAnsi="黑体" w:eastAsia="黑体" w:cs="黑体"/>
                <w:i/>
                <w:iCs/>
                <w:color w:val="000000"/>
                <w:sz w:val="18"/>
                <w:szCs w:val="18"/>
                <w:u w:val="none"/>
              </w:rPr>
            </w:pPr>
          </w:p>
        </w:tc>
      </w:tr>
      <w:tr w14:paraId="70073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248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BD1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8825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B339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6561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70573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48F2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0085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89FB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19D6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9731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96A7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98471">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0B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83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E2B69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完成2024年政协委员视察工作4次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CE3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630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5C5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8B9CAE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715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484F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C83BA21">
            <w:pPr>
              <w:jc w:val="center"/>
              <w:rPr>
                <w:rFonts w:hint="eastAsia" w:ascii="微软雅黑" w:hAnsi="微软雅黑" w:eastAsia="微软雅黑" w:cs="微软雅黑"/>
                <w:i/>
                <w:iCs/>
                <w:color w:val="000000"/>
                <w:sz w:val="16"/>
                <w:szCs w:val="16"/>
                <w:u w:val="none"/>
              </w:rPr>
            </w:pPr>
          </w:p>
        </w:tc>
      </w:tr>
      <w:tr w14:paraId="74AB8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F9F69">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75EB">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A9C78">
            <w:pPr>
              <w:jc w:val="cente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D1618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提出有关我镇执政有效建议5条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D4E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DD10E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CBF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条</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2242C0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8430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6AB5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FFC4819">
            <w:pPr>
              <w:jc w:val="center"/>
              <w:rPr>
                <w:rFonts w:hint="eastAsia" w:ascii="微软雅黑" w:hAnsi="微软雅黑" w:eastAsia="微软雅黑" w:cs="微软雅黑"/>
                <w:i/>
                <w:iCs/>
                <w:color w:val="000000"/>
                <w:sz w:val="16"/>
                <w:szCs w:val="16"/>
                <w:u w:val="none"/>
              </w:rPr>
            </w:pPr>
          </w:p>
        </w:tc>
      </w:tr>
      <w:tr w14:paraId="496FA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836DC">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48D1D">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17C0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93FEA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政协委员考核通过率为98%</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F7F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5FD1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BC7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4CCB3D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882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D0662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E645205">
            <w:pPr>
              <w:jc w:val="center"/>
              <w:rPr>
                <w:rFonts w:hint="eastAsia" w:ascii="微软雅黑" w:hAnsi="微软雅黑" w:eastAsia="微软雅黑" w:cs="微软雅黑"/>
                <w:i/>
                <w:iCs/>
                <w:color w:val="000000"/>
                <w:sz w:val="16"/>
                <w:szCs w:val="16"/>
                <w:u w:val="none"/>
              </w:rPr>
            </w:pPr>
          </w:p>
        </w:tc>
      </w:tr>
      <w:tr w14:paraId="49927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A101D">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3DA8B">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F55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DC0C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A2D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F20A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46F1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068AFC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9BDFE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20762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D470531">
            <w:pPr>
              <w:jc w:val="center"/>
              <w:rPr>
                <w:rFonts w:hint="eastAsia" w:ascii="微软雅黑" w:hAnsi="微软雅黑" w:eastAsia="微软雅黑" w:cs="微软雅黑"/>
                <w:i/>
                <w:iCs/>
                <w:color w:val="000000"/>
                <w:sz w:val="16"/>
                <w:szCs w:val="16"/>
                <w:u w:val="none"/>
              </w:rPr>
            </w:pPr>
          </w:p>
        </w:tc>
      </w:tr>
      <w:tr w14:paraId="7523D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894B6">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7C1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37FD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6E74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政协委员参政议政权力得到保障，提出有关我镇执政有效建议5条。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EB59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5221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FE5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8F1028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579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FED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590F463">
            <w:pPr>
              <w:jc w:val="center"/>
              <w:rPr>
                <w:rFonts w:hint="eastAsia" w:ascii="微软雅黑" w:hAnsi="微软雅黑" w:eastAsia="微软雅黑" w:cs="微软雅黑"/>
                <w:i/>
                <w:iCs/>
                <w:color w:val="000000"/>
                <w:sz w:val="16"/>
                <w:szCs w:val="16"/>
                <w:u w:val="none"/>
              </w:rPr>
            </w:pPr>
          </w:p>
        </w:tc>
      </w:tr>
      <w:tr w14:paraId="5680A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BC97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B67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7E23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D2B0B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提高政协委员对参政议政满意度</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20D05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E085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CAF0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F8A256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B26E5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CFD2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2701A6F">
            <w:pPr>
              <w:jc w:val="center"/>
              <w:rPr>
                <w:rFonts w:hint="eastAsia" w:ascii="微软雅黑" w:hAnsi="微软雅黑" w:eastAsia="微软雅黑" w:cs="微软雅黑"/>
                <w:i/>
                <w:iCs/>
                <w:color w:val="000000"/>
                <w:sz w:val="16"/>
                <w:szCs w:val="16"/>
                <w:u w:val="none"/>
              </w:rPr>
            </w:pPr>
          </w:p>
        </w:tc>
      </w:tr>
      <w:tr w14:paraId="0148A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8A691">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9E8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7A4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CE1F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办公费一年共计10000元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EC4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2AA9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5DAE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54F672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172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086E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F3101FE">
            <w:pPr>
              <w:jc w:val="center"/>
              <w:rPr>
                <w:rFonts w:hint="eastAsia" w:ascii="微软雅黑" w:hAnsi="微软雅黑" w:eastAsia="微软雅黑" w:cs="微软雅黑"/>
                <w:i/>
                <w:iCs/>
                <w:color w:val="000000"/>
                <w:sz w:val="16"/>
                <w:szCs w:val="16"/>
                <w:u w:val="none"/>
              </w:rPr>
            </w:pPr>
          </w:p>
        </w:tc>
      </w:tr>
      <w:tr w14:paraId="445B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0"/>
            <w:tcBorders>
              <w:top w:val="single" w:color="000000" w:sz="4" w:space="0"/>
              <w:left w:val="single" w:color="000000" w:sz="4" w:space="0"/>
              <w:bottom w:val="single" w:color="000000" w:sz="4" w:space="0"/>
              <w:right w:val="single" w:color="000000" w:sz="4" w:space="0"/>
            </w:tcBorders>
            <w:shd w:val="clear" w:color="auto" w:fill="auto"/>
            <w:vAlign w:val="center"/>
          </w:tcPr>
          <w:p w14:paraId="5F7DF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D2B2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551EFCE">
            <w:pPr>
              <w:rPr>
                <w:rFonts w:hint="eastAsia" w:ascii="宋体" w:hAnsi="宋体" w:eastAsia="宋体" w:cs="宋体"/>
                <w:i w:val="0"/>
                <w:iCs w:val="0"/>
                <w:color w:val="000000"/>
                <w:sz w:val="18"/>
                <w:szCs w:val="18"/>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4A1A950">
            <w:pPr>
              <w:rPr>
                <w:rFonts w:hint="eastAsia" w:ascii="宋体" w:hAnsi="宋体" w:eastAsia="宋体" w:cs="宋体"/>
                <w:i w:val="0"/>
                <w:iCs w:val="0"/>
                <w:color w:val="000000"/>
                <w:sz w:val="18"/>
                <w:szCs w:val="18"/>
                <w:u w:val="none"/>
              </w:rPr>
            </w:pPr>
          </w:p>
        </w:tc>
      </w:tr>
      <w:tr w14:paraId="23179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B7CC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2BCD760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政协委员视察经费为各类专项视察、专题调研提供了坚实的资金保障。资金用于支持委员深入基层、企业、项目一线，针对经济发展、民生改善、政策落实等重点领域开展实地考察。通过经费保障交通、资料收集、专家咨询等工作，委员们得以全面、深入了解实际情况，及时发现问题并提出有针对性的意见和建议，有效推动相关部门改进工作，增强了民主监督的实效性。</w:t>
            </w:r>
          </w:p>
        </w:tc>
      </w:tr>
      <w:tr w14:paraId="6A8A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8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E9B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64F0574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经济社会发展和政协工作任务的拓展，对视察经费的需求不断增加，但财政对政协委员视察经费投入有限。在开展大型专题调研、跨区域联合视察、引入专业评估等工作时，因资金短缺导致调研范围受限、深度不足，影响了委员履职的全面性和深入性，制约了政协工作高质量发展。在经费使用过程中，存在资金分配不均衡的问题。大量经费用于日常办公和一般性视察活动，而对战略性课题研究、民生热点难点问题专项调研等重点工作支持不足。</w:t>
            </w:r>
          </w:p>
        </w:tc>
      </w:tr>
      <w:tr w14:paraId="64A0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6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E7C7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6D9B622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充分认识政协工作的重要性，加大对政协委员视察经费的财政支持力度，建立稳定的经费增长机制。同时，积极探索多元化筹资方式，鼓励企业、社会组织通过赞助、合作等方式支持政协重点调研课题，设立政协工作专项基金，拓宽资金来源，满足日益增长的履职需求。科学制定经费分配方案。优先保障战略性课题研究、民生热点问题调研、重点领域监督等重点工作的资金需求，合理安排日常办公和一般性视察活动经费。</w:t>
            </w:r>
          </w:p>
        </w:tc>
      </w:tr>
      <w:tr w14:paraId="55ACD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1BFD538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项目负责人：刘颖</w:t>
            </w:r>
          </w:p>
        </w:tc>
        <w:tc>
          <w:tcPr>
            <w:tcW w:w="0" w:type="auto"/>
            <w:gridSpan w:val="71"/>
            <w:tcBorders>
              <w:top w:val="single" w:color="000000" w:sz="4" w:space="0"/>
              <w:left w:val="single" w:color="000000" w:sz="4" w:space="0"/>
              <w:bottom w:val="single" w:color="000000" w:sz="4" w:space="0"/>
              <w:right w:val="single" w:color="000000" w:sz="4" w:space="0"/>
            </w:tcBorders>
            <w:shd w:val="clear" w:color="auto" w:fill="auto"/>
            <w:vAlign w:val="center"/>
          </w:tcPr>
          <w:p w14:paraId="5147D7E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5DBB0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198F7250">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1"/>
            <w:tcBorders>
              <w:top w:val="single" w:color="000000" w:sz="4" w:space="0"/>
              <w:left w:val="single" w:color="000000" w:sz="4" w:space="0"/>
              <w:bottom w:val="single" w:color="000000" w:sz="4" w:space="0"/>
              <w:right w:val="single" w:color="000000" w:sz="4" w:space="0"/>
            </w:tcBorders>
            <w:shd w:val="clear" w:color="auto" w:fill="auto"/>
            <w:vAlign w:val="center"/>
          </w:tcPr>
          <w:p w14:paraId="7BB25745">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0CBC5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13D18640">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A14B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BD6FA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1"/>
            <w:tcBorders>
              <w:top w:val="single" w:color="000000" w:sz="4" w:space="0"/>
              <w:left w:val="single" w:color="000000" w:sz="4" w:space="0"/>
              <w:bottom w:val="single" w:color="000000" w:sz="4" w:space="0"/>
              <w:right w:val="single" w:color="000000" w:sz="4" w:space="0"/>
            </w:tcBorders>
            <w:shd w:val="clear" w:color="auto" w:fill="auto"/>
            <w:vAlign w:val="center"/>
          </w:tcPr>
          <w:p w14:paraId="47003D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51090424T000011119281-驻村工作队工作经费（长期）</w:t>
            </w:r>
          </w:p>
        </w:tc>
      </w:tr>
      <w:tr w14:paraId="2F2D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6076C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0E7A18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7DF01752">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7"/>
            <w:tcBorders>
              <w:top w:val="single" w:color="000000" w:sz="4" w:space="0"/>
              <w:left w:val="single" w:color="000000" w:sz="4" w:space="0"/>
              <w:bottom w:val="single" w:color="000000" w:sz="4" w:space="0"/>
              <w:right w:val="single" w:color="000000" w:sz="4" w:space="0"/>
            </w:tcBorders>
            <w:shd w:val="clear" w:color="auto" w:fill="auto"/>
            <w:vAlign w:val="center"/>
          </w:tcPr>
          <w:p w14:paraId="6E7A68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71B6A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96B9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245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05539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2"/>
            <w:tcBorders>
              <w:top w:val="single" w:color="000000" w:sz="4" w:space="0"/>
              <w:left w:val="single" w:color="000000" w:sz="4" w:space="0"/>
              <w:bottom w:val="single" w:color="000000" w:sz="4" w:space="0"/>
              <w:right w:val="single" w:color="000000" w:sz="4" w:space="0"/>
            </w:tcBorders>
            <w:shd w:val="clear" w:color="auto" w:fill="auto"/>
            <w:vAlign w:val="center"/>
          </w:tcPr>
          <w:p w14:paraId="7D9C9C9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8347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8D600">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FCF5">
            <w:pPr>
              <w:rPr>
                <w:rFonts w:hint="eastAsia" w:ascii="宋体" w:hAnsi="宋体" w:eastAsia="宋体" w:cs="宋体"/>
                <w:i w:val="0"/>
                <w:iCs w:val="0"/>
                <w:color w:val="000000"/>
                <w:sz w:val="18"/>
                <w:szCs w:val="18"/>
                <w:u w:val="none"/>
              </w:rPr>
            </w:pP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73C8DA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完成8个驻村工作队所驻村工作经费，每个村1.5万元，包括6个贫困村和2个乡村振兴村，共计12万元</w:t>
            </w:r>
          </w:p>
        </w:tc>
        <w:tc>
          <w:tcPr>
            <w:tcW w:w="0" w:type="auto"/>
            <w:gridSpan w:val="52"/>
            <w:tcBorders>
              <w:top w:val="single" w:color="000000" w:sz="4" w:space="0"/>
              <w:left w:val="single" w:color="000000" w:sz="4" w:space="0"/>
              <w:bottom w:val="single" w:color="000000" w:sz="4" w:space="0"/>
              <w:right w:val="single" w:color="000000" w:sz="4" w:space="0"/>
            </w:tcBorders>
            <w:shd w:val="clear" w:color="auto" w:fill="auto"/>
            <w:vAlign w:val="center"/>
          </w:tcPr>
          <w:p w14:paraId="14AFEF5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完成8个驻村工作队所驻村工作经费，每个村1.5万元，包括6个贫困村和2个乡村振兴村，共计12万元</w:t>
            </w:r>
          </w:p>
        </w:tc>
      </w:tr>
      <w:tr w14:paraId="0916C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AB824">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B8D1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1"/>
            <w:tcBorders>
              <w:top w:val="single" w:color="000000" w:sz="4" w:space="0"/>
              <w:left w:val="single" w:color="000000" w:sz="4" w:space="0"/>
              <w:bottom w:val="single" w:color="000000" w:sz="4" w:space="0"/>
              <w:right w:val="single" w:color="000000" w:sz="4" w:space="0"/>
            </w:tcBorders>
            <w:shd w:val="clear" w:color="auto" w:fill="auto"/>
            <w:vAlign w:val="center"/>
          </w:tcPr>
          <w:p w14:paraId="1A61A9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完成8个驻村工作队所驻村工作经费，每个村1.5万元，包括6个贫困村和2个乡村振兴村，共计12万元</w:t>
            </w:r>
          </w:p>
        </w:tc>
      </w:tr>
      <w:tr w14:paraId="518B6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81D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0604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700B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DC29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29F09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9882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0C49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C41A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B60BA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102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BD6A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E0AD4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F45D6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3A1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26747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20864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763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99FE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2DFD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2A0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E5C5F">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7A6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0E5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85B3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63EB3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0E7C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CF5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E4CA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41A16">
            <w:pPr>
              <w:rPr>
                <w:rFonts w:hint="eastAsia" w:ascii="黑体" w:hAnsi="黑体" w:eastAsia="黑体" w:cs="黑体"/>
                <w:i/>
                <w:iCs/>
                <w:color w:val="000000"/>
                <w:sz w:val="18"/>
                <w:szCs w:val="18"/>
                <w:u w:val="none"/>
              </w:rPr>
            </w:pPr>
          </w:p>
        </w:tc>
      </w:tr>
      <w:tr w14:paraId="7DD46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C021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EA9E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3D354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0371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11EBE5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8F95D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DC5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5F43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FF818">
            <w:pPr>
              <w:rPr>
                <w:rFonts w:hint="eastAsia" w:ascii="黑体" w:hAnsi="黑体" w:eastAsia="黑体" w:cs="黑体"/>
                <w:i/>
                <w:iCs/>
                <w:color w:val="000000"/>
                <w:sz w:val="18"/>
                <w:szCs w:val="18"/>
                <w:u w:val="none"/>
              </w:rPr>
            </w:pPr>
          </w:p>
        </w:tc>
      </w:tr>
      <w:tr w14:paraId="7FA0F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5364E">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58F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2278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CD2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1BFE4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8AA8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B64F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17499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EB882">
            <w:pPr>
              <w:rPr>
                <w:rFonts w:hint="eastAsia" w:ascii="黑体" w:hAnsi="黑体" w:eastAsia="黑体" w:cs="黑体"/>
                <w:i/>
                <w:iCs/>
                <w:color w:val="000000"/>
                <w:sz w:val="18"/>
                <w:szCs w:val="18"/>
                <w:u w:val="none"/>
              </w:rPr>
            </w:pPr>
          </w:p>
        </w:tc>
      </w:tr>
      <w:tr w14:paraId="1580C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8C837">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548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5404D11">
            <w:pPr>
              <w:jc w:val="center"/>
              <w:rPr>
                <w:rFonts w:hint="eastAsia" w:ascii="微软雅黑" w:hAnsi="微软雅黑" w:eastAsia="微软雅黑" w:cs="微软雅黑"/>
                <w:i/>
                <w:iCs/>
                <w:color w:val="000000"/>
                <w:sz w:val="16"/>
                <w:szCs w:val="16"/>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C62B8EB">
            <w:pPr>
              <w:jc w:val="center"/>
              <w:rPr>
                <w:rFonts w:hint="eastAsia" w:ascii="微软雅黑" w:hAnsi="微软雅黑" w:eastAsia="微软雅黑" w:cs="微软雅黑"/>
                <w:i/>
                <w:iCs/>
                <w:color w:val="000000"/>
                <w:sz w:val="16"/>
                <w:szCs w:val="16"/>
                <w:u w:val="none"/>
              </w:rPr>
            </w:pPr>
          </w:p>
        </w:tc>
        <w:tc>
          <w:tcPr>
            <w:tcW w:w="0" w:type="auto"/>
            <w:gridSpan w:val="30"/>
            <w:tcBorders>
              <w:top w:val="single" w:color="000000" w:sz="4" w:space="0"/>
              <w:left w:val="single" w:color="000000" w:sz="4" w:space="0"/>
              <w:bottom w:val="single" w:color="000000" w:sz="4" w:space="0"/>
              <w:right w:val="single" w:color="000000" w:sz="4" w:space="0"/>
            </w:tcBorders>
            <w:shd w:val="clear" w:color="auto" w:fill="auto"/>
            <w:vAlign w:val="center"/>
          </w:tcPr>
          <w:p w14:paraId="7FCD8012">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8631BC2">
            <w:pPr>
              <w:jc w:val="center"/>
              <w:rPr>
                <w:rFonts w:hint="eastAsia" w:ascii="微软雅黑" w:hAnsi="微软雅黑" w:eastAsia="微软雅黑" w:cs="微软雅黑"/>
                <w:i/>
                <w:iCs/>
                <w:color w:val="000000"/>
                <w:sz w:val="16"/>
                <w:szCs w:val="16"/>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702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D0AE6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CF63C">
            <w:pPr>
              <w:rPr>
                <w:rFonts w:hint="eastAsia" w:ascii="黑体" w:hAnsi="黑体" w:eastAsia="黑体" w:cs="黑体"/>
                <w:i/>
                <w:iCs/>
                <w:color w:val="000000"/>
                <w:sz w:val="18"/>
                <w:szCs w:val="18"/>
                <w:u w:val="none"/>
              </w:rPr>
            </w:pPr>
          </w:p>
        </w:tc>
      </w:tr>
      <w:tr w14:paraId="0E137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94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297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EF9E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FA45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3CA3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21D0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550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F92FD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DB51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944E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6E84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6F1E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B9F70">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4F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F172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5DE0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6个贫困村及2个乡村振兴村工作经费</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4DD3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8A27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26E3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5C1F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7683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53CB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B9E8EA1">
            <w:pPr>
              <w:jc w:val="center"/>
              <w:rPr>
                <w:rFonts w:hint="eastAsia" w:ascii="微软雅黑" w:hAnsi="微软雅黑" w:eastAsia="微软雅黑" w:cs="微软雅黑"/>
                <w:i/>
                <w:iCs/>
                <w:color w:val="000000"/>
                <w:sz w:val="16"/>
                <w:szCs w:val="16"/>
                <w:u w:val="none"/>
              </w:rPr>
            </w:pPr>
          </w:p>
        </w:tc>
      </w:tr>
      <w:tr w14:paraId="18A63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51627">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5003">
            <w:pPr>
              <w:jc w:val="center"/>
              <w:rPr>
                <w:rFonts w:hint="eastAsia" w:ascii="宋体" w:hAnsi="宋体" w:eastAsia="宋体" w:cs="宋体"/>
                <w:i w:val="0"/>
                <w:iCs w:val="0"/>
                <w:color w:val="000000"/>
                <w:sz w:val="18"/>
                <w:szCs w:val="18"/>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89D93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19D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驻村工作组经费覆盖率达到99%</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AEB1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CD8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3445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521D5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427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D64E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45B0B66">
            <w:pPr>
              <w:jc w:val="center"/>
              <w:rPr>
                <w:rFonts w:hint="eastAsia" w:ascii="微软雅黑" w:hAnsi="微软雅黑" w:eastAsia="微软雅黑" w:cs="微软雅黑"/>
                <w:i/>
                <w:iCs/>
                <w:color w:val="000000"/>
                <w:sz w:val="16"/>
                <w:szCs w:val="16"/>
                <w:u w:val="none"/>
              </w:rPr>
            </w:pPr>
          </w:p>
        </w:tc>
      </w:tr>
      <w:tr w14:paraId="0AB5F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1C958">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A52BE">
            <w:pPr>
              <w:jc w:val="center"/>
              <w:rPr>
                <w:rFonts w:hint="eastAsia" w:ascii="宋体" w:hAnsi="宋体" w:eastAsia="宋体" w:cs="宋体"/>
                <w:i w:val="0"/>
                <w:iCs w:val="0"/>
                <w:color w:val="000000"/>
                <w:sz w:val="18"/>
                <w:szCs w:val="18"/>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376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30CE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截止时间为2024年12月31日</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C821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1C4A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3898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3A1D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7F7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4F3CF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298B3D8">
            <w:pPr>
              <w:jc w:val="center"/>
              <w:rPr>
                <w:rFonts w:hint="eastAsia" w:ascii="微软雅黑" w:hAnsi="微软雅黑" w:eastAsia="微软雅黑" w:cs="微软雅黑"/>
                <w:i/>
                <w:iCs/>
                <w:color w:val="000000"/>
                <w:sz w:val="16"/>
                <w:szCs w:val="16"/>
                <w:u w:val="none"/>
              </w:rPr>
            </w:pPr>
          </w:p>
        </w:tc>
      </w:tr>
      <w:tr w14:paraId="046CA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2259D">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7F2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0507C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2B35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促进8个所驻村贫困群众增收</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891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A5D85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7AD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7102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AAE8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72691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5D768F5">
            <w:pPr>
              <w:jc w:val="center"/>
              <w:rPr>
                <w:rFonts w:hint="eastAsia" w:ascii="微软雅黑" w:hAnsi="微软雅黑" w:eastAsia="微软雅黑" w:cs="微软雅黑"/>
                <w:i/>
                <w:iCs/>
                <w:color w:val="000000"/>
                <w:sz w:val="16"/>
                <w:szCs w:val="16"/>
                <w:u w:val="none"/>
              </w:rPr>
            </w:pPr>
          </w:p>
        </w:tc>
      </w:tr>
      <w:tr w14:paraId="7483C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15CB8">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781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26C5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5A1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提高8个村群众满意度</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99A7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D9A1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11A7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F3D3B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858D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86ED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9AEA19E">
            <w:pPr>
              <w:jc w:val="center"/>
              <w:rPr>
                <w:rFonts w:hint="eastAsia" w:ascii="微软雅黑" w:hAnsi="微软雅黑" w:eastAsia="微软雅黑" w:cs="微软雅黑"/>
                <w:i/>
                <w:iCs/>
                <w:color w:val="000000"/>
                <w:sz w:val="16"/>
                <w:szCs w:val="16"/>
                <w:u w:val="none"/>
              </w:rPr>
            </w:pPr>
          </w:p>
        </w:tc>
      </w:tr>
      <w:tr w14:paraId="6E599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9906C">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BA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F13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786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水费；电费；通讯费，8个村，每个村2000元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AB42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25BF7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3920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7CBE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ACD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A255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DA41580">
            <w:pPr>
              <w:jc w:val="center"/>
              <w:rPr>
                <w:rFonts w:hint="eastAsia" w:ascii="微软雅黑" w:hAnsi="微软雅黑" w:eastAsia="微软雅黑" w:cs="微软雅黑"/>
                <w:i/>
                <w:iCs/>
                <w:color w:val="000000"/>
                <w:sz w:val="16"/>
                <w:szCs w:val="16"/>
                <w:u w:val="none"/>
              </w:rPr>
            </w:pPr>
          </w:p>
        </w:tc>
      </w:tr>
      <w:tr w14:paraId="19D0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3D245">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F06CD">
            <w:pPr>
              <w:jc w:val="center"/>
              <w:rPr>
                <w:rFonts w:hint="eastAsia" w:ascii="宋体" w:hAnsi="宋体" w:eastAsia="宋体" w:cs="宋体"/>
                <w:i w:val="0"/>
                <w:iCs w:val="0"/>
                <w:color w:val="000000"/>
                <w:sz w:val="18"/>
                <w:szCs w:val="18"/>
                <w:u w:val="none"/>
              </w:rPr>
            </w:pPr>
          </w:p>
        </w:tc>
        <w:tc>
          <w:tcPr>
            <w:tcW w:w="0" w:type="auto"/>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495F7">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F5F4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购买办公用品，8个村，每个村每年1000元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1EB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9F65C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E89C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8D302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6DCE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8E434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4DF6F85">
            <w:pPr>
              <w:jc w:val="center"/>
              <w:rPr>
                <w:rFonts w:hint="eastAsia" w:ascii="微软雅黑" w:hAnsi="微软雅黑" w:eastAsia="微软雅黑" w:cs="微软雅黑"/>
                <w:i/>
                <w:iCs/>
                <w:color w:val="000000"/>
                <w:sz w:val="16"/>
                <w:szCs w:val="16"/>
                <w:u w:val="none"/>
              </w:rPr>
            </w:pPr>
          </w:p>
        </w:tc>
      </w:tr>
      <w:tr w14:paraId="4647C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79"/>
            <w:tcBorders>
              <w:top w:val="single" w:color="000000" w:sz="4" w:space="0"/>
              <w:left w:val="single" w:color="000000" w:sz="4" w:space="0"/>
              <w:bottom w:val="single" w:color="000000" w:sz="4" w:space="0"/>
              <w:right w:val="single" w:color="000000" w:sz="4" w:space="0"/>
            </w:tcBorders>
            <w:shd w:val="clear" w:color="auto" w:fill="auto"/>
            <w:vAlign w:val="center"/>
          </w:tcPr>
          <w:p w14:paraId="075D45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9B50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079892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2119BC2">
            <w:pPr>
              <w:rPr>
                <w:rFonts w:hint="eastAsia" w:ascii="宋体" w:hAnsi="宋体" w:eastAsia="宋体" w:cs="宋体"/>
                <w:i w:val="0"/>
                <w:iCs w:val="0"/>
                <w:color w:val="000000"/>
                <w:sz w:val="18"/>
                <w:szCs w:val="18"/>
                <w:u w:val="none"/>
              </w:rPr>
            </w:pPr>
          </w:p>
        </w:tc>
      </w:tr>
      <w:tr w14:paraId="05B53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7EF3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6D5F4FF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经对驻村工作队工作经费支持项目的全面评估，项目整体达成预期目标，在乡村振兴工作中发挥了积极作用，但仍存在可优化空间。</w:t>
            </w:r>
            <w:r>
              <w:rPr>
                <w:rFonts w:hint="default" w:ascii="Times New Roman" w:hAnsi="Times New Roman" w:eastAsia="微软雅黑" w:cs="Times New Roman"/>
                <w:i/>
                <w:iCs/>
                <w:color w:val="000000"/>
                <w:kern w:val="0"/>
                <w:sz w:val="16"/>
                <w:szCs w:val="16"/>
                <w:u w:val="none"/>
                <w:lang w:val="en-US" w:eastAsia="zh-CN" w:bidi="ar"/>
              </w:rPr>
              <w:t>​</w:t>
            </w:r>
            <w:r>
              <w:rPr>
                <w:rFonts w:hint="eastAsia" w:ascii="微软雅黑" w:hAnsi="微软雅黑" w:eastAsia="微软雅黑" w:cs="微软雅黑"/>
                <w:i/>
                <w:iCs/>
                <w:color w:val="000000"/>
                <w:kern w:val="0"/>
                <w:sz w:val="16"/>
                <w:szCs w:val="16"/>
                <w:u w:val="none"/>
                <w:lang w:val="en-US" w:eastAsia="zh-CN" w:bidi="ar"/>
              </w:rPr>
              <w:br w:type="textWrapping"/>
            </w:r>
            <w:r>
              <w:rPr>
                <w:rFonts w:hint="eastAsia" w:ascii="微软雅黑" w:hAnsi="微软雅黑" w:eastAsia="微软雅黑" w:cs="微软雅黑"/>
                <w:i/>
                <w:iCs/>
                <w:color w:val="000000"/>
                <w:kern w:val="0"/>
                <w:sz w:val="16"/>
                <w:szCs w:val="16"/>
                <w:u w:val="none"/>
                <w:lang w:val="en-US" w:eastAsia="zh-CN" w:bidi="ar"/>
              </w:rPr>
              <w:t>在资金使用与项目管理方面，各项目严格遵循财务管理制度，经费预算编制科学合理，紧密围绕乡村发展需求分配资金。执行过程中，资金审批流程规范，专款专用，票据合规率达 100%，未出现挪用、超支等违规现象。同时，建立了较为完善的项目管理机制，明确各方职责，保障了项目顺利推进。</w:t>
            </w:r>
          </w:p>
        </w:tc>
      </w:tr>
      <w:tr w14:paraId="77174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72" w:hRule="atLeast"/>
          <w:jc w:val="center"/>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59EF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02B7643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资金到位时间存在差异，驻村工作队与乡镇政府、农业农村局、财政局等相关部门之间沟通协调不畅，在项目规划、资金拨付、技术指导等方面缺乏有效配合。部分项目在决策和实施过程中，未充分征求村民意见，村民参与项目规划、监督的渠道不畅通。村民对项目的认同感和积极性不高，甚至出现抵触情绪，影响项目的顺利推进和实施效果。</w:t>
            </w:r>
          </w:p>
        </w:tc>
      </w:tr>
      <w:tr w14:paraId="4C2F0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B9C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60C5E35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建立与财政、乡镇等部门的协同工作机制，简化资金拨付流程，明确各环节办理时限。对已审批通过的项目，实行 “限时拨付”，确保资金及时到位，保障项目顺利推进。通过村民代表大会、村务公开栏、线上平台等多种渠道，广泛征求村民对项目的意见和建议。设立项目监督小组，吸纳村民代表参与项目规划、建设和监督全过程，保障村民的知情权、参与权和监督权。</w:t>
            </w:r>
          </w:p>
        </w:tc>
      </w:tr>
      <w:tr w14:paraId="684F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4"/>
            <w:tcBorders>
              <w:top w:val="single" w:color="000000" w:sz="4" w:space="0"/>
              <w:left w:val="single" w:color="000000" w:sz="4" w:space="0"/>
              <w:bottom w:val="single" w:color="000000" w:sz="4" w:space="0"/>
              <w:right w:val="single" w:color="000000" w:sz="4" w:space="0"/>
            </w:tcBorders>
            <w:shd w:val="clear" w:color="auto" w:fill="auto"/>
            <w:vAlign w:val="center"/>
          </w:tcPr>
          <w:p w14:paraId="0BDAE8E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项目负责人：向文浩</w:t>
            </w:r>
          </w:p>
        </w:tc>
        <w:tc>
          <w:tcPr>
            <w:tcW w:w="0" w:type="auto"/>
            <w:gridSpan w:val="72"/>
            <w:tcBorders>
              <w:top w:val="single" w:color="000000" w:sz="4" w:space="0"/>
              <w:left w:val="single" w:color="000000" w:sz="4" w:space="0"/>
              <w:bottom w:val="single" w:color="000000" w:sz="4" w:space="0"/>
              <w:right w:val="single" w:color="000000" w:sz="4" w:space="0"/>
            </w:tcBorders>
            <w:shd w:val="clear" w:color="auto" w:fill="auto"/>
            <w:vAlign w:val="center"/>
          </w:tcPr>
          <w:p w14:paraId="2205C0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6BD73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4"/>
            <w:tcBorders>
              <w:top w:val="single" w:color="000000" w:sz="4" w:space="0"/>
              <w:left w:val="single" w:color="000000" w:sz="4" w:space="0"/>
              <w:bottom w:val="single" w:color="000000" w:sz="4" w:space="0"/>
              <w:right w:val="single" w:color="000000" w:sz="4" w:space="0"/>
            </w:tcBorders>
            <w:shd w:val="clear" w:color="auto" w:fill="auto"/>
            <w:vAlign w:val="center"/>
          </w:tcPr>
          <w:p w14:paraId="3803A687">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2"/>
            <w:tcBorders>
              <w:top w:val="single" w:color="000000" w:sz="4" w:space="0"/>
              <w:left w:val="single" w:color="000000" w:sz="4" w:space="0"/>
              <w:bottom w:val="single" w:color="000000" w:sz="4" w:space="0"/>
              <w:right w:val="single" w:color="000000" w:sz="4" w:space="0"/>
            </w:tcBorders>
            <w:shd w:val="clear" w:color="auto" w:fill="auto"/>
            <w:vAlign w:val="center"/>
          </w:tcPr>
          <w:p w14:paraId="4EFAB494">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769C5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65E16E60">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9A84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0CA9E7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475B17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51090424T000011119302-统计工作经费（长期）</w:t>
            </w:r>
          </w:p>
        </w:tc>
      </w:tr>
      <w:tr w14:paraId="58C5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91B4B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3398E97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27DB763B">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28C86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0745B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437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C51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5D889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57FD8D8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3993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6E402">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C53E2">
            <w:pPr>
              <w:rPr>
                <w:rFonts w:hint="eastAsia" w:ascii="宋体" w:hAnsi="宋体" w:eastAsia="宋体" w:cs="宋体"/>
                <w:i w:val="0"/>
                <w:iCs w:val="0"/>
                <w:color w:val="000000"/>
                <w:sz w:val="18"/>
                <w:szCs w:val="18"/>
                <w:u w:val="none"/>
              </w:rPr>
            </w:pPr>
          </w:p>
        </w:tc>
        <w:tc>
          <w:tcPr>
            <w:tcW w:w="0" w:type="auto"/>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1C8026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通过调查，全面掌握我镇人口、农业在数量、素质、结构、分布及居住等方面的变化情况，全面摸清我镇人口、农业、农村、农民基本情况，贯彻实施、组织当地的人口抽样调查工作。</w:t>
            </w:r>
          </w:p>
        </w:tc>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10A262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通过调查，全面掌握我镇人口、农业在数量、素质、结构、分布及居住等方面的变化情况，全面摸清我镇人口、农业、农村、农民基本情况，贯彻实施、组织当地的人口抽样调查工作。</w:t>
            </w:r>
          </w:p>
        </w:tc>
      </w:tr>
      <w:tr w14:paraId="03756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77BEF">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D1453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72CE4C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通过调查，全面掌握我镇人口、农业在数量、素质、结构、分布及居住等方面的变化情况，全面摸清我镇人口、农业、农村、农民基本情况，贯彻实施、组织当地的人口抽样调查工作。</w:t>
            </w:r>
          </w:p>
        </w:tc>
      </w:tr>
      <w:tr w14:paraId="76092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98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AD24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CFD6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D1D7F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15EE64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C1FD6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9E7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CFB0A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2A8D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897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E6DD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B97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9B5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0708B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64306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D71A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D8B5C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2B365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3B5C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A49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CA4CC">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70F5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1F2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B6518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617B11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E2C3B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D95AF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7CC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4E1F5">
            <w:pPr>
              <w:rPr>
                <w:rFonts w:hint="eastAsia" w:ascii="黑体" w:hAnsi="黑体" w:eastAsia="黑体" w:cs="黑体"/>
                <w:i/>
                <w:iCs/>
                <w:color w:val="000000"/>
                <w:sz w:val="18"/>
                <w:szCs w:val="18"/>
                <w:u w:val="none"/>
              </w:rPr>
            </w:pPr>
          </w:p>
        </w:tc>
      </w:tr>
      <w:tr w14:paraId="7AB0C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9678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06C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E91C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F95F7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3EFE1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6284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F6E6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2D884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1B71D">
            <w:pPr>
              <w:rPr>
                <w:rFonts w:hint="eastAsia" w:ascii="黑体" w:hAnsi="黑体" w:eastAsia="黑体" w:cs="黑体"/>
                <w:i/>
                <w:iCs/>
                <w:color w:val="000000"/>
                <w:sz w:val="18"/>
                <w:szCs w:val="18"/>
                <w:u w:val="none"/>
              </w:rPr>
            </w:pPr>
          </w:p>
        </w:tc>
      </w:tr>
      <w:tr w14:paraId="4AD4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27E13">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230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067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D5B63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16667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27C1F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C6A04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6CE6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A3498">
            <w:pPr>
              <w:rPr>
                <w:rFonts w:hint="eastAsia" w:ascii="黑体" w:hAnsi="黑体" w:eastAsia="黑体" w:cs="黑体"/>
                <w:i/>
                <w:iCs/>
                <w:color w:val="000000"/>
                <w:sz w:val="18"/>
                <w:szCs w:val="18"/>
                <w:u w:val="none"/>
              </w:rPr>
            </w:pPr>
          </w:p>
        </w:tc>
      </w:tr>
      <w:tr w14:paraId="2005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3F2F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EC9F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9B6B14">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FF77A32">
            <w:pPr>
              <w:jc w:val="center"/>
              <w:rPr>
                <w:rFonts w:hint="eastAsia" w:ascii="微软雅黑" w:hAnsi="微软雅黑" w:eastAsia="微软雅黑" w:cs="微软雅黑"/>
                <w:i/>
                <w:iCs/>
                <w:color w:val="000000"/>
                <w:sz w:val="16"/>
                <w:szCs w:val="16"/>
                <w:u w:val="none"/>
              </w:rPr>
            </w:pP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29DCBA96">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BE3B942">
            <w:pPr>
              <w:jc w:val="center"/>
              <w:rPr>
                <w:rFonts w:hint="eastAsia" w:ascii="微软雅黑" w:hAnsi="微软雅黑" w:eastAsia="微软雅黑" w:cs="微软雅黑"/>
                <w:i/>
                <w:iCs/>
                <w:color w:val="000000"/>
                <w:sz w:val="16"/>
                <w:szCs w:val="16"/>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4304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E1B9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F7ABB">
            <w:pPr>
              <w:rPr>
                <w:rFonts w:hint="eastAsia" w:ascii="黑体" w:hAnsi="黑体" w:eastAsia="黑体" w:cs="黑体"/>
                <w:i/>
                <w:iCs/>
                <w:color w:val="000000"/>
                <w:sz w:val="18"/>
                <w:szCs w:val="18"/>
                <w:u w:val="none"/>
              </w:rPr>
            </w:pPr>
          </w:p>
        </w:tc>
      </w:tr>
      <w:tr w14:paraId="43386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D9E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C59F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7D3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A553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1918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914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E16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C19F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8EFF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9E973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654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EC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E0AD7">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4A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1ED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7B263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编印统计年鉴300册</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CCD73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F27B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239D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册</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FF366D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04AB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59B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77B589">
            <w:pPr>
              <w:jc w:val="center"/>
              <w:rPr>
                <w:rFonts w:hint="eastAsia" w:ascii="微软雅黑" w:hAnsi="微软雅黑" w:eastAsia="微软雅黑" w:cs="微软雅黑"/>
                <w:i/>
                <w:iCs/>
                <w:color w:val="000000"/>
                <w:sz w:val="16"/>
                <w:szCs w:val="16"/>
                <w:u w:val="none"/>
              </w:rPr>
            </w:pPr>
          </w:p>
        </w:tc>
      </w:tr>
      <w:tr w14:paraId="5AB46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7B7BF">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36246">
            <w:pPr>
              <w:jc w:val="center"/>
              <w:rPr>
                <w:rFonts w:hint="eastAsia" w:ascii="宋体" w:hAnsi="宋体" w:eastAsia="宋体" w:cs="宋体"/>
                <w:i w:val="0"/>
                <w:iCs w:val="0"/>
                <w:color w:val="000000"/>
                <w:sz w:val="18"/>
                <w:szCs w:val="18"/>
                <w:u w:val="none"/>
              </w:rPr>
            </w:pPr>
          </w:p>
        </w:tc>
        <w:tc>
          <w:tcPr>
            <w:tcW w:w="0" w:type="auto"/>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EBC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BCFE8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政府决策依据实现率达到85%</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63A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A752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FD9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EF6CE6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85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86F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6161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A0F040">
            <w:pPr>
              <w:jc w:val="center"/>
              <w:rPr>
                <w:rFonts w:hint="eastAsia" w:ascii="微软雅黑" w:hAnsi="微软雅黑" w:eastAsia="微软雅黑" w:cs="微软雅黑"/>
                <w:i/>
                <w:iCs/>
                <w:color w:val="000000"/>
                <w:sz w:val="16"/>
                <w:szCs w:val="16"/>
                <w:u w:val="none"/>
              </w:rPr>
            </w:pPr>
          </w:p>
        </w:tc>
      </w:tr>
      <w:tr w14:paraId="00CE6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FB141">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B564C">
            <w:pPr>
              <w:jc w:val="center"/>
              <w:rPr>
                <w:rFonts w:hint="eastAsia" w:ascii="宋体" w:hAnsi="宋体" w:eastAsia="宋体" w:cs="宋体"/>
                <w:i w:val="0"/>
                <w:iCs w:val="0"/>
                <w:color w:val="000000"/>
                <w:sz w:val="18"/>
                <w:szCs w:val="18"/>
                <w:u w:val="none"/>
              </w:rPr>
            </w:pPr>
          </w:p>
        </w:tc>
        <w:tc>
          <w:tcPr>
            <w:tcW w:w="0" w:type="auto"/>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07F7F">
            <w:pPr>
              <w:jc w:val="center"/>
              <w:rPr>
                <w:rFonts w:hint="eastAsia" w:ascii="宋体" w:hAnsi="宋体" w:eastAsia="宋体" w:cs="宋体"/>
                <w:i w:val="0"/>
                <w:iCs w:val="0"/>
                <w:color w:val="000000"/>
                <w:sz w:val="18"/>
                <w:szCs w:val="18"/>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F33A8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指导员和调查员的素质提升率达到90%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32978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2A13B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6772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419E83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D8A8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6DA9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D829A2">
            <w:pPr>
              <w:jc w:val="center"/>
              <w:rPr>
                <w:rFonts w:hint="eastAsia" w:ascii="微软雅黑" w:hAnsi="微软雅黑" w:eastAsia="微软雅黑" w:cs="微软雅黑"/>
                <w:i/>
                <w:iCs/>
                <w:color w:val="000000"/>
                <w:sz w:val="16"/>
                <w:szCs w:val="16"/>
                <w:u w:val="none"/>
              </w:rPr>
            </w:pPr>
          </w:p>
        </w:tc>
      </w:tr>
      <w:tr w14:paraId="4194C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795DF">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259EB">
            <w:pPr>
              <w:jc w:val="center"/>
              <w:rPr>
                <w:rFonts w:hint="eastAsia" w:ascii="宋体" w:hAnsi="宋体" w:eastAsia="宋体" w:cs="宋体"/>
                <w:i w:val="0"/>
                <w:iCs w:val="0"/>
                <w:color w:val="000000"/>
                <w:sz w:val="18"/>
                <w:szCs w:val="18"/>
                <w:u w:val="none"/>
              </w:rPr>
            </w:pP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CEE24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69DC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截止2024年12月31日完成2024年三家镇统计工作</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593F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372D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670C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B690C6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27CD8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BEB20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15A241">
            <w:pPr>
              <w:jc w:val="center"/>
              <w:rPr>
                <w:rFonts w:hint="eastAsia" w:ascii="微软雅黑" w:hAnsi="微软雅黑" w:eastAsia="微软雅黑" w:cs="微软雅黑"/>
                <w:i/>
                <w:iCs/>
                <w:color w:val="000000"/>
                <w:sz w:val="16"/>
                <w:szCs w:val="16"/>
                <w:u w:val="none"/>
              </w:rPr>
            </w:pPr>
          </w:p>
        </w:tc>
      </w:tr>
      <w:tr w14:paraId="78AEE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BF5CE">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B35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B34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7D44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摸清我镇人口、农业、农村、农民基本情况，准确率为90%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047D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25D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00A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FF7AEA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DDE1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DD27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E47D2AC">
            <w:pPr>
              <w:jc w:val="center"/>
              <w:rPr>
                <w:rFonts w:hint="eastAsia" w:ascii="微软雅黑" w:hAnsi="微软雅黑" w:eastAsia="微软雅黑" w:cs="微软雅黑"/>
                <w:i/>
                <w:iCs/>
                <w:color w:val="000000"/>
                <w:sz w:val="16"/>
                <w:szCs w:val="16"/>
                <w:u w:val="none"/>
              </w:rPr>
            </w:pPr>
          </w:p>
        </w:tc>
      </w:tr>
      <w:tr w14:paraId="1979D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0D7D5">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B764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0B70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173D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调查户满意度达到90%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7D05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9CD4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F77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141B4D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5B754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3580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3E9A03">
            <w:pPr>
              <w:jc w:val="center"/>
              <w:rPr>
                <w:rFonts w:hint="eastAsia" w:ascii="微软雅黑" w:hAnsi="微软雅黑" w:eastAsia="微软雅黑" w:cs="微软雅黑"/>
                <w:i/>
                <w:iCs/>
                <w:color w:val="000000"/>
                <w:sz w:val="16"/>
                <w:szCs w:val="16"/>
                <w:u w:val="none"/>
              </w:rPr>
            </w:pPr>
          </w:p>
        </w:tc>
      </w:tr>
      <w:tr w14:paraId="1BC0C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C4B54">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C4CB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AF63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6EC9E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制作并发放宣传手册数量1000本，每本预计20元，共计20000元</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902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756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6D58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B173C9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2853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F59E7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C4C1C8">
            <w:pPr>
              <w:jc w:val="center"/>
              <w:rPr>
                <w:rFonts w:hint="eastAsia" w:ascii="微软雅黑" w:hAnsi="微软雅黑" w:eastAsia="微软雅黑" w:cs="微软雅黑"/>
                <w:i/>
                <w:iCs/>
                <w:color w:val="000000"/>
                <w:sz w:val="16"/>
                <w:szCs w:val="16"/>
                <w:u w:val="none"/>
              </w:rPr>
            </w:pPr>
          </w:p>
        </w:tc>
      </w:tr>
      <w:tr w14:paraId="362CF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2"/>
            <w:tcBorders>
              <w:top w:val="single" w:color="000000" w:sz="4" w:space="0"/>
              <w:left w:val="single" w:color="000000" w:sz="4" w:space="0"/>
              <w:bottom w:val="single" w:color="000000" w:sz="4" w:space="0"/>
              <w:right w:val="single" w:color="000000" w:sz="4" w:space="0"/>
            </w:tcBorders>
            <w:shd w:val="clear" w:color="auto" w:fill="auto"/>
            <w:vAlign w:val="center"/>
          </w:tcPr>
          <w:p w14:paraId="5A22B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137D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346710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31DCAD">
            <w:pPr>
              <w:rPr>
                <w:rFonts w:hint="eastAsia" w:ascii="宋体" w:hAnsi="宋体" w:eastAsia="宋体" w:cs="宋体"/>
                <w:i w:val="0"/>
                <w:iCs w:val="0"/>
                <w:color w:val="000000"/>
                <w:sz w:val="18"/>
                <w:szCs w:val="18"/>
                <w:u w:val="none"/>
              </w:rPr>
            </w:pPr>
          </w:p>
        </w:tc>
      </w:tr>
      <w:tr w14:paraId="6A492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03"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B43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4982475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统计工作经费为数据采集、调查研究提供了必要支持。资金用于购置先进的数据采集设备，如智能终端、传感器等，推动统计工作从传统人工填报向数字化、自动化转型，减少人为误差，提高数据采集效率和准确性。同时，经费支持开展数据分析、建模等工作，运用大数据、云计算等技术挖掘数据价值，为政府决策、企业发展和社会公众提供更具参考性的统计信息。</w:t>
            </w:r>
          </w:p>
        </w:tc>
      </w:tr>
      <w:tr w14:paraId="45A37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72"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7F5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054C4D9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经济社会的快速发展，统计工作的范围不断扩大，任务日益繁重，对经费的需求也不断增加。但财政对统计工作经费投入有限，在新技术应用、大型专项调查、数据质量提升等方面资金短缺，导致统计工作无法及时跟上时代发展步伐，影响统计服务的质量和水平。在经费使用过程中，存在资金分配不均衡的问题。部分地区将大量经费用于日常办公开支，而对统计信息化建设、数据质量核查、统计科研等重点工作投入较少。</w:t>
            </w:r>
          </w:p>
        </w:tc>
      </w:tr>
      <w:tr w14:paraId="25E03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1180"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F19C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3F88BA1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统计工作重要性的认识，加大财政资金投入力度，建立稳定的经费增长机制。同时，积极探索多元化筹资方式，鼓励企业、社会组织通过合作、赞助等方式支持统计科研项目、信息化建设等工作，设立统计发展专项基金，拓宽资金来源，满足统计事业发展的需求。结合统计工作实际需求和发展规划，科学制定经费分配方案。优先保障统计信息化建设、数据质量提升、大型专项调查等重点工作的资金需求。</w:t>
            </w:r>
          </w:p>
        </w:tc>
      </w:tr>
      <w:tr w14:paraId="07691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3D426B6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项目负责人：张杰</w:t>
            </w:r>
          </w:p>
        </w:tc>
        <w:tc>
          <w:tcPr>
            <w:tcW w:w="0" w:type="auto"/>
            <w:gridSpan w:val="67"/>
            <w:tcBorders>
              <w:top w:val="single" w:color="000000" w:sz="4" w:space="0"/>
              <w:left w:val="single" w:color="000000" w:sz="4" w:space="0"/>
              <w:bottom w:val="single" w:color="000000" w:sz="4" w:space="0"/>
              <w:right w:val="single" w:color="000000" w:sz="4" w:space="0"/>
            </w:tcBorders>
            <w:shd w:val="clear" w:color="auto" w:fill="auto"/>
            <w:vAlign w:val="center"/>
          </w:tcPr>
          <w:p w14:paraId="536786E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0AFA4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49240421">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67"/>
            <w:tcBorders>
              <w:top w:val="single" w:color="000000" w:sz="4" w:space="0"/>
              <w:left w:val="single" w:color="000000" w:sz="4" w:space="0"/>
              <w:bottom w:val="single" w:color="000000" w:sz="4" w:space="0"/>
              <w:right w:val="single" w:color="000000" w:sz="4" w:space="0"/>
            </w:tcBorders>
            <w:shd w:val="clear" w:color="auto" w:fill="auto"/>
            <w:vAlign w:val="center"/>
          </w:tcPr>
          <w:p w14:paraId="1A2AD79D">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41A29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27D0DA2D">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8C5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123BF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443511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51090424T000011119869-2024建国初期参加革命工作部分干部困难补助</w:t>
            </w:r>
          </w:p>
        </w:tc>
      </w:tr>
      <w:tr w14:paraId="4DF78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39AC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77A68E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5"/>
            <w:tcBorders>
              <w:top w:val="nil"/>
              <w:left w:val="nil"/>
              <w:bottom w:val="nil"/>
              <w:right w:val="nil"/>
            </w:tcBorders>
            <w:shd w:val="clear" w:color="auto" w:fill="auto"/>
            <w:vAlign w:val="center"/>
          </w:tcPr>
          <w:p w14:paraId="16139B80">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5"/>
            <w:tcBorders>
              <w:top w:val="single" w:color="000000" w:sz="4" w:space="0"/>
              <w:left w:val="single" w:color="000000" w:sz="4" w:space="0"/>
              <w:bottom w:val="single" w:color="000000" w:sz="4" w:space="0"/>
              <w:right w:val="single" w:color="000000" w:sz="4" w:space="0"/>
            </w:tcBorders>
            <w:shd w:val="clear" w:color="auto" w:fill="auto"/>
            <w:vAlign w:val="center"/>
          </w:tcPr>
          <w:p w14:paraId="4D5525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32AC8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2CE6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7F3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1F631E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0"/>
            <w:tcBorders>
              <w:top w:val="single" w:color="000000" w:sz="4" w:space="0"/>
              <w:left w:val="single" w:color="000000" w:sz="4" w:space="0"/>
              <w:bottom w:val="single" w:color="000000" w:sz="4" w:space="0"/>
              <w:right w:val="single" w:color="000000" w:sz="4" w:space="0"/>
            </w:tcBorders>
            <w:shd w:val="clear" w:color="auto" w:fill="auto"/>
            <w:vAlign w:val="center"/>
          </w:tcPr>
          <w:p w14:paraId="1CAE755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C4F7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01BB7">
            <w:pP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AE31A">
            <w:pPr>
              <w:rPr>
                <w:rFonts w:hint="eastAsia" w:ascii="宋体" w:hAnsi="宋体" w:eastAsia="宋体" w:cs="宋体"/>
                <w:i w:val="0"/>
                <w:iCs w:val="0"/>
                <w:color w:val="000000"/>
                <w:sz w:val="18"/>
                <w:szCs w:val="18"/>
                <w:u w:val="none"/>
              </w:rPr>
            </w:pPr>
          </w:p>
        </w:tc>
        <w:tc>
          <w:tcPr>
            <w:tcW w:w="0" w:type="auto"/>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65E6E6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完成建国初期退休老干部生活补贴，2人每人每月545元，共计13080</w:t>
            </w:r>
          </w:p>
        </w:tc>
        <w:tc>
          <w:tcPr>
            <w:tcW w:w="0" w:type="auto"/>
            <w:gridSpan w:val="50"/>
            <w:tcBorders>
              <w:top w:val="single" w:color="000000" w:sz="4" w:space="0"/>
              <w:left w:val="single" w:color="000000" w:sz="4" w:space="0"/>
              <w:bottom w:val="single" w:color="000000" w:sz="4" w:space="0"/>
              <w:right w:val="single" w:color="000000" w:sz="4" w:space="0"/>
            </w:tcBorders>
            <w:shd w:val="clear" w:color="auto" w:fill="auto"/>
            <w:vAlign w:val="center"/>
          </w:tcPr>
          <w:p w14:paraId="6421E3B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完成建国初期退休老干部生活补贴，2人每人每月545元，共计13080</w:t>
            </w:r>
          </w:p>
        </w:tc>
      </w:tr>
      <w:tr w14:paraId="2AA2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3719F">
            <w:pP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31E6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3"/>
            <w:tcBorders>
              <w:top w:val="single" w:color="000000" w:sz="4" w:space="0"/>
              <w:left w:val="single" w:color="000000" w:sz="4" w:space="0"/>
              <w:bottom w:val="single" w:color="000000" w:sz="4" w:space="0"/>
              <w:right w:val="single" w:color="000000" w:sz="4" w:space="0"/>
            </w:tcBorders>
            <w:shd w:val="clear" w:color="auto" w:fill="auto"/>
            <w:vAlign w:val="center"/>
          </w:tcPr>
          <w:p w14:paraId="5D5F18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完成建国初期退休老干部生活补贴，2人每人每月545元，共计13080</w:t>
            </w:r>
          </w:p>
        </w:tc>
      </w:tr>
      <w:tr w14:paraId="23A67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C3D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E8D6A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6AA3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899F1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7C1D85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610A3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4B8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861D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3A99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ACF5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1F61B">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3374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A181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1.31</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1D75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423089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A1C2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05A3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B3D7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1C64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E8B9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008C7">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FBF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CADF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1.31</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17546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16862E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CEBD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B597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14B1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897B8">
            <w:pPr>
              <w:rPr>
                <w:rFonts w:hint="eastAsia" w:ascii="黑体" w:hAnsi="黑体" w:eastAsia="黑体" w:cs="黑体"/>
                <w:i/>
                <w:iCs/>
                <w:color w:val="000000"/>
                <w:sz w:val="18"/>
                <w:szCs w:val="18"/>
                <w:u w:val="none"/>
              </w:rPr>
            </w:pPr>
          </w:p>
        </w:tc>
      </w:tr>
      <w:tr w14:paraId="4480A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2C8A9">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3E28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3532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7E81C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2A809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8010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FC8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1A281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34E9E">
            <w:pPr>
              <w:rPr>
                <w:rFonts w:hint="eastAsia" w:ascii="黑体" w:hAnsi="黑体" w:eastAsia="黑体" w:cs="黑体"/>
                <w:i/>
                <w:iCs/>
                <w:color w:val="000000"/>
                <w:sz w:val="18"/>
                <w:szCs w:val="18"/>
                <w:u w:val="none"/>
              </w:rPr>
            </w:pPr>
          </w:p>
        </w:tc>
      </w:tr>
      <w:tr w14:paraId="15D3C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9128">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66B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45A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3ABB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15ED5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28C10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D565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DD1F9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CB57F">
            <w:pPr>
              <w:rPr>
                <w:rFonts w:hint="eastAsia" w:ascii="黑体" w:hAnsi="黑体" w:eastAsia="黑体" w:cs="黑体"/>
                <w:i/>
                <w:iCs/>
                <w:color w:val="000000"/>
                <w:sz w:val="18"/>
                <w:szCs w:val="18"/>
                <w:u w:val="none"/>
              </w:rPr>
            </w:pPr>
          </w:p>
        </w:tc>
      </w:tr>
      <w:tr w14:paraId="7ECF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B5400">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69B1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1642A5B">
            <w:pPr>
              <w:jc w:val="center"/>
              <w:rPr>
                <w:rFonts w:hint="eastAsia" w:ascii="微软雅黑" w:hAnsi="微软雅黑" w:eastAsia="微软雅黑" w:cs="微软雅黑"/>
                <w:i/>
                <w:iCs/>
                <w:color w:val="000000"/>
                <w:sz w:val="16"/>
                <w:szCs w:val="16"/>
                <w:u w:val="none"/>
              </w:rPr>
            </w:pP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9274D91">
            <w:pPr>
              <w:jc w:val="center"/>
              <w:rPr>
                <w:rFonts w:hint="eastAsia" w:ascii="微软雅黑" w:hAnsi="微软雅黑" w:eastAsia="微软雅黑" w:cs="微软雅黑"/>
                <w:i/>
                <w:iCs/>
                <w:color w:val="000000"/>
                <w:sz w:val="16"/>
                <w:szCs w:val="16"/>
                <w:u w:val="none"/>
              </w:rPr>
            </w:pPr>
          </w:p>
        </w:tc>
        <w:tc>
          <w:tcPr>
            <w:tcW w:w="0" w:type="auto"/>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662BF184">
            <w:pPr>
              <w:jc w:val="center"/>
              <w:rPr>
                <w:rFonts w:hint="eastAsia" w:ascii="微软雅黑" w:hAnsi="微软雅黑" w:eastAsia="微软雅黑" w:cs="微软雅黑"/>
                <w:i/>
                <w:iCs/>
                <w:color w:val="000000"/>
                <w:sz w:val="16"/>
                <w:szCs w:val="16"/>
                <w:u w:val="none"/>
              </w:rPr>
            </w:pP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5A24908">
            <w:pPr>
              <w:jc w:val="center"/>
              <w:rPr>
                <w:rFonts w:hint="eastAsia" w:ascii="微软雅黑" w:hAnsi="微软雅黑" w:eastAsia="微软雅黑" w:cs="微软雅黑"/>
                <w:i/>
                <w:iCs/>
                <w:color w:val="000000"/>
                <w:sz w:val="16"/>
                <w:szCs w:val="16"/>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7713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9C6E8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39BE2">
            <w:pPr>
              <w:rPr>
                <w:rFonts w:hint="eastAsia" w:ascii="黑体" w:hAnsi="黑体" w:eastAsia="黑体" w:cs="黑体"/>
                <w:i/>
                <w:iCs/>
                <w:color w:val="000000"/>
                <w:sz w:val="18"/>
                <w:szCs w:val="18"/>
                <w:u w:val="none"/>
              </w:rPr>
            </w:pPr>
          </w:p>
        </w:tc>
      </w:tr>
      <w:tr w14:paraId="664B2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BB3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B215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15FD7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1A6C5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E8B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2420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30A6C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7B25F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A9E7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6D9F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253B4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6BD2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3E8E5">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916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75041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6C54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完成建国初期退休老干部生活补</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BD870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7A198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AE62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B2A3E3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8B96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6FCF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52ADFF6">
            <w:pPr>
              <w:jc w:val="center"/>
              <w:rPr>
                <w:rFonts w:hint="eastAsia" w:ascii="微软雅黑" w:hAnsi="微软雅黑" w:eastAsia="微软雅黑" w:cs="微软雅黑"/>
                <w:i/>
                <w:iCs/>
                <w:color w:val="000000"/>
                <w:sz w:val="16"/>
                <w:szCs w:val="16"/>
                <w:u w:val="none"/>
              </w:rPr>
            </w:pPr>
          </w:p>
        </w:tc>
      </w:tr>
      <w:tr w14:paraId="7F2C1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B17E8">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19AC0">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B7B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B26B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建国初期退休老干部生活质量得以保障</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D04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6A7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BFB87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8C35C7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559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327F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47F4323">
            <w:pPr>
              <w:jc w:val="center"/>
              <w:rPr>
                <w:rFonts w:hint="eastAsia" w:ascii="微软雅黑" w:hAnsi="微软雅黑" w:eastAsia="微软雅黑" w:cs="微软雅黑"/>
                <w:i/>
                <w:iCs/>
                <w:color w:val="000000"/>
                <w:sz w:val="16"/>
                <w:szCs w:val="16"/>
                <w:u w:val="none"/>
              </w:rPr>
            </w:pPr>
          </w:p>
        </w:tc>
      </w:tr>
      <w:tr w14:paraId="5CAAB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A7FA0">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812BB">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1F8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02D5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本次费用保障时间为2024年1月1日-2024年1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86F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F3C5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094DE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9D0DB8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D9E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306DE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B83422B">
            <w:pPr>
              <w:jc w:val="center"/>
              <w:rPr>
                <w:rFonts w:hint="eastAsia" w:ascii="微软雅黑" w:hAnsi="微软雅黑" w:eastAsia="微软雅黑" w:cs="微软雅黑"/>
                <w:i/>
                <w:iCs/>
                <w:color w:val="000000"/>
                <w:sz w:val="16"/>
                <w:szCs w:val="16"/>
                <w:u w:val="none"/>
              </w:rPr>
            </w:pPr>
          </w:p>
        </w:tc>
      </w:tr>
      <w:tr w14:paraId="63E96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BF41D">
            <w:pPr>
              <w:jc w:val="center"/>
              <w:rPr>
                <w:rFonts w:hint="eastAsia" w:ascii="宋体" w:hAnsi="宋体" w:eastAsia="宋体" w:cs="宋体"/>
                <w:i w:val="0"/>
                <w:iCs w:val="0"/>
                <w:color w:val="000000"/>
                <w:sz w:val="18"/>
                <w:szCs w:val="18"/>
                <w:u w:val="none"/>
              </w:rPr>
            </w:pP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1F6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D6E1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CB5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建国初期参加革命工作老干部提高</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50E2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06960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EC0F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7E0E54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2AE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508E1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062704D">
            <w:pPr>
              <w:jc w:val="center"/>
              <w:rPr>
                <w:rFonts w:hint="eastAsia" w:ascii="微软雅黑" w:hAnsi="微软雅黑" w:eastAsia="微软雅黑" w:cs="微软雅黑"/>
                <w:i/>
                <w:iCs/>
                <w:color w:val="000000"/>
                <w:sz w:val="16"/>
                <w:szCs w:val="16"/>
                <w:u w:val="none"/>
              </w:rPr>
            </w:pPr>
          </w:p>
        </w:tc>
      </w:tr>
      <w:tr w14:paraId="711DE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C0566">
            <w:pPr>
              <w:jc w:val="center"/>
              <w:rPr>
                <w:rFonts w:hint="eastAsia" w:ascii="宋体" w:hAnsi="宋体" w:eastAsia="宋体" w:cs="宋体"/>
                <w:i w:val="0"/>
                <w:iCs w:val="0"/>
                <w:color w:val="000000"/>
                <w:sz w:val="18"/>
                <w:szCs w:val="18"/>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9F34B">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87A3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AE33E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建国初期参加革命工作老干部覆盖率达到100%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F40D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B21D3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11AD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E10890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2CFF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B243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00E9F7D">
            <w:pPr>
              <w:jc w:val="center"/>
              <w:rPr>
                <w:rFonts w:hint="eastAsia" w:ascii="微软雅黑" w:hAnsi="微软雅黑" w:eastAsia="微软雅黑" w:cs="微软雅黑"/>
                <w:i/>
                <w:iCs/>
                <w:color w:val="000000"/>
                <w:sz w:val="16"/>
                <w:szCs w:val="16"/>
                <w:u w:val="none"/>
              </w:rPr>
            </w:pPr>
          </w:p>
        </w:tc>
      </w:tr>
      <w:tr w14:paraId="27113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F9AF8">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8FFE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3FCE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22B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提高建国初期退休干部满意度</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5FC5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E2E0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E6C29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68071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C7C3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0DD3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99E867E">
            <w:pPr>
              <w:jc w:val="center"/>
              <w:rPr>
                <w:rFonts w:hint="eastAsia" w:ascii="微软雅黑" w:hAnsi="微软雅黑" w:eastAsia="微软雅黑" w:cs="微软雅黑"/>
                <w:i/>
                <w:iCs/>
                <w:color w:val="000000"/>
                <w:sz w:val="16"/>
                <w:szCs w:val="16"/>
                <w:u w:val="none"/>
              </w:rPr>
            </w:pPr>
          </w:p>
        </w:tc>
      </w:tr>
      <w:tr w14:paraId="7F4E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78" w:hRule="atLeast"/>
          <w:jc w:val="center"/>
        </w:trPr>
        <w:tc>
          <w:tcPr>
            <w:tcW w:w="0" w:type="auto"/>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9094C">
            <w:pPr>
              <w:jc w:val="center"/>
              <w:rPr>
                <w:rFonts w:hint="eastAsia" w:ascii="宋体" w:hAnsi="宋体" w:eastAsia="宋体" w:cs="宋体"/>
                <w:i w:val="0"/>
                <w:iCs w:val="0"/>
                <w:color w:val="000000"/>
                <w:sz w:val="18"/>
                <w:szCs w:val="18"/>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12E8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3BEA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C057F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每人每月545元，共计13080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D20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A801E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545</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E0C98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元/人·次</w:t>
            </w:r>
          </w:p>
        </w:tc>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572793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545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0B94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B4AF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DE0CCB3">
            <w:pPr>
              <w:jc w:val="center"/>
              <w:rPr>
                <w:rFonts w:hint="eastAsia" w:ascii="微软雅黑" w:hAnsi="微软雅黑" w:eastAsia="微软雅黑" w:cs="微软雅黑"/>
                <w:i/>
                <w:iCs/>
                <w:color w:val="000000"/>
                <w:sz w:val="16"/>
                <w:szCs w:val="16"/>
                <w:u w:val="none"/>
              </w:rPr>
            </w:pPr>
          </w:p>
        </w:tc>
      </w:tr>
      <w:tr w14:paraId="57F3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81"/>
            <w:tcBorders>
              <w:top w:val="single" w:color="000000" w:sz="4" w:space="0"/>
              <w:left w:val="single" w:color="000000" w:sz="4" w:space="0"/>
              <w:bottom w:val="single" w:color="000000" w:sz="4" w:space="0"/>
              <w:right w:val="single" w:color="000000" w:sz="4" w:space="0"/>
            </w:tcBorders>
            <w:shd w:val="clear" w:color="auto" w:fill="auto"/>
            <w:vAlign w:val="center"/>
          </w:tcPr>
          <w:p w14:paraId="0970C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32BF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45A559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ACC13B8">
            <w:pPr>
              <w:rPr>
                <w:rFonts w:hint="eastAsia" w:ascii="宋体" w:hAnsi="宋体" w:eastAsia="宋体" w:cs="宋体"/>
                <w:i w:val="0"/>
                <w:iCs w:val="0"/>
                <w:color w:val="000000"/>
                <w:sz w:val="18"/>
                <w:szCs w:val="18"/>
                <w:u w:val="none"/>
              </w:rPr>
            </w:pPr>
          </w:p>
        </w:tc>
      </w:tr>
      <w:tr w14:paraId="3C202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80"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17E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321533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建国初期参加革命工作部分干部困难补助，为年老体弱、经济困难的老干部提供了重要生活支撑。补助资金用于支付医疗费用、改善居住条件，有效缓解了老干部因疾病、高龄带来的经济压力，让他们能够安享晚年。这不仅保障了老干部的基本生活需求，更体现了党和国家对革命功臣的深切关怀，增强了老干部的归属感与荣誉感。通过发放困难补助，党和国家以实际行动肯定了老干部在建国初期为国家独立、民族解放和社会主义建设作出的卓越贡献。</w:t>
            </w:r>
          </w:p>
        </w:tc>
      </w:tr>
      <w:tr w14:paraId="304FF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60"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1282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4DEC1A6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经济社会发展与物价上涨，现行困难补助标准与老干部实际生活成本之间的差距逐渐扩大。部分老干部面临高昂的医疗护理费用，补助资金仅能覆盖小部分开支，难以保障其高质量的生活需求。此外，补助标准缺乏动态调整机制，未能及时根据经济发展水平和物价指数进行优化，导致保障力度不足。当前困难补助评定存在标准模糊、流程不规范等问题。</w:t>
            </w:r>
          </w:p>
        </w:tc>
      </w:tr>
      <w:tr w14:paraId="54932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5748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1"/>
            <w:tcBorders>
              <w:top w:val="single" w:color="000000" w:sz="4" w:space="0"/>
              <w:left w:val="single" w:color="000000" w:sz="4" w:space="0"/>
              <w:bottom w:val="single" w:color="000000" w:sz="4" w:space="0"/>
              <w:right w:val="single" w:color="000000" w:sz="4" w:space="0"/>
            </w:tcBorders>
            <w:shd w:val="clear" w:color="auto" w:fill="auto"/>
            <w:vAlign w:val="center"/>
          </w:tcPr>
          <w:p w14:paraId="5576D90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参照居民消费价格指数、人均收入增长幅度等指标，建立困难补助标准动态调整机制，定期提升补助金额。针对医疗支出高、失能程度重的老干部，设立专项补助或提高补助比例，切实满足其多样化需求，增强补助政策的保障力度。制定科学、量化的困难补助评定标准，明确家庭收入、医疗支出、健康状况等核心指标，细化评定流程。引入第三方评估机构,减少人为干扰因素，确保补助资金精准发放给真正困难的老干部，维护政策公平性。</w:t>
            </w:r>
          </w:p>
        </w:tc>
      </w:tr>
      <w:tr w14:paraId="2D4B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1"/>
            <w:tcBorders>
              <w:top w:val="single" w:color="000000" w:sz="4" w:space="0"/>
              <w:left w:val="single" w:color="000000" w:sz="4" w:space="0"/>
              <w:bottom w:val="single" w:color="000000" w:sz="4" w:space="0"/>
              <w:right w:val="single" w:color="000000" w:sz="4" w:space="0"/>
            </w:tcBorders>
            <w:shd w:val="clear" w:color="auto" w:fill="auto"/>
            <w:vAlign w:val="center"/>
          </w:tcPr>
          <w:p w14:paraId="5D0A008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项目负责人：向文浩</w:t>
            </w:r>
          </w:p>
        </w:tc>
        <w:tc>
          <w:tcPr>
            <w:tcW w:w="0" w:type="auto"/>
            <w:gridSpan w:val="75"/>
            <w:tcBorders>
              <w:top w:val="single" w:color="000000" w:sz="4" w:space="0"/>
              <w:left w:val="single" w:color="000000" w:sz="4" w:space="0"/>
              <w:bottom w:val="single" w:color="000000" w:sz="4" w:space="0"/>
              <w:right w:val="single" w:color="000000" w:sz="4" w:space="0"/>
            </w:tcBorders>
            <w:shd w:val="clear" w:color="auto" w:fill="auto"/>
            <w:vAlign w:val="center"/>
          </w:tcPr>
          <w:p w14:paraId="0F7C392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7B243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1"/>
            <w:tcBorders>
              <w:top w:val="single" w:color="000000" w:sz="4" w:space="0"/>
              <w:left w:val="single" w:color="000000" w:sz="4" w:space="0"/>
              <w:bottom w:val="single" w:color="000000" w:sz="4" w:space="0"/>
              <w:right w:val="single" w:color="000000" w:sz="4" w:space="0"/>
            </w:tcBorders>
            <w:shd w:val="clear" w:color="auto" w:fill="auto"/>
            <w:vAlign w:val="center"/>
          </w:tcPr>
          <w:p w14:paraId="534A4850">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5"/>
            <w:tcBorders>
              <w:top w:val="single" w:color="000000" w:sz="4" w:space="0"/>
              <w:left w:val="single" w:color="000000" w:sz="4" w:space="0"/>
              <w:bottom w:val="single" w:color="000000" w:sz="4" w:space="0"/>
              <w:right w:val="single" w:color="000000" w:sz="4" w:space="0"/>
            </w:tcBorders>
            <w:shd w:val="clear" w:color="auto" w:fill="auto"/>
            <w:vAlign w:val="center"/>
          </w:tcPr>
          <w:p w14:paraId="1D3D2FAC">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4354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04" w:hRule="atLeast"/>
          <w:jc w:val="center"/>
        </w:trPr>
        <w:tc>
          <w:tcPr>
            <w:tcW w:w="0" w:type="auto"/>
            <w:gridSpan w:val="116"/>
            <w:tcBorders>
              <w:top w:val="single" w:color="000000" w:sz="4" w:space="0"/>
              <w:left w:val="single" w:color="000000" w:sz="4" w:space="0"/>
              <w:bottom w:val="single" w:color="000000" w:sz="4" w:space="0"/>
              <w:right w:val="single" w:color="000000" w:sz="4" w:space="0"/>
            </w:tcBorders>
            <w:shd w:val="clear" w:color="auto" w:fill="auto"/>
            <w:vAlign w:val="center"/>
          </w:tcPr>
          <w:p w14:paraId="33AB37D8">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DE9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ED784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0" w:type="auto"/>
            <w:gridSpan w:val="101"/>
            <w:tcBorders>
              <w:top w:val="single" w:color="000000" w:sz="4" w:space="0"/>
              <w:left w:val="single" w:color="000000" w:sz="4" w:space="0"/>
              <w:bottom w:val="single" w:color="000000" w:sz="4" w:space="0"/>
              <w:right w:val="single" w:color="000000" w:sz="4" w:space="0"/>
            </w:tcBorders>
            <w:shd w:val="clear" w:color="auto" w:fill="auto"/>
            <w:vAlign w:val="center"/>
          </w:tcPr>
          <w:p w14:paraId="4EEEC5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51090424T000011119939-2024年重点乡镇综合执法大队协管员工资</w:t>
            </w:r>
          </w:p>
        </w:tc>
      </w:tr>
      <w:tr w14:paraId="75136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512" w:hRule="atLeast"/>
          <w:jc w:val="center"/>
        </w:trPr>
        <w:tc>
          <w:tcPr>
            <w:tcW w:w="0" w:type="auto"/>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2B6FD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3A8A60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0" w:type="auto"/>
            <w:gridSpan w:val="14"/>
            <w:tcBorders>
              <w:top w:val="nil"/>
              <w:left w:val="nil"/>
              <w:bottom w:val="nil"/>
              <w:right w:val="nil"/>
            </w:tcBorders>
            <w:shd w:val="clear" w:color="auto" w:fill="auto"/>
            <w:vAlign w:val="center"/>
          </w:tcPr>
          <w:p w14:paraId="39BA778F">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0" w:type="auto"/>
            <w:gridSpan w:val="39"/>
            <w:tcBorders>
              <w:top w:val="single" w:color="000000" w:sz="4" w:space="0"/>
              <w:left w:val="single" w:color="000000" w:sz="4" w:space="0"/>
              <w:bottom w:val="single" w:color="000000" w:sz="4" w:space="0"/>
              <w:right w:val="single" w:color="000000" w:sz="4" w:space="0"/>
            </w:tcBorders>
            <w:shd w:val="clear" w:color="auto" w:fill="auto"/>
            <w:vAlign w:val="center"/>
          </w:tcPr>
          <w:p w14:paraId="5118F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51A1F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0E2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10E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0353CF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0" w:type="auto"/>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6967A64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B35A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708"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6D048">
            <w:pP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3F065">
            <w:pPr>
              <w:rPr>
                <w:rFonts w:hint="eastAsia" w:ascii="宋体" w:hAnsi="宋体" w:eastAsia="宋体" w:cs="宋体"/>
                <w:i w:val="0"/>
                <w:iCs w:val="0"/>
                <w:color w:val="000000"/>
                <w:sz w:val="18"/>
                <w:szCs w:val="18"/>
                <w:u w:val="none"/>
              </w:rPr>
            </w:pPr>
          </w:p>
        </w:tc>
        <w:tc>
          <w:tcPr>
            <w:tcW w:w="0" w:type="auto"/>
            <w:gridSpan w:val="48"/>
            <w:tcBorders>
              <w:top w:val="single" w:color="000000" w:sz="4" w:space="0"/>
              <w:left w:val="single" w:color="000000" w:sz="4" w:space="0"/>
              <w:bottom w:val="single" w:color="000000" w:sz="4" w:space="0"/>
              <w:right w:val="single" w:color="000000" w:sz="4" w:space="0"/>
            </w:tcBorders>
            <w:shd w:val="clear" w:color="auto" w:fill="auto"/>
            <w:vAlign w:val="center"/>
          </w:tcPr>
          <w:p w14:paraId="174583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完成5名协管员工资支付，每人每年5万元钱</w:t>
            </w:r>
          </w:p>
        </w:tc>
        <w:tc>
          <w:tcPr>
            <w:tcW w:w="0" w:type="auto"/>
            <w:gridSpan w:val="53"/>
            <w:tcBorders>
              <w:top w:val="single" w:color="000000" w:sz="4" w:space="0"/>
              <w:left w:val="single" w:color="000000" w:sz="4" w:space="0"/>
              <w:bottom w:val="single" w:color="000000" w:sz="4" w:space="0"/>
              <w:right w:val="single" w:color="000000" w:sz="4" w:space="0"/>
            </w:tcBorders>
            <w:shd w:val="clear" w:color="auto" w:fill="auto"/>
            <w:vAlign w:val="center"/>
          </w:tcPr>
          <w:p w14:paraId="34D251E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完成5名协管员工资支付，每人每年5万元钱</w:t>
            </w:r>
          </w:p>
        </w:tc>
      </w:tr>
      <w:tr w14:paraId="1D6AF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93"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B3DB5">
            <w:pP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7DD0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0" w:type="auto"/>
            <w:gridSpan w:val="101"/>
            <w:tcBorders>
              <w:top w:val="single" w:color="000000" w:sz="4" w:space="0"/>
              <w:left w:val="single" w:color="000000" w:sz="4" w:space="0"/>
              <w:bottom w:val="single" w:color="000000" w:sz="4" w:space="0"/>
              <w:right w:val="single" w:color="000000" w:sz="4" w:space="0"/>
            </w:tcBorders>
            <w:shd w:val="clear" w:color="auto" w:fill="auto"/>
            <w:vAlign w:val="center"/>
          </w:tcPr>
          <w:p w14:paraId="340F57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完成5名协管员工资支付，每人每年5万元钱</w:t>
            </w:r>
          </w:p>
        </w:tc>
      </w:tr>
      <w:tr w14:paraId="708B7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51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8F1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F671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A04A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177FF8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F222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414D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9C112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C206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0FE6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46"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83157">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5F5B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2D74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5740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6FC8B4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098B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4E561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F43C0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ABC7EF">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C56E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9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98B0F">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EB5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38A1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D4D25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4DEA0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4515C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22B0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23414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B5498">
            <w:pPr>
              <w:rPr>
                <w:rFonts w:hint="eastAsia" w:ascii="黑体" w:hAnsi="黑体" w:eastAsia="黑体" w:cs="黑体"/>
                <w:i/>
                <w:iCs/>
                <w:color w:val="000000"/>
                <w:sz w:val="18"/>
                <w:szCs w:val="18"/>
                <w:u w:val="none"/>
              </w:rPr>
            </w:pPr>
          </w:p>
        </w:tc>
      </w:tr>
      <w:tr w14:paraId="2F156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07"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5BEA7">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75C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5AEA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3043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400D79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E96BB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BE1B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8CD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DD303">
            <w:pPr>
              <w:rPr>
                <w:rFonts w:hint="eastAsia" w:ascii="黑体" w:hAnsi="黑体" w:eastAsia="黑体" w:cs="黑体"/>
                <w:i/>
                <w:iCs/>
                <w:color w:val="000000"/>
                <w:sz w:val="18"/>
                <w:szCs w:val="18"/>
                <w:u w:val="none"/>
              </w:rPr>
            </w:pPr>
          </w:p>
        </w:tc>
      </w:tr>
      <w:tr w14:paraId="274D2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61"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C0CFC">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4DC2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F515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49B8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53528A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F57F2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B44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EBC4E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1D70F">
            <w:pPr>
              <w:rPr>
                <w:rFonts w:hint="eastAsia" w:ascii="黑体" w:hAnsi="黑体" w:eastAsia="黑体" w:cs="黑体"/>
                <w:i/>
                <w:iCs/>
                <w:color w:val="000000"/>
                <w:sz w:val="18"/>
                <w:szCs w:val="18"/>
                <w:u w:val="none"/>
              </w:rPr>
            </w:pPr>
          </w:p>
        </w:tc>
      </w:tr>
      <w:tr w14:paraId="74077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339"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9FF4B">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6467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E311C1">
            <w:pPr>
              <w:jc w:val="center"/>
              <w:rPr>
                <w:rFonts w:hint="eastAsia" w:ascii="微软雅黑" w:hAnsi="微软雅黑" w:eastAsia="微软雅黑" w:cs="微软雅黑"/>
                <w:i/>
                <w:iCs/>
                <w:color w:val="000000"/>
                <w:sz w:val="16"/>
                <w:szCs w:val="16"/>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1FA563">
            <w:pPr>
              <w:jc w:val="center"/>
              <w:rPr>
                <w:rFonts w:hint="eastAsia" w:ascii="微软雅黑" w:hAnsi="微软雅黑" w:eastAsia="微软雅黑" w:cs="微软雅黑"/>
                <w:i/>
                <w:iCs/>
                <w:color w:val="000000"/>
                <w:sz w:val="16"/>
                <w:szCs w:val="16"/>
                <w:u w:val="none"/>
              </w:rPr>
            </w:pPr>
          </w:p>
        </w:tc>
        <w:tc>
          <w:tcPr>
            <w:tcW w:w="0" w:type="auto"/>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2E6E4A0D">
            <w:pPr>
              <w:jc w:val="center"/>
              <w:rPr>
                <w:rFonts w:hint="eastAsia" w:ascii="微软雅黑" w:hAnsi="微软雅黑" w:eastAsia="微软雅黑" w:cs="微软雅黑"/>
                <w:i/>
                <w:iCs/>
                <w:color w:val="000000"/>
                <w:sz w:val="16"/>
                <w:szCs w:val="16"/>
                <w:u w:val="none"/>
              </w:rPr>
            </w:pP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722B503">
            <w:pPr>
              <w:jc w:val="center"/>
              <w:rPr>
                <w:rFonts w:hint="eastAsia" w:ascii="微软雅黑" w:hAnsi="微软雅黑" w:eastAsia="微软雅黑" w:cs="微软雅黑"/>
                <w:i/>
                <w:iCs/>
                <w:color w:val="000000"/>
                <w:sz w:val="16"/>
                <w:szCs w:val="16"/>
                <w:u w:val="none"/>
              </w:rPr>
            </w:pP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914B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8297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E3B9C">
            <w:pPr>
              <w:rPr>
                <w:rFonts w:hint="eastAsia" w:ascii="黑体" w:hAnsi="黑体" w:eastAsia="黑体" w:cs="黑体"/>
                <w:i/>
                <w:iCs/>
                <w:color w:val="000000"/>
                <w:sz w:val="18"/>
                <w:szCs w:val="18"/>
                <w:u w:val="none"/>
              </w:rPr>
            </w:pPr>
          </w:p>
        </w:tc>
      </w:tr>
      <w:tr w14:paraId="5BFE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B0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86B2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4871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F2D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61E5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224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534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5C4F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DF5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D695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13A1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5B0D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91195">
            <w:pPr>
              <w:jc w:val="center"/>
              <w:rPr>
                <w:rFonts w:hint="eastAsia" w:ascii="宋体" w:hAnsi="宋体" w:eastAsia="宋体" w:cs="宋体"/>
                <w:i w:val="0"/>
                <w:iCs w:val="0"/>
                <w:color w:val="000000"/>
                <w:sz w:val="18"/>
                <w:szCs w:val="18"/>
                <w:u w:val="none"/>
              </w:rPr>
            </w:pPr>
          </w:p>
        </w:tc>
        <w:tc>
          <w:tcPr>
            <w:tcW w:w="0" w:type="auto"/>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C5F3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5A3CC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56A1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5名协管员完成全年执法工作，维护市场秩序</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6FA38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E4F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04A4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座</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0B44584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2A3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C21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41D4383">
            <w:pPr>
              <w:jc w:val="center"/>
              <w:rPr>
                <w:rFonts w:hint="eastAsia" w:ascii="微软雅黑" w:hAnsi="微软雅黑" w:eastAsia="微软雅黑" w:cs="微软雅黑"/>
                <w:i/>
                <w:iCs/>
                <w:color w:val="000000"/>
                <w:sz w:val="16"/>
                <w:szCs w:val="16"/>
                <w:u w:val="none"/>
              </w:rPr>
            </w:pPr>
          </w:p>
        </w:tc>
      </w:tr>
      <w:tr w14:paraId="4249C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94983">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4EAB9">
            <w:pPr>
              <w:jc w:val="center"/>
              <w:rPr>
                <w:rFonts w:hint="eastAsia" w:ascii="宋体" w:hAnsi="宋体" w:eastAsia="宋体" w:cs="宋体"/>
                <w:i w:val="0"/>
                <w:iCs w:val="0"/>
                <w:color w:val="000000"/>
                <w:sz w:val="18"/>
                <w:szCs w:val="18"/>
                <w:u w:val="none"/>
              </w:rPr>
            </w:pPr>
          </w:p>
        </w:tc>
        <w:tc>
          <w:tcPr>
            <w:tcW w:w="0" w:type="auto"/>
            <w:gridSpan w:val="1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4EF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06C6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保障200个车位有序停放，车辆违法行为减少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779E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738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6629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5275C56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AD7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3D55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04E8D40">
            <w:pPr>
              <w:jc w:val="center"/>
              <w:rPr>
                <w:rFonts w:hint="eastAsia" w:ascii="微软雅黑" w:hAnsi="微软雅黑" w:eastAsia="微软雅黑" w:cs="微软雅黑"/>
                <w:i/>
                <w:iCs/>
                <w:color w:val="000000"/>
                <w:sz w:val="16"/>
                <w:szCs w:val="16"/>
                <w:u w:val="none"/>
              </w:rPr>
            </w:pPr>
          </w:p>
        </w:tc>
      </w:tr>
      <w:tr w14:paraId="23FF1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4EAA3">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13573">
            <w:pPr>
              <w:jc w:val="center"/>
              <w:rPr>
                <w:rFonts w:hint="eastAsia" w:ascii="宋体" w:hAnsi="宋体" w:eastAsia="宋体" w:cs="宋体"/>
                <w:i w:val="0"/>
                <w:iCs w:val="0"/>
                <w:color w:val="000000"/>
                <w:sz w:val="18"/>
                <w:szCs w:val="18"/>
                <w:u w:val="none"/>
              </w:rPr>
            </w:pPr>
          </w:p>
        </w:tc>
        <w:tc>
          <w:tcPr>
            <w:tcW w:w="0" w:type="auto"/>
            <w:gridSpan w:val="1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00E41">
            <w:pPr>
              <w:jc w:val="center"/>
              <w:rPr>
                <w:rFonts w:hint="eastAsia" w:ascii="宋体" w:hAnsi="宋体" w:eastAsia="宋体" w:cs="宋体"/>
                <w:i w:val="0"/>
                <w:iCs w:val="0"/>
                <w:color w:val="000000"/>
                <w:sz w:val="18"/>
                <w:szCs w:val="18"/>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12E0D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对提升监督监察检查水平及能力的持续影响</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46CF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F120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252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0A7EA2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9398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C56EA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02B518E">
            <w:pPr>
              <w:jc w:val="center"/>
              <w:rPr>
                <w:rFonts w:hint="eastAsia" w:ascii="微软雅黑" w:hAnsi="微软雅黑" w:eastAsia="微软雅黑" w:cs="微软雅黑"/>
                <w:i/>
                <w:iCs/>
                <w:color w:val="000000"/>
                <w:sz w:val="16"/>
                <w:szCs w:val="16"/>
                <w:u w:val="none"/>
              </w:rPr>
            </w:pPr>
          </w:p>
        </w:tc>
      </w:tr>
      <w:tr w14:paraId="0F45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005CC">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6797B">
            <w:pPr>
              <w:jc w:val="center"/>
              <w:rPr>
                <w:rFonts w:hint="eastAsia" w:ascii="宋体" w:hAnsi="宋体" w:eastAsia="宋体" w:cs="宋体"/>
                <w:i w:val="0"/>
                <w:iCs w:val="0"/>
                <w:color w:val="000000"/>
                <w:sz w:val="18"/>
                <w:szCs w:val="18"/>
                <w:u w:val="none"/>
              </w:rPr>
            </w:pPr>
          </w:p>
        </w:tc>
        <w:tc>
          <w:tcPr>
            <w:tcW w:w="0" w:type="auto"/>
            <w:gridSpan w:val="1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3BC55">
            <w:pPr>
              <w:jc w:val="center"/>
              <w:rPr>
                <w:rFonts w:hint="eastAsia" w:ascii="宋体" w:hAnsi="宋体" w:eastAsia="宋体" w:cs="宋体"/>
                <w:i w:val="0"/>
                <w:iCs w:val="0"/>
                <w:color w:val="000000"/>
                <w:sz w:val="18"/>
                <w:szCs w:val="18"/>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D07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社会人员违法违规率较去年下降10%</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B0E5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2BCA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0B8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3E4EEE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5630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D9E3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7A6AA12">
            <w:pPr>
              <w:jc w:val="center"/>
              <w:rPr>
                <w:rFonts w:hint="eastAsia" w:ascii="微软雅黑" w:hAnsi="微软雅黑" w:eastAsia="微软雅黑" w:cs="微软雅黑"/>
                <w:i/>
                <w:iCs/>
                <w:color w:val="000000"/>
                <w:sz w:val="16"/>
                <w:szCs w:val="16"/>
                <w:u w:val="none"/>
              </w:rPr>
            </w:pPr>
          </w:p>
        </w:tc>
      </w:tr>
      <w:tr w14:paraId="7E60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85AA3">
            <w:pPr>
              <w:jc w:val="center"/>
              <w:rPr>
                <w:rFonts w:hint="eastAsia" w:ascii="宋体" w:hAnsi="宋体" w:eastAsia="宋体" w:cs="宋体"/>
                <w:i w:val="0"/>
                <w:iCs w:val="0"/>
                <w:color w:val="000000"/>
                <w:sz w:val="18"/>
                <w:szCs w:val="18"/>
                <w:u w:val="none"/>
              </w:rPr>
            </w:pPr>
          </w:p>
        </w:tc>
        <w:tc>
          <w:tcPr>
            <w:tcW w:w="0" w:type="auto"/>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9F84B">
            <w:pPr>
              <w:jc w:val="cente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AC8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8CF1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2024年12月30日前完成项目目标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777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245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BCC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29B150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1A6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815C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BDB12D8">
            <w:pPr>
              <w:jc w:val="center"/>
              <w:rPr>
                <w:rFonts w:hint="eastAsia" w:ascii="微软雅黑" w:hAnsi="微软雅黑" w:eastAsia="微软雅黑" w:cs="微软雅黑"/>
                <w:i/>
                <w:iCs/>
                <w:color w:val="000000"/>
                <w:sz w:val="16"/>
                <w:szCs w:val="16"/>
                <w:u w:val="none"/>
              </w:rPr>
            </w:pPr>
          </w:p>
        </w:tc>
      </w:tr>
      <w:tr w14:paraId="4F6FC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86356">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7A22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E1A46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C0BB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5个场镇秩序井然，违法违规现象减少</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EE73F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036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F45D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座</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F2AC68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E5B2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5F159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D108F3F">
            <w:pPr>
              <w:jc w:val="center"/>
              <w:rPr>
                <w:rFonts w:hint="eastAsia" w:ascii="微软雅黑" w:hAnsi="微软雅黑" w:eastAsia="微软雅黑" w:cs="微软雅黑"/>
                <w:i/>
                <w:iCs/>
                <w:color w:val="000000"/>
                <w:sz w:val="16"/>
                <w:szCs w:val="16"/>
                <w:u w:val="none"/>
              </w:rPr>
            </w:pPr>
          </w:p>
        </w:tc>
      </w:tr>
      <w:tr w14:paraId="4752D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16B3B">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051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EF4C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435B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执法大队协管员满意度得到提升</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D3F1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980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90D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61D5C6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74B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B199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7A773DB">
            <w:pPr>
              <w:jc w:val="center"/>
              <w:rPr>
                <w:rFonts w:hint="eastAsia" w:ascii="微软雅黑" w:hAnsi="微软雅黑" w:eastAsia="微软雅黑" w:cs="微软雅黑"/>
                <w:i/>
                <w:iCs/>
                <w:color w:val="000000"/>
                <w:sz w:val="16"/>
                <w:szCs w:val="16"/>
                <w:u w:val="none"/>
              </w:rPr>
            </w:pPr>
          </w:p>
        </w:tc>
      </w:tr>
      <w:tr w14:paraId="30235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452" w:hRule="atLeast"/>
          <w:jc w:val="center"/>
        </w:trPr>
        <w:tc>
          <w:tcPr>
            <w:tcW w:w="0" w:type="auto"/>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523F2">
            <w:pPr>
              <w:jc w:val="center"/>
              <w:rPr>
                <w:rFonts w:hint="eastAsia" w:ascii="宋体" w:hAnsi="宋体" w:eastAsia="宋体" w:cs="宋体"/>
                <w:i w:val="0"/>
                <w:iCs w:val="0"/>
                <w:color w:val="000000"/>
                <w:sz w:val="18"/>
                <w:szCs w:val="18"/>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4ADA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07D1C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30DE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保障5名协管员工资，每人每年5万元</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5D6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5FD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12E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0" w:type="auto"/>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167995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EEA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8CEE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FE4C44D">
            <w:pPr>
              <w:jc w:val="center"/>
              <w:rPr>
                <w:rFonts w:hint="eastAsia" w:ascii="微软雅黑" w:hAnsi="微软雅黑" w:eastAsia="微软雅黑" w:cs="微软雅黑"/>
                <w:i/>
                <w:iCs/>
                <w:color w:val="000000"/>
                <w:sz w:val="16"/>
                <w:szCs w:val="16"/>
                <w:u w:val="none"/>
              </w:rPr>
            </w:pPr>
          </w:p>
        </w:tc>
      </w:tr>
      <w:tr w14:paraId="354BB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77"/>
            <w:tcBorders>
              <w:top w:val="single" w:color="000000" w:sz="4" w:space="0"/>
              <w:left w:val="single" w:color="000000" w:sz="4" w:space="0"/>
              <w:bottom w:val="single" w:color="000000" w:sz="4" w:space="0"/>
              <w:right w:val="single" w:color="000000" w:sz="4" w:space="0"/>
            </w:tcBorders>
            <w:shd w:val="clear" w:color="auto" w:fill="auto"/>
            <w:vAlign w:val="center"/>
          </w:tcPr>
          <w:p w14:paraId="739FB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50D9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BD7E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B775F77">
            <w:pPr>
              <w:rPr>
                <w:rFonts w:hint="eastAsia" w:ascii="宋体" w:hAnsi="宋体" w:eastAsia="宋体" w:cs="宋体"/>
                <w:i w:val="0"/>
                <w:iCs w:val="0"/>
                <w:color w:val="000000"/>
                <w:sz w:val="18"/>
                <w:szCs w:val="18"/>
                <w:u w:val="none"/>
              </w:rPr>
            </w:pPr>
          </w:p>
        </w:tc>
      </w:tr>
      <w:tr w14:paraId="1E9A1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94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96F8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5E7B5C8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队员提供了基本生活保障，使其能够安心投入工作。稳定的收入让协管员无需为生计奔波，减少了人员频繁流动，有助于维持执法队伍的稳定性，保障乡镇综合执法工作的连贯性和持续性。合理的工资待遇一定程度上激发了协管员的工作积极性。协管员更有动力主动履行职责，积极参与市容市貌整治、违建巡查、市场秩序维护等执法工作，提升执法工作的效率和质量，对改善乡镇环境、维护社会秩序起到积极作用。</w:t>
            </w:r>
          </w:p>
        </w:tc>
      </w:tr>
      <w:tr w14:paraId="653FF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860"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AE4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3414ACF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部分重点乡镇协管员工资仅略高于当地最低工资标准，与同地区其他行业岗位相比缺乏吸引力。在物价上涨、生活成本增加的背景下，微薄的工资难以满足协管员的生活需求，导致优秀人才流失，也使得岗位对高素质人才的吸引力不足，影响执法队伍长远发展。协管员工资结构单一，以固定工资为主，绩效工资占比过低或缺乏科学的绩效考核体系。无法有效激励协管员提升工作质量和效率，难以充分调动其工作积极性和主动性。</w:t>
            </w:r>
          </w:p>
        </w:tc>
      </w:tr>
      <w:tr w14:paraId="1877C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633" w:hRule="atLeast"/>
          <w:jc w:val="center"/>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631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0" w:type="auto"/>
            <w:gridSpan w:val="110"/>
            <w:tcBorders>
              <w:top w:val="single" w:color="000000" w:sz="4" w:space="0"/>
              <w:left w:val="single" w:color="000000" w:sz="4" w:space="0"/>
              <w:bottom w:val="single" w:color="000000" w:sz="4" w:space="0"/>
              <w:right w:val="single" w:color="000000" w:sz="4" w:space="0"/>
            </w:tcBorders>
            <w:shd w:val="clear" w:color="auto" w:fill="auto"/>
            <w:vAlign w:val="center"/>
          </w:tcPr>
          <w:p w14:paraId="49CA78E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充分认识到协管员在乡镇综合执法中的重要作用，加大财政投入，提高协管员工资水平。参考当地同行业平均工资和物价水平，制定合理的工资标准，确保工资能够满足协管员的基本生活需求，吸引和留住优秀人才。优化协管员工资结构，适当提高绩效工资占比，建立科学的绩效考核体系。将日常执法工作表现、任务完成情况、群众满意度等纳入考核指标，根据考核结果发放绩效工资，使工资与工作业绩紧密挂钩，充分发挥薪酬的激励作用。</w:t>
            </w:r>
          </w:p>
        </w:tc>
      </w:tr>
      <w:tr w14:paraId="01761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4EE026E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项目负责人：梁立国</w:t>
            </w:r>
          </w:p>
        </w:tc>
        <w:tc>
          <w:tcPr>
            <w:tcW w:w="0" w:type="auto"/>
            <w:gridSpan w:val="71"/>
            <w:tcBorders>
              <w:top w:val="single" w:color="000000" w:sz="4" w:space="0"/>
              <w:left w:val="single" w:color="000000" w:sz="4" w:space="0"/>
              <w:bottom w:val="single" w:color="000000" w:sz="4" w:space="0"/>
              <w:right w:val="single" w:color="000000" w:sz="4" w:space="0"/>
            </w:tcBorders>
            <w:shd w:val="clear" w:color="auto" w:fill="auto"/>
            <w:vAlign w:val="center"/>
          </w:tcPr>
          <w:p w14:paraId="7D43E27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40D63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2" w:type="dxa"/>
          <w:wAfter w:w="2" w:type="dxa"/>
          <w:trHeight w:val="286" w:hRule="atLeast"/>
          <w:jc w:val="center"/>
        </w:trPr>
        <w:tc>
          <w:tcPr>
            <w:tcW w:w="0" w:type="auto"/>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397F168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0" w:type="auto"/>
            <w:gridSpan w:val="71"/>
            <w:tcBorders>
              <w:top w:val="single" w:color="000000" w:sz="4" w:space="0"/>
              <w:left w:val="single" w:color="000000" w:sz="4" w:space="0"/>
              <w:bottom w:val="single" w:color="000000" w:sz="4" w:space="0"/>
              <w:right w:val="single" w:color="000000" w:sz="4" w:space="0"/>
            </w:tcBorders>
            <w:shd w:val="clear" w:color="auto" w:fill="auto"/>
            <w:vAlign w:val="center"/>
          </w:tcPr>
          <w:p w14:paraId="4215780B">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5F582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904" w:hRule="atLeast"/>
          <w:jc w:val="center"/>
        </w:trPr>
        <w:tc>
          <w:tcPr>
            <w:tcW w:w="4942"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0E35D305">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E681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771"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687AD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170" w:type="pct"/>
            <w:gridSpan w:val="105"/>
            <w:tcBorders>
              <w:top w:val="single" w:color="000000" w:sz="4" w:space="0"/>
              <w:left w:val="single" w:color="000000" w:sz="4" w:space="0"/>
              <w:bottom w:val="single" w:color="000000" w:sz="4" w:space="0"/>
              <w:right w:val="single" w:color="000000" w:sz="4" w:space="0"/>
            </w:tcBorders>
            <w:shd w:val="clear" w:color="auto" w:fill="auto"/>
            <w:vAlign w:val="center"/>
          </w:tcPr>
          <w:p w14:paraId="1836AC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51090424T000011119974-2024年重点乡镇综合执法大队工作经费</w:t>
            </w:r>
          </w:p>
        </w:tc>
      </w:tr>
      <w:tr w14:paraId="6CDA1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12" w:hRule="atLeast"/>
          <w:jc w:val="center"/>
        </w:trPr>
        <w:tc>
          <w:tcPr>
            <w:tcW w:w="771"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51F90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138" w:type="pct"/>
            <w:gridSpan w:val="60"/>
            <w:tcBorders>
              <w:top w:val="single" w:color="000000" w:sz="4" w:space="0"/>
              <w:left w:val="single" w:color="000000" w:sz="4" w:space="0"/>
              <w:bottom w:val="single" w:color="000000" w:sz="4" w:space="0"/>
              <w:right w:val="single" w:color="000000" w:sz="4" w:space="0"/>
            </w:tcBorders>
            <w:shd w:val="clear" w:color="auto" w:fill="auto"/>
            <w:vAlign w:val="center"/>
          </w:tcPr>
          <w:p w14:paraId="36DD88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522" w:type="pct"/>
            <w:gridSpan w:val="16"/>
            <w:tcBorders>
              <w:top w:val="nil"/>
              <w:left w:val="nil"/>
              <w:bottom w:val="nil"/>
              <w:right w:val="nil"/>
            </w:tcBorders>
            <w:shd w:val="clear" w:color="auto" w:fill="auto"/>
            <w:vAlign w:val="center"/>
          </w:tcPr>
          <w:p w14:paraId="2743F8CD">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09" w:type="pct"/>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0880B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0F7C2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381"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86A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0"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B9A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138" w:type="pct"/>
            <w:gridSpan w:val="60"/>
            <w:tcBorders>
              <w:top w:val="single" w:color="000000" w:sz="4" w:space="0"/>
              <w:left w:val="single" w:color="000000" w:sz="4" w:space="0"/>
              <w:bottom w:val="single" w:color="000000" w:sz="4" w:space="0"/>
              <w:right w:val="single" w:color="000000" w:sz="4" w:space="0"/>
            </w:tcBorders>
            <w:shd w:val="clear" w:color="auto" w:fill="auto"/>
            <w:vAlign w:val="center"/>
          </w:tcPr>
          <w:p w14:paraId="3E4AA2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032"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73DDA7F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1C96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904"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1749D">
            <w:pPr>
              <w:rPr>
                <w:rFonts w:hint="eastAsia" w:ascii="宋体" w:hAnsi="宋体" w:eastAsia="宋体" w:cs="宋体"/>
                <w:i w:val="0"/>
                <w:iCs w:val="0"/>
                <w:color w:val="000000"/>
                <w:sz w:val="18"/>
                <w:szCs w:val="18"/>
                <w:u w:val="none"/>
              </w:rPr>
            </w:pPr>
          </w:p>
        </w:tc>
        <w:tc>
          <w:tcPr>
            <w:tcW w:w="39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44A1F">
            <w:pPr>
              <w:rPr>
                <w:rFonts w:hint="eastAsia" w:ascii="宋体" w:hAnsi="宋体" w:eastAsia="宋体" w:cs="宋体"/>
                <w:i w:val="0"/>
                <w:iCs w:val="0"/>
                <w:color w:val="000000"/>
                <w:sz w:val="18"/>
                <w:szCs w:val="18"/>
                <w:u w:val="none"/>
              </w:rPr>
            </w:pPr>
          </w:p>
        </w:tc>
        <w:tc>
          <w:tcPr>
            <w:tcW w:w="2138" w:type="pct"/>
            <w:gridSpan w:val="60"/>
            <w:tcBorders>
              <w:top w:val="single" w:color="000000" w:sz="4" w:space="0"/>
              <w:left w:val="single" w:color="000000" w:sz="4" w:space="0"/>
              <w:bottom w:val="single" w:color="000000" w:sz="4" w:space="0"/>
              <w:right w:val="single" w:color="000000" w:sz="4" w:space="0"/>
            </w:tcBorders>
            <w:shd w:val="clear" w:color="auto" w:fill="auto"/>
            <w:vAlign w:val="center"/>
          </w:tcPr>
          <w:p w14:paraId="457BEF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贯彻执行有关城市管理的法律、法规和规章。管理和维护城市管理秩序完成综合执法工作，规范场镇秩序。2.行使对娱乐场所、交通要道、市政设施、停车场管理等方面的专业行政执法工作。3.研究提出完善城市管理综合行政执法体系的建议和措施</w:t>
            </w:r>
          </w:p>
        </w:tc>
        <w:tc>
          <w:tcPr>
            <w:tcW w:w="2032"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4AB2B7A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2C934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93"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B42C9">
            <w:pP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9B95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170" w:type="pct"/>
            <w:gridSpan w:val="105"/>
            <w:tcBorders>
              <w:top w:val="single" w:color="000000" w:sz="4" w:space="0"/>
              <w:left w:val="single" w:color="000000" w:sz="4" w:space="0"/>
              <w:bottom w:val="single" w:color="000000" w:sz="4" w:space="0"/>
              <w:right w:val="single" w:color="000000" w:sz="4" w:space="0"/>
            </w:tcBorders>
            <w:shd w:val="clear" w:color="auto" w:fill="auto"/>
            <w:vAlign w:val="center"/>
          </w:tcPr>
          <w:p w14:paraId="79BD0868">
            <w:pPr>
              <w:rPr>
                <w:rFonts w:hint="eastAsia" w:ascii="宋体" w:hAnsi="宋体" w:eastAsia="宋体" w:cs="宋体"/>
                <w:i w:val="0"/>
                <w:iCs w:val="0"/>
                <w:color w:val="000000"/>
                <w:sz w:val="18"/>
                <w:szCs w:val="18"/>
                <w:u w:val="none"/>
              </w:rPr>
            </w:pPr>
          </w:p>
        </w:tc>
      </w:tr>
      <w:tr w14:paraId="3230A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381"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0A0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CC5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77CB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B57E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002"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65BE6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011D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8551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B813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D207B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ADA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46"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39693">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8CF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E884C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B047A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02"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3EFCB1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1D91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0ABC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C94BD1">
            <w:pPr>
              <w:jc w:val="center"/>
              <w:rPr>
                <w:rFonts w:hint="eastAsia" w:ascii="宋体" w:hAnsi="宋体" w:eastAsia="宋体" w:cs="宋体"/>
                <w:i w:val="0"/>
                <w:iCs w:val="0"/>
                <w:color w:val="000000"/>
                <w:sz w:val="18"/>
                <w:szCs w:val="18"/>
                <w:u w:val="none"/>
              </w:rPr>
            </w:pPr>
          </w:p>
        </w:tc>
        <w:tc>
          <w:tcPr>
            <w:tcW w:w="934" w:type="pct"/>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FDB7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F311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91"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A7BF6">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94A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ACB6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54A8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02"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7A7BF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CACC0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DC2B8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256D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4"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3E256">
            <w:pPr>
              <w:rPr>
                <w:rFonts w:hint="eastAsia" w:ascii="黑体" w:hAnsi="黑体" w:eastAsia="黑体" w:cs="黑体"/>
                <w:i/>
                <w:iCs/>
                <w:color w:val="000000"/>
                <w:sz w:val="18"/>
                <w:szCs w:val="18"/>
                <w:u w:val="none"/>
              </w:rPr>
            </w:pPr>
          </w:p>
        </w:tc>
      </w:tr>
      <w:tr w14:paraId="6ACC9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07"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0E4DD">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5A5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22033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295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2D9378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6911E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1BB05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6A45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4"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92E7B">
            <w:pPr>
              <w:rPr>
                <w:rFonts w:hint="eastAsia" w:ascii="黑体" w:hAnsi="黑体" w:eastAsia="黑体" w:cs="黑体"/>
                <w:i/>
                <w:iCs/>
                <w:color w:val="000000"/>
                <w:sz w:val="18"/>
                <w:szCs w:val="18"/>
                <w:u w:val="none"/>
              </w:rPr>
            </w:pPr>
          </w:p>
        </w:tc>
      </w:tr>
      <w:tr w14:paraId="7307C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FFC16">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30E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AB8E3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8305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050CF5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93F2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0E3B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E227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4"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ECDEA">
            <w:pPr>
              <w:rPr>
                <w:rFonts w:hint="eastAsia" w:ascii="黑体" w:hAnsi="黑体" w:eastAsia="黑体" w:cs="黑体"/>
                <w:i/>
                <w:iCs/>
                <w:color w:val="000000"/>
                <w:sz w:val="18"/>
                <w:szCs w:val="18"/>
                <w:u w:val="none"/>
              </w:rPr>
            </w:pPr>
          </w:p>
        </w:tc>
      </w:tr>
      <w:tr w14:paraId="0C33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20007">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9B60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73F1963">
            <w:pPr>
              <w:jc w:val="center"/>
              <w:rPr>
                <w:rFonts w:hint="eastAsia" w:ascii="微软雅黑" w:hAnsi="微软雅黑" w:eastAsia="微软雅黑" w:cs="微软雅黑"/>
                <w:i/>
                <w:iCs/>
                <w:color w:val="000000"/>
                <w:sz w:val="16"/>
                <w:szCs w:val="16"/>
                <w:u w:val="none"/>
              </w:rPr>
            </w:pP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5D17808">
            <w:pPr>
              <w:jc w:val="center"/>
              <w:rPr>
                <w:rFonts w:hint="eastAsia" w:ascii="微软雅黑" w:hAnsi="微软雅黑" w:eastAsia="微软雅黑" w:cs="微软雅黑"/>
                <w:i/>
                <w:iCs/>
                <w:color w:val="000000"/>
                <w:sz w:val="16"/>
                <w:szCs w:val="16"/>
                <w:u w:val="none"/>
              </w:rPr>
            </w:pPr>
          </w:p>
        </w:tc>
        <w:tc>
          <w:tcPr>
            <w:tcW w:w="1002" w:type="pct"/>
            <w:gridSpan w:val="33"/>
            <w:tcBorders>
              <w:top w:val="single" w:color="000000" w:sz="4" w:space="0"/>
              <w:left w:val="single" w:color="000000" w:sz="4" w:space="0"/>
              <w:bottom w:val="single" w:color="000000" w:sz="4" w:space="0"/>
              <w:right w:val="single" w:color="000000" w:sz="4" w:space="0"/>
            </w:tcBorders>
            <w:shd w:val="clear" w:color="auto" w:fill="auto"/>
            <w:vAlign w:val="center"/>
          </w:tcPr>
          <w:p w14:paraId="5383DAC3">
            <w:pPr>
              <w:jc w:val="center"/>
              <w:rPr>
                <w:rFonts w:hint="eastAsia" w:ascii="微软雅黑" w:hAnsi="微软雅黑" w:eastAsia="微软雅黑" w:cs="微软雅黑"/>
                <w:i/>
                <w:iCs/>
                <w:color w:val="000000"/>
                <w:sz w:val="16"/>
                <w:szCs w:val="16"/>
                <w:u w:val="none"/>
              </w:rPr>
            </w:pP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EABDC8F">
            <w:pPr>
              <w:jc w:val="center"/>
              <w:rPr>
                <w:rFonts w:hint="eastAsia" w:ascii="微软雅黑" w:hAnsi="微软雅黑" w:eastAsia="微软雅黑" w:cs="微软雅黑"/>
                <w:i/>
                <w:iCs/>
                <w:color w:val="000000"/>
                <w:sz w:val="16"/>
                <w:szCs w:val="16"/>
                <w:u w:val="none"/>
              </w:rPr>
            </w:pP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D3F8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09E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34"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65523">
            <w:pPr>
              <w:rPr>
                <w:rFonts w:hint="eastAsia" w:ascii="黑体" w:hAnsi="黑体" w:eastAsia="黑体" w:cs="黑体"/>
                <w:i/>
                <w:iCs/>
                <w:color w:val="000000"/>
                <w:sz w:val="18"/>
                <w:szCs w:val="18"/>
                <w:u w:val="none"/>
              </w:rPr>
            </w:pPr>
          </w:p>
        </w:tc>
      </w:tr>
      <w:tr w14:paraId="6DB98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7C8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1899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EF70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DCFC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42C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D18FE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647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DB1F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873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7D7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CE6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78E6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AF8DE">
            <w:pPr>
              <w:jc w:val="center"/>
              <w:rPr>
                <w:rFonts w:hint="eastAsia" w:ascii="宋体" w:hAnsi="宋体" w:eastAsia="宋体" w:cs="宋体"/>
                <w:i w:val="0"/>
                <w:iCs w:val="0"/>
                <w:color w:val="000000"/>
                <w:sz w:val="18"/>
                <w:szCs w:val="18"/>
                <w:u w:val="none"/>
              </w:rPr>
            </w:pPr>
          </w:p>
        </w:tc>
        <w:tc>
          <w:tcPr>
            <w:tcW w:w="390"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031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D23F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CF2F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5个场镇秩序井然，违法违规现象得以纠正</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571E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6E26E8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4E4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FF2752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7F02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172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1E32F3">
            <w:pPr>
              <w:jc w:val="center"/>
              <w:rPr>
                <w:rFonts w:hint="eastAsia" w:ascii="微软雅黑" w:hAnsi="微软雅黑" w:eastAsia="微软雅黑" w:cs="微软雅黑"/>
                <w:i/>
                <w:iCs/>
                <w:color w:val="000000"/>
                <w:sz w:val="16"/>
                <w:szCs w:val="16"/>
                <w:u w:val="none"/>
              </w:rPr>
            </w:pPr>
          </w:p>
        </w:tc>
      </w:tr>
      <w:tr w14:paraId="1EBA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A7444">
            <w:pPr>
              <w:jc w:val="center"/>
              <w:rPr>
                <w:rFonts w:hint="eastAsia" w:ascii="宋体" w:hAnsi="宋体" w:eastAsia="宋体" w:cs="宋体"/>
                <w:i w:val="0"/>
                <w:iCs w:val="0"/>
                <w:color w:val="000000"/>
                <w:sz w:val="18"/>
                <w:szCs w:val="18"/>
                <w:u w:val="none"/>
              </w:rPr>
            </w:pPr>
          </w:p>
        </w:tc>
        <w:tc>
          <w:tcPr>
            <w:tcW w:w="39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86A14">
            <w:pPr>
              <w:jc w:val="center"/>
              <w:rPr>
                <w:rFonts w:hint="eastAsia" w:ascii="宋体" w:hAnsi="宋体" w:eastAsia="宋体" w:cs="宋体"/>
                <w:i w:val="0"/>
                <w:iCs w:val="0"/>
                <w:color w:val="000000"/>
                <w:sz w:val="18"/>
                <w:szCs w:val="18"/>
                <w:u w:val="none"/>
              </w:rPr>
            </w:pP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3F684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4D6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违法违规率小于3%</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7DB7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39BD16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3B2C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9C4DC2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C892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EB5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8BEDB20">
            <w:pPr>
              <w:jc w:val="center"/>
              <w:rPr>
                <w:rFonts w:hint="eastAsia" w:ascii="微软雅黑" w:hAnsi="微软雅黑" w:eastAsia="微软雅黑" w:cs="微软雅黑"/>
                <w:i/>
                <w:iCs/>
                <w:color w:val="000000"/>
                <w:sz w:val="16"/>
                <w:szCs w:val="16"/>
                <w:u w:val="none"/>
              </w:rPr>
            </w:pPr>
          </w:p>
        </w:tc>
      </w:tr>
      <w:tr w14:paraId="3C579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556B8">
            <w:pPr>
              <w:jc w:val="center"/>
              <w:rPr>
                <w:rFonts w:hint="eastAsia" w:ascii="宋体" w:hAnsi="宋体" w:eastAsia="宋体" w:cs="宋体"/>
                <w:i w:val="0"/>
                <w:iCs w:val="0"/>
                <w:color w:val="000000"/>
                <w:sz w:val="18"/>
                <w:szCs w:val="18"/>
                <w:u w:val="none"/>
              </w:rPr>
            </w:pPr>
          </w:p>
        </w:tc>
        <w:tc>
          <w:tcPr>
            <w:tcW w:w="39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BA072">
            <w:pPr>
              <w:jc w:val="center"/>
              <w:rPr>
                <w:rFonts w:hint="eastAsia" w:ascii="宋体" w:hAnsi="宋体" w:eastAsia="宋体" w:cs="宋体"/>
                <w:i w:val="0"/>
                <w:iCs w:val="0"/>
                <w:color w:val="000000"/>
                <w:sz w:val="18"/>
                <w:szCs w:val="18"/>
                <w:u w:val="none"/>
              </w:rPr>
            </w:pP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A2A07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F366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综合执法行为到2024年12月31日</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C74C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16C2D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ED028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898498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E8619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3039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F461F6B">
            <w:pPr>
              <w:jc w:val="center"/>
              <w:rPr>
                <w:rFonts w:hint="eastAsia" w:ascii="微软雅黑" w:hAnsi="微软雅黑" w:eastAsia="微软雅黑" w:cs="微软雅黑"/>
                <w:i/>
                <w:iCs/>
                <w:color w:val="000000"/>
                <w:sz w:val="16"/>
                <w:szCs w:val="16"/>
                <w:u w:val="none"/>
              </w:rPr>
            </w:pPr>
          </w:p>
        </w:tc>
      </w:tr>
      <w:tr w14:paraId="6426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8AC76">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A47F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5955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DB575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百姓安居乐业；地区经济水平得以稳定提升</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7904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7CFF9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8DD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F71214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9125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4733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A98220">
            <w:pPr>
              <w:jc w:val="center"/>
              <w:rPr>
                <w:rFonts w:hint="eastAsia" w:ascii="微软雅黑" w:hAnsi="微软雅黑" w:eastAsia="微软雅黑" w:cs="微软雅黑"/>
                <w:i/>
                <w:iCs/>
                <w:color w:val="000000"/>
                <w:sz w:val="16"/>
                <w:szCs w:val="16"/>
                <w:u w:val="none"/>
              </w:rPr>
            </w:pPr>
          </w:p>
        </w:tc>
      </w:tr>
      <w:tr w14:paraId="22BCE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9F4D7">
            <w:pPr>
              <w:jc w:val="center"/>
              <w:rPr>
                <w:rFonts w:hint="eastAsia" w:ascii="宋体" w:hAnsi="宋体" w:eastAsia="宋体" w:cs="宋体"/>
                <w:i w:val="0"/>
                <w:iCs w:val="0"/>
                <w:color w:val="000000"/>
                <w:sz w:val="18"/>
                <w:szCs w:val="18"/>
                <w:u w:val="none"/>
              </w:rPr>
            </w:pPr>
          </w:p>
        </w:tc>
        <w:tc>
          <w:tcPr>
            <w:tcW w:w="3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39CC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03"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31A65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E8B9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市场主体对市场秩序满意度</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15420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8D01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A8D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009078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98A2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3EB6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30BE97">
            <w:pPr>
              <w:jc w:val="center"/>
              <w:rPr>
                <w:rFonts w:hint="eastAsia" w:ascii="微软雅黑" w:hAnsi="微软雅黑" w:eastAsia="微软雅黑" w:cs="微软雅黑"/>
                <w:i/>
                <w:iCs/>
                <w:color w:val="000000"/>
                <w:sz w:val="16"/>
                <w:szCs w:val="16"/>
                <w:u w:val="none"/>
              </w:rPr>
            </w:pPr>
          </w:p>
        </w:tc>
      </w:tr>
      <w:tr w14:paraId="190B1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7A952">
            <w:pPr>
              <w:jc w:val="center"/>
              <w:rPr>
                <w:rFonts w:hint="eastAsia" w:ascii="宋体" w:hAnsi="宋体" w:eastAsia="宋体" w:cs="宋体"/>
                <w:i w:val="0"/>
                <w:iCs w:val="0"/>
                <w:color w:val="000000"/>
                <w:sz w:val="18"/>
                <w:szCs w:val="18"/>
                <w:u w:val="none"/>
              </w:rPr>
            </w:pPr>
          </w:p>
        </w:tc>
        <w:tc>
          <w:tcPr>
            <w:tcW w:w="390"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824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03" w:type="pct"/>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FB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2A5F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购办公用品1.4万元</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8615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65608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14000</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BEA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8561C0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14000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31D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F567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4C7E0F2">
            <w:pPr>
              <w:jc w:val="center"/>
              <w:rPr>
                <w:rFonts w:hint="eastAsia" w:ascii="微软雅黑" w:hAnsi="微软雅黑" w:eastAsia="微软雅黑" w:cs="微软雅黑"/>
                <w:i/>
                <w:iCs/>
                <w:color w:val="000000"/>
                <w:sz w:val="16"/>
                <w:szCs w:val="16"/>
                <w:u w:val="none"/>
              </w:rPr>
            </w:pPr>
          </w:p>
        </w:tc>
      </w:tr>
      <w:tr w14:paraId="1BF5B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02148">
            <w:pPr>
              <w:jc w:val="center"/>
              <w:rPr>
                <w:rFonts w:hint="eastAsia" w:ascii="宋体" w:hAnsi="宋体" w:eastAsia="宋体" w:cs="宋体"/>
                <w:i w:val="0"/>
                <w:iCs w:val="0"/>
                <w:color w:val="000000"/>
                <w:sz w:val="18"/>
                <w:szCs w:val="18"/>
                <w:u w:val="none"/>
              </w:rPr>
            </w:pPr>
          </w:p>
        </w:tc>
        <w:tc>
          <w:tcPr>
            <w:tcW w:w="39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CC555">
            <w:pPr>
              <w:jc w:val="center"/>
              <w:rPr>
                <w:rFonts w:hint="eastAsia" w:ascii="宋体" w:hAnsi="宋体" w:eastAsia="宋体" w:cs="宋体"/>
                <w:i w:val="0"/>
                <w:iCs w:val="0"/>
                <w:color w:val="000000"/>
                <w:sz w:val="18"/>
                <w:szCs w:val="18"/>
                <w:u w:val="none"/>
              </w:rPr>
            </w:pPr>
          </w:p>
        </w:tc>
        <w:tc>
          <w:tcPr>
            <w:tcW w:w="503" w:type="pct"/>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9DA26">
            <w:pPr>
              <w:jc w:val="center"/>
              <w:rPr>
                <w:rFonts w:hint="eastAsia" w:ascii="宋体" w:hAnsi="宋体" w:eastAsia="宋体" w:cs="宋体"/>
                <w:i w:val="0"/>
                <w:iCs w:val="0"/>
                <w:color w:val="000000"/>
                <w:sz w:val="18"/>
                <w:szCs w:val="18"/>
                <w:u w:val="none"/>
              </w:rPr>
            </w:pP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697F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电费每月500元，1年共计6000元</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1353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22C09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36B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3CA3C7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B1D5A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D8334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2CC49EA">
            <w:pPr>
              <w:jc w:val="center"/>
              <w:rPr>
                <w:rFonts w:hint="eastAsia" w:ascii="微软雅黑" w:hAnsi="微软雅黑" w:eastAsia="微软雅黑" w:cs="微软雅黑"/>
                <w:i/>
                <w:iCs/>
                <w:color w:val="000000"/>
                <w:sz w:val="16"/>
                <w:szCs w:val="16"/>
                <w:u w:val="none"/>
              </w:rPr>
            </w:pPr>
          </w:p>
        </w:tc>
      </w:tr>
      <w:tr w14:paraId="0C32B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44BFC">
            <w:pPr>
              <w:jc w:val="center"/>
              <w:rPr>
                <w:rFonts w:hint="eastAsia" w:ascii="宋体" w:hAnsi="宋体" w:eastAsia="宋体" w:cs="宋体"/>
                <w:i w:val="0"/>
                <w:iCs w:val="0"/>
                <w:color w:val="000000"/>
                <w:sz w:val="18"/>
                <w:szCs w:val="18"/>
                <w:u w:val="none"/>
              </w:rPr>
            </w:pPr>
          </w:p>
        </w:tc>
        <w:tc>
          <w:tcPr>
            <w:tcW w:w="39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668D7">
            <w:pPr>
              <w:jc w:val="center"/>
              <w:rPr>
                <w:rFonts w:hint="eastAsia" w:ascii="宋体" w:hAnsi="宋体" w:eastAsia="宋体" w:cs="宋体"/>
                <w:i w:val="0"/>
                <w:iCs w:val="0"/>
                <w:color w:val="000000"/>
                <w:sz w:val="18"/>
                <w:szCs w:val="18"/>
                <w:u w:val="none"/>
              </w:rPr>
            </w:pPr>
          </w:p>
        </w:tc>
        <w:tc>
          <w:tcPr>
            <w:tcW w:w="503" w:type="pct"/>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AB367">
            <w:pPr>
              <w:jc w:val="center"/>
              <w:rPr>
                <w:rFonts w:hint="eastAsia" w:ascii="宋体" w:hAnsi="宋体" w:eastAsia="宋体" w:cs="宋体"/>
                <w:i w:val="0"/>
                <w:iCs w:val="0"/>
                <w:color w:val="000000"/>
                <w:sz w:val="18"/>
                <w:szCs w:val="18"/>
                <w:u w:val="none"/>
              </w:rPr>
            </w:pP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BDEB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执法车辆运行维护费2万元</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5FCA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1481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20000</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59A3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9AED40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F1D8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40B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1ADACD7">
            <w:pPr>
              <w:jc w:val="center"/>
              <w:rPr>
                <w:rFonts w:hint="eastAsia" w:ascii="微软雅黑" w:hAnsi="微软雅黑" w:eastAsia="微软雅黑" w:cs="微软雅黑"/>
                <w:i/>
                <w:iCs/>
                <w:color w:val="000000"/>
                <w:sz w:val="16"/>
                <w:szCs w:val="16"/>
                <w:u w:val="none"/>
              </w:rPr>
            </w:pPr>
          </w:p>
        </w:tc>
      </w:tr>
      <w:tr w14:paraId="7F001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38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DC8B6">
            <w:pPr>
              <w:jc w:val="center"/>
              <w:rPr>
                <w:rFonts w:hint="eastAsia" w:ascii="宋体" w:hAnsi="宋体" w:eastAsia="宋体" w:cs="宋体"/>
                <w:i w:val="0"/>
                <w:iCs w:val="0"/>
                <w:color w:val="000000"/>
                <w:sz w:val="18"/>
                <w:szCs w:val="18"/>
                <w:u w:val="none"/>
              </w:rPr>
            </w:pPr>
          </w:p>
        </w:tc>
        <w:tc>
          <w:tcPr>
            <w:tcW w:w="39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03F7F">
            <w:pPr>
              <w:jc w:val="center"/>
              <w:rPr>
                <w:rFonts w:hint="eastAsia" w:ascii="宋体" w:hAnsi="宋体" w:eastAsia="宋体" w:cs="宋体"/>
                <w:i w:val="0"/>
                <w:iCs w:val="0"/>
                <w:color w:val="000000"/>
                <w:sz w:val="18"/>
                <w:szCs w:val="18"/>
                <w:u w:val="none"/>
              </w:rPr>
            </w:pPr>
          </w:p>
        </w:tc>
        <w:tc>
          <w:tcPr>
            <w:tcW w:w="503" w:type="pct"/>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D2757">
            <w:pPr>
              <w:jc w:val="center"/>
              <w:rPr>
                <w:rFonts w:hint="eastAsia" w:ascii="宋体" w:hAnsi="宋体" w:eastAsia="宋体" w:cs="宋体"/>
                <w:i w:val="0"/>
                <w:iCs w:val="0"/>
                <w:color w:val="000000"/>
                <w:sz w:val="18"/>
                <w:szCs w:val="18"/>
                <w:u w:val="none"/>
              </w:rPr>
            </w:pPr>
          </w:p>
        </w:tc>
        <w:tc>
          <w:tcPr>
            <w:tcW w:w="633"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7F966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印刷及广告制作6万元</w:t>
            </w:r>
          </w:p>
        </w:tc>
        <w:tc>
          <w:tcPr>
            <w:tcW w:w="28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4E9FA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5"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18BFD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60000</w:t>
            </w:r>
          </w:p>
        </w:tc>
        <w:tc>
          <w:tcPr>
            <w:tcW w:w="28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C9A3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522"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50FCA45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60000</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D8E23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30B9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7E78DD8">
            <w:pPr>
              <w:jc w:val="center"/>
              <w:rPr>
                <w:rFonts w:hint="eastAsia" w:ascii="微软雅黑" w:hAnsi="微软雅黑" w:eastAsia="微软雅黑" w:cs="微软雅黑"/>
                <w:i/>
                <w:iCs/>
                <w:color w:val="000000"/>
                <w:sz w:val="16"/>
                <w:szCs w:val="16"/>
                <w:u w:val="none"/>
              </w:rPr>
            </w:pPr>
          </w:p>
        </w:tc>
      </w:tr>
      <w:tr w14:paraId="7950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3432" w:type="pct"/>
            <w:gridSpan w:val="88"/>
            <w:tcBorders>
              <w:top w:val="single" w:color="000000" w:sz="4" w:space="0"/>
              <w:left w:val="single" w:color="000000" w:sz="4" w:space="0"/>
              <w:bottom w:val="single" w:color="000000" w:sz="4" w:space="0"/>
              <w:right w:val="single" w:color="000000" w:sz="4" w:space="0"/>
            </w:tcBorders>
            <w:shd w:val="clear" w:color="auto" w:fill="auto"/>
            <w:vAlign w:val="center"/>
          </w:tcPr>
          <w:p w14:paraId="3210CC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7"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AA5B8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F4253D">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9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CEF127">
            <w:pPr>
              <w:rPr>
                <w:rFonts w:hint="eastAsia" w:ascii="宋体" w:hAnsi="宋体" w:eastAsia="宋体" w:cs="宋体"/>
                <w:i w:val="0"/>
                <w:iCs w:val="0"/>
                <w:color w:val="000000"/>
                <w:sz w:val="18"/>
                <w:szCs w:val="18"/>
                <w:u w:val="none"/>
              </w:rPr>
            </w:pPr>
          </w:p>
        </w:tc>
      </w:tr>
      <w:tr w14:paraId="34B0D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03" w:hRule="atLeast"/>
          <w:jc w:val="center"/>
        </w:trPr>
        <w:tc>
          <w:tcPr>
            <w:tcW w:w="38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C8E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561" w:type="pct"/>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55340C5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工作经费为重点乡镇综合执法大队购置了必要的执法装备，如执法记录仪、对讲机、巡查车辆等，保障了执法工作的规范化和高效化。同时，资金支持执法人员参与业务培训、法规学习，提升了执法队伍的专业素养和执法水平，使其在处理违建拆除、市容市貌整治、市场秩序维护等工作时更具专业性和权威性，有力推动了乡镇综合执法工作的顺利开展。</w:t>
            </w:r>
          </w:p>
        </w:tc>
      </w:tr>
      <w:tr w14:paraId="5F232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72" w:hRule="atLeast"/>
          <w:jc w:val="center"/>
        </w:trPr>
        <w:tc>
          <w:tcPr>
            <w:tcW w:w="38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537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561" w:type="pct"/>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56F9211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乡镇经济社会的快速发展，综合执法工作的范围不断扩大，任务日益繁重，对工作经费的需求也大幅增加。但财政对重点乡镇综合执法大队的经费投入有限，在新型执法设备采购、信息化平台建设、大型专项执法行动开展等方面资金短缺，导致执法工作难以跟上时代发展步伐，影响执法效能的提升。在新型执法设备采购、信息化平台建设、大型专项执法行动开展等方面资金短缺，导致执法工作难以跟上时代发展步伐，影响执法效能的提升。</w:t>
            </w:r>
          </w:p>
        </w:tc>
      </w:tr>
      <w:tr w14:paraId="00ECC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33" w:hRule="atLeast"/>
          <w:jc w:val="center"/>
        </w:trPr>
        <w:tc>
          <w:tcPr>
            <w:tcW w:w="38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72B0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561" w:type="pct"/>
            <w:gridSpan w:val="113"/>
            <w:tcBorders>
              <w:top w:val="single" w:color="000000" w:sz="4" w:space="0"/>
              <w:left w:val="single" w:color="000000" w:sz="4" w:space="0"/>
              <w:bottom w:val="single" w:color="000000" w:sz="4" w:space="0"/>
              <w:right w:val="single" w:color="000000" w:sz="4" w:space="0"/>
            </w:tcBorders>
            <w:shd w:val="clear" w:color="auto" w:fill="auto"/>
            <w:vAlign w:val="center"/>
          </w:tcPr>
          <w:p w14:paraId="674376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重点乡镇综合执法工作重要性的认识，加大财政资金投入力度，建立稳定的经费增长机制。同时，积极探索多元化筹资方式，鼓励社会资本通过合作、赞助等方式支持执法装备升级、执法信息化建设等项目，设立执法工作专项基金，拓宽资金来源，满足执法工作发展的需求。科学制定经费分配方案。优先保障执法能力建设、执法技术创新、大型专项执法行动等重点工作的资金需求，合理安排日常办公等一般性支出。</w:t>
            </w:r>
          </w:p>
        </w:tc>
      </w:tr>
      <w:tr w14:paraId="145E3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196"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14:paraId="2F39086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项目负责人：梁立国</w:t>
            </w:r>
          </w:p>
        </w:tc>
        <w:tc>
          <w:tcPr>
            <w:tcW w:w="2746" w:type="pct"/>
            <w:gridSpan w:val="67"/>
            <w:tcBorders>
              <w:top w:val="single" w:color="000000" w:sz="4" w:space="0"/>
              <w:left w:val="single" w:color="000000" w:sz="4" w:space="0"/>
              <w:bottom w:val="single" w:color="000000" w:sz="4" w:space="0"/>
              <w:right w:val="single" w:color="000000" w:sz="4" w:space="0"/>
            </w:tcBorders>
            <w:shd w:val="clear" w:color="auto" w:fill="auto"/>
            <w:vAlign w:val="center"/>
          </w:tcPr>
          <w:p w14:paraId="151CE87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4B01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196"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14:paraId="640B45C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746" w:type="pct"/>
            <w:gridSpan w:val="67"/>
            <w:tcBorders>
              <w:top w:val="single" w:color="000000" w:sz="4" w:space="0"/>
              <w:left w:val="single" w:color="000000" w:sz="4" w:space="0"/>
              <w:bottom w:val="single" w:color="000000" w:sz="4" w:space="0"/>
              <w:right w:val="single" w:color="000000" w:sz="4" w:space="0"/>
            </w:tcBorders>
            <w:shd w:val="clear" w:color="auto" w:fill="auto"/>
            <w:vAlign w:val="center"/>
          </w:tcPr>
          <w:p w14:paraId="03136A00">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30EBC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234B58D0">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ECCB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77C07B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66A277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51090424T000011156508-2024年网格人员保险费用</w:t>
            </w:r>
          </w:p>
        </w:tc>
      </w:tr>
      <w:tr w14:paraId="3B398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512" w:hRule="atLeast"/>
          <w:jc w:val="center"/>
        </w:trPr>
        <w:tc>
          <w:tcPr>
            <w:tcW w:w="95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1E11AA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171"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3CE738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496" w:type="pct"/>
            <w:gridSpan w:val="18"/>
            <w:tcBorders>
              <w:top w:val="nil"/>
              <w:left w:val="nil"/>
              <w:bottom w:val="nil"/>
              <w:right w:val="nil"/>
            </w:tcBorders>
            <w:shd w:val="clear" w:color="auto" w:fill="auto"/>
            <w:vAlign w:val="center"/>
          </w:tcPr>
          <w:p w14:paraId="55C982F1">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72" w:type="pct"/>
            <w:gridSpan w:val="24"/>
            <w:tcBorders>
              <w:top w:val="single" w:color="000000" w:sz="4" w:space="0"/>
              <w:left w:val="single" w:color="000000" w:sz="4" w:space="0"/>
              <w:bottom w:val="single" w:color="000000" w:sz="4" w:space="0"/>
              <w:right w:val="single" w:color="000000" w:sz="4" w:space="0"/>
            </w:tcBorders>
            <w:shd w:val="clear" w:color="auto" w:fill="auto"/>
            <w:vAlign w:val="center"/>
          </w:tcPr>
          <w:p w14:paraId="3C01C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195C6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982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85B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171"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376AF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869" w:type="pct"/>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3CDA522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1DD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08"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E66B2">
            <w:pP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93157">
            <w:pPr>
              <w:rPr>
                <w:rFonts w:hint="eastAsia" w:ascii="宋体" w:hAnsi="宋体" w:eastAsia="宋体" w:cs="宋体"/>
                <w:i w:val="0"/>
                <w:iCs w:val="0"/>
                <w:color w:val="000000"/>
                <w:sz w:val="18"/>
                <w:szCs w:val="18"/>
                <w:u w:val="none"/>
              </w:rPr>
            </w:pPr>
          </w:p>
        </w:tc>
        <w:tc>
          <w:tcPr>
            <w:tcW w:w="2171"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6F13049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完成66个网格人员保险费用</w:t>
            </w:r>
          </w:p>
        </w:tc>
        <w:tc>
          <w:tcPr>
            <w:tcW w:w="1869" w:type="pct"/>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2534E31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完成66个网格人员保险费用</w:t>
            </w:r>
          </w:p>
        </w:tc>
      </w:tr>
      <w:tr w14:paraId="29284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93"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0A260">
            <w:pP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812DD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0" w:type="pct"/>
            <w:gridSpan w:val="96"/>
            <w:tcBorders>
              <w:top w:val="single" w:color="000000" w:sz="4" w:space="0"/>
              <w:left w:val="single" w:color="000000" w:sz="4" w:space="0"/>
              <w:bottom w:val="single" w:color="000000" w:sz="4" w:space="0"/>
              <w:right w:val="single" w:color="000000" w:sz="4" w:space="0"/>
            </w:tcBorders>
            <w:shd w:val="clear" w:color="auto" w:fill="auto"/>
            <w:vAlign w:val="center"/>
          </w:tcPr>
          <w:p w14:paraId="6661A5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完成66个网格人员保险费用</w:t>
            </w:r>
          </w:p>
        </w:tc>
      </w:tr>
      <w:tr w14:paraId="658CA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936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22F7D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A23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378C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4"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5DF92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DEF99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44E3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E74F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3E4D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A37C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46"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93FD">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D364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0CE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DC005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954"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5301F4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116F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2357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43C0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D8868">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D8F6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9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0C07D">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9D6C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5D6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072B7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954"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27FB7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EB6E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78BB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F368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68D14">
            <w:pPr>
              <w:rPr>
                <w:rFonts w:hint="eastAsia" w:ascii="黑体" w:hAnsi="黑体" w:eastAsia="黑体" w:cs="黑体"/>
                <w:i/>
                <w:iCs/>
                <w:color w:val="000000"/>
                <w:sz w:val="18"/>
                <w:szCs w:val="18"/>
                <w:u w:val="none"/>
              </w:rPr>
            </w:pPr>
          </w:p>
        </w:tc>
      </w:tr>
      <w:tr w14:paraId="58FAA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07"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767C0">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FBA4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302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FFDF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4"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1ADDE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BA71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BABC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6C4A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B6CEA">
            <w:pPr>
              <w:rPr>
                <w:rFonts w:hint="eastAsia" w:ascii="黑体" w:hAnsi="黑体" w:eastAsia="黑体" w:cs="黑体"/>
                <w:i/>
                <w:iCs/>
                <w:color w:val="000000"/>
                <w:sz w:val="18"/>
                <w:szCs w:val="18"/>
                <w:u w:val="none"/>
              </w:rPr>
            </w:pPr>
          </w:p>
        </w:tc>
      </w:tr>
      <w:tr w14:paraId="4C71B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61"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9FE81">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82FF7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B77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A3D40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4"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4BFEB2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1D6E4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E31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428A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177B3">
            <w:pPr>
              <w:rPr>
                <w:rFonts w:hint="eastAsia" w:ascii="黑体" w:hAnsi="黑体" w:eastAsia="黑体" w:cs="黑体"/>
                <w:i/>
                <w:iCs/>
                <w:color w:val="000000"/>
                <w:sz w:val="18"/>
                <w:szCs w:val="18"/>
                <w:u w:val="none"/>
              </w:rPr>
            </w:pPr>
          </w:p>
        </w:tc>
      </w:tr>
      <w:tr w14:paraId="5D574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339"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26B6E">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87A58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8D02B9">
            <w:pPr>
              <w:jc w:val="center"/>
              <w:rPr>
                <w:rFonts w:hint="eastAsia" w:ascii="微软雅黑" w:hAnsi="微软雅黑" w:eastAsia="微软雅黑" w:cs="微软雅黑"/>
                <w:i/>
                <w:iCs/>
                <w:color w:val="000000"/>
                <w:sz w:val="16"/>
                <w:szCs w:val="16"/>
                <w:u w:val="none"/>
              </w:rPr>
            </w:pP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FED394D">
            <w:pPr>
              <w:jc w:val="center"/>
              <w:rPr>
                <w:rFonts w:hint="eastAsia" w:ascii="微软雅黑" w:hAnsi="微软雅黑" w:eastAsia="微软雅黑" w:cs="微软雅黑"/>
                <w:i/>
                <w:iCs/>
                <w:color w:val="000000"/>
                <w:sz w:val="16"/>
                <w:szCs w:val="16"/>
                <w:u w:val="none"/>
              </w:rPr>
            </w:pPr>
          </w:p>
        </w:tc>
        <w:tc>
          <w:tcPr>
            <w:tcW w:w="954" w:type="pct"/>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7FC381E5">
            <w:pPr>
              <w:jc w:val="center"/>
              <w:rPr>
                <w:rFonts w:hint="eastAsia" w:ascii="微软雅黑" w:hAnsi="微软雅黑" w:eastAsia="微软雅黑" w:cs="微软雅黑"/>
                <w:i/>
                <w:iCs/>
                <w:color w:val="000000"/>
                <w:sz w:val="16"/>
                <w:szCs w:val="16"/>
                <w:u w:val="none"/>
              </w:rPr>
            </w:pP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EFC0D2F">
            <w:pPr>
              <w:jc w:val="center"/>
              <w:rPr>
                <w:rFonts w:hint="eastAsia" w:ascii="微软雅黑" w:hAnsi="微软雅黑" w:eastAsia="微软雅黑" w:cs="微软雅黑"/>
                <w:i/>
                <w:iCs/>
                <w:color w:val="000000"/>
                <w:sz w:val="16"/>
                <w:szCs w:val="16"/>
                <w:u w:val="none"/>
              </w:rPr>
            </w:pP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69A11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326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0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8D037">
            <w:pPr>
              <w:rPr>
                <w:rFonts w:hint="eastAsia" w:ascii="黑体" w:hAnsi="黑体" w:eastAsia="黑体" w:cs="黑体"/>
                <w:i/>
                <w:iCs/>
                <w:color w:val="000000"/>
                <w:sz w:val="18"/>
                <w:szCs w:val="18"/>
                <w:u w:val="none"/>
              </w:rPr>
            </w:pPr>
          </w:p>
        </w:tc>
      </w:tr>
      <w:tr w14:paraId="1861C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B04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B8C8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24D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4821A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F58B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2CA8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BF93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80C6A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24C8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B26D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395F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490A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5867F">
            <w:pPr>
              <w:jc w:val="center"/>
              <w:rPr>
                <w:rFonts w:hint="eastAsia" w:ascii="宋体" w:hAnsi="宋体" w:eastAsia="宋体" w:cs="宋体"/>
                <w:i w:val="0"/>
                <w:iCs w:val="0"/>
                <w:color w:val="000000"/>
                <w:sz w:val="18"/>
                <w:szCs w:val="18"/>
                <w:u w:val="none"/>
              </w:rPr>
            </w:pPr>
          </w:p>
        </w:tc>
        <w:tc>
          <w:tcPr>
            <w:tcW w:w="621"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CB2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153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D8E0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66名网格员</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0DFA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31ECB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953F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2183F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98018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32A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3A9169">
            <w:pPr>
              <w:jc w:val="center"/>
              <w:rPr>
                <w:rFonts w:hint="eastAsia" w:ascii="宋体" w:hAnsi="宋体" w:eastAsia="宋体" w:cs="宋体"/>
                <w:i w:val="0"/>
                <w:iCs w:val="0"/>
                <w:color w:val="000000"/>
                <w:sz w:val="18"/>
                <w:szCs w:val="18"/>
                <w:u w:val="none"/>
              </w:rPr>
            </w:pPr>
          </w:p>
        </w:tc>
      </w:tr>
      <w:tr w14:paraId="15673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76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B8AF4">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52779">
            <w:pPr>
              <w:jc w:val="center"/>
              <w:rPr>
                <w:rFonts w:hint="eastAsia" w:ascii="宋体" w:hAnsi="宋体" w:eastAsia="宋体" w:cs="宋体"/>
                <w:i w:val="0"/>
                <w:iCs w:val="0"/>
                <w:color w:val="000000"/>
                <w:sz w:val="18"/>
                <w:szCs w:val="18"/>
                <w:u w:val="none"/>
              </w:rPr>
            </w:pP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D6C4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6EA4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险种涵盖基础险种工伤保险、医疗保险、人身意外险扩大保险覆盖范围，消除保障盲区。</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0DB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A989E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187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6929B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E035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B9B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DF365E">
            <w:pPr>
              <w:jc w:val="center"/>
              <w:rPr>
                <w:rFonts w:hint="eastAsia" w:ascii="宋体" w:hAnsi="宋体" w:eastAsia="宋体" w:cs="宋体"/>
                <w:i w:val="0"/>
                <w:iCs w:val="0"/>
                <w:color w:val="000000"/>
                <w:sz w:val="18"/>
                <w:szCs w:val="18"/>
                <w:u w:val="none"/>
              </w:rPr>
            </w:pPr>
          </w:p>
        </w:tc>
      </w:tr>
      <w:tr w14:paraId="17895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B8AA">
            <w:pPr>
              <w:jc w:val="center"/>
              <w:rPr>
                <w:rFonts w:hint="eastAsia" w:ascii="宋体" w:hAnsi="宋体" w:eastAsia="宋体" w:cs="宋体"/>
                <w:i w:val="0"/>
                <w:iCs w:val="0"/>
                <w:color w:val="000000"/>
                <w:sz w:val="18"/>
                <w:szCs w:val="18"/>
                <w:u w:val="none"/>
              </w:rPr>
            </w:pPr>
          </w:p>
        </w:tc>
        <w:tc>
          <w:tcPr>
            <w:tcW w:w="621"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038BB">
            <w:pPr>
              <w:jc w:val="center"/>
              <w:rPr>
                <w:rFonts w:hint="eastAsia" w:ascii="宋体" w:hAnsi="宋体" w:eastAsia="宋体" w:cs="宋体"/>
                <w:i w:val="0"/>
                <w:iCs w:val="0"/>
                <w:color w:val="000000"/>
                <w:sz w:val="18"/>
                <w:szCs w:val="18"/>
                <w:u w:val="none"/>
              </w:rPr>
            </w:pP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36E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06CE1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保险行为到2024年12月31日</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5772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0DD4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2ED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8D3A5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B4C6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2D8F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17F455">
            <w:pPr>
              <w:jc w:val="center"/>
              <w:rPr>
                <w:rFonts w:hint="eastAsia" w:ascii="宋体" w:hAnsi="宋体" w:eastAsia="宋体" w:cs="宋体"/>
                <w:i w:val="0"/>
                <w:iCs w:val="0"/>
                <w:color w:val="000000"/>
                <w:sz w:val="18"/>
                <w:szCs w:val="18"/>
                <w:u w:val="none"/>
              </w:rPr>
            </w:pPr>
          </w:p>
        </w:tc>
      </w:tr>
      <w:tr w14:paraId="214D7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1160"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B649D">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74850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BDA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51A6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通过保险赔付，使网格员因工伤、疾病、意外事件产生的医疗费用报销比例平均提升至 85% 以上</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BBE0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954D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64D5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D985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0896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3859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02A61E">
            <w:pPr>
              <w:jc w:val="center"/>
              <w:rPr>
                <w:rFonts w:hint="eastAsia" w:ascii="宋体" w:hAnsi="宋体" w:eastAsia="宋体" w:cs="宋体"/>
                <w:i w:val="0"/>
                <w:iCs w:val="0"/>
                <w:color w:val="000000"/>
                <w:sz w:val="18"/>
                <w:szCs w:val="18"/>
                <w:u w:val="none"/>
              </w:rPr>
            </w:pPr>
          </w:p>
        </w:tc>
      </w:tr>
      <w:tr w14:paraId="43042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126FE">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4F0DE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5192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1EB92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网格员满意度</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1E1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4CDB70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FBB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0086D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2649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32C0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0C652F">
            <w:pPr>
              <w:jc w:val="center"/>
              <w:rPr>
                <w:rFonts w:hint="eastAsia" w:ascii="宋体" w:hAnsi="宋体" w:eastAsia="宋体" w:cs="宋体"/>
                <w:i w:val="0"/>
                <w:iCs w:val="0"/>
                <w:color w:val="000000"/>
                <w:sz w:val="18"/>
                <w:szCs w:val="18"/>
                <w:u w:val="none"/>
              </w:rPr>
            </w:pPr>
          </w:p>
        </w:tc>
      </w:tr>
      <w:tr w14:paraId="4C8B7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452" w:hRule="atLeast"/>
          <w:jc w:val="center"/>
        </w:trPr>
        <w:tc>
          <w:tcPr>
            <w:tcW w:w="3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A5A1D">
            <w:pPr>
              <w:jc w:val="center"/>
              <w:rPr>
                <w:rFonts w:hint="eastAsia" w:ascii="宋体" w:hAnsi="宋体" w:eastAsia="宋体" w:cs="宋体"/>
                <w:i w:val="0"/>
                <w:iCs w:val="0"/>
                <w:color w:val="000000"/>
                <w:sz w:val="18"/>
                <w:szCs w:val="18"/>
                <w:u w:val="none"/>
              </w:rPr>
            </w:pPr>
          </w:p>
        </w:tc>
        <w:tc>
          <w:tcPr>
            <w:tcW w:w="621"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26133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52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CA5D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694"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9D33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23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9FF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8"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29EBA9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2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E93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496"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20C28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D9F8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3BED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76133E">
            <w:pPr>
              <w:jc w:val="center"/>
              <w:rPr>
                <w:rFonts w:hint="eastAsia" w:ascii="宋体" w:hAnsi="宋体" w:eastAsia="宋体" w:cs="宋体"/>
                <w:i w:val="0"/>
                <w:iCs w:val="0"/>
                <w:color w:val="000000"/>
                <w:sz w:val="18"/>
                <w:szCs w:val="18"/>
                <w:u w:val="none"/>
              </w:rPr>
            </w:pPr>
          </w:p>
        </w:tc>
      </w:tr>
      <w:tr w14:paraId="5F038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3627" w:type="pct"/>
            <w:gridSpan w:val="93"/>
            <w:tcBorders>
              <w:top w:val="single" w:color="000000" w:sz="4" w:space="0"/>
              <w:left w:val="single" w:color="000000" w:sz="4" w:space="0"/>
              <w:bottom w:val="single" w:color="000000" w:sz="4" w:space="0"/>
              <w:right w:val="single" w:color="000000" w:sz="4" w:space="0"/>
            </w:tcBorders>
            <w:shd w:val="clear" w:color="auto" w:fill="auto"/>
            <w:vAlign w:val="center"/>
          </w:tcPr>
          <w:p w14:paraId="10C3D9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5"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77FC3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8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269A13">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0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38DE57">
            <w:pPr>
              <w:rPr>
                <w:rFonts w:hint="eastAsia" w:ascii="宋体" w:hAnsi="宋体" w:eastAsia="宋体" w:cs="宋体"/>
                <w:i w:val="0"/>
                <w:iCs w:val="0"/>
                <w:color w:val="000000"/>
                <w:sz w:val="18"/>
                <w:szCs w:val="18"/>
                <w:u w:val="none"/>
              </w:rPr>
            </w:pPr>
          </w:p>
        </w:tc>
      </w:tr>
      <w:tr w14:paraId="7B816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0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E9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18FFFFA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网格人员保险费用的投入，为其在日常巡查、纠纷调解、应急事件处理等工作中面临的意外伤害、突发疾病等风险提供了有效保障。当网格人员遭遇工伤或意外事故时，保险赔付能够及时解决医疗费用、误工补偿等问题，减轻个人及家庭经济负担，切实维护网格人员的合法权益，让他们能够安心投入工作。</w:t>
            </w:r>
          </w:p>
        </w:tc>
      </w:tr>
      <w:tr w14:paraId="20C02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840"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49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74C2F03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网格人员保险费用的投入，为其在日常巡查、纠纷调解、应急事件处理等工作中面临的意外伤害、突发疾病等风险提供了有效保障。当网格人员遭遇工伤或意外事故时，保险赔付能够及时解决医疗费用、误工补偿等问题，减轻个人及家庭经济负担，切实维护网格人员的合法权益，让他们能够安心投入工作。缺乏在处理突发事件时遭受心理创伤的相关险种，无法满足网格人员多样化的风险保障需求。</w:t>
            </w:r>
          </w:p>
        </w:tc>
      </w:tr>
      <w:tr w14:paraId="7AAB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633" w:hRule="atLeast"/>
          <w:jc w:val="center"/>
        </w:trPr>
        <w:tc>
          <w:tcPr>
            <w:tcW w:w="3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9CA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62"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1106415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网格人员保险工作重要性的认识，加大财政资金投入力度，建立稳定的保险费用增长机制。同时，积极探索多元化筹资渠道，鼓励社会资本、公益组织通过捐赠、合作等方式参与网格人员保险体系建设，充实保险费用资金池，确保保险保障水平与网格人员工作风险相匹配。制定科学合理的网格人员保险费用分配标准，综合考虑地区人口规模、经济发展水平、网格工作量等因素，对保险费用进行统筹分配。</w:t>
            </w:r>
          </w:p>
        </w:tc>
      </w:tr>
      <w:tr w14:paraId="2DB22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09"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4333956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项目负责人：胥圣权</w:t>
            </w:r>
          </w:p>
        </w:tc>
        <w:tc>
          <w:tcPr>
            <w:tcW w:w="2590"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3E3DF16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000C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dxa"/>
          <w:trHeight w:val="286" w:hRule="atLeast"/>
          <w:jc w:val="center"/>
        </w:trPr>
        <w:tc>
          <w:tcPr>
            <w:tcW w:w="2409"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7F0B1125">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590" w:type="pct"/>
            <w:gridSpan w:val="63"/>
            <w:tcBorders>
              <w:top w:val="single" w:color="000000" w:sz="4" w:space="0"/>
              <w:left w:val="single" w:color="000000" w:sz="4" w:space="0"/>
              <w:bottom w:val="single" w:color="000000" w:sz="4" w:space="0"/>
              <w:right w:val="single" w:color="000000" w:sz="4" w:space="0"/>
            </w:tcBorders>
            <w:shd w:val="clear" w:color="auto" w:fill="auto"/>
            <w:vAlign w:val="center"/>
          </w:tcPr>
          <w:p w14:paraId="4EE6316D">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6301C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3FD3998D">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896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777"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EB6ED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222" w:type="pct"/>
            <w:gridSpan w:val="106"/>
            <w:tcBorders>
              <w:top w:val="single" w:color="000000" w:sz="4" w:space="0"/>
              <w:left w:val="single" w:color="000000" w:sz="4" w:space="0"/>
              <w:bottom w:val="single" w:color="000000" w:sz="4" w:space="0"/>
              <w:right w:val="single" w:color="000000" w:sz="4" w:space="0"/>
            </w:tcBorders>
            <w:shd w:val="clear" w:color="auto" w:fill="auto"/>
            <w:vAlign w:val="center"/>
          </w:tcPr>
          <w:p w14:paraId="7585D6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51090424T000011646123-2024年村级公共服务经费</w:t>
            </w:r>
          </w:p>
        </w:tc>
      </w:tr>
      <w:tr w14:paraId="0EE08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12" w:hRule="atLeast"/>
          <w:jc w:val="center"/>
        </w:trPr>
        <w:tc>
          <w:tcPr>
            <w:tcW w:w="777"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474FCB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964" w:type="pct"/>
            <w:gridSpan w:val="55"/>
            <w:tcBorders>
              <w:top w:val="single" w:color="000000" w:sz="4" w:space="0"/>
              <w:left w:val="single" w:color="000000" w:sz="4" w:space="0"/>
              <w:bottom w:val="single" w:color="000000" w:sz="4" w:space="0"/>
              <w:right w:val="single" w:color="000000" w:sz="4" w:space="0"/>
            </w:tcBorders>
            <w:shd w:val="clear" w:color="auto" w:fill="auto"/>
            <w:vAlign w:val="center"/>
          </w:tcPr>
          <w:p w14:paraId="4B98E8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549" w:type="pct"/>
            <w:gridSpan w:val="17"/>
            <w:tcBorders>
              <w:top w:val="nil"/>
              <w:left w:val="nil"/>
              <w:bottom w:val="nil"/>
              <w:right w:val="nil"/>
            </w:tcBorders>
            <w:shd w:val="clear" w:color="auto" w:fill="auto"/>
            <w:vAlign w:val="center"/>
          </w:tcPr>
          <w:p w14:paraId="609FA12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708" w:type="pct"/>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25D973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2F580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38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697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393"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074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964" w:type="pct"/>
            <w:gridSpan w:val="55"/>
            <w:tcBorders>
              <w:top w:val="single" w:color="000000" w:sz="4" w:space="0"/>
              <w:left w:val="single" w:color="000000" w:sz="4" w:space="0"/>
              <w:bottom w:val="single" w:color="000000" w:sz="4" w:space="0"/>
              <w:right w:val="single" w:color="000000" w:sz="4" w:space="0"/>
            </w:tcBorders>
            <w:shd w:val="clear" w:color="auto" w:fill="auto"/>
            <w:vAlign w:val="center"/>
          </w:tcPr>
          <w:p w14:paraId="218BF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257" w:type="pct"/>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4E9D090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B36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1940"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0A06B">
            <w:pPr>
              <w:rPr>
                <w:rFonts w:hint="eastAsia" w:ascii="宋体" w:hAnsi="宋体" w:eastAsia="宋体" w:cs="宋体"/>
                <w:i w:val="0"/>
                <w:iCs w:val="0"/>
                <w:color w:val="000000"/>
                <w:sz w:val="18"/>
                <w:szCs w:val="18"/>
                <w:u w:val="none"/>
              </w:rPr>
            </w:pPr>
          </w:p>
        </w:tc>
        <w:tc>
          <w:tcPr>
            <w:tcW w:w="393"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C6CBD">
            <w:pPr>
              <w:rPr>
                <w:rFonts w:hint="eastAsia" w:ascii="宋体" w:hAnsi="宋体" w:eastAsia="宋体" w:cs="宋体"/>
                <w:i w:val="0"/>
                <w:iCs w:val="0"/>
                <w:color w:val="000000"/>
                <w:sz w:val="18"/>
                <w:szCs w:val="18"/>
                <w:u w:val="none"/>
              </w:rPr>
            </w:pPr>
          </w:p>
        </w:tc>
        <w:tc>
          <w:tcPr>
            <w:tcW w:w="1964" w:type="pct"/>
            <w:gridSpan w:val="55"/>
            <w:tcBorders>
              <w:top w:val="single" w:color="000000" w:sz="4" w:space="0"/>
              <w:left w:val="single" w:color="000000" w:sz="4" w:space="0"/>
              <w:bottom w:val="single" w:color="000000" w:sz="4" w:space="0"/>
              <w:right w:val="single" w:color="000000" w:sz="4" w:space="0"/>
            </w:tcBorders>
            <w:shd w:val="clear" w:color="auto" w:fill="auto"/>
            <w:vAlign w:val="center"/>
          </w:tcPr>
          <w:p w14:paraId="326F0E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开展丰富多样的公共服务活动。邀请专业人员为村民传授种植养殖技术，提高村民的农业生产技能；进行文化演、健康义诊等</w:t>
            </w:r>
          </w:p>
        </w:tc>
        <w:tc>
          <w:tcPr>
            <w:tcW w:w="2257" w:type="pct"/>
            <w:gridSpan w:val="51"/>
            <w:tcBorders>
              <w:top w:val="single" w:color="000000" w:sz="4" w:space="0"/>
              <w:left w:val="single" w:color="000000" w:sz="4" w:space="0"/>
              <w:bottom w:val="single" w:color="000000" w:sz="4" w:space="0"/>
              <w:right w:val="single" w:color="000000" w:sz="4" w:space="0"/>
            </w:tcBorders>
            <w:shd w:val="clear" w:color="auto" w:fill="auto"/>
            <w:vAlign w:val="center"/>
          </w:tcPr>
          <w:p w14:paraId="50E372E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内，各村依托经费开展了丰富多样的公共服务活动。农技培训邀请专业人员为村民传授种植养殖技术，参与人数较多，在一定程度上提高了村民的农业生产技能；文化演出丰富了村民的精神文化生活，健康义诊也为村民提供了基础医疗服务。从服务开展次数和覆盖人群来看，基本满足了覆盖本村常住人口 80% 以上的要求</w:t>
            </w:r>
          </w:p>
        </w:tc>
      </w:tr>
      <w:tr w14:paraId="65776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93"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A58CB">
            <w:pP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ACF7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222" w:type="pct"/>
            <w:gridSpan w:val="106"/>
            <w:tcBorders>
              <w:top w:val="single" w:color="000000" w:sz="4" w:space="0"/>
              <w:left w:val="single" w:color="000000" w:sz="4" w:space="0"/>
              <w:bottom w:val="single" w:color="000000" w:sz="4" w:space="0"/>
              <w:right w:val="single" w:color="000000" w:sz="4" w:space="0"/>
            </w:tcBorders>
            <w:shd w:val="clear" w:color="auto" w:fill="auto"/>
            <w:vAlign w:val="center"/>
          </w:tcPr>
          <w:p w14:paraId="67CB77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内，各村依托经费开展了丰富多样的公共服务活动。农技培训邀请专业人员为村民传授种植养殖技术，参与人数较多，在一定程度上提高了村民的农业生产技能；文化演出丰富了村民的精神文化生活，健康义诊也为村民提供了基础医疗服务。从服务开展次数和覆盖人群来看，基本满足了覆盖本村常住人口 80% 以上的要求</w:t>
            </w:r>
          </w:p>
        </w:tc>
      </w:tr>
      <w:tr w14:paraId="53013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38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D41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219B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E7A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56CA0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97"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4EE97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90C9A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389E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C40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6707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D18A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46"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9497C">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972E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6670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C68F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261.00</w:t>
            </w:r>
          </w:p>
        </w:tc>
        <w:tc>
          <w:tcPr>
            <w:tcW w:w="797"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1679B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261.00</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A1AA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A6A0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1D56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115" w:type="pct"/>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F7291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DEEA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91"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78E2">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85E3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7CA5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CB08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261.00</w:t>
            </w:r>
          </w:p>
        </w:tc>
        <w:tc>
          <w:tcPr>
            <w:tcW w:w="797"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707A0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261.00</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D98F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35124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C01A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115" w:type="pct"/>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E067A">
            <w:pPr>
              <w:rPr>
                <w:rFonts w:hint="eastAsia" w:ascii="黑体" w:hAnsi="黑体" w:eastAsia="黑体" w:cs="黑体"/>
                <w:i/>
                <w:iCs/>
                <w:color w:val="000000"/>
                <w:sz w:val="18"/>
                <w:szCs w:val="18"/>
                <w:u w:val="none"/>
              </w:rPr>
            </w:pPr>
          </w:p>
        </w:tc>
      </w:tr>
      <w:tr w14:paraId="72C56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07"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76FEB">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84A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6A03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534D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7"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73CE0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06F19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FB91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7482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115" w:type="pct"/>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C31A7">
            <w:pPr>
              <w:rPr>
                <w:rFonts w:hint="eastAsia" w:ascii="黑体" w:hAnsi="黑体" w:eastAsia="黑体" w:cs="黑体"/>
                <w:i/>
                <w:iCs/>
                <w:color w:val="000000"/>
                <w:sz w:val="18"/>
                <w:szCs w:val="18"/>
                <w:u w:val="none"/>
              </w:rPr>
            </w:pPr>
          </w:p>
        </w:tc>
      </w:tr>
      <w:tr w14:paraId="6699F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B21B">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0B1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8BB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7EB0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7"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70224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CFF61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24CAF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17BEC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115" w:type="pct"/>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FEBAD">
            <w:pPr>
              <w:rPr>
                <w:rFonts w:hint="eastAsia" w:ascii="黑体" w:hAnsi="黑体" w:eastAsia="黑体" w:cs="黑体"/>
                <w:i/>
                <w:iCs/>
                <w:color w:val="000000"/>
                <w:sz w:val="18"/>
                <w:szCs w:val="18"/>
                <w:u w:val="none"/>
              </w:rPr>
            </w:pPr>
          </w:p>
        </w:tc>
      </w:tr>
      <w:tr w14:paraId="24109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2349F">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6271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ED020D">
            <w:pPr>
              <w:jc w:val="center"/>
              <w:rPr>
                <w:rFonts w:hint="eastAsia" w:ascii="微软雅黑" w:hAnsi="微软雅黑" w:eastAsia="微软雅黑" w:cs="微软雅黑"/>
                <w:i/>
                <w:iCs/>
                <w:color w:val="000000"/>
                <w:sz w:val="16"/>
                <w:szCs w:val="16"/>
                <w:u w:val="none"/>
              </w:rPr>
            </w:pP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6761C91E">
            <w:pPr>
              <w:jc w:val="center"/>
              <w:rPr>
                <w:rFonts w:hint="eastAsia" w:ascii="微软雅黑" w:hAnsi="微软雅黑" w:eastAsia="微软雅黑" w:cs="微软雅黑"/>
                <w:i/>
                <w:iCs/>
                <w:color w:val="000000"/>
                <w:sz w:val="16"/>
                <w:szCs w:val="16"/>
                <w:u w:val="none"/>
              </w:rPr>
            </w:pPr>
          </w:p>
        </w:tc>
        <w:tc>
          <w:tcPr>
            <w:tcW w:w="797"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39F45577">
            <w:pPr>
              <w:jc w:val="center"/>
              <w:rPr>
                <w:rFonts w:hint="eastAsia" w:ascii="微软雅黑" w:hAnsi="微软雅黑" w:eastAsia="微软雅黑" w:cs="微软雅黑"/>
                <w:i/>
                <w:iCs/>
                <w:color w:val="000000"/>
                <w:sz w:val="16"/>
                <w:szCs w:val="16"/>
                <w:u w:val="none"/>
              </w:rPr>
            </w:pP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9C44EB6">
            <w:pPr>
              <w:jc w:val="center"/>
              <w:rPr>
                <w:rFonts w:hint="eastAsia" w:ascii="微软雅黑" w:hAnsi="微软雅黑" w:eastAsia="微软雅黑" w:cs="微软雅黑"/>
                <w:i/>
                <w:iCs/>
                <w:color w:val="000000"/>
                <w:sz w:val="16"/>
                <w:szCs w:val="16"/>
                <w:u w:val="none"/>
              </w:rPr>
            </w:pP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E1B20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432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115" w:type="pct"/>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BCD20">
            <w:pPr>
              <w:rPr>
                <w:rFonts w:hint="eastAsia" w:ascii="黑体" w:hAnsi="黑体" w:eastAsia="黑体" w:cs="黑体"/>
                <w:i/>
                <w:iCs/>
                <w:color w:val="000000"/>
                <w:sz w:val="18"/>
                <w:szCs w:val="18"/>
                <w:u w:val="none"/>
              </w:rPr>
            </w:pPr>
          </w:p>
        </w:tc>
      </w:tr>
      <w:tr w14:paraId="3A348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D56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FE5CC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748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5F2A3F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72FA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BD6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D3E1C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8E589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B09C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BCDF0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11F1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96D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CF925">
            <w:pPr>
              <w:jc w:val="center"/>
              <w:rPr>
                <w:rFonts w:hint="eastAsia" w:ascii="宋体" w:hAnsi="宋体" w:eastAsia="宋体" w:cs="宋体"/>
                <w:i w:val="0"/>
                <w:iCs w:val="0"/>
                <w:color w:val="000000"/>
                <w:sz w:val="18"/>
                <w:szCs w:val="18"/>
                <w:u w:val="none"/>
              </w:rPr>
            </w:pPr>
          </w:p>
        </w:tc>
        <w:tc>
          <w:tcPr>
            <w:tcW w:w="393"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21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5EC8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A0DED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40个村办公经费</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CD5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73D1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CA8E3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73983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3366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E4A9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5E3940">
            <w:pPr>
              <w:jc w:val="center"/>
              <w:rPr>
                <w:rFonts w:hint="eastAsia" w:ascii="宋体" w:hAnsi="宋体" w:eastAsia="宋体" w:cs="宋体"/>
                <w:i w:val="0"/>
                <w:iCs w:val="0"/>
                <w:color w:val="000000"/>
                <w:sz w:val="18"/>
                <w:szCs w:val="18"/>
                <w:u w:val="none"/>
              </w:rPr>
            </w:pPr>
          </w:p>
        </w:tc>
      </w:tr>
      <w:tr w14:paraId="5517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1340"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46B81">
            <w:pPr>
              <w:jc w:val="center"/>
              <w:rPr>
                <w:rFonts w:hint="eastAsia" w:ascii="宋体" w:hAnsi="宋体" w:eastAsia="宋体" w:cs="宋体"/>
                <w:i w:val="0"/>
                <w:iCs w:val="0"/>
                <w:color w:val="000000"/>
                <w:sz w:val="18"/>
                <w:szCs w:val="18"/>
                <w:u w:val="none"/>
              </w:rPr>
            </w:pPr>
          </w:p>
        </w:tc>
        <w:tc>
          <w:tcPr>
            <w:tcW w:w="393"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D7DC6">
            <w:pPr>
              <w:jc w:val="center"/>
              <w:rPr>
                <w:rFonts w:hint="eastAsia" w:ascii="宋体" w:hAnsi="宋体" w:eastAsia="宋体" w:cs="宋体"/>
                <w:i w:val="0"/>
                <w:iCs w:val="0"/>
                <w:color w:val="000000"/>
                <w:sz w:val="18"/>
                <w:szCs w:val="18"/>
                <w:u w:val="none"/>
              </w:rPr>
            </w:pP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FEC0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5AB9A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本年度内计划开展的村级道路硬化、路灯安装、水利设施修缮等基础设施建设项目的完成比例，目标值≥95% 。</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442C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B1BD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1441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3E56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51E90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30E70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88AA78">
            <w:pPr>
              <w:jc w:val="center"/>
              <w:rPr>
                <w:rFonts w:hint="eastAsia" w:ascii="宋体" w:hAnsi="宋体" w:eastAsia="宋体" w:cs="宋体"/>
                <w:i w:val="0"/>
                <w:iCs w:val="0"/>
                <w:color w:val="000000"/>
                <w:sz w:val="18"/>
                <w:szCs w:val="18"/>
                <w:u w:val="none"/>
              </w:rPr>
            </w:pPr>
          </w:p>
        </w:tc>
      </w:tr>
      <w:tr w14:paraId="408D4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C4A24">
            <w:pPr>
              <w:jc w:val="center"/>
              <w:rPr>
                <w:rFonts w:hint="eastAsia" w:ascii="宋体" w:hAnsi="宋体" w:eastAsia="宋体" w:cs="宋体"/>
                <w:i w:val="0"/>
                <w:iCs w:val="0"/>
                <w:color w:val="000000"/>
                <w:sz w:val="18"/>
                <w:szCs w:val="18"/>
                <w:u w:val="none"/>
              </w:rPr>
            </w:pPr>
          </w:p>
        </w:tc>
        <w:tc>
          <w:tcPr>
            <w:tcW w:w="393"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79C5F">
            <w:pPr>
              <w:jc w:val="center"/>
              <w:rPr>
                <w:rFonts w:hint="eastAsia" w:ascii="宋体" w:hAnsi="宋体" w:eastAsia="宋体" w:cs="宋体"/>
                <w:i w:val="0"/>
                <w:iCs w:val="0"/>
                <w:color w:val="000000"/>
                <w:sz w:val="18"/>
                <w:szCs w:val="18"/>
                <w:u w:val="none"/>
              </w:rPr>
            </w:pP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213A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5090B7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本项目期限到2024年12月31日</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43F1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996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428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40FA97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059A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2FAD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152F53">
            <w:pPr>
              <w:jc w:val="center"/>
              <w:rPr>
                <w:rFonts w:hint="eastAsia" w:ascii="宋体" w:hAnsi="宋体" w:eastAsia="宋体" w:cs="宋体"/>
                <w:i w:val="0"/>
                <w:iCs w:val="0"/>
                <w:color w:val="000000"/>
                <w:sz w:val="18"/>
                <w:szCs w:val="18"/>
                <w:u w:val="none"/>
              </w:rPr>
            </w:pPr>
          </w:p>
        </w:tc>
      </w:tr>
      <w:tr w14:paraId="176A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1420"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D206B">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978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9FF6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09D6DC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评估村民对道路通行、用水用电、垃圾处理等生活便利性的满意度提升情况，目标值较上年度提高 15% 。</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E3D3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8623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68E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22ABC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6FBB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256B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FBB594">
            <w:pPr>
              <w:jc w:val="center"/>
              <w:rPr>
                <w:rFonts w:hint="eastAsia" w:ascii="宋体" w:hAnsi="宋体" w:eastAsia="宋体" w:cs="宋体"/>
                <w:i w:val="0"/>
                <w:iCs w:val="0"/>
                <w:color w:val="000000"/>
                <w:sz w:val="18"/>
                <w:szCs w:val="18"/>
                <w:u w:val="none"/>
              </w:rPr>
            </w:pPr>
          </w:p>
        </w:tc>
      </w:tr>
      <w:tr w14:paraId="06977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EA396">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581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CA55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226BC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通过随机抽样调查，了解村民对村级公共服务经费使用效果、服务质量的满意程度，目标值≥90%。</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519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B55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152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3C24FD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CDE2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6E61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D79CF6">
            <w:pPr>
              <w:jc w:val="center"/>
              <w:rPr>
                <w:rFonts w:hint="eastAsia" w:ascii="宋体" w:hAnsi="宋体" w:eastAsia="宋体" w:cs="宋体"/>
                <w:i w:val="0"/>
                <w:iCs w:val="0"/>
                <w:color w:val="000000"/>
                <w:sz w:val="18"/>
                <w:szCs w:val="18"/>
                <w:u w:val="none"/>
              </w:rPr>
            </w:pPr>
          </w:p>
        </w:tc>
      </w:tr>
      <w:tr w14:paraId="484D9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3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3A71B">
            <w:pPr>
              <w:jc w:val="center"/>
              <w:rPr>
                <w:rFonts w:hint="eastAsia" w:ascii="宋体" w:hAnsi="宋体" w:eastAsia="宋体" w:cs="宋体"/>
                <w:i w:val="0"/>
                <w:iCs w:val="0"/>
                <w:color w:val="000000"/>
                <w:sz w:val="18"/>
                <w:szCs w:val="18"/>
                <w:u w:val="none"/>
              </w:rPr>
            </w:pPr>
          </w:p>
        </w:tc>
        <w:tc>
          <w:tcPr>
            <w:tcW w:w="39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782F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37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C0E9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789"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AA5B4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260</w:t>
            </w:r>
          </w:p>
        </w:tc>
        <w:tc>
          <w:tcPr>
            <w:tcW w:w="25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CED8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7E9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260</w:t>
            </w:r>
          </w:p>
        </w:tc>
        <w:tc>
          <w:tcPr>
            <w:tcW w:w="25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BBBF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54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D5F6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4DA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A4967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31A09A">
            <w:pPr>
              <w:jc w:val="center"/>
              <w:rPr>
                <w:rFonts w:hint="eastAsia" w:ascii="微软雅黑" w:hAnsi="微软雅黑" w:eastAsia="微软雅黑" w:cs="微软雅黑"/>
                <w:i/>
                <w:iCs/>
                <w:color w:val="000000"/>
                <w:sz w:val="16"/>
                <w:szCs w:val="16"/>
                <w:u w:val="none"/>
              </w:rPr>
            </w:pPr>
          </w:p>
        </w:tc>
      </w:tr>
      <w:tr w14:paraId="14F66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3291" w:type="pct"/>
            <w:gridSpan w:val="83"/>
            <w:tcBorders>
              <w:top w:val="single" w:color="000000" w:sz="4" w:space="0"/>
              <w:left w:val="single" w:color="000000" w:sz="4" w:space="0"/>
              <w:bottom w:val="single" w:color="000000" w:sz="4" w:space="0"/>
              <w:right w:val="single" w:color="000000" w:sz="4" w:space="0"/>
            </w:tcBorders>
            <w:shd w:val="clear" w:color="auto" w:fill="auto"/>
            <w:vAlign w:val="center"/>
          </w:tcPr>
          <w:p w14:paraId="62776F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830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96"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8B12973">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11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265DC6">
            <w:pPr>
              <w:rPr>
                <w:rFonts w:hint="eastAsia" w:ascii="宋体" w:hAnsi="宋体" w:eastAsia="宋体" w:cs="宋体"/>
                <w:i w:val="0"/>
                <w:iCs w:val="0"/>
                <w:color w:val="000000"/>
                <w:sz w:val="18"/>
                <w:szCs w:val="18"/>
                <w:u w:val="none"/>
              </w:rPr>
            </w:pPr>
          </w:p>
        </w:tc>
      </w:tr>
      <w:tr w14:paraId="3D7AE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800" w:hRule="atLeast"/>
          <w:jc w:val="center"/>
        </w:trPr>
        <w:tc>
          <w:tcPr>
            <w:tcW w:w="3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E72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615"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2F760C5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村级公共服务经费在基础设施建设方面发挥了关键作用，有效提升了农村生产生活条件。大量资金投入到道路硬化、路灯安装、水利设施修缮项目中，众多村庄告别了泥泞道路，夜间出行安全得到保障，农田灌溉效率显著提高。新建和改造的公共厕所、垃圾收集点、文化广场等设施，不仅改善了乡村环境卫生，还为村民提供了休闲娱乐场所，乡村整体面貌焕然一新，村民生活质量得到切实提升。</w:t>
            </w:r>
          </w:p>
        </w:tc>
      </w:tr>
      <w:tr w14:paraId="2D3C0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840" w:hRule="atLeast"/>
          <w:jc w:val="center"/>
        </w:trPr>
        <w:tc>
          <w:tcPr>
            <w:tcW w:w="3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7C09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615"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3C72A40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尽管村级公共服务经费发挥了重要作用，但总体投入仍显不足。随着乡村发展和村民需求升级，基础设施建设的广度和深度不断拓展，公共服务内容日益丰富，现有的经费规模难以满足道路升级改造、公共服务设施智能化建设等更高层次需求，导致部分项目无法实施或推进缓慢，制约了乡村公共服务水平的进一步提升。在资金使用过程中，存在项目规划不合理、执行不严格等问题，影响了经费使用效率。</w:t>
            </w:r>
          </w:p>
        </w:tc>
      </w:tr>
      <w:tr w14:paraId="2863A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33" w:hRule="atLeast"/>
          <w:jc w:val="center"/>
        </w:trPr>
        <w:tc>
          <w:tcPr>
            <w:tcW w:w="3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8FB0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615" w:type="pct"/>
            <w:gridSpan w:val="114"/>
            <w:tcBorders>
              <w:top w:val="single" w:color="000000" w:sz="4" w:space="0"/>
              <w:left w:val="single" w:color="000000" w:sz="4" w:space="0"/>
              <w:bottom w:val="single" w:color="000000" w:sz="4" w:space="0"/>
              <w:right w:val="single" w:color="000000" w:sz="4" w:space="0"/>
            </w:tcBorders>
            <w:shd w:val="clear" w:color="auto" w:fill="auto"/>
            <w:vAlign w:val="center"/>
          </w:tcPr>
          <w:p w14:paraId="2C135FA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提高对村级公共服务重要性的认识，加大财政资金投入力度，建立稳定的经费增长机制。同时，积极引导社会资本参与乡村建设，通过政府与社会资本合作、企业捐赠、乡贤投资等方式，拓宽村级公共服务经费来源，满足乡村发展对资金的需求。加强村级公共服务项目的前期规划和论证，充分听取村民意见，确保项目符合实际需求。</w:t>
            </w:r>
          </w:p>
        </w:tc>
      </w:tr>
      <w:tr w14:paraId="402DC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196" w:type="pct"/>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520F205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项目负责人：王波</w:t>
            </w:r>
          </w:p>
        </w:tc>
        <w:tc>
          <w:tcPr>
            <w:tcW w:w="2803" w:type="pct"/>
            <w:gridSpan w:val="68"/>
            <w:tcBorders>
              <w:top w:val="single" w:color="000000" w:sz="4" w:space="0"/>
              <w:left w:val="single" w:color="000000" w:sz="4" w:space="0"/>
              <w:bottom w:val="single" w:color="000000" w:sz="4" w:space="0"/>
              <w:right w:val="single" w:color="000000" w:sz="4" w:space="0"/>
            </w:tcBorders>
            <w:shd w:val="clear" w:color="auto" w:fill="auto"/>
            <w:vAlign w:val="center"/>
          </w:tcPr>
          <w:p w14:paraId="719D24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000F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196" w:type="pct"/>
            <w:gridSpan w:val="49"/>
            <w:tcBorders>
              <w:top w:val="single" w:color="000000" w:sz="4" w:space="0"/>
              <w:left w:val="single" w:color="000000" w:sz="4" w:space="0"/>
              <w:bottom w:val="single" w:color="000000" w:sz="4" w:space="0"/>
              <w:right w:val="single" w:color="000000" w:sz="4" w:space="0"/>
            </w:tcBorders>
            <w:shd w:val="clear" w:color="auto" w:fill="auto"/>
            <w:vAlign w:val="center"/>
          </w:tcPr>
          <w:p w14:paraId="6433724C">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803" w:type="pct"/>
            <w:gridSpan w:val="68"/>
            <w:tcBorders>
              <w:top w:val="single" w:color="000000" w:sz="4" w:space="0"/>
              <w:left w:val="single" w:color="000000" w:sz="4" w:space="0"/>
              <w:bottom w:val="single" w:color="000000" w:sz="4" w:space="0"/>
              <w:right w:val="single" w:color="000000" w:sz="4" w:space="0"/>
            </w:tcBorders>
            <w:shd w:val="clear" w:color="auto" w:fill="auto"/>
            <w:vAlign w:val="center"/>
          </w:tcPr>
          <w:p w14:paraId="2D6EE4D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36A66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904" w:hRule="atLeast"/>
          <w:jc w:val="center"/>
        </w:trPr>
        <w:tc>
          <w:tcPr>
            <w:tcW w:w="5000"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7CBEC83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131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845"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033C1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154" w:type="pct"/>
            <w:gridSpan w:val="100"/>
            <w:tcBorders>
              <w:top w:val="single" w:color="000000" w:sz="4" w:space="0"/>
              <w:left w:val="single" w:color="000000" w:sz="4" w:space="0"/>
              <w:bottom w:val="single" w:color="000000" w:sz="4" w:space="0"/>
              <w:right w:val="single" w:color="000000" w:sz="4" w:space="0"/>
            </w:tcBorders>
            <w:shd w:val="clear" w:color="auto" w:fill="auto"/>
            <w:vAlign w:val="center"/>
          </w:tcPr>
          <w:p w14:paraId="6E3F3F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51090424T000011812494-2024年信创替代专项资金</w:t>
            </w:r>
          </w:p>
        </w:tc>
      </w:tr>
      <w:tr w14:paraId="716A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12" w:hRule="atLeast"/>
          <w:jc w:val="center"/>
        </w:trPr>
        <w:tc>
          <w:tcPr>
            <w:tcW w:w="845"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A48E5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68"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6C822F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547" w:type="pct"/>
            <w:gridSpan w:val="15"/>
            <w:tcBorders>
              <w:top w:val="nil"/>
              <w:left w:val="nil"/>
              <w:bottom w:val="nil"/>
              <w:right w:val="nil"/>
            </w:tcBorders>
            <w:shd w:val="clear" w:color="auto" w:fill="auto"/>
            <w:vAlign w:val="center"/>
          </w:tcPr>
          <w:p w14:paraId="06F9B5C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837" w:type="pct"/>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7F1285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7210C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414"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A5F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30"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E59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68"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02164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385" w:type="pct"/>
            <w:gridSpan w:val="55"/>
            <w:tcBorders>
              <w:top w:val="single" w:color="000000" w:sz="4" w:space="0"/>
              <w:left w:val="single" w:color="000000" w:sz="4" w:space="0"/>
              <w:bottom w:val="single" w:color="000000" w:sz="4" w:space="0"/>
              <w:right w:val="single" w:color="000000" w:sz="4" w:space="0"/>
            </w:tcBorders>
            <w:shd w:val="clear" w:color="auto" w:fill="auto"/>
            <w:vAlign w:val="center"/>
          </w:tcPr>
          <w:p w14:paraId="27DE1D5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F11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708"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86B57">
            <w:pPr>
              <w:rPr>
                <w:rFonts w:hint="eastAsia" w:ascii="宋体" w:hAnsi="宋体" w:eastAsia="宋体" w:cs="宋体"/>
                <w:i w:val="0"/>
                <w:iCs w:val="0"/>
                <w:color w:val="000000"/>
                <w:sz w:val="18"/>
                <w:szCs w:val="18"/>
                <w:u w:val="none"/>
              </w:rPr>
            </w:pPr>
          </w:p>
        </w:tc>
        <w:tc>
          <w:tcPr>
            <w:tcW w:w="430"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DECCA">
            <w:pPr>
              <w:rPr>
                <w:rFonts w:hint="eastAsia" w:ascii="宋体" w:hAnsi="宋体" w:eastAsia="宋体" w:cs="宋体"/>
                <w:i w:val="0"/>
                <w:iCs w:val="0"/>
                <w:color w:val="000000"/>
                <w:sz w:val="18"/>
                <w:szCs w:val="18"/>
                <w:u w:val="none"/>
              </w:rPr>
            </w:pPr>
          </w:p>
        </w:tc>
        <w:tc>
          <w:tcPr>
            <w:tcW w:w="1768"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2EC257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6万元用于信创产品的采购与部署，包括信创计算机终端、服务器、办公外接设备等的购置确保项目顺利推进。</w:t>
            </w:r>
          </w:p>
        </w:tc>
        <w:tc>
          <w:tcPr>
            <w:tcW w:w="2385" w:type="pct"/>
            <w:gridSpan w:val="55"/>
            <w:tcBorders>
              <w:top w:val="single" w:color="000000" w:sz="4" w:space="0"/>
              <w:left w:val="single" w:color="000000" w:sz="4" w:space="0"/>
              <w:bottom w:val="single" w:color="000000" w:sz="4" w:space="0"/>
              <w:right w:val="single" w:color="000000" w:sz="4" w:space="0"/>
            </w:tcBorders>
            <w:shd w:val="clear" w:color="auto" w:fill="auto"/>
            <w:vAlign w:val="center"/>
          </w:tcPr>
          <w:p w14:paraId="15DE981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于2024年购买信创电脑10台</w:t>
            </w:r>
          </w:p>
        </w:tc>
      </w:tr>
      <w:tr w14:paraId="3CBA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93"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873AE">
            <w:pP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77DA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154" w:type="pct"/>
            <w:gridSpan w:val="100"/>
            <w:tcBorders>
              <w:top w:val="single" w:color="000000" w:sz="4" w:space="0"/>
              <w:left w:val="single" w:color="000000" w:sz="4" w:space="0"/>
              <w:bottom w:val="single" w:color="000000" w:sz="4" w:space="0"/>
              <w:right w:val="single" w:color="000000" w:sz="4" w:space="0"/>
            </w:tcBorders>
            <w:shd w:val="clear" w:color="auto" w:fill="auto"/>
            <w:vAlign w:val="center"/>
          </w:tcPr>
          <w:p w14:paraId="6B29E28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于2024年购买信创电脑10台</w:t>
            </w:r>
          </w:p>
        </w:tc>
      </w:tr>
      <w:tr w14:paraId="0403E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414"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BD2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13B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BC8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9CA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78"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5475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394E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7FE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0BC07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F73A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76C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46"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F84CA">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0E4E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ABE0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FF62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778"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D1B1A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5C5F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413C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F60E655">
            <w:pPr>
              <w:jc w:val="center"/>
              <w:rPr>
                <w:rFonts w:hint="eastAsia" w:ascii="宋体" w:hAnsi="宋体" w:eastAsia="宋体" w:cs="宋体"/>
                <w:i w:val="0"/>
                <w:iCs w:val="0"/>
                <w:color w:val="000000"/>
                <w:sz w:val="18"/>
                <w:szCs w:val="18"/>
                <w:u w:val="none"/>
              </w:rPr>
            </w:pPr>
          </w:p>
        </w:tc>
        <w:tc>
          <w:tcPr>
            <w:tcW w:w="1252"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EE12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ACEA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91"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1ECE3">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0D0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C99F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FF14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778"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C849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70FE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055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784CE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52"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5A2E">
            <w:pPr>
              <w:rPr>
                <w:rFonts w:hint="eastAsia" w:ascii="黑体" w:hAnsi="黑体" w:eastAsia="黑体" w:cs="黑体"/>
                <w:i/>
                <w:iCs/>
                <w:color w:val="000000"/>
                <w:sz w:val="18"/>
                <w:szCs w:val="18"/>
                <w:u w:val="none"/>
              </w:rPr>
            </w:pPr>
          </w:p>
        </w:tc>
      </w:tr>
      <w:tr w14:paraId="0CBB4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07"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24A19">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399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9FF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5177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8"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5A581D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E53B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81F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920A5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52"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E81F5">
            <w:pPr>
              <w:rPr>
                <w:rFonts w:hint="eastAsia" w:ascii="黑体" w:hAnsi="黑体" w:eastAsia="黑体" w:cs="黑体"/>
                <w:i/>
                <w:iCs/>
                <w:color w:val="000000"/>
                <w:sz w:val="18"/>
                <w:szCs w:val="18"/>
                <w:u w:val="none"/>
              </w:rPr>
            </w:pPr>
          </w:p>
        </w:tc>
      </w:tr>
      <w:tr w14:paraId="33C36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DFCD5">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0169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B5C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B22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8"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7493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4363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CFD8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6EE0D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52"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236E3">
            <w:pPr>
              <w:rPr>
                <w:rFonts w:hint="eastAsia" w:ascii="黑体" w:hAnsi="黑体" w:eastAsia="黑体" w:cs="黑体"/>
                <w:i/>
                <w:iCs/>
                <w:color w:val="000000"/>
                <w:sz w:val="18"/>
                <w:szCs w:val="18"/>
                <w:u w:val="none"/>
              </w:rPr>
            </w:pPr>
          </w:p>
        </w:tc>
      </w:tr>
      <w:tr w14:paraId="5C1FD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C8ED9">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57A4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F09A17">
            <w:pPr>
              <w:jc w:val="center"/>
              <w:rPr>
                <w:rFonts w:hint="eastAsia" w:ascii="微软雅黑" w:hAnsi="微软雅黑" w:eastAsia="微软雅黑" w:cs="微软雅黑"/>
                <w:i/>
                <w:iCs/>
                <w:color w:val="000000"/>
                <w:sz w:val="16"/>
                <w:szCs w:val="16"/>
                <w:u w:val="none"/>
              </w:rPr>
            </w:pP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100CAE">
            <w:pPr>
              <w:jc w:val="center"/>
              <w:rPr>
                <w:rFonts w:hint="eastAsia" w:ascii="微软雅黑" w:hAnsi="微软雅黑" w:eastAsia="微软雅黑" w:cs="微软雅黑"/>
                <w:i/>
                <w:iCs/>
                <w:color w:val="000000"/>
                <w:sz w:val="16"/>
                <w:szCs w:val="16"/>
                <w:u w:val="none"/>
              </w:rPr>
            </w:pPr>
          </w:p>
        </w:tc>
        <w:tc>
          <w:tcPr>
            <w:tcW w:w="778"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64838D85">
            <w:pPr>
              <w:jc w:val="center"/>
              <w:rPr>
                <w:rFonts w:hint="eastAsia" w:ascii="微软雅黑" w:hAnsi="微软雅黑" w:eastAsia="微软雅黑" w:cs="微软雅黑"/>
                <w:i/>
                <w:iCs/>
                <w:color w:val="000000"/>
                <w:sz w:val="16"/>
                <w:szCs w:val="16"/>
                <w:u w:val="none"/>
              </w:rPr>
            </w:pP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ADDA2EE">
            <w:pPr>
              <w:jc w:val="center"/>
              <w:rPr>
                <w:rFonts w:hint="eastAsia" w:ascii="微软雅黑" w:hAnsi="微软雅黑" w:eastAsia="微软雅黑" w:cs="微软雅黑"/>
                <w:i/>
                <w:iCs/>
                <w:color w:val="000000"/>
                <w:sz w:val="16"/>
                <w:szCs w:val="16"/>
                <w:u w:val="none"/>
              </w:rPr>
            </w:pP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E772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97E0C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52"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B1B22">
            <w:pPr>
              <w:rPr>
                <w:rFonts w:hint="eastAsia" w:ascii="黑体" w:hAnsi="黑体" w:eastAsia="黑体" w:cs="黑体"/>
                <w:i/>
                <w:iCs/>
                <w:color w:val="000000"/>
                <w:sz w:val="18"/>
                <w:szCs w:val="18"/>
                <w:u w:val="none"/>
              </w:rPr>
            </w:pPr>
          </w:p>
        </w:tc>
      </w:tr>
      <w:tr w14:paraId="6A278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14"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A3F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717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3307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A8A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EF7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555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E5B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15FF2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C059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0F24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1017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A18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4E4B5">
            <w:pPr>
              <w:jc w:val="center"/>
              <w:rPr>
                <w:rFonts w:hint="eastAsia" w:ascii="宋体" w:hAnsi="宋体" w:eastAsia="宋体" w:cs="宋体"/>
                <w:i w:val="0"/>
                <w:iCs w:val="0"/>
                <w:color w:val="000000"/>
                <w:sz w:val="18"/>
                <w:szCs w:val="18"/>
                <w:u w:val="none"/>
              </w:rPr>
            </w:pPr>
          </w:p>
        </w:tc>
        <w:tc>
          <w:tcPr>
            <w:tcW w:w="430"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D8D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3B9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3DB6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10台电脑</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E223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47B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121B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E5ED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BC16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5398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011ED5D8">
            <w:pPr>
              <w:jc w:val="center"/>
              <w:rPr>
                <w:rFonts w:hint="eastAsia" w:ascii="宋体" w:hAnsi="宋体" w:eastAsia="宋体" w:cs="宋体"/>
                <w:i w:val="0"/>
                <w:iCs w:val="0"/>
                <w:color w:val="000000"/>
                <w:sz w:val="18"/>
                <w:szCs w:val="18"/>
                <w:u w:val="none"/>
              </w:rPr>
            </w:pPr>
          </w:p>
        </w:tc>
      </w:tr>
      <w:tr w14:paraId="3A06C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E352F">
            <w:pPr>
              <w:jc w:val="center"/>
              <w:rPr>
                <w:rFonts w:hint="eastAsia" w:ascii="宋体" w:hAnsi="宋体" w:eastAsia="宋体" w:cs="宋体"/>
                <w:i w:val="0"/>
                <w:iCs w:val="0"/>
                <w:color w:val="000000"/>
                <w:sz w:val="18"/>
                <w:szCs w:val="18"/>
                <w:u w:val="none"/>
              </w:rPr>
            </w:pPr>
          </w:p>
        </w:tc>
        <w:tc>
          <w:tcPr>
            <w:tcW w:w="430"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F3E01">
            <w:pPr>
              <w:jc w:val="center"/>
              <w:rPr>
                <w:rFonts w:hint="eastAsia" w:ascii="宋体" w:hAnsi="宋体" w:eastAsia="宋体" w:cs="宋体"/>
                <w:i w:val="0"/>
                <w:iCs w:val="0"/>
                <w:color w:val="000000"/>
                <w:sz w:val="18"/>
                <w:szCs w:val="18"/>
                <w:u w:val="none"/>
              </w:rPr>
            </w:pP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496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7F6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电脑使用率达到98%</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4201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6973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D5F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6B73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7FB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01136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10C8B98">
            <w:pPr>
              <w:jc w:val="center"/>
              <w:rPr>
                <w:rFonts w:hint="eastAsia" w:ascii="宋体" w:hAnsi="宋体" w:eastAsia="宋体" w:cs="宋体"/>
                <w:i w:val="0"/>
                <w:iCs w:val="0"/>
                <w:color w:val="000000"/>
                <w:sz w:val="18"/>
                <w:szCs w:val="18"/>
                <w:u w:val="none"/>
              </w:rPr>
            </w:pPr>
          </w:p>
        </w:tc>
      </w:tr>
      <w:tr w14:paraId="3EED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6230A">
            <w:pPr>
              <w:jc w:val="center"/>
              <w:rPr>
                <w:rFonts w:hint="eastAsia" w:ascii="宋体" w:hAnsi="宋体" w:eastAsia="宋体" w:cs="宋体"/>
                <w:i w:val="0"/>
                <w:iCs w:val="0"/>
                <w:color w:val="000000"/>
                <w:sz w:val="18"/>
                <w:szCs w:val="18"/>
                <w:u w:val="none"/>
              </w:rPr>
            </w:pPr>
          </w:p>
        </w:tc>
        <w:tc>
          <w:tcPr>
            <w:tcW w:w="430"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C09AD">
            <w:pPr>
              <w:jc w:val="center"/>
              <w:rPr>
                <w:rFonts w:hint="eastAsia" w:ascii="宋体" w:hAnsi="宋体" w:eastAsia="宋体" w:cs="宋体"/>
                <w:i w:val="0"/>
                <w:iCs w:val="0"/>
                <w:color w:val="000000"/>
                <w:sz w:val="18"/>
                <w:szCs w:val="18"/>
                <w:u w:val="none"/>
              </w:rPr>
            </w:pP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B9C9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D847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1月31日-12月31日</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D5C7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89B6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0906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36811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89F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B7CE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45D7882">
            <w:pPr>
              <w:jc w:val="center"/>
              <w:rPr>
                <w:rFonts w:hint="eastAsia" w:ascii="宋体" w:hAnsi="宋体" w:eastAsia="宋体" w:cs="宋体"/>
                <w:i w:val="0"/>
                <w:iCs w:val="0"/>
                <w:color w:val="000000"/>
                <w:sz w:val="18"/>
                <w:szCs w:val="18"/>
                <w:u w:val="none"/>
              </w:rPr>
            </w:pPr>
          </w:p>
        </w:tc>
      </w:tr>
      <w:tr w14:paraId="28BB0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A205A">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DF0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884D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1FF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工作效率提高</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A990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9EF4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3010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67EC4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8052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15F0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05E319D">
            <w:pPr>
              <w:jc w:val="center"/>
              <w:rPr>
                <w:rFonts w:hint="eastAsia" w:ascii="宋体" w:hAnsi="宋体" w:eastAsia="宋体" w:cs="宋体"/>
                <w:i w:val="0"/>
                <w:iCs w:val="0"/>
                <w:color w:val="000000"/>
                <w:sz w:val="18"/>
                <w:szCs w:val="18"/>
                <w:u w:val="none"/>
              </w:rPr>
            </w:pPr>
          </w:p>
        </w:tc>
      </w:tr>
      <w:tr w14:paraId="5815A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920"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10130">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444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3B6D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7FCD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信创项目使用单位对产品性能、技术服务满意度≥85%</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46D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EB0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1108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670A5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4320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96B17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CE4F9BC">
            <w:pPr>
              <w:jc w:val="center"/>
              <w:rPr>
                <w:rFonts w:hint="eastAsia" w:ascii="宋体" w:hAnsi="宋体" w:eastAsia="宋体" w:cs="宋体"/>
                <w:i w:val="0"/>
                <w:iCs w:val="0"/>
                <w:color w:val="000000"/>
                <w:sz w:val="18"/>
                <w:szCs w:val="18"/>
                <w:u w:val="none"/>
              </w:rPr>
            </w:pPr>
          </w:p>
        </w:tc>
      </w:tr>
      <w:tr w14:paraId="19B7D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414"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72149">
            <w:pPr>
              <w:jc w:val="center"/>
              <w:rPr>
                <w:rFonts w:hint="eastAsia" w:ascii="宋体" w:hAnsi="宋体" w:eastAsia="宋体" w:cs="宋体"/>
                <w:i w:val="0"/>
                <w:iCs w:val="0"/>
                <w:color w:val="000000"/>
                <w:sz w:val="18"/>
                <w:szCs w:val="18"/>
                <w:u w:val="none"/>
              </w:rPr>
            </w:pPr>
          </w:p>
        </w:tc>
        <w:tc>
          <w:tcPr>
            <w:tcW w:w="43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AA12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40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3FC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8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AE2C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6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6620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BAF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6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19B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547"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AE721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1EA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F59D0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6AF4026">
            <w:pPr>
              <w:jc w:val="center"/>
              <w:rPr>
                <w:rFonts w:hint="eastAsia" w:ascii="微软雅黑" w:hAnsi="微软雅黑" w:eastAsia="微软雅黑" w:cs="微软雅黑"/>
                <w:i/>
                <w:iCs/>
                <w:color w:val="000000"/>
                <w:sz w:val="16"/>
                <w:szCs w:val="16"/>
                <w:u w:val="none"/>
              </w:rPr>
            </w:pPr>
          </w:p>
        </w:tc>
      </w:tr>
      <w:tr w14:paraId="37859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3162" w:type="pct"/>
            <w:gridSpan w:val="77"/>
            <w:tcBorders>
              <w:top w:val="single" w:color="000000" w:sz="4" w:space="0"/>
              <w:left w:val="single" w:color="000000" w:sz="4" w:space="0"/>
              <w:bottom w:val="single" w:color="000000" w:sz="4" w:space="0"/>
              <w:right w:val="single" w:color="000000" w:sz="4" w:space="0"/>
            </w:tcBorders>
            <w:shd w:val="clear" w:color="auto" w:fill="auto"/>
            <w:vAlign w:val="center"/>
          </w:tcPr>
          <w:p w14:paraId="6C74CA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9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6F2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92"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E21E10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252"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465F3F1">
            <w:pPr>
              <w:rPr>
                <w:rFonts w:hint="eastAsia" w:ascii="宋体" w:hAnsi="宋体" w:eastAsia="宋体" w:cs="宋体"/>
                <w:i w:val="0"/>
                <w:iCs w:val="0"/>
                <w:color w:val="000000"/>
                <w:sz w:val="18"/>
                <w:szCs w:val="18"/>
                <w:u w:val="none"/>
              </w:rPr>
            </w:pPr>
          </w:p>
        </w:tc>
      </w:tr>
      <w:tr w14:paraId="7DC7D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03" w:hRule="atLeast"/>
          <w:jc w:val="center"/>
        </w:trPr>
        <w:tc>
          <w:tcPr>
            <w:tcW w:w="41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CAAA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585" w:type="pct"/>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036511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专项资金对信创基础软硬件产品采购的支持，提升了国产芯片、操作系统、数据库等产品的市场应用比例，带动了信创产业链上下游企业协同发展。同时，产学研合作项目的开展促进了创新型信创技术的试点应用，推动了信创技术成果转化，增强了信创产业的核心竞争力，助力实现技术自主可控目标。</w:t>
            </w:r>
          </w:p>
        </w:tc>
      </w:tr>
      <w:tr w14:paraId="1CD64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72" w:hRule="atLeast"/>
          <w:jc w:val="center"/>
        </w:trPr>
        <w:tc>
          <w:tcPr>
            <w:tcW w:w="41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3B3B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585" w:type="pct"/>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2D8F7AC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专项资金对信创基础软硬件产品采购的支持，提升了国产芯片、操作系统、数据库等产品的市场应用比例，带动了信创产业链上下游企业协同发展。同时，产学研合作项目的开展促进了创新型信创技术的试点应用，推动了信创技术成果转化，增强了信创产业的核心竞争力，助力实现技术自主可控目标。</w:t>
            </w:r>
          </w:p>
        </w:tc>
      </w:tr>
      <w:tr w14:paraId="473DD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33" w:hRule="atLeast"/>
          <w:jc w:val="center"/>
        </w:trPr>
        <w:tc>
          <w:tcPr>
            <w:tcW w:w="41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02E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585" w:type="pct"/>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7B1DF88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积极探索多元化资金筹集方式，加大财政支持力度，制定优惠政策吸引社会资本参与信创项目。优化资金分配方案，根据项目实际需求动态调整资金配比，合理增加项目管理与应急备用资金比例，保障项目顺利实施。</w:t>
            </w:r>
          </w:p>
        </w:tc>
      </w:tr>
      <w:tr w14:paraId="021EE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098"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35D6C2B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项目负责人：徐波</w:t>
            </w:r>
          </w:p>
        </w:tc>
        <w:tc>
          <w:tcPr>
            <w:tcW w:w="2901" w:type="pct"/>
            <w:gridSpan w:val="72"/>
            <w:tcBorders>
              <w:top w:val="single" w:color="000000" w:sz="4" w:space="0"/>
              <w:left w:val="single" w:color="000000" w:sz="4" w:space="0"/>
              <w:bottom w:val="single" w:color="000000" w:sz="4" w:space="0"/>
              <w:right w:val="single" w:color="000000" w:sz="4" w:space="0"/>
            </w:tcBorders>
            <w:shd w:val="clear" w:color="auto" w:fill="auto"/>
            <w:vAlign w:val="center"/>
          </w:tcPr>
          <w:p w14:paraId="221650D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r w14:paraId="23842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098" w:type="pct"/>
            <w:gridSpan w:val="45"/>
            <w:tcBorders>
              <w:top w:val="single" w:color="000000" w:sz="4" w:space="0"/>
              <w:left w:val="single" w:color="000000" w:sz="4" w:space="0"/>
              <w:bottom w:val="single" w:color="000000" w:sz="4" w:space="0"/>
              <w:right w:val="single" w:color="000000" w:sz="4" w:space="0"/>
            </w:tcBorders>
            <w:shd w:val="clear" w:color="auto" w:fill="auto"/>
            <w:vAlign w:val="center"/>
          </w:tcPr>
          <w:p w14:paraId="4A43A5D6">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c>
          <w:tcPr>
            <w:tcW w:w="2901" w:type="pct"/>
            <w:gridSpan w:val="72"/>
            <w:tcBorders>
              <w:top w:val="single" w:color="000000" w:sz="4" w:space="0"/>
              <w:left w:val="single" w:color="000000" w:sz="4" w:space="0"/>
              <w:bottom w:val="single" w:color="000000" w:sz="4" w:space="0"/>
              <w:right w:val="single" w:color="000000" w:sz="4" w:space="0"/>
            </w:tcBorders>
            <w:shd w:val="clear" w:color="auto" w:fill="auto"/>
            <w:vAlign w:val="center"/>
          </w:tcPr>
          <w:p w14:paraId="38972A79">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517DA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904" w:hRule="atLeast"/>
          <w:jc w:val="center"/>
        </w:trPr>
        <w:tc>
          <w:tcPr>
            <w:tcW w:w="4942" w:type="pct"/>
            <w:gridSpan w:val="117"/>
            <w:tcBorders>
              <w:top w:val="single" w:color="000000" w:sz="4" w:space="0"/>
              <w:left w:val="single" w:color="000000" w:sz="4" w:space="0"/>
              <w:bottom w:val="single" w:color="000000" w:sz="4" w:space="0"/>
              <w:right w:val="single" w:color="000000" w:sz="4" w:space="0"/>
            </w:tcBorders>
            <w:shd w:val="clear" w:color="auto" w:fill="auto"/>
            <w:vAlign w:val="center"/>
          </w:tcPr>
          <w:p w14:paraId="5607457C">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A7B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83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78CE1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108" w:type="pct"/>
            <w:gridSpan w:val="100"/>
            <w:tcBorders>
              <w:top w:val="single" w:color="000000" w:sz="4" w:space="0"/>
              <w:left w:val="single" w:color="000000" w:sz="4" w:space="0"/>
              <w:bottom w:val="single" w:color="000000" w:sz="4" w:space="0"/>
              <w:right w:val="single" w:color="000000" w:sz="4" w:space="0"/>
            </w:tcBorders>
            <w:shd w:val="clear" w:color="auto" w:fill="auto"/>
            <w:vAlign w:val="center"/>
          </w:tcPr>
          <w:p w14:paraId="098E708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51090424T000011883084-计划生育后遗症资金</w:t>
            </w:r>
          </w:p>
        </w:tc>
      </w:tr>
      <w:tr w14:paraId="32676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12" w:hRule="atLeast"/>
          <w:jc w:val="center"/>
        </w:trPr>
        <w:tc>
          <w:tcPr>
            <w:tcW w:w="834"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E1979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765" w:type="pct"/>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7678BE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遂宁市安居区三家镇人民政府部门</w:t>
            </w:r>
          </w:p>
        </w:tc>
        <w:tc>
          <w:tcPr>
            <w:tcW w:w="539" w:type="pct"/>
            <w:gridSpan w:val="15"/>
            <w:tcBorders>
              <w:top w:val="nil"/>
              <w:left w:val="nil"/>
              <w:bottom w:val="nil"/>
              <w:right w:val="nil"/>
            </w:tcBorders>
            <w:shd w:val="clear" w:color="auto" w:fill="auto"/>
            <w:vAlign w:val="center"/>
          </w:tcPr>
          <w:p w14:paraId="11140A4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802" w:type="pct"/>
            <w:gridSpan w:val="39"/>
            <w:tcBorders>
              <w:top w:val="single" w:color="000000" w:sz="4" w:space="0"/>
              <w:left w:val="single" w:color="000000" w:sz="4" w:space="0"/>
              <w:bottom w:val="single" w:color="000000" w:sz="4" w:space="0"/>
              <w:right w:val="single" w:color="000000" w:sz="4" w:space="0"/>
            </w:tcBorders>
            <w:shd w:val="clear" w:color="auto" w:fill="auto"/>
            <w:vAlign w:val="center"/>
          </w:tcPr>
          <w:p w14:paraId="2D9400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遂宁市安居区三家镇人民政府</w:t>
            </w:r>
          </w:p>
        </w:tc>
      </w:tr>
      <w:tr w14:paraId="3CED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409"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35C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24"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389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765" w:type="pct"/>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075A5E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342"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1B45C4E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1EE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708"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2ABAB">
            <w:pPr>
              <w:rPr>
                <w:rFonts w:hint="eastAsia" w:ascii="宋体" w:hAnsi="宋体" w:eastAsia="宋体" w:cs="宋体"/>
                <w:i w:val="0"/>
                <w:iCs w:val="0"/>
                <w:color w:val="000000"/>
                <w:sz w:val="18"/>
                <w:szCs w:val="18"/>
                <w:u w:val="none"/>
              </w:rPr>
            </w:pPr>
          </w:p>
        </w:tc>
        <w:tc>
          <w:tcPr>
            <w:tcW w:w="424"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F1893">
            <w:pPr>
              <w:rPr>
                <w:rFonts w:hint="eastAsia" w:ascii="宋体" w:hAnsi="宋体" w:eastAsia="宋体" w:cs="宋体"/>
                <w:i w:val="0"/>
                <w:iCs w:val="0"/>
                <w:color w:val="000000"/>
                <w:sz w:val="18"/>
                <w:szCs w:val="18"/>
                <w:u w:val="none"/>
              </w:rPr>
            </w:pPr>
          </w:p>
        </w:tc>
        <w:tc>
          <w:tcPr>
            <w:tcW w:w="1765" w:type="pct"/>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06C80F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在本年度内，确保计划生育手术并发症患者的门诊及住院治疗医药费补差资金及时足额到位。</w:t>
            </w:r>
          </w:p>
        </w:tc>
        <w:tc>
          <w:tcPr>
            <w:tcW w:w="2342" w:type="pct"/>
            <w:gridSpan w:val="54"/>
            <w:tcBorders>
              <w:top w:val="single" w:color="000000" w:sz="4" w:space="0"/>
              <w:left w:val="single" w:color="000000" w:sz="4" w:space="0"/>
              <w:bottom w:val="single" w:color="000000" w:sz="4" w:space="0"/>
              <w:right w:val="single" w:color="000000" w:sz="4" w:space="0"/>
            </w:tcBorders>
            <w:shd w:val="clear" w:color="auto" w:fill="auto"/>
            <w:vAlign w:val="center"/>
          </w:tcPr>
          <w:p w14:paraId="34CA037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计划生育手术并发症患者的门诊及住院治疗医药费补差资金及时足额到位。</w:t>
            </w:r>
          </w:p>
        </w:tc>
      </w:tr>
      <w:tr w14:paraId="3A41F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93"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D380B">
            <w:pP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388BB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108" w:type="pct"/>
            <w:gridSpan w:val="100"/>
            <w:tcBorders>
              <w:top w:val="single" w:color="000000" w:sz="4" w:space="0"/>
              <w:left w:val="single" w:color="000000" w:sz="4" w:space="0"/>
              <w:bottom w:val="single" w:color="000000" w:sz="4" w:space="0"/>
              <w:right w:val="single" w:color="000000" w:sz="4" w:space="0"/>
            </w:tcBorders>
            <w:shd w:val="clear" w:color="auto" w:fill="auto"/>
            <w:vAlign w:val="center"/>
          </w:tcPr>
          <w:p w14:paraId="308DA0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计划生育手术并发症患者的门诊及住院治疗医药费补差资金及时足额到位。</w:t>
            </w:r>
          </w:p>
        </w:tc>
      </w:tr>
      <w:tr w14:paraId="0EA03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409"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4A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D0B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666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BCBCA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767"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1E807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F01FD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54C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64E5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E1066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D3C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46"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81EB9">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A4C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79A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4EE1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67"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29768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996B8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0DE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2FE26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24" w:type="pct"/>
            <w:gridSpan w:val="1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AA3F8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A80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91"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DBA69">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CD92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E8FF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B85FC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767"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156D9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BA178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F8B2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E135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2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C0D8E">
            <w:pPr>
              <w:rPr>
                <w:rFonts w:hint="eastAsia" w:ascii="黑体" w:hAnsi="黑体" w:eastAsia="黑体" w:cs="黑体"/>
                <w:i/>
                <w:iCs/>
                <w:color w:val="000000"/>
                <w:sz w:val="18"/>
                <w:szCs w:val="18"/>
                <w:u w:val="none"/>
              </w:rPr>
            </w:pPr>
          </w:p>
        </w:tc>
      </w:tr>
      <w:tr w14:paraId="374F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07"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5DED0">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A95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5E10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C9C8B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67"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08A33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9F66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FB8A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1EE4E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2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CBB7B">
            <w:pPr>
              <w:rPr>
                <w:rFonts w:hint="eastAsia" w:ascii="黑体" w:hAnsi="黑体" w:eastAsia="黑体" w:cs="黑体"/>
                <w:i/>
                <w:iCs/>
                <w:color w:val="000000"/>
                <w:sz w:val="18"/>
                <w:szCs w:val="18"/>
                <w:u w:val="none"/>
              </w:rPr>
            </w:pPr>
          </w:p>
        </w:tc>
      </w:tr>
      <w:tr w14:paraId="184BC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61"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A4354">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9BF8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DAC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62B4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67"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41E6B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B559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508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20EF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2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CB7C4">
            <w:pPr>
              <w:rPr>
                <w:rFonts w:hint="eastAsia" w:ascii="黑体" w:hAnsi="黑体" w:eastAsia="黑体" w:cs="黑体"/>
                <w:i/>
                <w:iCs/>
                <w:color w:val="000000"/>
                <w:sz w:val="18"/>
                <w:szCs w:val="18"/>
                <w:u w:val="none"/>
              </w:rPr>
            </w:pPr>
          </w:p>
        </w:tc>
      </w:tr>
      <w:tr w14:paraId="16D94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7416B">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EAD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092E4F">
            <w:pPr>
              <w:jc w:val="center"/>
              <w:rPr>
                <w:rFonts w:hint="eastAsia" w:ascii="微软雅黑" w:hAnsi="微软雅黑" w:eastAsia="微软雅黑" w:cs="微软雅黑"/>
                <w:i/>
                <w:iCs/>
                <w:color w:val="000000"/>
                <w:sz w:val="16"/>
                <w:szCs w:val="16"/>
                <w:u w:val="none"/>
              </w:rPr>
            </w:pP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AB638E">
            <w:pPr>
              <w:jc w:val="center"/>
              <w:rPr>
                <w:rFonts w:hint="eastAsia" w:ascii="微软雅黑" w:hAnsi="微软雅黑" w:eastAsia="微软雅黑" w:cs="微软雅黑"/>
                <w:i/>
                <w:iCs/>
                <w:color w:val="000000"/>
                <w:sz w:val="16"/>
                <w:szCs w:val="16"/>
                <w:u w:val="none"/>
              </w:rPr>
            </w:pPr>
          </w:p>
        </w:tc>
        <w:tc>
          <w:tcPr>
            <w:tcW w:w="767" w:type="pct"/>
            <w:gridSpan w:val="27"/>
            <w:tcBorders>
              <w:top w:val="single" w:color="000000" w:sz="4" w:space="0"/>
              <w:left w:val="single" w:color="000000" w:sz="4" w:space="0"/>
              <w:bottom w:val="single" w:color="000000" w:sz="4" w:space="0"/>
              <w:right w:val="single" w:color="000000" w:sz="4" w:space="0"/>
            </w:tcBorders>
            <w:shd w:val="clear" w:color="auto" w:fill="auto"/>
            <w:vAlign w:val="center"/>
          </w:tcPr>
          <w:p w14:paraId="6BD0DF60">
            <w:pPr>
              <w:jc w:val="center"/>
              <w:rPr>
                <w:rFonts w:hint="eastAsia" w:ascii="微软雅黑" w:hAnsi="微软雅黑" w:eastAsia="微软雅黑" w:cs="微软雅黑"/>
                <w:i/>
                <w:iCs/>
                <w:color w:val="000000"/>
                <w:sz w:val="16"/>
                <w:szCs w:val="16"/>
                <w:u w:val="none"/>
              </w:rPr>
            </w:pP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76ABFFB">
            <w:pPr>
              <w:jc w:val="center"/>
              <w:rPr>
                <w:rFonts w:hint="eastAsia" w:ascii="微软雅黑" w:hAnsi="微软雅黑" w:eastAsia="微软雅黑" w:cs="微软雅黑"/>
                <w:i/>
                <w:iCs/>
                <w:color w:val="000000"/>
                <w:sz w:val="16"/>
                <w:szCs w:val="16"/>
                <w:u w:val="none"/>
              </w:rPr>
            </w:pP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A50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D03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224" w:type="pct"/>
            <w:gridSpan w:val="1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1AF1C">
            <w:pPr>
              <w:rPr>
                <w:rFonts w:hint="eastAsia" w:ascii="黑体" w:hAnsi="黑体" w:eastAsia="黑体" w:cs="黑体"/>
                <w:i/>
                <w:iCs/>
                <w:color w:val="000000"/>
                <w:sz w:val="18"/>
                <w:szCs w:val="18"/>
                <w:u w:val="none"/>
              </w:rPr>
            </w:pPr>
          </w:p>
        </w:tc>
      </w:tr>
      <w:tr w14:paraId="2F0EF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09"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25DA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F0A6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737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E53D0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AAC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F1D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98A6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128E05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8B3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45A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0412F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BA7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720"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46A34">
            <w:pPr>
              <w:jc w:val="center"/>
              <w:rPr>
                <w:rFonts w:hint="eastAsia" w:ascii="宋体" w:hAnsi="宋体" w:eastAsia="宋体" w:cs="宋体"/>
                <w:i w:val="0"/>
                <w:iCs w:val="0"/>
                <w:color w:val="000000"/>
                <w:sz w:val="18"/>
                <w:szCs w:val="18"/>
                <w:u w:val="none"/>
              </w:rPr>
            </w:pPr>
          </w:p>
        </w:tc>
        <w:tc>
          <w:tcPr>
            <w:tcW w:w="424"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A0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83F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3242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完成40个村（社区）计划生育后遗症资金发放</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AAD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8067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565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2B424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5765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DD34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DBCFC04">
            <w:pPr>
              <w:jc w:val="center"/>
              <w:rPr>
                <w:rFonts w:hint="eastAsia" w:ascii="宋体" w:hAnsi="宋体" w:eastAsia="宋体" w:cs="宋体"/>
                <w:i w:val="0"/>
                <w:iCs w:val="0"/>
                <w:color w:val="000000"/>
                <w:sz w:val="18"/>
                <w:szCs w:val="18"/>
                <w:u w:val="none"/>
              </w:rPr>
            </w:pPr>
          </w:p>
        </w:tc>
      </w:tr>
      <w:tr w14:paraId="5FB6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740"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59B0B">
            <w:pPr>
              <w:jc w:val="center"/>
              <w:rPr>
                <w:rFonts w:hint="eastAsia" w:ascii="宋体" w:hAnsi="宋体" w:eastAsia="宋体" w:cs="宋体"/>
                <w:i w:val="0"/>
                <w:iCs w:val="0"/>
                <w:color w:val="000000"/>
                <w:sz w:val="18"/>
                <w:szCs w:val="18"/>
                <w:u w:val="none"/>
              </w:rPr>
            </w:pPr>
          </w:p>
        </w:tc>
        <w:tc>
          <w:tcPr>
            <w:tcW w:w="424"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48E1D">
            <w:pPr>
              <w:jc w:val="center"/>
              <w:rPr>
                <w:rFonts w:hint="eastAsia" w:ascii="宋体" w:hAnsi="宋体" w:eastAsia="宋体" w:cs="宋体"/>
                <w:i w:val="0"/>
                <w:iCs w:val="0"/>
                <w:color w:val="000000"/>
                <w:sz w:val="18"/>
                <w:szCs w:val="18"/>
                <w:u w:val="none"/>
              </w:rPr>
            </w:pP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FDEE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F9DC5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实际执行与方案匹配的人数占总救助人数的比例，目标值达到 95% 以上</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084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5DC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D6F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E0D6A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EA7A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B9F43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9C57081">
            <w:pPr>
              <w:jc w:val="center"/>
              <w:rPr>
                <w:rFonts w:hint="eastAsia" w:ascii="宋体" w:hAnsi="宋体" w:eastAsia="宋体" w:cs="宋体"/>
                <w:i w:val="0"/>
                <w:iCs w:val="0"/>
                <w:color w:val="000000"/>
                <w:sz w:val="18"/>
                <w:szCs w:val="18"/>
                <w:u w:val="none"/>
              </w:rPr>
            </w:pPr>
          </w:p>
        </w:tc>
      </w:tr>
      <w:tr w14:paraId="2E138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1A4E2">
            <w:pPr>
              <w:jc w:val="center"/>
              <w:rPr>
                <w:rFonts w:hint="eastAsia" w:ascii="宋体" w:hAnsi="宋体" w:eastAsia="宋体" w:cs="宋体"/>
                <w:i w:val="0"/>
                <w:iCs w:val="0"/>
                <w:color w:val="000000"/>
                <w:sz w:val="18"/>
                <w:szCs w:val="18"/>
                <w:u w:val="none"/>
              </w:rPr>
            </w:pPr>
          </w:p>
        </w:tc>
        <w:tc>
          <w:tcPr>
            <w:tcW w:w="424"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DEAFE">
            <w:pPr>
              <w:jc w:val="center"/>
              <w:rPr>
                <w:rFonts w:hint="eastAsia" w:ascii="宋体" w:hAnsi="宋体" w:eastAsia="宋体" w:cs="宋体"/>
                <w:i w:val="0"/>
                <w:iCs w:val="0"/>
                <w:color w:val="000000"/>
                <w:sz w:val="18"/>
                <w:szCs w:val="18"/>
                <w:u w:val="none"/>
              </w:rPr>
            </w:pP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076C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86B2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1月31日-12月31日</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BA3B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5A7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FF16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3C19B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3A6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CF0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2D5F4D2">
            <w:pPr>
              <w:jc w:val="center"/>
              <w:rPr>
                <w:rFonts w:hint="eastAsia" w:ascii="宋体" w:hAnsi="宋体" w:eastAsia="宋体" w:cs="宋体"/>
                <w:i w:val="0"/>
                <w:iCs w:val="0"/>
                <w:color w:val="000000"/>
                <w:sz w:val="18"/>
                <w:szCs w:val="18"/>
                <w:u w:val="none"/>
              </w:rPr>
            </w:pPr>
          </w:p>
        </w:tc>
      </w:tr>
      <w:tr w14:paraId="62B63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700"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A4C10">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182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CA97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3F4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通过综合评估困难家庭在收入、心理健康、子女教育等多方面的改善情况</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B4B1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E69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2A5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B7AD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BEC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218B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80A0BE4">
            <w:pPr>
              <w:jc w:val="center"/>
              <w:rPr>
                <w:rFonts w:hint="eastAsia" w:ascii="宋体" w:hAnsi="宋体" w:eastAsia="宋体" w:cs="宋体"/>
                <w:i w:val="0"/>
                <w:iCs w:val="0"/>
                <w:color w:val="000000"/>
                <w:sz w:val="18"/>
                <w:szCs w:val="18"/>
                <w:u w:val="none"/>
              </w:rPr>
            </w:pPr>
          </w:p>
        </w:tc>
      </w:tr>
      <w:tr w14:paraId="2F4D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452"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31741">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2592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E45E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6DF2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服务对象满意率</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B11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57FC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303B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F892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9FBBA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FD5E0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4D4765F3">
            <w:pPr>
              <w:jc w:val="center"/>
              <w:rPr>
                <w:rFonts w:hint="eastAsia" w:ascii="宋体" w:hAnsi="宋体" w:eastAsia="宋体" w:cs="宋体"/>
                <w:i w:val="0"/>
                <w:iCs w:val="0"/>
                <w:color w:val="000000"/>
                <w:sz w:val="18"/>
                <w:szCs w:val="18"/>
                <w:u w:val="none"/>
              </w:rPr>
            </w:pPr>
          </w:p>
        </w:tc>
      </w:tr>
      <w:tr w14:paraId="3537D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339" w:hRule="atLeast"/>
          <w:jc w:val="center"/>
        </w:trPr>
        <w:tc>
          <w:tcPr>
            <w:tcW w:w="409"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3B132">
            <w:pPr>
              <w:jc w:val="center"/>
              <w:rPr>
                <w:rFonts w:hint="eastAsia" w:ascii="宋体" w:hAnsi="宋体" w:eastAsia="宋体" w:cs="宋体"/>
                <w:i w:val="0"/>
                <w:iCs w:val="0"/>
                <w:color w:val="000000"/>
                <w:sz w:val="18"/>
                <w:szCs w:val="18"/>
                <w:u w:val="none"/>
              </w:rPr>
            </w:pPr>
          </w:p>
        </w:tc>
        <w:tc>
          <w:tcPr>
            <w:tcW w:w="4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274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39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703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59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EC8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CB9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4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184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25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12A5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539"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73AE2F9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5E2E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F183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11BC863F">
            <w:pPr>
              <w:jc w:val="center"/>
              <w:rPr>
                <w:rFonts w:hint="eastAsia" w:ascii="微软雅黑" w:hAnsi="微软雅黑" w:eastAsia="微软雅黑" w:cs="微软雅黑"/>
                <w:i/>
                <w:iCs/>
                <w:color w:val="000000"/>
                <w:sz w:val="16"/>
                <w:szCs w:val="16"/>
                <w:u w:val="none"/>
              </w:rPr>
            </w:pPr>
          </w:p>
        </w:tc>
      </w:tr>
      <w:tr w14:paraId="7727C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3139" w:type="pct"/>
            <w:gridSpan w:val="78"/>
            <w:tcBorders>
              <w:top w:val="single" w:color="000000" w:sz="4" w:space="0"/>
              <w:left w:val="single" w:color="000000" w:sz="4" w:space="0"/>
              <w:bottom w:val="single" w:color="000000" w:sz="4" w:space="0"/>
              <w:right w:val="single" w:color="000000" w:sz="4" w:space="0"/>
            </w:tcBorders>
            <w:shd w:val="clear" w:color="auto" w:fill="auto"/>
            <w:vAlign w:val="center"/>
          </w:tcPr>
          <w:p w14:paraId="5EC3E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8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C7E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8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15ACCE3">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224" w:type="pct"/>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5184383B">
            <w:pPr>
              <w:rPr>
                <w:rFonts w:hint="eastAsia" w:ascii="宋体" w:hAnsi="宋体" w:eastAsia="宋体" w:cs="宋体"/>
                <w:i w:val="0"/>
                <w:iCs w:val="0"/>
                <w:color w:val="000000"/>
                <w:sz w:val="18"/>
                <w:szCs w:val="18"/>
                <w:u w:val="none"/>
              </w:rPr>
            </w:pPr>
          </w:p>
        </w:tc>
      </w:tr>
      <w:tr w14:paraId="56192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03" w:hRule="atLeast"/>
          <w:jc w:val="center"/>
        </w:trPr>
        <w:tc>
          <w:tcPr>
            <w:tcW w:w="4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329E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532" w:type="pct"/>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72040B1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计划生育后遗症资金的及时投入，切实保障了计划生育手术并发症患者等群体的基本权益。通过为并发症患者提供免费住院治疗及生活补助，解决了他们因手术后遗症面临的医疗负担和生活困难问题。</w:t>
            </w:r>
          </w:p>
        </w:tc>
      </w:tr>
      <w:tr w14:paraId="38171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572" w:hRule="atLeast"/>
          <w:jc w:val="center"/>
        </w:trPr>
        <w:tc>
          <w:tcPr>
            <w:tcW w:w="4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999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532" w:type="pct"/>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76E4AA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计划生育后遗症资金筹集难题，财政预算拨款延迟，社会资本参与度低，导致资金总量不足。这限制了对更多计划生育后遗症患者的救助，以及对相关项目的支持力度，无法充分满足日益增长的需求。在项目实施过程中，存在档案归档不及时、绩效目标与年度任务数不对应、项目经费预算与实际支出资金量不匹配等问题。</w:t>
            </w:r>
          </w:p>
        </w:tc>
      </w:tr>
      <w:tr w14:paraId="2B4D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633" w:hRule="atLeast"/>
          <w:jc w:val="center"/>
        </w:trPr>
        <w:tc>
          <w:tcPr>
            <w:tcW w:w="4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DA89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532" w:type="pct"/>
            <w:gridSpan w:val="109"/>
            <w:tcBorders>
              <w:top w:val="single" w:color="000000" w:sz="4" w:space="0"/>
              <w:left w:val="single" w:color="000000" w:sz="4" w:space="0"/>
              <w:bottom w:val="single" w:color="000000" w:sz="4" w:space="0"/>
              <w:right w:val="single" w:color="000000" w:sz="4" w:space="0"/>
            </w:tcBorders>
            <w:shd w:val="clear" w:color="auto" w:fill="auto"/>
            <w:vAlign w:val="center"/>
          </w:tcPr>
          <w:p w14:paraId="7BF350F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大财政支持力度，优化财政预算安排，确保资金按时足额到位。同时，出台相关政策，鼓励企业、社会组织等社会资本参与到计划生育后遗症帮扶项目中来，如设立专项公益基金等，缓解资金筹集压力。根据不同实际情况以及受助群体需求，制定科学合理的资金分配方案。在保障基本医疗救助资金的基础上，适当增加康复护理、心理疏导等方面的资金投入，实现对受助者的全面关怀。</w:t>
            </w:r>
          </w:p>
        </w:tc>
      </w:tr>
      <w:tr w14:paraId="4C24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86" w:hRule="atLeast"/>
          <w:jc w:val="center"/>
        </w:trPr>
        <w:tc>
          <w:tcPr>
            <w:tcW w:w="2091" w:type="pct"/>
            <w:gridSpan w:val="46"/>
            <w:tcBorders>
              <w:top w:val="single" w:color="000000" w:sz="4" w:space="0"/>
              <w:left w:val="single" w:color="000000" w:sz="4" w:space="0"/>
              <w:bottom w:val="single" w:color="000000" w:sz="4" w:space="0"/>
              <w:right w:val="single" w:color="000000" w:sz="4" w:space="0"/>
            </w:tcBorders>
            <w:shd w:val="clear" w:color="auto" w:fill="auto"/>
            <w:vAlign w:val="center"/>
          </w:tcPr>
          <w:p w14:paraId="593F0E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项目负责人：王晓燕</w:t>
            </w:r>
          </w:p>
        </w:tc>
        <w:tc>
          <w:tcPr>
            <w:tcW w:w="2851" w:type="pct"/>
            <w:gridSpan w:val="71"/>
            <w:tcBorders>
              <w:top w:val="single" w:color="000000" w:sz="4" w:space="0"/>
              <w:left w:val="single" w:color="000000" w:sz="4" w:space="0"/>
              <w:bottom w:val="single" w:color="000000" w:sz="4" w:space="0"/>
              <w:right w:val="single" w:color="000000" w:sz="4" w:space="0"/>
            </w:tcBorders>
            <w:shd w:val="clear" w:color="auto" w:fill="auto"/>
            <w:vAlign w:val="center"/>
          </w:tcPr>
          <w:p w14:paraId="79BD511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财务负责人：徐波</w:t>
            </w:r>
          </w:p>
        </w:tc>
      </w:tr>
    </w:tbl>
    <w:p w14:paraId="45BE8ECC">
      <w:pPr>
        <w:pStyle w:val="22"/>
        <w:rPr>
          <w:rFonts w:hint="eastAsia"/>
          <w:lang w:val="zh-CN" w:eastAsia="zh-CN"/>
        </w:rPr>
      </w:pPr>
    </w:p>
    <w:p w14:paraId="3140FE7A">
      <w:pPr>
        <w:rPr>
          <w:rFonts w:hint="eastAsia"/>
          <w:lang w:val="zh-CN" w:eastAsia="zh-CN"/>
        </w:rPr>
      </w:pPr>
    </w:p>
    <w:p w14:paraId="138879A1">
      <w:pPr>
        <w:widowControl w:val="0"/>
        <w:suppressAutoHyphens/>
        <w:bidi w:val="0"/>
        <w:spacing w:before="0" w:after="140" w:line="276" w:lineRule="auto"/>
        <w:jc w:val="both"/>
        <w:outlineLvl w:val="9"/>
        <w:rPr>
          <w:rFonts w:hint="eastAsia" w:ascii="黑体" w:hAnsi="黑体" w:eastAsia="黑体" w:cs="黑体"/>
          <w:color w:val="auto"/>
          <w:kern w:val="0"/>
          <w:sz w:val="32"/>
          <w:szCs w:val="32"/>
          <w:highlight w:val="none"/>
          <w:shd w:val="clear" w:color="auto" w:fill="FFFFFF"/>
          <w:lang w:val="zh-CN" w:eastAsia="zh-CN" w:bidi="ar-SA"/>
        </w:rPr>
      </w:pPr>
    </w:p>
    <w:bookmarkEnd w:id="156"/>
    <w:bookmarkEnd w:id="157"/>
    <w:bookmarkEnd w:id="158"/>
    <w:bookmarkEnd w:id="159"/>
    <w:p w14:paraId="53EE7783">
      <w:pPr>
        <w:rPr>
          <w:rFonts w:hint="eastAsia" w:ascii="黑体" w:hAnsi="黑体" w:eastAsia="黑体" w:cs="黑体"/>
          <w:color w:val="auto"/>
          <w:kern w:val="0"/>
          <w:sz w:val="32"/>
          <w:szCs w:val="32"/>
          <w:highlight w:val="none"/>
          <w:shd w:val="clear" w:color="auto" w:fill="FFFFFF"/>
          <w:lang w:val="zh-CN" w:eastAsia="zh-CN" w:bidi="ar-SA"/>
        </w:rPr>
        <w:sectPr>
          <w:headerReference r:id="rId5" w:type="default"/>
          <w:footerReference r:id="rId6" w:type="default"/>
          <w:type w:val="continuous"/>
          <w:pgSz w:w="11906" w:h="16838"/>
          <w:pgMar w:top="1440" w:right="1800" w:bottom="1440" w:left="1800" w:header="720" w:footer="720" w:gutter="0"/>
          <w:pgNumType w:fmt="decimal"/>
          <w:cols w:space="720" w:num="1"/>
          <w:docGrid w:type="lines" w:linePitch="312" w:charSpace="0"/>
        </w:sectPr>
      </w:pPr>
      <w:bookmarkStart w:id="160" w:name="_Toc32526"/>
      <w:bookmarkStart w:id="161" w:name="_Toc738"/>
      <w:bookmarkStart w:id="162" w:name="_Toc463"/>
      <w:bookmarkStart w:id="163" w:name="_Toc4830"/>
      <w:bookmarkStart w:id="164" w:name="_Toc826"/>
      <w:bookmarkStart w:id="165" w:name="_Toc1162"/>
      <w:bookmarkStart w:id="166" w:name="_Toc21639"/>
      <w:bookmarkStart w:id="167" w:name="_Toc29437"/>
    </w:p>
    <w:bookmarkEnd w:id="160"/>
    <w:bookmarkEnd w:id="161"/>
    <w:bookmarkEnd w:id="162"/>
    <w:bookmarkEnd w:id="163"/>
    <w:bookmarkEnd w:id="164"/>
    <w:bookmarkEnd w:id="165"/>
    <w:bookmarkEnd w:id="166"/>
    <w:bookmarkEnd w:id="167"/>
    <w:p w14:paraId="08C68AC2">
      <w:pPr>
        <w:suppressAutoHyphens/>
        <w:bidi w:val="0"/>
        <w:spacing w:line="700" w:lineRule="exact"/>
        <w:jc w:val="center"/>
        <w:rPr>
          <w:rFonts w:hint="eastAsia" w:ascii="黑体" w:hAnsi="黑体" w:eastAsia="黑体" w:cs="黑体"/>
          <w:sz w:val="44"/>
          <w:szCs w:val="44"/>
          <w:lang w:val="en-US" w:eastAsia="zh-CN"/>
        </w:rPr>
      </w:pPr>
    </w:p>
    <w:p w14:paraId="051065CF">
      <w:pPr>
        <w:suppressAutoHyphens/>
        <w:bidi w:val="0"/>
        <w:spacing w:line="700" w:lineRule="exact"/>
        <w:jc w:val="center"/>
        <w:rPr>
          <w:rFonts w:hint="eastAsia" w:ascii="黑体" w:hAnsi="黑体" w:eastAsia="黑体" w:cs="黑体"/>
          <w:sz w:val="44"/>
          <w:szCs w:val="44"/>
          <w:lang w:val="en-US" w:eastAsia="zh-CN"/>
        </w:rPr>
      </w:pPr>
    </w:p>
    <w:p w14:paraId="237BC594">
      <w:pPr>
        <w:suppressAutoHyphens/>
        <w:bidi w:val="0"/>
        <w:spacing w:line="700" w:lineRule="exact"/>
        <w:jc w:val="center"/>
        <w:rPr>
          <w:rFonts w:hint="eastAsia" w:ascii="黑体" w:hAnsi="黑体" w:eastAsia="黑体" w:cs="黑体"/>
          <w:sz w:val="44"/>
          <w:szCs w:val="44"/>
          <w:lang w:val="en-US" w:eastAsia="zh-CN"/>
        </w:rPr>
      </w:pPr>
    </w:p>
    <w:p w14:paraId="1B1622FD">
      <w:pPr>
        <w:suppressAutoHyphens/>
        <w:bidi w:val="0"/>
        <w:spacing w:line="700" w:lineRule="exact"/>
        <w:jc w:val="center"/>
        <w:rPr>
          <w:rFonts w:hint="eastAsia" w:ascii="黑体" w:hAnsi="黑体" w:eastAsia="黑体" w:cs="黑体"/>
          <w:sz w:val="44"/>
          <w:szCs w:val="44"/>
          <w:lang w:val="en-US" w:eastAsia="zh-CN"/>
        </w:rPr>
      </w:pPr>
    </w:p>
    <w:p w14:paraId="5074322B">
      <w:pPr>
        <w:suppressAutoHyphens/>
        <w:bidi w:val="0"/>
        <w:spacing w:line="700" w:lineRule="exact"/>
        <w:jc w:val="center"/>
        <w:rPr>
          <w:rFonts w:hint="eastAsia" w:ascii="黑体" w:hAnsi="黑体" w:eastAsia="黑体" w:cs="黑体"/>
          <w:sz w:val="44"/>
          <w:szCs w:val="44"/>
          <w:lang w:val="en-US" w:eastAsia="zh-CN"/>
        </w:rPr>
      </w:pPr>
    </w:p>
    <w:p w14:paraId="2B7B21A1">
      <w:pPr>
        <w:suppressAutoHyphens/>
        <w:bidi w:val="0"/>
        <w:spacing w:line="700" w:lineRule="exact"/>
        <w:jc w:val="center"/>
        <w:rPr>
          <w:rFonts w:hint="eastAsia" w:ascii="黑体" w:hAnsi="黑体" w:eastAsia="黑体" w:cs="黑体"/>
          <w:sz w:val="44"/>
          <w:szCs w:val="44"/>
          <w:lang w:val="en-US" w:eastAsia="zh-CN"/>
        </w:rPr>
      </w:pPr>
    </w:p>
    <w:p w14:paraId="2E139122">
      <w:pPr>
        <w:suppressAutoHyphens/>
        <w:bidi w:val="0"/>
        <w:spacing w:line="700" w:lineRule="exact"/>
        <w:jc w:val="center"/>
        <w:rPr>
          <w:rFonts w:hint="eastAsia" w:ascii="黑体" w:hAnsi="黑体" w:eastAsia="黑体" w:cs="黑体"/>
          <w:sz w:val="44"/>
          <w:szCs w:val="44"/>
          <w:lang w:val="en-US" w:eastAsia="zh-CN"/>
        </w:rPr>
      </w:pPr>
    </w:p>
    <w:p w14:paraId="60D9A077">
      <w:pPr>
        <w:suppressAutoHyphens/>
        <w:bidi w:val="0"/>
        <w:spacing w:line="700" w:lineRule="exact"/>
        <w:jc w:val="center"/>
        <w:rPr>
          <w:rFonts w:hint="eastAsia" w:ascii="黑体" w:hAnsi="黑体" w:eastAsia="黑体" w:cs="黑体"/>
          <w:sz w:val="44"/>
          <w:szCs w:val="44"/>
          <w:lang w:eastAsia="zh-CN"/>
        </w:rPr>
      </w:pPr>
      <w:r>
        <w:rPr>
          <w:rFonts w:hint="eastAsia" w:ascii="黑体" w:hAnsi="黑体" w:eastAsia="黑体" w:cs="黑体"/>
          <w:sz w:val="44"/>
          <w:szCs w:val="44"/>
          <w:lang w:val="en-US" w:eastAsia="zh-CN"/>
        </w:rPr>
        <w:t>专项</w:t>
      </w:r>
      <w:r>
        <w:rPr>
          <w:rFonts w:hint="eastAsia" w:ascii="黑体" w:hAnsi="黑体" w:eastAsia="黑体" w:cs="黑体"/>
          <w:sz w:val="44"/>
          <w:szCs w:val="44"/>
          <w:lang w:eastAsia="zh-CN"/>
        </w:rPr>
        <w:t>预算项目支出绩效自评报告</w:t>
      </w:r>
      <w:r>
        <w:commentReference w:id="0"/>
      </w:r>
    </w:p>
    <w:p w14:paraId="7EF6DFA3">
      <w:pPr>
        <w:suppressAutoHyphens/>
        <w:bidi w:val="0"/>
        <w:spacing w:line="700" w:lineRule="exact"/>
        <w:jc w:val="center"/>
        <w:rPr>
          <w:rFonts w:ascii="宋体" w:hAnsi="宋体" w:eastAsia="仿宋_GB2312"/>
          <w:b/>
          <w:sz w:val="32"/>
          <w:szCs w:val="21"/>
        </w:rPr>
      </w:pPr>
      <w:r>
        <w:rPr>
          <w:rFonts w:hint="eastAsia" w:ascii="Times New Roman" w:hAnsi="宋体" w:eastAsia="仿宋_GB2312"/>
          <w:sz w:val="32"/>
        </w:rPr>
        <w:t>（</w:t>
      </w:r>
      <w:r>
        <w:rPr>
          <w:rFonts w:hint="eastAsia" w:ascii="Times New Roman" w:hAnsi="Times New Roman" w:eastAsia="仿宋_GB2312"/>
          <w:sz w:val="32"/>
          <w:lang w:eastAsia="zh-CN"/>
        </w:rPr>
        <w:t>综合文化站（中心）免费开放资金</w:t>
      </w:r>
      <w:r>
        <w:rPr>
          <w:rFonts w:hint="eastAsia" w:ascii="Times New Roman" w:hAnsi="Times New Roman" w:eastAsia="仿宋_GB2312"/>
          <w:sz w:val="32"/>
        </w:rPr>
        <w:t>项目）</w:t>
      </w:r>
      <w:r>
        <w:commentReference w:id="1"/>
      </w:r>
    </w:p>
    <w:p w14:paraId="6730EA57">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firstLineChars="200"/>
        <w:textAlignment w:val="auto"/>
        <w:rPr>
          <w:rFonts w:ascii="黑体" w:hAnsi="宋体" w:eastAsia="黑体" w:cs="Times New Roman"/>
          <w:sz w:val="32"/>
          <w:szCs w:val="32"/>
          <w:highlight w:val="none"/>
          <w:lang w:val="zh-CN"/>
        </w:rPr>
      </w:pPr>
      <w:r>
        <w:rPr>
          <w:rFonts w:hint="eastAsia" w:ascii="黑体" w:hAnsi="宋体" w:eastAsia="黑体" w:cs="Times New Roman"/>
          <w:sz w:val="32"/>
          <w:szCs w:val="32"/>
          <w:highlight w:val="none"/>
        </w:rPr>
        <w:t>一、</w:t>
      </w:r>
      <w:r>
        <w:rPr>
          <w:rFonts w:hint="eastAsia" w:ascii="黑体" w:hAnsi="宋体" w:eastAsia="黑体" w:cs="Times New Roman"/>
          <w:sz w:val="32"/>
          <w:szCs w:val="32"/>
          <w:highlight w:val="none"/>
          <w:lang w:val="zh-CN"/>
        </w:rPr>
        <w:t>项目概况</w:t>
      </w:r>
    </w:p>
    <w:p w14:paraId="4DF140E8">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（一）设立背景及基本情况。</w:t>
      </w:r>
      <w:r>
        <w:rPr>
          <w:rFonts w:hint="default" w:ascii="仿宋_GB2312" w:hAnsi="仿宋_GB2312" w:eastAsia="仿宋_GB2312" w:cs="仿宋_GB2312"/>
          <w:color w:val="auto"/>
          <w:kern w:val="0"/>
          <w:sz w:val="32"/>
          <w:szCs w:val="32"/>
          <w:highlight w:val="none"/>
          <w:u w:val="none"/>
          <w:shd w:val="clear" w:color="auto" w:fill="FFFFFF"/>
          <w:lang w:val="en-US" w:eastAsia="zh-CN"/>
        </w:rPr>
        <w:t>随着社会经济的发展，人民群众对精神文化生活的需求日益增长。综合文化站作为基层公共文化服务的重要阵地，在丰富群众文化生活、提升文化素养等方面发挥着关键作用。为推动综合文化站持续、稳定、高质量地向公众免费开放，充分发挥其公共文化服务职能，设立综合文化站免费开放资金专项资金。本项目依据国家关于推进公共文化服务体系建设的相关政策法规立项，资金申报严格遵循地方财政部门制定的申报流程与标准。​</w:t>
      </w:r>
    </w:p>
    <w:p w14:paraId="0CE7D4C0">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项目主要内容包括支持综合文化站日常运营，如场地维护、设备购置与更新；组织开展各类文化活动，涵盖文艺演出、艺术培训、科普宣传等；保障文化站工作人员的部分工作经费等。主管部门负责统筹规划区域内综合文化站的建设与发展，制定免费开放工作的政策标准，监督项目资金使用情况，指导文化站开展各类文化服务活动，确保公共文化服务工作的有效落实。</w:t>
      </w:r>
    </w:p>
    <w:p w14:paraId="22B8323F">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为规范项目资金管理，主管部门制定了《综合文化站免费开放资金管理办法》，明确了资金的使用范围、申请审批流程、监督检查机制等内容。项目实施目的在于全面提升综合文化站的服务能力和水平，扩大公共文化服务的覆盖面，满足基层群众多样化、多层次的文化需求，推动基层文化事业繁荣发展。​</w:t>
      </w:r>
    </w:p>
    <w:p w14:paraId="5CD220F5">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项目主要工作任务包括保障综合文化站场地全年免费开放，组织开展丰富多彩、形式多样的文化活动，加强文化站设施设备建设与维护，提升工作人员业务能力等。项目支持方向聚焦于基层公共文化服务，重点支持文化活动开展、设施设备改善、人员队伍建设等领域。</w:t>
      </w:r>
    </w:p>
    <w:p w14:paraId="36768243">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本年度项目预算安排总额为 </w:t>
      </w:r>
      <w:r>
        <w:rPr>
          <w:rFonts w:hint="eastAsia" w:ascii="仿宋_GB2312" w:hAnsi="仿宋_GB2312" w:eastAsia="仿宋_GB2312" w:cs="仿宋_GB2312"/>
          <w:color w:val="auto"/>
          <w:kern w:val="0"/>
          <w:sz w:val="32"/>
          <w:szCs w:val="32"/>
          <w:highlight w:val="none"/>
          <w:u w:val="none"/>
          <w:shd w:val="clear" w:color="auto" w:fill="FFFFFF"/>
          <w:lang w:val="en-US" w:eastAsia="zh-CN"/>
        </w:rPr>
        <w:t>6.48</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万元。项目资金分配遵循公平、公正、公开的原则，充分考虑各综合文化站的服务人口数量、区域文化需求差异、原有设施基础等因素。根据各文化站申报的项目计划和实际需求，结合财政资金状况，合理分配资金。</w:t>
      </w:r>
    </w:p>
    <w:p w14:paraId="08247B6D">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default" w:ascii="仿宋_GB2312" w:hAnsi="仿宋_GB2312" w:eastAsia="仿宋_GB2312" w:cs="仿宋_GB2312"/>
          <w:color w:val="auto"/>
          <w:kern w:val="0"/>
          <w:sz w:val="32"/>
          <w:szCs w:val="32"/>
          <w:highlight w:val="none"/>
          <w:u w:val="none"/>
          <w:shd w:val="clear" w:color="auto" w:fill="FFFFFF"/>
          <w:lang w:val="en-US" w:eastAsia="zh-CN"/>
        </w:rPr>
        <w:t>项目整体绩效目标为全面实现综合文化站免费开放，提升基层公共文化服务质量，增强群众文化获得感。​</w:t>
      </w:r>
    </w:p>
    <w:p w14:paraId="180BB4B6">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具体绩效目标包括：文化站场地年开放时长</w:t>
      </w:r>
      <w:r>
        <w:rPr>
          <w:rFonts w:hint="eastAsia" w:ascii="仿宋_GB2312" w:hAnsi="仿宋_GB2312" w:eastAsia="仿宋_GB2312" w:cs="仿宋_GB2312"/>
          <w:color w:val="auto"/>
          <w:kern w:val="0"/>
          <w:sz w:val="32"/>
          <w:szCs w:val="32"/>
          <w:highlight w:val="none"/>
          <w:u w:val="none"/>
          <w:shd w:val="clear" w:color="auto" w:fill="FFFFFF"/>
          <w:lang w:val="en-US" w:eastAsia="zh-CN"/>
        </w:rPr>
        <w:t>每天</w:t>
      </w:r>
      <w:r>
        <w:rPr>
          <w:rFonts w:hint="default" w:ascii="仿宋_GB2312" w:hAnsi="仿宋_GB2312" w:eastAsia="仿宋_GB2312" w:cs="仿宋_GB2312"/>
          <w:color w:val="auto"/>
          <w:kern w:val="0"/>
          <w:sz w:val="32"/>
          <w:szCs w:val="32"/>
          <w:highlight w:val="none"/>
          <w:u w:val="none"/>
          <w:shd w:val="clear" w:color="auto" w:fill="FFFFFF"/>
          <w:lang w:val="en-US" w:eastAsia="zh-CN"/>
        </w:rPr>
        <w:t>不低于</w:t>
      </w:r>
      <w:r>
        <w:rPr>
          <w:rFonts w:hint="eastAsia" w:ascii="仿宋_GB2312" w:hAnsi="仿宋_GB2312" w:eastAsia="仿宋_GB2312" w:cs="仿宋_GB2312"/>
          <w:color w:val="auto"/>
          <w:kern w:val="0"/>
          <w:sz w:val="32"/>
          <w:szCs w:val="32"/>
          <w:highlight w:val="none"/>
          <w:u w:val="none"/>
          <w:shd w:val="clear" w:color="auto" w:fill="FFFFFF"/>
          <w:lang w:val="en-US" w:eastAsia="zh-CN"/>
        </w:rPr>
        <w:t>6</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小时；全年组织各类文化活动不少于 </w:t>
      </w: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场次，参与群众不少于 </w:t>
      </w:r>
      <w:r>
        <w:rPr>
          <w:rFonts w:hint="eastAsia" w:ascii="仿宋_GB2312" w:hAnsi="仿宋_GB2312" w:eastAsia="仿宋_GB2312" w:cs="仿宋_GB2312"/>
          <w:color w:val="auto"/>
          <w:kern w:val="0"/>
          <w:sz w:val="32"/>
          <w:szCs w:val="32"/>
          <w:highlight w:val="none"/>
          <w:u w:val="none"/>
          <w:shd w:val="clear" w:color="auto" w:fill="FFFFFF"/>
          <w:lang w:val="en-US" w:eastAsia="zh-CN"/>
        </w:rPr>
        <w:t>200</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人次；购置图书、设备等物资数量达到</w:t>
      </w:r>
      <w:r>
        <w:rPr>
          <w:rFonts w:hint="eastAsia" w:ascii="仿宋_GB2312" w:hAnsi="仿宋_GB2312" w:eastAsia="仿宋_GB2312" w:cs="仿宋_GB2312"/>
          <w:color w:val="auto"/>
          <w:kern w:val="0"/>
          <w:sz w:val="32"/>
          <w:szCs w:val="32"/>
          <w:highlight w:val="none"/>
          <w:u w:val="none"/>
          <w:shd w:val="clear" w:color="auto" w:fill="FFFFFF"/>
          <w:lang w:val="en-US" w:eastAsia="zh-CN"/>
        </w:rPr>
        <w:t>80</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件；工作人员培训覆盖率达到 </w:t>
      </w:r>
      <w:r>
        <w:rPr>
          <w:rFonts w:hint="eastAsia" w:ascii="仿宋_GB2312" w:hAnsi="仿宋_GB2312" w:eastAsia="仿宋_GB2312" w:cs="仿宋_GB2312"/>
          <w:color w:val="auto"/>
          <w:kern w:val="0"/>
          <w:sz w:val="32"/>
          <w:szCs w:val="32"/>
          <w:highlight w:val="none"/>
          <w:u w:val="none"/>
          <w:shd w:val="clear" w:color="auto" w:fill="FFFFFF"/>
          <w:lang w:val="en-US" w:eastAsia="zh-CN"/>
        </w:rPr>
        <w:t>50</w:t>
      </w:r>
      <w:r>
        <w:rPr>
          <w:rFonts w:hint="default" w:ascii="仿宋_GB2312" w:hAnsi="仿宋_GB2312" w:eastAsia="仿宋_GB2312" w:cs="仿宋_GB2312"/>
          <w:color w:val="auto"/>
          <w:kern w:val="0"/>
          <w:sz w:val="32"/>
          <w:szCs w:val="32"/>
          <w:highlight w:val="none"/>
          <w:u w:val="none"/>
          <w:shd w:val="clear" w:color="auto" w:fill="FFFFFF"/>
          <w:lang w:val="en-US" w:eastAsia="zh-CN"/>
        </w:rPr>
        <w:t>% 等。​</w:t>
      </w:r>
    </w:p>
    <w:p w14:paraId="4DBE73C1">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zh-CN"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为确保绩效目标的实现，项目实施单位定期开展自评工作，对照绩效目标对项目执行情况进行检查和分析，及时发现问题并采取整改措施。</w:t>
      </w:r>
    </w:p>
    <w:p w14:paraId="2B70BE78">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0B880035">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rPr>
      </w:pPr>
      <w:r>
        <w:rPr>
          <w:rFonts w:hint="eastAsia" w:ascii="楷体_GB2312" w:hAnsi="宋体" w:eastAsia="楷体_GB2312" w:cs="Times New Roman"/>
          <w:b/>
          <w:color w:val="auto"/>
          <w:sz w:val="32"/>
          <w:szCs w:val="32"/>
          <w:highlight w:val="none"/>
          <w:u w:val="none"/>
          <w:lang w:val="zh-CN"/>
        </w:rPr>
        <w:t>（一）评价目的。</w:t>
      </w:r>
      <w:r>
        <w:rPr>
          <w:rFonts w:hint="eastAsia" w:ascii="Times New Roman" w:hAnsi="Times New Roman" w:eastAsia="仿宋_GB2312" w:cs="Times New Roman"/>
          <w:sz w:val="32"/>
          <w:szCs w:val="32"/>
        </w:rPr>
        <w:t>通过项目绩效自评，全面了解综合文化站免费开放资金专项资金的使用情况和项目实施效果，总结项目实施过程中的经验和不足，为优化资金分配、完善政策措施、提高项目管理水平提供依据，确保资金使用效益最大化，推动综合文化站更好地发挥公共文化服务职能。</w:t>
      </w:r>
    </w:p>
    <w:p w14:paraId="5B51DFB1">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Times New Roman" w:hAnsi="Times New Roman"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rPr>
        <w:t>（二）预设问题及评价重点。</w:t>
      </w:r>
      <w:r>
        <w:rPr>
          <w:rFonts w:hint="eastAsia" w:ascii="Times New Roman" w:hAnsi="Times New Roman" w:eastAsia="仿宋_GB2312" w:cs="Times New Roman"/>
          <w:sz w:val="32"/>
          <w:szCs w:val="32"/>
        </w:rPr>
        <w:t>预设问题包括资金使用是否合规、项目实施是否达到预期目标、文化活动开展效果是否良好、群众满意度是否达标等。评价重点围绕资金支出使用全过程及其实施效果，依据绩效评价指标体系，对项目决策、项目管理、项目实施和项目结果等方面进行综合评价和判断，重点关注资金使用的安全性、有效性和项目产出的质量与社会效益。</w:t>
      </w:r>
    </w:p>
    <w:p w14:paraId="184A0E0B">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Times New Roman" w:hAnsi="Times New Roman" w:eastAsia="仿宋_GB2312" w:cs="Times New Roman"/>
          <w:sz w:val="32"/>
          <w:szCs w:val="32"/>
          <w:lang w:val="zh-CN" w:eastAsia="zh-CN"/>
        </w:rPr>
      </w:pPr>
      <w:r>
        <w:rPr>
          <w:rFonts w:hint="eastAsia" w:ascii="楷体_GB2312" w:hAnsi="宋体" w:eastAsia="楷体_GB2312" w:cs="Times New Roman"/>
          <w:b/>
          <w:color w:val="auto"/>
          <w:sz w:val="32"/>
          <w:szCs w:val="32"/>
          <w:highlight w:val="none"/>
          <w:u w:val="none"/>
          <w:lang w:val="zh-CN"/>
        </w:rPr>
        <w:t>（三）评价选点。</w:t>
      </w:r>
      <w:r>
        <w:rPr>
          <w:rFonts w:hint="eastAsia" w:ascii="Times New Roman" w:hAnsi="Times New Roman" w:eastAsia="仿宋_GB2312" w:cs="Times New Roman"/>
          <w:sz w:val="32"/>
          <w:szCs w:val="32"/>
        </w:rPr>
        <w:t xml:space="preserve">本次项目绩效自评采用抽样方式，选取了 </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个具有代表性的综合文化站作为评价点位</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确保评价结果能够全面反映项目实施情况。</w:t>
      </w:r>
    </w:p>
    <w:p w14:paraId="53FD1800">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rPr>
      </w:pPr>
      <w:r>
        <w:rPr>
          <w:rFonts w:hint="eastAsia" w:ascii="楷体_GB2312" w:hAnsi="宋体" w:eastAsia="楷体_GB2312" w:cs="Times New Roman"/>
          <w:b/>
          <w:color w:val="auto"/>
          <w:sz w:val="32"/>
          <w:szCs w:val="32"/>
          <w:highlight w:val="none"/>
          <w:u w:val="none"/>
          <w:lang w:val="zh-CN"/>
        </w:rPr>
        <w:t>（四）评价方法。</w:t>
      </w:r>
      <w:r>
        <w:rPr>
          <w:rFonts w:hint="eastAsia" w:ascii="Times New Roman" w:hAnsi="Times New Roman" w:eastAsia="仿宋_GB2312" w:cs="Times New Roman"/>
          <w:sz w:val="32"/>
          <w:szCs w:val="32"/>
        </w:rPr>
        <w:t xml:space="preserve">本次评价综合运用多种方法。采用成本效益分析法，对项目投入与产出进行对比分析，评估资金使用的经济效益；运用案卷研究法，查阅项目申报材料、资金拨付凭证、活动记录等资料，检查项目实施的规范性；通过单位自评法，要求各文化站对照绩效目标进行自我评估；采用实地勘察法，到文化站现场查看场地开放、设施设备使用情况；运用问卷调查法，随机抽取 </w:t>
      </w:r>
      <w:r>
        <w:rPr>
          <w:rFonts w:hint="eastAsia"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rPr>
        <w:t xml:space="preserve"> 名参与文化活动的群众，了解他们对文化站服务的满意度；开展座谈调研法，组织文化站工作人员、社区居民代表等进行座谈，听取意见和建议。</w:t>
      </w:r>
    </w:p>
    <w:p w14:paraId="367CF10C">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rPr>
        <w:t>（五）评价组织。</w:t>
      </w:r>
      <w:r>
        <w:rPr>
          <w:rFonts w:hint="eastAsia" w:ascii="Times New Roman" w:hAnsi="Times New Roman" w:eastAsia="仿宋_GB2312" w:cs="Times New Roman"/>
          <w:sz w:val="32"/>
          <w:szCs w:val="32"/>
        </w:rPr>
        <w:t>评价组由主管部门相关负责人、财务</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、文化领域</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组成。主管部门负责人负责统筹协调评价工作，把握评价方向；财务</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负责审核资金使用情况，检查财务合规性；文化领域</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对文化活动开展、服务质量等进行专业评估。评价组人员分工明确，密切配合，共同完成绩效评价工作。</w:t>
      </w:r>
    </w:p>
    <w:p w14:paraId="01B25AEE">
      <w:pPr>
        <w:keepNext w:val="0"/>
        <w:keepLines w:val="0"/>
        <w:pageBreakBefore w:val="0"/>
        <w:suppressAutoHyphens/>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s="Times New Roman"/>
          <w:color w:val="auto"/>
          <w:sz w:val="32"/>
          <w:szCs w:val="32"/>
          <w:highlight w:val="none"/>
          <w:u w:val="none"/>
          <w:lang w:val="zh-CN"/>
        </w:rPr>
      </w:pPr>
      <w:r>
        <w:rPr>
          <w:rFonts w:hint="eastAsia" w:ascii="黑体" w:hAnsi="宋体" w:eastAsia="黑体" w:cs="Times New Roman"/>
          <w:color w:val="auto"/>
          <w:sz w:val="32"/>
          <w:szCs w:val="32"/>
          <w:highlight w:val="none"/>
          <w:u w:val="none"/>
        </w:rPr>
        <w:t>三、</w:t>
      </w:r>
      <w:r>
        <w:rPr>
          <w:rFonts w:hint="eastAsia" w:ascii="黑体" w:hAnsi="宋体" w:eastAsia="黑体" w:cs="Times New Roman"/>
          <w:color w:val="auto"/>
          <w:sz w:val="32"/>
          <w:szCs w:val="32"/>
          <w:highlight w:val="none"/>
          <w:u w:val="none"/>
          <w:lang w:eastAsia="zh-CN"/>
        </w:rPr>
        <w:t>绩效分析</w:t>
      </w:r>
      <w:r>
        <w:rPr>
          <w:rFonts w:hint="eastAsia" w:ascii="仿宋_GB2312" w:hAnsi="宋体" w:eastAsia="仿宋_GB2312" w:cs="Times New Roman"/>
          <w:color w:val="auto"/>
          <w:sz w:val="32"/>
          <w:szCs w:val="32"/>
          <w:highlight w:val="none"/>
          <w:u w:val="none"/>
          <w:lang w:val="zh-CN"/>
        </w:rPr>
        <w:tab/>
      </w:r>
    </w:p>
    <w:p w14:paraId="61FC7FF2">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根据</w:t>
      </w:r>
      <w:r>
        <w:rPr>
          <w:rFonts w:hint="eastAsia" w:ascii="Times New Roman" w:hAnsi="Times New Roman" w:eastAsia="仿宋_GB2312" w:cs="Times New Roman"/>
          <w:sz w:val="32"/>
          <w:szCs w:val="32"/>
          <w:lang w:val="zh-CN" w:eastAsia="zh-CN"/>
        </w:rPr>
        <w:t>项目</w:t>
      </w:r>
      <w:r>
        <w:rPr>
          <w:rFonts w:hint="default" w:ascii="Times New Roman" w:hAnsi="Times New Roman" w:eastAsia="仿宋_GB2312" w:cs="Times New Roman"/>
          <w:sz w:val="32"/>
          <w:szCs w:val="32"/>
          <w:lang w:val="zh-CN" w:eastAsia="zh-CN"/>
        </w:rPr>
        <w:t>预算绩效评价指标体系“</w:t>
      </w:r>
      <w:r>
        <w:rPr>
          <w:rFonts w:hint="eastAsia" w:ascii="Times New Roman" w:hAnsi="Times New Roman" w:eastAsia="仿宋_GB2312" w:cs="Times New Roman"/>
          <w:sz w:val="32"/>
          <w:szCs w:val="32"/>
          <w:lang w:val="zh-CN" w:eastAsia="zh-CN"/>
        </w:rPr>
        <w:t>通用指标</w:t>
      </w:r>
      <w:r>
        <w:rPr>
          <w:rFonts w:hint="default" w:ascii="Times New Roman" w:hAnsi="Times New Roman" w:eastAsia="仿宋_GB2312" w:cs="Times New Roman"/>
          <w:sz w:val="32"/>
          <w:szCs w:val="32"/>
          <w:lang w:val="zh-CN" w:eastAsia="zh-CN"/>
        </w:rPr>
        <w:t>”</w:t>
      </w:r>
      <w:r>
        <w:rPr>
          <w:rFonts w:hint="eastAsia" w:ascii="Times New Roman" w:hAnsi="Times New Roman" w:eastAsia="仿宋_GB2312" w:cs="Times New Roman"/>
          <w:sz w:val="32"/>
          <w:szCs w:val="32"/>
          <w:lang w:val="zh-CN" w:eastAsia="zh-CN"/>
        </w:rPr>
        <w:t>“专用指标”“个性指标”</w:t>
      </w:r>
      <w:r>
        <w:rPr>
          <w:rFonts w:hint="default" w:ascii="Times New Roman" w:hAnsi="Times New Roman" w:eastAsia="仿宋_GB2312" w:cs="Times New Roman"/>
          <w:sz w:val="32"/>
          <w:szCs w:val="32"/>
          <w:lang w:val="zh-CN" w:eastAsia="zh-CN"/>
        </w:rPr>
        <w:t>涉及</w:t>
      </w:r>
      <w:r>
        <w:rPr>
          <w:rFonts w:hint="eastAsia" w:ascii="Times New Roman" w:hAnsi="Times New Roman" w:eastAsia="仿宋_GB2312" w:cs="Times New Roman"/>
          <w:sz w:val="32"/>
          <w:szCs w:val="32"/>
          <w:lang w:val="zh-CN" w:eastAsia="zh-CN"/>
        </w:rPr>
        <w:t>二、三级</w:t>
      </w:r>
      <w:r>
        <w:rPr>
          <w:rFonts w:hint="default" w:ascii="Times New Roman" w:hAnsi="Times New Roman" w:eastAsia="仿宋_GB2312" w:cs="Times New Roman"/>
          <w:sz w:val="32"/>
          <w:szCs w:val="32"/>
          <w:lang w:val="zh-CN" w:eastAsia="zh-CN"/>
        </w:rPr>
        <w:t>指标进行</w:t>
      </w:r>
      <w:r>
        <w:rPr>
          <w:rFonts w:hint="eastAsia" w:ascii="Times New Roman" w:hAnsi="Times New Roman" w:eastAsia="仿宋_GB2312" w:cs="Times New Roman"/>
          <w:sz w:val="32"/>
          <w:szCs w:val="32"/>
          <w:lang w:val="zh-CN" w:eastAsia="zh-CN"/>
        </w:rPr>
        <w:t>逐项</w:t>
      </w:r>
      <w:r>
        <w:rPr>
          <w:rFonts w:hint="default" w:ascii="Times New Roman" w:hAnsi="Times New Roman" w:eastAsia="仿宋_GB2312" w:cs="Times New Roman"/>
          <w:sz w:val="32"/>
          <w:szCs w:val="32"/>
          <w:lang w:val="zh-CN" w:eastAsia="zh-CN"/>
        </w:rPr>
        <w:t>绩效分析</w:t>
      </w:r>
      <w:r>
        <w:rPr>
          <w:rFonts w:hint="eastAsia" w:ascii="Times New Roman" w:hAnsi="Times New Roman" w:eastAsia="仿宋_GB2312" w:cs="Times New Roman"/>
          <w:sz w:val="32"/>
          <w:szCs w:val="32"/>
          <w:lang w:val="zh-CN" w:eastAsia="zh-CN"/>
        </w:rPr>
        <w:t>并评分</w:t>
      </w:r>
      <w:r>
        <w:rPr>
          <w:rFonts w:hint="eastAsia" w:ascii="Times New Roman" w:hAnsi="Times New Roman" w:eastAsia="仿宋_GB2312" w:cs="Times New Roman"/>
          <w:sz w:val="32"/>
          <w:szCs w:val="32"/>
          <w:lang w:val="en-US" w:eastAsia="zh-CN"/>
        </w:rPr>
        <w:t>。</w:t>
      </w:r>
    </w:p>
    <w:p w14:paraId="1D1450A4">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9188EC8">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楷体_GB2312" w:hAnsi="楷体_GB2312" w:eastAsia="楷体_GB2312" w:cs="楷体_GB2312"/>
          <w:color w:val="auto"/>
          <w:sz w:val="32"/>
          <w:szCs w:val="32"/>
          <w:lang w:val="en-US" w:eastAsia="zh-CN"/>
        </w:rPr>
        <w:t>项</w:t>
      </w:r>
      <w:r>
        <w:rPr>
          <w:rFonts w:hint="eastAsia" w:ascii="Times New Roman" w:hAnsi="Times New Roman" w:eastAsia="仿宋_GB2312" w:cs="Times New Roman"/>
          <w:sz w:val="32"/>
          <w:szCs w:val="32"/>
          <w:lang w:val="zh-CN" w:eastAsia="zh-CN"/>
        </w:rPr>
        <w:t>目立项依据充分，符合国家和地方公共文化服务政策要求。决策程序规范，经过了科学的规划论证，资金投向明确合理，重点支持基层文化服务薄弱环节。在项目规划过程中，充分征求了基层文化站和群众的意见，确保项目符合实际需求。</w:t>
      </w:r>
    </w:p>
    <w:p w14:paraId="603EFB37">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 xml:space="preserve">2. </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sz w:val="32"/>
          <w:szCs w:val="32"/>
          <w:lang w:val="zh-CN" w:eastAsia="zh-CN"/>
        </w:rPr>
        <w:t>制定了完善的资金管理办法和项目管理制度，明确了各环节的责任和流程。资金分配管理公开透明，严格按照规定程序进行。建立了绩效监管机制，定期对项目实施情况进行检查和评估。</w:t>
      </w:r>
    </w:p>
    <w:p w14:paraId="264BA148">
      <w:pPr>
        <w:keepNext w:val="0"/>
        <w:keepLines w:val="0"/>
        <w:pageBreakBefore w:val="0"/>
        <w:widowControl w:val="0"/>
        <w:suppressAutoHyphens/>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3. 项目实施。</w:t>
      </w:r>
      <w:r>
        <w:rPr>
          <w:rFonts w:hint="eastAsia" w:ascii="Times New Roman" w:hAnsi="Times New Roman" w:eastAsia="仿宋_GB2312" w:cs="Times New Roman"/>
          <w:sz w:val="32"/>
          <w:szCs w:val="32"/>
          <w:lang w:val="zh-CN" w:eastAsia="zh-CN"/>
        </w:rPr>
        <w:t xml:space="preserve">预算执行率达到 </w:t>
      </w:r>
      <w:r>
        <w:rPr>
          <w:rFonts w:hint="eastAsia" w:ascii="Times New Roman" w:hAnsi="Times New Roman" w:eastAsia="仿宋_GB2312" w:cs="Times New Roman"/>
          <w:sz w:val="32"/>
          <w:szCs w:val="32"/>
          <w:lang w:val="en-US" w:eastAsia="zh-CN"/>
        </w:rPr>
        <w:t>100</w:t>
      </w:r>
      <w:r>
        <w:rPr>
          <w:rFonts w:hint="eastAsia" w:ascii="Times New Roman" w:hAnsi="Times New Roman" w:eastAsia="仿宋_GB2312" w:cs="Times New Roman"/>
          <w:sz w:val="32"/>
          <w:szCs w:val="32"/>
          <w:lang w:val="zh-CN" w:eastAsia="zh-CN"/>
        </w:rPr>
        <w:t>%，资金使用符合规</w:t>
      </w:r>
    </w:p>
    <w:p w14:paraId="6EA7666B">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textAlignment w:val="auto"/>
        <w:outlineLvl w:val="9"/>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定用途，未出现挪用、截留等违规现象。在资金使用过程中，严格按照财务制度进行审批和报销，确保资金使用安全。</w:t>
      </w:r>
    </w:p>
    <w:p w14:paraId="3BDDF1B0">
      <w:pPr>
        <w:keepNext w:val="0"/>
        <w:keepLines w:val="0"/>
        <w:pageBreakBefore w:val="0"/>
        <w:widowControl w:val="0"/>
        <w:numPr>
          <w:ilvl w:val="0"/>
          <w:numId w:val="6"/>
        </w:numPr>
        <w:suppressAutoHyphens/>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项目结果。</w:t>
      </w:r>
      <w:r>
        <w:rPr>
          <w:rFonts w:hint="eastAsia" w:ascii="Times New Roman" w:hAnsi="Times New Roman" w:eastAsia="仿宋_GB2312" w:cs="Times New Roman"/>
          <w:sz w:val="32"/>
          <w:szCs w:val="32"/>
          <w:lang w:val="zh-CN" w:eastAsia="zh-CN"/>
        </w:rPr>
        <w:t>各项绩效目标基本完成，文化站场地开放</w:t>
      </w:r>
    </w:p>
    <w:p w14:paraId="4232B6D5">
      <w:pPr>
        <w:keepNext w:val="0"/>
        <w:keepLines w:val="0"/>
        <w:pageBreakBefore w:val="0"/>
        <w:widowControl w:val="0"/>
        <w:numPr>
          <w:ilvl w:val="0"/>
          <w:numId w:val="0"/>
        </w:numPr>
        <w:suppressAutoHyphens/>
        <w:kinsoku/>
        <w:wordWrap/>
        <w:overflowPunct/>
        <w:topLinePunct w:val="0"/>
        <w:autoSpaceDE/>
        <w:autoSpaceDN/>
        <w:bidi w:val="0"/>
        <w:adjustRightInd/>
        <w:snapToGrid/>
        <w:spacing w:line="590" w:lineRule="exact"/>
        <w:ind w:right="0" w:rightChars="0"/>
        <w:textAlignment w:val="auto"/>
        <w:outlineLvl w:val="9"/>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时长、文化活动开展场次、参与人数等均达到或超过预期目标。</w:t>
      </w:r>
    </w:p>
    <w:p w14:paraId="445D5463">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专项资金资金支持对象选择所属指标进行绩效分析。支持对象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43086BD6">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1. 产业发展。</w:t>
      </w:r>
      <w:r>
        <w:rPr>
          <w:rFonts w:hint="eastAsia" w:ascii="Times New Roman" w:hAnsi="Times New Roman" w:eastAsia="仿宋_GB2312" w:cs="Times New Roman"/>
          <w:color w:val="auto"/>
          <w:sz w:val="32"/>
          <w:szCs w:val="32"/>
          <w:lang w:val="zh-CN" w:eastAsia="zh-CN"/>
        </w:rPr>
        <w:t>综合文化站免费开放资金项目与国家推动文化产业发展、提升公共文化服务水平的政策导向高度契合，资金主要用于文化活动开展、设备购置等，能够为文化产业发展营造良好的基层文化环境，符合文化产业发展需求。通过资金支持开展的各类文化活动，如艺术培训、非遗传承活动等，在一定程度上挖掘和培育了地方文化特色资源，为文化产业的潜在发展提供了要素积累。从成本效益角度来看，资金投入主要用于保障公共文化服务，短期内难以产生直接的经济收益。然而，通过文化活动的开展，提升了区域文化氛围和居民文化素养，长远来看有利于吸引文化投资，促进文化消费，具有一定的潜在经济效益。</w:t>
      </w:r>
    </w:p>
    <w:p w14:paraId="3A15ED0A">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 xml:space="preserve">2. </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val="zh-CN" w:eastAsia="zh-CN"/>
        </w:rPr>
        <w:t>资金精准投向综合文化站免费开放服务，覆盖了各年龄段、不同职业和收入层次的基层群众，无论是老年群体参与的戏曲表演活动，还是青少年参与的科普讲座，都切实满足了不同群体的文化需求，服务对象精准度较高。</w:t>
      </w:r>
    </w:p>
    <w:p w14:paraId="317E9E9E">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3. 基础设施</w:t>
      </w:r>
      <w:r>
        <w:rPr>
          <w:rFonts w:hint="eastAsia"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zh-CN" w:eastAsia="zh-CN"/>
        </w:rPr>
        <w:t>已建成的文化站基础设施，如音响设备、图书阅览室等，均通过了相关验收。在功能实现上，基本满足了日常文化活动开展和群众文化需求。</w:t>
      </w:r>
    </w:p>
    <w:p w14:paraId="3F1AFBF4">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 xml:space="preserve">4. </w:t>
      </w:r>
      <w:r>
        <w:rPr>
          <w:rFonts w:hint="eastAsia" w:ascii="楷体_GB2312" w:hAnsi="楷体_GB2312" w:eastAsia="楷体_GB2312" w:cs="楷体_GB2312"/>
          <w:color w:val="auto"/>
          <w:sz w:val="32"/>
          <w:szCs w:val="32"/>
          <w:lang w:val="zh-CN" w:eastAsia="zh-CN"/>
        </w:rPr>
        <w:t>行政运转。</w:t>
      </w:r>
      <w:r>
        <w:rPr>
          <w:rFonts w:hint="eastAsia" w:ascii="Times New Roman" w:hAnsi="Times New Roman" w:eastAsia="仿宋_GB2312" w:cs="Times New Roman"/>
          <w:color w:val="auto"/>
          <w:sz w:val="32"/>
          <w:szCs w:val="32"/>
          <w:lang w:val="zh-CN" w:eastAsia="zh-CN"/>
        </w:rPr>
        <w:t>资金使用严格遵循《综合文化站免费开放资金管理办法》，全部用于文化站日常运营、活动开展、设备购置等规定用途，未出现违规挪用至其他行政事务或非文化服务领域的情况。在资金申请、审批、拨付和使用过程中，严格按照既定程序执行，项目申报材料齐全，审批流程规范，资金拨付手续完备。。</w:t>
      </w:r>
    </w:p>
    <w:p w14:paraId="2E68298C">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 xml:space="preserve">设定 “特色文化品牌活动数量” 为个性指标，目标为打造 </w:t>
      </w:r>
      <w:r>
        <w:rPr>
          <w:rFonts w:hint="eastAsia"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zh-CN" w:eastAsia="zh-CN"/>
        </w:rPr>
        <w:t xml:space="preserve"> 个特色文化品牌活动，实际完成 </w:t>
      </w:r>
      <w:r>
        <w:rPr>
          <w:rFonts w:hint="eastAsia"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zh-CN" w:eastAsia="zh-CN"/>
        </w:rPr>
        <w:t xml:space="preserve">个，完成率为 </w:t>
      </w:r>
      <w:r>
        <w:rPr>
          <w:rFonts w:hint="eastAsia" w:ascii="Times New Roman" w:hAnsi="Times New Roman" w:eastAsia="仿宋_GB2312" w:cs="Times New Roman"/>
          <w:color w:val="auto"/>
          <w:sz w:val="32"/>
          <w:szCs w:val="32"/>
          <w:lang w:val="en-US" w:eastAsia="zh-CN"/>
        </w:rPr>
        <w:t>100</w:t>
      </w:r>
      <w:r>
        <w:rPr>
          <w:rFonts w:hint="eastAsia" w:ascii="Times New Roman" w:hAnsi="Times New Roman" w:eastAsia="仿宋_GB2312" w:cs="Times New Roman"/>
          <w:color w:val="auto"/>
          <w:sz w:val="32"/>
          <w:szCs w:val="32"/>
          <w:lang w:val="zh-CN" w:eastAsia="zh-CN"/>
        </w:rPr>
        <w:t>%。</w:t>
      </w:r>
    </w:p>
    <w:p w14:paraId="37E5A0E5">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en-US" w:bidi="ar-SA"/>
        </w:rPr>
      </w:pPr>
      <w:r>
        <w:rPr>
          <w:rFonts w:hint="eastAsia" w:ascii="黑体" w:hAnsi="宋体" w:eastAsia="黑体" w:cs="Times New Roman"/>
          <w:color w:val="auto"/>
          <w:kern w:val="0"/>
          <w:position w:val="3"/>
          <w:sz w:val="32"/>
          <w:szCs w:val="32"/>
          <w:highlight w:val="none"/>
          <w:u w:val="none"/>
          <w:lang w:val="en-US" w:eastAsia="zh-CN" w:bidi="ar-SA"/>
        </w:rPr>
        <w:t>四</w:t>
      </w:r>
      <w:r>
        <w:rPr>
          <w:rFonts w:hint="eastAsia" w:ascii="黑体" w:hAnsi="宋体" w:eastAsia="黑体" w:cs="Times New Roman"/>
          <w:color w:val="auto"/>
          <w:kern w:val="0"/>
          <w:position w:val="3"/>
          <w:sz w:val="32"/>
          <w:szCs w:val="32"/>
          <w:highlight w:val="none"/>
          <w:u w:val="none"/>
          <w:lang w:val="en-US" w:eastAsia="en-US" w:bidi="ar-SA"/>
        </w:rPr>
        <w:t>、评价结论</w:t>
      </w:r>
    </w:p>
    <w:p w14:paraId="36FB91D3">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en-US" w:eastAsia="zh-CN" w:bidi="ar-SA"/>
        </w:rPr>
      </w:pPr>
      <w:r>
        <w:rPr>
          <w:rFonts w:hint="eastAsia" w:ascii="Times New Roman" w:hAnsi="Times New Roman" w:eastAsia="仿宋_GB2312" w:cs="Times New Roman"/>
          <w:color w:val="auto"/>
          <w:kern w:val="2"/>
          <w:position w:val="0"/>
          <w:sz w:val="32"/>
          <w:szCs w:val="32"/>
          <w:lang w:val="zh-CN" w:eastAsia="zh-CN" w:bidi="ar-SA"/>
        </w:rPr>
        <w:t>经综合评价，本项目实施取得了一定成效，基本实现了预期目标。综合文化站免费开放资金专项资金的投入，有效保障了文化站的正常运营和各类文化活动的开展，提升了基层公共文化服务水平，丰富了群众精神文化生活。但在资金使用效率、区域均衡发展、服务质量提升等方面仍存在不足，需要进一步改进和完善。</w:t>
      </w:r>
    </w:p>
    <w:p w14:paraId="6AE29E35">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黑体" w:hAnsi="宋体" w:eastAsia="黑体" w:cs="Times New Roman"/>
          <w:color w:val="auto"/>
          <w:kern w:val="0"/>
          <w:position w:val="3"/>
          <w:sz w:val="32"/>
          <w:szCs w:val="32"/>
          <w:highlight w:val="none"/>
          <w:u w:val="none"/>
          <w:lang w:val="en-US" w:eastAsia="zh-CN" w:bidi="ar-SA"/>
        </w:rPr>
        <w:t>五、存在主要问题</w:t>
      </w:r>
    </w:p>
    <w:p w14:paraId="17171E53">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en-US" w:eastAsia="zh-CN" w:bidi="ar-SA"/>
        </w:rPr>
      </w:pPr>
      <w:r>
        <w:rPr>
          <w:rFonts w:hint="eastAsia" w:ascii="Times New Roman" w:hAnsi="Times New Roman" w:eastAsia="仿宋_GB2312" w:cs="Times New Roman"/>
          <w:color w:val="auto"/>
          <w:kern w:val="2"/>
          <w:position w:val="0"/>
          <w:sz w:val="32"/>
          <w:szCs w:val="32"/>
          <w:lang w:val="zh-CN" w:eastAsia="zh-CN" w:bidi="ar-SA"/>
        </w:rPr>
        <w:t>部分文化站存在资金闲置、使用进度缓慢问题，资金拨付审批流程繁琐，影响项目实施进度和资金使用效益。文化活动内容和形式创新不足，不能充分满足群众多样化文化需求；文化站设施设备维护不到位，影响服务质量。</w:t>
      </w:r>
    </w:p>
    <w:p w14:paraId="33243E8F">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B5BA073">
      <w:pPr>
        <w:keepNext w:val="0"/>
        <w:keepLines w:val="0"/>
        <w:pageBreakBefore w:val="0"/>
        <w:widowControl w:val="0"/>
        <w:suppressAutoHyphens/>
        <w:kinsoku/>
        <w:wordWrap/>
        <w:overflowPunct/>
        <w:topLinePunct w:val="0"/>
        <w:autoSpaceDE/>
        <w:autoSpaceDN/>
        <w:bidi w:val="0"/>
        <w:adjustRightInd/>
        <w:snapToGrid/>
        <w:ind w:firstLine="640" w:firstLineChars="200"/>
        <w:textAlignment w:val="auto"/>
        <w:rPr>
          <w:rFonts w:ascii="Times New Roman" w:hAnsi="Times New Roman" w:eastAsia="仿宋_GB2312"/>
          <w:b/>
          <w:bCs/>
          <w:sz w:val="32"/>
        </w:rPr>
      </w:pPr>
      <w:r>
        <w:rPr>
          <w:rFonts w:hint="eastAsia" w:ascii="Times New Roman" w:hAnsi="Times New Roman" w:eastAsia="仿宋_GB2312" w:cs="Times New Roman"/>
          <w:color w:val="auto"/>
          <w:kern w:val="2"/>
          <w:position w:val="0"/>
          <w:sz w:val="32"/>
          <w:szCs w:val="32"/>
          <w:lang w:val="zh-CN" w:eastAsia="zh-CN" w:bidi="ar-SA"/>
        </w:rPr>
        <w:t>简化资金拨付审批流程，建立资金使用进度跟踪机制，对资金使用缓慢的文化站进行重点督促和指导，提高资金使用效率。鼓励文化站结合地方特色和群众需求，创新文化活动内容和形式，打造更多群众喜闻乐见的文化品牌活动；建立健全设施设备维护管理制度，落实维护责任，保障设施设备正常运行。</w:t>
      </w:r>
    </w:p>
    <w:tbl>
      <w:tblPr>
        <w:tblStyle w:val="18"/>
        <w:tblW w:w="1115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2"/>
        <w:gridCol w:w="852"/>
        <w:gridCol w:w="525"/>
        <w:gridCol w:w="899"/>
        <w:gridCol w:w="696"/>
        <w:gridCol w:w="3880"/>
        <w:gridCol w:w="10131"/>
        <w:gridCol w:w="659"/>
        <w:gridCol w:w="525"/>
      </w:tblGrid>
      <w:tr w14:paraId="5EDF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gridSpan w:val="9"/>
            <w:tcBorders>
              <w:top w:val="nil"/>
              <w:left w:val="nil"/>
              <w:bottom w:val="nil"/>
              <w:right w:val="nil"/>
            </w:tcBorders>
            <w:shd w:val="clear" w:color="auto" w:fill="auto"/>
            <w:vAlign w:val="center"/>
          </w:tcPr>
          <w:p w14:paraId="29AA58CA">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8"/>
                <w:szCs w:val="48"/>
                <w:u w:val="none"/>
              </w:rPr>
            </w:pPr>
            <w:r>
              <w:rPr>
                <w:rFonts w:hint="eastAsia" w:ascii="黑体" w:hAnsi="黑体" w:eastAsia="黑体" w:cs="黑体"/>
                <w:i w:val="0"/>
                <w:iCs w:val="0"/>
                <w:color w:val="000000"/>
                <w:kern w:val="0"/>
                <w:sz w:val="48"/>
                <w:szCs w:val="48"/>
                <w:u w:val="none"/>
                <w:lang w:val="en-US" w:eastAsia="zh-CN" w:bidi="ar"/>
              </w:rPr>
              <w:t>专项资金绩效自评打分表</w:t>
            </w:r>
          </w:p>
        </w:tc>
      </w:tr>
      <w:tr w14:paraId="162D4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5"/>
            <w:tcBorders>
              <w:top w:val="single" w:color="000000" w:sz="4" w:space="0"/>
              <w:left w:val="single" w:color="000000" w:sz="4" w:space="0"/>
              <w:bottom w:val="nil"/>
              <w:right w:val="nil"/>
            </w:tcBorders>
            <w:shd w:val="clear" w:color="auto" w:fill="auto"/>
            <w:vAlign w:val="center"/>
          </w:tcPr>
          <w:p w14:paraId="17439988">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绩效评价指标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5FBE4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指标解释</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611C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评分说明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AE7F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自评得分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2EEB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0A32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EE0F3">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一级指标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2EF7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47384">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4A530">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分值</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BAEAA">
            <w:pPr>
              <w:jc w:val="center"/>
              <w:rPr>
                <w:rFonts w:hint="eastAsia" w:ascii="黑体" w:hAnsi="宋体" w:eastAsia="黑体" w:cs="黑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F6452">
            <w:pPr>
              <w:jc w:val="center"/>
              <w:rPr>
                <w:rFonts w:hint="eastAsia" w:ascii="黑体" w:hAnsi="宋体" w:eastAsia="黑体" w:cs="黑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9DF59">
            <w:pPr>
              <w:jc w:val="center"/>
              <w:rPr>
                <w:rFonts w:hint="eastAsia" w:ascii="黑体" w:hAnsi="宋体" w:eastAsia="黑体" w:cs="黑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F5FF1">
            <w:pPr>
              <w:jc w:val="center"/>
              <w:rPr>
                <w:rFonts w:hint="eastAsia" w:ascii="黑体" w:hAnsi="宋体" w:eastAsia="黑体" w:cs="黑体"/>
                <w:i w:val="0"/>
                <w:iCs w:val="0"/>
                <w:color w:val="000000"/>
                <w:sz w:val="24"/>
                <w:szCs w:val="24"/>
                <w:u w:val="none"/>
              </w:rPr>
            </w:pPr>
          </w:p>
        </w:tc>
      </w:tr>
      <w:tr w14:paraId="62A23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790E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通用指标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（54分）</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FE08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项目决策</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（18分）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1C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决策程序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BB0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203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项目决策程序是否严密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BED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项目设立、调整延续等方面是否符合资金管理基本规范和决策程序要求，发现一处不符合的扣3分，扣完为止。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73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D14C8">
            <w:pPr>
              <w:jc w:val="center"/>
              <w:rPr>
                <w:rFonts w:hint="eastAsia" w:ascii="宋体" w:hAnsi="宋体" w:eastAsia="宋体" w:cs="宋体"/>
                <w:i w:val="0"/>
                <w:iCs w:val="0"/>
                <w:color w:val="000000"/>
                <w:sz w:val="24"/>
                <w:szCs w:val="24"/>
                <w:u w:val="none"/>
              </w:rPr>
            </w:pPr>
          </w:p>
        </w:tc>
      </w:tr>
      <w:tr w14:paraId="32430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FBF7A">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88915">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B0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规划论证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CA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1730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项目规划论证是否符合中省要求，项目绩效目标设置是否科学合理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5C8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1.项目规划符合</w:t>
            </w:r>
            <w:r>
              <w:rPr>
                <w:rFonts w:hint="eastAsia" w:ascii="宋体" w:hAnsi="宋体" w:cs="宋体"/>
                <w:i w:val="0"/>
                <w:iCs w:val="0"/>
                <w:color w:val="000000"/>
                <w:kern w:val="0"/>
                <w:sz w:val="24"/>
                <w:szCs w:val="24"/>
                <w:u w:val="none"/>
                <w:lang w:val="en-US" w:eastAsia="zh-CN" w:bidi="ar"/>
              </w:rPr>
              <w:t>中央、省委</w:t>
            </w:r>
            <w:r>
              <w:rPr>
                <w:rFonts w:hint="eastAsia" w:ascii="宋体" w:hAnsi="宋体" w:eastAsia="宋体" w:cs="宋体"/>
                <w:i w:val="0"/>
                <w:iCs w:val="0"/>
                <w:color w:val="000000"/>
                <w:kern w:val="0"/>
                <w:sz w:val="24"/>
                <w:szCs w:val="24"/>
                <w:u w:val="none"/>
                <w:lang w:val="en-US" w:eastAsia="zh-CN" w:bidi="ar"/>
              </w:rPr>
              <w:t>、市有关决策部署安排，得1分；充分评估论证项目立项必要性、前瞻性、合理性和可行性，得3分。否则该项不得分。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项目总体绩效目标设置合理性的偏离度≤15%，得2分；30%≥偏离度＞15%，得1分；偏离度＞30%，不得分。绩效目标是否科学合理、规范完整、量化细化、预算匹配。总体绩效目标设置合理性为绩效目标设置合理的数量与绩效目标总数的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E5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2CFE6">
            <w:pPr>
              <w:jc w:val="center"/>
              <w:rPr>
                <w:rFonts w:hint="eastAsia" w:ascii="宋体" w:hAnsi="宋体" w:eastAsia="宋体" w:cs="宋体"/>
                <w:i w:val="0"/>
                <w:iCs w:val="0"/>
                <w:color w:val="000000"/>
                <w:sz w:val="24"/>
                <w:szCs w:val="24"/>
                <w:u w:val="none"/>
              </w:rPr>
            </w:pPr>
          </w:p>
        </w:tc>
      </w:tr>
      <w:tr w14:paraId="6FA5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16DC9">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3C911">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F6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资金投向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E2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092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项目资金是否与项目总体规划、相关行业事业发展相匹配，是否聚焦重大任务、重点领域、重点环节和重点项目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175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属于政府支持范围，且符合财政事权支出责任划分规定，得1分；资金投向与项目总体规划、相关行业事业发展相匹配，得1分；聚焦重大任务、重点领域、重点环节和重点项目，体现“集中财力办大事”原则，避免“撒胡椒面”，得3分；未与其他同类项目或部门内部相关项目交叉重复，得1分。否则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DB9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771C0">
            <w:pPr>
              <w:jc w:val="center"/>
              <w:rPr>
                <w:rFonts w:hint="eastAsia" w:ascii="宋体" w:hAnsi="宋体" w:eastAsia="宋体" w:cs="宋体"/>
                <w:i w:val="0"/>
                <w:iCs w:val="0"/>
                <w:color w:val="000000"/>
                <w:sz w:val="24"/>
                <w:szCs w:val="24"/>
                <w:u w:val="none"/>
              </w:rPr>
            </w:pPr>
          </w:p>
        </w:tc>
      </w:tr>
      <w:tr w14:paraId="48FE3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15AA">
            <w:pPr>
              <w:jc w:val="center"/>
              <w:rPr>
                <w:rFonts w:hint="eastAsia" w:ascii="宋体" w:hAnsi="宋体" w:eastAsia="宋体" w:cs="宋体"/>
                <w:b/>
                <w:bCs/>
                <w:i w:val="0"/>
                <w:iCs w:val="0"/>
                <w:color w:val="000000"/>
                <w:sz w:val="24"/>
                <w:szCs w:val="24"/>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A79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（18分）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2C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制度办法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E53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4D8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项目制度办法是否体系健全、要素完备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BCC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资金管理办法等管理制度体系健全完善，不存在管理制度缺失、管理办法过期情况，得2分。否则该项不得分。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95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913FF">
            <w:pPr>
              <w:jc w:val="center"/>
              <w:rPr>
                <w:rFonts w:hint="eastAsia" w:ascii="宋体" w:hAnsi="宋体" w:eastAsia="宋体" w:cs="宋体"/>
                <w:i w:val="0"/>
                <w:iCs w:val="0"/>
                <w:color w:val="000000"/>
                <w:sz w:val="24"/>
                <w:szCs w:val="24"/>
                <w:u w:val="none"/>
              </w:rPr>
            </w:pPr>
          </w:p>
        </w:tc>
      </w:tr>
      <w:tr w14:paraId="591F4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88AEE">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A54F5">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BF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分配管理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FF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0190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项目资金分配因素选取、权重设置、区域分布，项目管理、审批是否符合管理要求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2CE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因素分配法：资金分配因素选取充分考虑相关行业事业发展实际和发展需求，得2分；资金分配因素的权重设置有效突出项目实施重点，得2分；资金区域分布结果公平合理，得2分。项目分配法：建设项目储备库，得2分；实行入库项目动态管理、推动资金竞争性分配，得2分；明确项目申报审核程序，按规定程序履行项目审批，得2分。其他分配法：资金分配依据充分合理，得6分。否则该项不得分。如涉及多种分配法，按相应资金量的权重进行测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2.资金分配是否严格按管理办法执行，决策程序是否符合管理要求，及时高效，得4分。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1F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BB55E">
            <w:pPr>
              <w:jc w:val="center"/>
              <w:rPr>
                <w:rFonts w:hint="eastAsia" w:ascii="宋体" w:hAnsi="宋体" w:eastAsia="宋体" w:cs="宋体"/>
                <w:i w:val="0"/>
                <w:iCs w:val="0"/>
                <w:color w:val="000000"/>
                <w:sz w:val="24"/>
                <w:szCs w:val="24"/>
                <w:u w:val="none"/>
              </w:rPr>
            </w:pPr>
          </w:p>
        </w:tc>
      </w:tr>
      <w:tr w14:paraId="17EC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0DA31">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970DE">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16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绩效监管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94B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778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管资金、项目、政策是否管绩效，项目绩效监管是否按要求开展，对下指导是否有力有效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745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项目是否按</w:t>
            </w:r>
            <w:r>
              <w:rPr>
                <w:rFonts w:hint="eastAsia" w:ascii="宋体" w:hAnsi="宋体" w:cs="宋体"/>
                <w:i w:val="0"/>
                <w:iCs w:val="0"/>
                <w:color w:val="000000"/>
                <w:kern w:val="0"/>
                <w:sz w:val="24"/>
                <w:szCs w:val="24"/>
                <w:u w:val="none"/>
                <w:lang w:val="en-US" w:eastAsia="zh-CN" w:bidi="ar"/>
              </w:rPr>
              <w:t>中央、省委</w:t>
            </w:r>
            <w:r>
              <w:rPr>
                <w:rFonts w:hint="eastAsia" w:ascii="宋体" w:hAnsi="宋体" w:eastAsia="宋体" w:cs="宋体"/>
                <w:i w:val="0"/>
                <w:iCs w:val="0"/>
                <w:color w:val="000000"/>
                <w:kern w:val="0"/>
                <w:sz w:val="24"/>
                <w:szCs w:val="24"/>
                <w:u w:val="none"/>
                <w:lang w:val="en-US" w:eastAsia="zh-CN" w:bidi="ar"/>
              </w:rPr>
              <w:t>、市要求全面完成绩效目标（含事前评估）、绩效评价、以前年度问题整改等预算绩效管理工作，得4分；市级部门对县级主管部门预算绩效管理要求是否到位，是否存在对县级资金分配和项目管理指导力度不够的情况，是否对县级开展评价、监督、指导等工作，得2分。否则该项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14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69CB9A">
            <w:pPr>
              <w:jc w:val="center"/>
              <w:rPr>
                <w:rFonts w:hint="eastAsia" w:ascii="宋体" w:hAnsi="宋体" w:eastAsia="宋体" w:cs="宋体"/>
                <w:i w:val="0"/>
                <w:iCs w:val="0"/>
                <w:color w:val="000000"/>
                <w:sz w:val="24"/>
                <w:szCs w:val="24"/>
                <w:u w:val="none"/>
              </w:rPr>
            </w:pPr>
          </w:p>
        </w:tc>
      </w:tr>
      <w:tr w14:paraId="41491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A270C">
            <w:pPr>
              <w:jc w:val="center"/>
              <w:rPr>
                <w:rFonts w:hint="eastAsia" w:ascii="宋体" w:hAnsi="宋体" w:eastAsia="宋体" w:cs="宋体"/>
                <w:b/>
                <w:bCs/>
                <w:i w:val="0"/>
                <w:iCs w:val="0"/>
                <w:color w:val="000000"/>
                <w:sz w:val="24"/>
                <w:szCs w:val="24"/>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BEC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项目实施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A6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C1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F2B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项目资金财政拨付、单位执行和地方配套到位情况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B13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该项指标得分=财政资金拨付率×100%×2+单位资金使用率×100%×2+地方资金到位率×100%×2。如部分计算内容不涉及，可同比例分配至本指标其他计算内容。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5E4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82F80">
            <w:pPr>
              <w:jc w:val="center"/>
              <w:rPr>
                <w:rFonts w:hint="eastAsia" w:ascii="宋体" w:hAnsi="宋体" w:eastAsia="宋体" w:cs="宋体"/>
                <w:i w:val="0"/>
                <w:iCs w:val="0"/>
                <w:color w:val="000000"/>
                <w:sz w:val="24"/>
                <w:szCs w:val="24"/>
                <w:u w:val="none"/>
              </w:rPr>
            </w:pPr>
          </w:p>
        </w:tc>
      </w:tr>
      <w:tr w14:paraId="57619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736CD">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24D0A">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E8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6E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7EA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资金使用拨付、项目实施是否符合规定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7A6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使用、拨付是否符合国家财经法规、财务管理制度及有关专项资金管理制度办法规定和审批程序，是否存在超范围、超标准、超进度使用专项资金，是否存在资金损失浪费、长期沉淀、截留、挤占、挪用、虚列支出等情况，项目实施是否遵守相关法律法规，发现一处不合规的扣1分，扣完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B9F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4754A2">
            <w:pPr>
              <w:jc w:val="center"/>
              <w:rPr>
                <w:rFonts w:hint="eastAsia" w:ascii="宋体" w:hAnsi="宋体" w:eastAsia="宋体" w:cs="宋体"/>
                <w:i w:val="0"/>
                <w:iCs w:val="0"/>
                <w:color w:val="000000"/>
                <w:sz w:val="24"/>
                <w:szCs w:val="24"/>
                <w:u w:val="none"/>
              </w:rPr>
            </w:pPr>
          </w:p>
        </w:tc>
      </w:tr>
      <w:tr w14:paraId="54CD6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8FC8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通用指标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（54分）</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0D75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项目结果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96D0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F3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846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项目是否完成预期目标，实施结果是否与绩效目标相匹配，反映目标实现程度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8F7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该项指标得分=实际完成目标任务量÷首次批复立项设定绩效目标任务总量×100%×6。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CDB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27088">
            <w:pPr>
              <w:jc w:val="center"/>
              <w:rPr>
                <w:rFonts w:hint="eastAsia" w:ascii="宋体" w:hAnsi="宋体" w:eastAsia="宋体" w:cs="宋体"/>
                <w:i w:val="0"/>
                <w:iCs w:val="0"/>
                <w:color w:val="000000"/>
                <w:sz w:val="24"/>
                <w:szCs w:val="24"/>
                <w:u w:val="none"/>
              </w:rPr>
            </w:pPr>
          </w:p>
        </w:tc>
      </w:tr>
      <w:tr w14:paraId="0D868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0FD01">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1C897">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C8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完成时效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DF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ABC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项目实际完成时间与计划完成时间的比较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F62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该项指标得分=（1-(实际完成时间-计划完成时间)÷计划完成时间）×100%×3。一般以天数、月数或年数为单位。当实际完成时间-计划完成时间小于等于0时得满分；实际完成时间超过计划完成时间1倍及以上得0分。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88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C9D45">
            <w:pPr>
              <w:jc w:val="center"/>
              <w:rPr>
                <w:rFonts w:hint="eastAsia" w:ascii="宋体" w:hAnsi="宋体" w:eastAsia="宋体" w:cs="宋体"/>
                <w:i w:val="0"/>
                <w:iCs w:val="0"/>
                <w:color w:val="000000"/>
                <w:sz w:val="24"/>
                <w:szCs w:val="24"/>
                <w:u w:val="none"/>
              </w:rPr>
            </w:pPr>
          </w:p>
        </w:tc>
      </w:tr>
      <w:tr w14:paraId="205E6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033F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576F6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产业发展</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C1B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A19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5C0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项目实施是否与市委市政府支持重点、产业支持政策符合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4509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该项指标得分=项目实施符合市委市政府支持重点、六大优势产业做大做强、传统产业转型升级、产业支持政策的点位数量÷所有选点总数×100%×10。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C6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224A4">
            <w:pPr>
              <w:jc w:val="center"/>
              <w:rPr>
                <w:rFonts w:hint="eastAsia" w:ascii="宋体" w:hAnsi="宋体" w:eastAsia="宋体" w:cs="宋体"/>
                <w:i w:val="0"/>
                <w:iCs w:val="0"/>
                <w:color w:val="000000"/>
                <w:sz w:val="24"/>
                <w:szCs w:val="24"/>
                <w:u w:val="none"/>
              </w:rPr>
            </w:pPr>
          </w:p>
        </w:tc>
      </w:tr>
      <w:tr w14:paraId="48D1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59248">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A86EB">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191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成长性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40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270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项目实施对相关企业（机构）成长性的促进作用，主要反映支持对象创新创造创业能力情况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FF8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项目实施对相关行业企业体现促进的点位数量÷所有选点总数×100%×10。对相关企业（机构）创新创造能力提升、扩大投资、技术更新、就业促进以及对农业良种良机良法推广应用、工业科技研发投入、服务业消费新场景新模式、提升行业新质生产力等情况进行综合判断，可查看统计年鉴和企业近三年财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69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81279E">
            <w:pPr>
              <w:jc w:val="center"/>
              <w:rPr>
                <w:rFonts w:hint="eastAsia" w:ascii="宋体" w:hAnsi="宋体" w:eastAsia="宋体" w:cs="宋体"/>
                <w:i w:val="0"/>
                <w:iCs w:val="0"/>
                <w:color w:val="000000"/>
                <w:sz w:val="24"/>
                <w:szCs w:val="24"/>
                <w:u w:val="none"/>
              </w:rPr>
            </w:pPr>
          </w:p>
        </w:tc>
      </w:tr>
      <w:tr w14:paraId="298FF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78CC7">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9D36B">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0B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经济性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B93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F38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项目实施对相关企业（机构）主营业务收入、净利润、税收、产量等方面增长情况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685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反映企业主营业务收入、净利润、税收、产量等增长情况，需将企业（机构）涉及的所有经济指标纳入计算。以主营业务收入为例，主营业务收入增加率≥行业平均增加率，且≥企业上一年度主营业务收入增加率，得10分；主营业务收入增加率≥行业平均增加率且＜企业上一年度主营业务收入增加率，或≥企业上一年度主营业务收入增加率且＜行业平均增加率，得5分；否则不得分。该项指标得分=各指标算术平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E7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E4937">
            <w:pPr>
              <w:jc w:val="center"/>
              <w:rPr>
                <w:rFonts w:hint="eastAsia" w:ascii="宋体" w:hAnsi="宋体" w:eastAsia="宋体" w:cs="宋体"/>
                <w:i w:val="0"/>
                <w:iCs w:val="0"/>
                <w:color w:val="000000"/>
                <w:sz w:val="24"/>
                <w:szCs w:val="24"/>
                <w:u w:val="none"/>
              </w:rPr>
            </w:pPr>
          </w:p>
        </w:tc>
      </w:tr>
      <w:tr w14:paraId="2EB2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A0CB6">
            <w:pPr>
              <w:jc w:val="center"/>
              <w:rPr>
                <w:rFonts w:hint="eastAsia" w:ascii="宋体" w:hAnsi="宋体" w:eastAsia="宋体" w:cs="宋体"/>
                <w:b/>
                <w:bCs/>
                <w:i w:val="0"/>
                <w:iCs w:val="0"/>
                <w:color w:val="000000"/>
                <w:sz w:val="24"/>
                <w:szCs w:val="24"/>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514C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民生保障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E59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区域均衡性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6C4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793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项目资金分配体现的均衡公平情况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75B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实际区域分配结果选择客观因素测算验证资金分配是否科学合理、均衡公平。主要查看区域均衡情况是否得到改善、区域间差距是否缩小，分级计分。其中，区域均衡情况得到改善、区域间差距缩小，得10分；区域均衡情况维持原状、区域间差距不变，得5分；区域均衡情况未得到改善、区域间差距扩大，得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CD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1057F">
            <w:pPr>
              <w:jc w:val="center"/>
              <w:rPr>
                <w:rFonts w:hint="eastAsia" w:ascii="宋体" w:hAnsi="宋体" w:eastAsia="宋体" w:cs="宋体"/>
                <w:i w:val="0"/>
                <w:iCs w:val="0"/>
                <w:color w:val="000000"/>
                <w:sz w:val="24"/>
                <w:szCs w:val="24"/>
                <w:u w:val="none"/>
              </w:rPr>
            </w:pPr>
          </w:p>
        </w:tc>
      </w:tr>
      <w:tr w14:paraId="5E9BA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B5FC9">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2224A">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82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对象精准性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19E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69A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资金实际支持对象是否符合管理要求，是否符合支持对象范围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7276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抽样的支持对象总人数-不符合支持对象人数）÷抽样的支持对象总人数×100%×10。主要查看项目资金分配和实施结果是否精准，是否存在明显的排他性和歧视性情形，是否及时落实到支持对象个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EE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5AFF6">
            <w:pPr>
              <w:jc w:val="center"/>
              <w:rPr>
                <w:rFonts w:hint="eastAsia" w:ascii="宋体" w:hAnsi="宋体" w:eastAsia="宋体" w:cs="宋体"/>
                <w:i w:val="0"/>
                <w:iCs w:val="0"/>
                <w:color w:val="000000"/>
                <w:sz w:val="24"/>
                <w:szCs w:val="24"/>
                <w:u w:val="none"/>
              </w:rPr>
            </w:pPr>
          </w:p>
        </w:tc>
      </w:tr>
      <w:tr w14:paraId="6C307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ADCDB">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8A3DA">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3B3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标准合理性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6C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6B2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资金实际补贴标准是否符合资金管理办法规定的补助标准，是否及时按标准兑现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935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抽样的支持对象总人数-不符合支持标准人数）÷抽样的支持对象总人数×100%×5。主要查看项目资金补贴标准是否符合资金管理办法规定的补助标准。如存在多发、漏发、重发、迟发等情况，均计入不符合支持标准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49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4EC42">
            <w:pPr>
              <w:jc w:val="center"/>
              <w:rPr>
                <w:rFonts w:hint="eastAsia" w:ascii="宋体" w:hAnsi="宋体" w:eastAsia="宋体" w:cs="宋体"/>
                <w:i w:val="0"/>
                <w:iCs w:val="0"/>
                <w:color w:val="000000"/>
                <w:sz w:val="24"/>
                <w:szCs w:val="24"/>
                <w:u w:val="none"/>
              </w:rPr>
            </w:pPr>
          </w:p>
        </w:tc>
      </w:tr>
      <w:tr w14:paraId="28DC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2E852">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23152">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F7C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E43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9C7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资金涉及相关受益群体、支持对象的满意度调查访谈情况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E13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该项指标得分=经调研的群众实际满意度得分×100%×5。反映项目相关方在项目实施过程中的人民群众满意值和获得感。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14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D16CE">
            <w:pPr>
              <w:jc w:val="center"/>
              <w:rPr>
                <w:rFonts w:hint="eastAsia" w:ascii="宋体" w:hAnsi="宋体" w:eastAsia="宋体" w:cs="宋体"/>
                <w:i w:val="0"/>
                <w:iCs w:val="0"/>
                <w:color w:val="000000"/>
                <w:sz w:val="24"/>
                <w:szCs w:val="24"/>
                <w:u w:val="none"/>
              </w:rPr>
            </w:pPr>
          </w:p>
        </w:tc>
      </w:tr>
      <w:tr w14:paraId="2C8F1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CC47CD">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429F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基础</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设施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A52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在建</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83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工程进度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3A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EA9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项目是否达到计划工程进度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F11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工程进度≥计划工程进度，得15分；计划工程进度＞实际工程进度≥计划工程进度的85%，得10分；计划工程进度的85%＞实际工程进度≥计划工程进度的70%，得5分；实际工程进度＜计划工程进度的70%，不得分。按工程时间节点测算进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9F8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699E2">
            <w:pPr>
              <w:jc w:val="center"/>
              <w:rPr>
                <w:rFonts w:hint="eastAsia" w:ascii="宋体" w:hAnsi="宋体" w:eastAsia="宋体" w:cs="宋体"/>
                <w:i w:val="0"/>
                <w:iCs w:val="0"/>
                <w:color w:val="000000"/>
                <w:sz w:val="24"/>
                <w:szCs w:val="24"/>
                <w:u w:val="none"/>
              </w:rPr>
            </w:pPr>
          </w:p>
        </w:tc>
      </w:tr>
      <w:tr w14:paraId="08EDD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69C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74446">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0B42F">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0EB7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资金拨付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F5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66F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项目是否达到预先确定的资金拨付进度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72C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资金拨付进度≥预先确定的资金拨付进度，得15分；预先确定的资金拨付进度＞实际资金拨付进度≥预先确定的资金拨付进度的85%，得10分；预先确定的资金拨付进度的85%＞实际资金拨付进度≥预先确定的资金拨付进度的70%，得5分；实际资金拨付进度＜预先确定的资金拨付进度的70%，不得分。如有资金拨付计划、合同约定，按此测算。如无资金拨付计划，按工程进度测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74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F4A83">
            <w:pPr>
              <w:jc w:val="center"/>
              <w:rPr>
                <w:rFonts w:hint="eastAsia" w:ascii="宋体" w:hAnsi="宋体" w:eastAsia="宋体" w:cs="宋体"/>
                <w:i w:val="0"/>
                <w:iCs w:val="0"/>
                <w:color w:val="000000"/>
                <w:sz w:val="24"/>
                <w:szCs w:val="24"/>
                <w:u w:val="none"/>
              </w:rPr>
            </w:pPr>
          </w:p>
        </w:tc>
      </w:tr>
      <w:tr w14:paraId="77A23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63BCE">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6EA17">
            <w:pPr>
              <w:jc w:val="center"/>
              <w:rPr>
                <w:rFonts w:hint="eastAsia" w:ascii="宋体" w:hAnsi="宋体" w:eastAsia="宋体" w:cs="宋体"/>
                <w:b/>
                <w:bCs/>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9728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建成</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19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FB07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D47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项目验收是否及时合格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F78B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该项指标得分=（建成项目总量-验收不及时、验收不合格的建成项目数量）÷建成项目总量×100%×10。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94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818A7">
            <w:pPr>
              <w:jc w:val="center"/>
              <w:rPr>
                <w:rFonts w:hint="eastAsia" w:ascii="宋体" w:hAnsi="宋体" w:eastAsia="宋体" w:cs="宋体"/>
                <w:i w:val="0"/>
                <w:iCs w:val="0"/>
                <w:color w:val="000000"/>
                <w:sz w:val="24"/>
                <w:szCs w:val="24"/>
                <w:u w:val="none"/>
              </w:rPr>
            </w:pPr>
          </w:p>
        </w:tc>
      </w:tr>
      <w:tr w14:paraId="47CEC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62984">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994E6">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40349">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80A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功能实现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A8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7BA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项目经济社会功能是否实现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2BB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经济或社会功能未实现的建成项目数量）÷建成项目总量×100%×10。主要查看建成项目是否实现预期功能，是否功能配套整合协调、能够持续良好地运作，特别是公共设施类项目，是否能有效满足群众现实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0C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B92A2">
            <w:pPr>
              <w:jc w:val="center"/>
              <w:rPr>
                <w:rFonts w:hint="eastAsia" w:ascii="宋体" w:hAnsi="宋体" w:eastAsia="宋体" w:cs="宋体"/>
                <w:i w:val="0"/>
                <w:iCs w:val="0"/>
                <w:color w:val="000000"/>
                <w:sz w:val="24"/>
                <w:szCs w:val="24"/>
                <w:u w:val="none"/>
              </w:rPr>
            </w:pPr>
          </w:p>
        </w:tc>
      </w:tr>
      <w:tr w14:paraId="521EC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79D0F">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1409A">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37D52">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79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后续管护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DF7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01C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项目后续维护是否实现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2325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该项指标得分=（建成项目总量-后续维护未实现的建成项目数量）÷建成项目总量×100%×10。主要查看建成项目是否建立后续管理维护制度机制，是否实现有效维护。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07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02A3D">
            <w:pPr>
              <w:jc w:val="center"/>
              <w:rPr>
                <w:rFonts w:hint="eastAsia" w:ascii="宋体" w:hAnsi="宋体" w:eastAsia="宋体" w:cs="宋体"/>
                <w:i w:val="0"/>
                <w:iCs w:val="0"/>
                <w:color w:val="000000"/>
                <w:sz w:val="24"/>
                <w:szCs w:val="24"/>
                <w:u w:val="none"/>
              </w:rPr>
            </w:pPr>
          </w:p>
        </w:tc>
      </w:tr>
      <w:tr w14:paraId="6A3B0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2C3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CC4D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行政运转</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625809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用途合规性</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2CDC8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4597D2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是否按规定用途、适用范围进行本地区专项资金分配</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641397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资金实际用途不符合专项资金管理要求的，发现一处扣2分。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19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95DA6">
            <w:pPr>
              <w:jc w:val="center"/>
              <w:rPr>
                <w:rFonts w:hint="eastAsia" w:ascii="宋体" w:hAnsi="宋体" w:eastAsia="宋体" w:cs="宋体"/>
                <w:i w:val="0"/>
                <w:iCs w:val="0"/>
                <w:color w:val="000000"/>
                <w:sz w:val="24"/>
                <w:szCs w:val="24"/>
                <w:u w:val="none"/>
              </w:rPr>
            </w:pPr>
          </w:p>
        </w:tc>
      </w:tr>
      <w:tr w14:paraId="2C1B1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FC7D1">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0B67D">
            <w:pPr>
              <w:jc w:val="center"/>
              <w:rPr>
                <w:rFonts w:hint="eastAsia" w:ascii="宋体" w:hAnsi="宋体" w:eastAsia="宋体" w:cs="宋体"/>
                <w:b/>
                <w:bCs/>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vAlign w:val="center"/>
          </w:tcPr>
          <w:p w14:paraId="20CD8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程序合规性</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0DAB89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525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资金管理程序是否符合专项资金管理要求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A85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资金管理程序不符合专项资金管理要求的，发现一处扣2分。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55B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FA1E5">
            <w:pPr>
              <w:jc w:val="center"/>
              <w:rPr>
                <w:rFonts w:hint="eastAsia" w:ascii="宋体" w:hAnsi="宋体" w:eastAsia="宋体" w:cs="宋体"/>
                <w:i w:val="0"/>
                <w:iCs w:val="0"/>
                <w:color w:val="000000"/>
                <w:sz w:val="24"/>
                <w:szCs w:val="24"/>
                <w:u w:val="none"/>
              </w:rPr>
            </w:pPr>
          </w:p>
        </w:tc>
      </w:tr>
      <w:tr w14:paraId="153D6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431F2">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0E90B">
            <w:pPr>
              <w:jc w:val="center"/>
              <w:rPr>
                <w:rFonts w:hint="eastAsia" w:ascii="宋体" w:hAnsi="宋体" w:eastAsia="宋体" w:cs="宋体"/>
                <w:b/>
                <w:bCs/>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vAlign w:val="center"/>
          </w:tcPr>
          <w:p w14:paraId="31F8DE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标准合规性</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7FE71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82F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资金分配标准是否符合专项资金管理要求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EE0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资金分配标准不符合专项资金管理要求的，发现一处扣2分。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9D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3D81B">
            <w:pPr>
              <w:jc w:val="center"/>
              <w:rPr>
                <w:rFonts w:hint="eastAsia" w:ascii="宋体" w:hAnsi="宋体" w:eastAsia="宋体" w:cs="宋体"/>
                <w:i w:val="0"/>
                <w:iCs w:val="0"/>
                <w:color w:val="000000"/>
                <w:sz w:val="24"/>
                <w:szCs w:val="24"/>
                <w:u w:val="none"/>
              </w:rPr>
            </w:pPr>
          </w:p>
        </w:tc>
      </w:tr>
      <w:tr w14:paraId="56061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3"/>
            <w:vMerge w:val="restart"/>
            <w:tcBorders>
              <w:top w:val="single" w:color="000000" w:sz="4" w:space="0"/>
              <w:left w:val="single" w:color="000000" w:sz="4" w:space="0"/>
              <w:bottom w:val="nil"/>
              <w:right w:val="single" w:color="000000" w:sz="4" w:space="0"/>
            </w:tcBorders>
            <w:shd w:val="clear" w:color="auto" w:fill="auto"/>
            <w:vAlign w:val="center"/>
          </w:tcPr>
          <w:p w14:paraId="7871110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个性指标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（16分）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3C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10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43E9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根据项目个性自行设定部分指标，反映该项指标执行完成情况。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9889B">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5CDC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AB1571">
            <w:pPr>
              <w:jc w:val="center"/>
              <w:rPr>
                <w:rFonts w:hint="eastAsia" w:ascii="宋体" w:hAnsi="宋体" w:eastAsia="宋体" w:cs="宋体"/>
                <w:i w:val="0"/>
                <w:iCs w:val="0"/>
                <w:color w:val="000000"/>
                <w:sz w:val="24"/>
                <w:szCs w:val="24"/>
                <w:u w:val="none"/>
              </w:rPr>
            </w:pPr>
          </w:p>
        </w:tc>
      </w:tr>
      <w:tr w14:paraId="3C3E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3"/>
            <w:vMerge w:val="continue"/>
            <w:tcBorders>
              <w:top w:val="single" w:color="000000" w:sz="4" w:space="0"/>
              <w:left w:val="single" w:color="000000" w:sz="4" w:space="0"/>
              <w:bottom w:val="nil"/>
              <w:right w:val="single" w:color="000000" w:sz="4" w:space="0"/>
            </w:tcBorders>
            <w:shd w:val="clear" w:color="auto" w:fill="auto"/>
            <w:vAlign w:val="center"/>
          </w:tcPr>
          <w:p w14:paraId="265A4D42">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459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88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AD0B4">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DA5BB">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489C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2041B">
            <w:pPr>
              <w:jc w:val="center"/>
              <w:rPr>
                <w:rFonts w:hint="eastAsia" w:ascii="宋体" w:hAnsi="宋体" w:eastAsia="宋体" w:cs="宋体"/>
                <w:i w:val="0"/>
                <w:iCs w:val="0"/>
                <w:color w:val="000000"/>
                <w:sz w:val="24"/>
                <w:szCs w:val="24"/>
                <w:u w:val="none"/>
              </w:rPr>
            </w:pPr>
          </w:p>
        </w:tc>
      </w:tr>
      <w:tr w14:paraId="5D88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3"/>
            <w:vMerge w:val="continue"/>
            <w:tcBorders>
              <w:top w:val="single" w:color="000000" w:sz="4" w:space="0"/>
              <w:left w:val="single" w:color="000000" w:sz="4" w:space="0"/>
              <w:bottom w:val="nil"/>
              <w:right w:val="single" w:color="000000" w:sz="4" w:space="0"/>
            </w:tcBorders>
            <w:shd w:val="clear" w:color="auto" w:fill="auto"/>
            <w:vAlign w:val="center"/>
          </w:tcPr>
          <w:p w14:paraId="1AB4CA70">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A9C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3B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F7B4D">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9485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A4C0B">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001AC">
            <w:pPr>
              <w:jc w:val="center"/>
              <w:rPr>
                <w:rFonts w:hint="eastAsia" w:ascii="宋体" w:hAnsi="宋体" w:eastAsia="宋体" w:cs="宋体"/>
                <w:i w:val="0"/>
                <w:iCs w:val="0"/>
                <w:color w:val="000000"/>
                <w:sz w:val="24"/>
                <w:szCs w:val="24"/>
                <w:u w:val="none"/>
              </w:rPr>
            </w:pPr>
          </w:p>
        </w:tc>
      </w:tr>
      <w:tr w14:paraId="714E5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BFE7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扣分项</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9B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存在问题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6D4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45C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预算绩效管理工作存在问题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A01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依据评价年度人大监督、巡视巡察、审计监督、财会监督等结果以及评价指标体系涉及各方面出现的问题，每有一个问题点扣1分，扣完为止。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1EC8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98A382">
            <w:pPr>
              <w:jc w:val="center"/>
              <w:rPr>
                <w:rFonts w:hint="eastAsia" w:ascii="宋体" w:hAnsi="宋体" w:eastAsia="宋体" w:cs="宋体"/>
                <w:i w:val="0"/>
                <w:iCs w:val="0"/>
                <w:color w:val="000000"/>
                <w:sz w:val="24"/>
                <w:szCs w:val="24"/>
                <w:u w:val="none"/>
              </w:rPr>
            </w:pPr>
          </w:p>
        </w:tc>
      </w:tr>
      <w:tr w14:paraId="66A52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97894">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46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部门配合度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802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6AE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被评价对象工作配合情况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226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评价工作开展过程中，被评价对象拖延推诿、提交资料不及时等拒不配合评价工作的，发现一处扣1分，扣完为止。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A9B3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818D1">
            <w:pPr>
              <w:jc w:val="center"/>
              <w:rPr>
                <w:rFonts w:hint="eastAsia" w:ascii="宋体" w:hAnsi="宋体" w:eastAsia="宋体" w:cs="宋体"/>
                <w:i w:val="0"/>
                <w:iCs w:val="0"/>
                <w:color w:val="000000"/>
                <w:sz w:val="24"/>
                <w:szCs w:val="24"/>
                <w:u w:val="none"/>
              </w:rPr>
            </w:pPr>
          </w:p>
        </w:tc>
      </w:tr>
    </w:tbl>
    <w:p w14:paraId="434C3475">
      <w:pPr>
        <w:numPr>
          <w:ilvl w:val="0"/>
          <w:numId w:val="0"/>
        </w:numPr>
        <w:suppressAutoHyphens/>
        <w:bidi w:val="0"/>
        <w:snapToGrid w:val="0"/>
        <w:spacing w:line="600" w:lineRule="exact"/>
        <w:rPr>
          <w:rFonts w:hint="default" w:ascii="仿宋" w:hAnsi="仿宋" w:eastAsia="仿宋_GB2312" w:cs="仿宋"/>
          <w:b w:val="0"/>
          <w:bCs w:val="0"/>
          <w:sz w:val="32"/>
          <w:lang w:val="en-US" w:eastAsia="zh-CN"/>
        </w:rPr>
      </w:pPr>
    </w:p>
    <w:p w14:paraId="26BA09BD">
      <w:pPr>
        <w:suppressAutoHyphens/>
        <w:bidi w:val="0"/>
        <w:spacing w:line="700" w:lineRule="exact"/>
        <w:jc w:val="center"/>
        <w:rPr>
          <w:rFonts w:hint="eastAsia" w:ascii="黑体" w:hAnsi="黑体" w:eastAsia="黑体" w:cs="黑体"/>
          <w:sz w:val="44"/>
          <w:szCs w:val="44"/>
          <w:lang w:eastAsia="zh-CN"/>
        </w:rPr>
      </w:pPr>
      <w:bookmarkStart w:id="168" w:name="_Toc15396618"/>
      <w:r>
        <w:rPr>
          <w:rFonts w:hint="eastAsia" w:ascii="黑体" w:hAnsi="黑体" w:eastAsia="黑体" w:cs="黑体"/>
          <w:sz w:val="44"/>
          <w:szCs w:val="44"/>
          <w:lang w:val="en-US" w:eastAsia="zh-CN"/>
        </w:rPr>
        <w:t>专项</w:t>
      </w:r>
      <w:r>
        <w:rPr>
          <w:rFonts w:hint="eastAsia" w:ascii="黑体" w:hAnsi="黑体" w:eastAsia="黑体" w:cs="黑体"/>
          <w:sz w:val="44"/>
          <w:szCs w:val="44"/>
          <w:lang w:eastAsia="zh-CN"/>
        </w:rPr>
        <w:t>预算项目支出绩效自评报告</w:t>
      </w:r>
    </w:p>
    <w:p w14:paraId="749D4091">
      <w:pPr>
        <w:suppressAutoHyphens/>
        <w:bidi w:val="0"/>
        <w:spacing w:line="700" w:lineRule="exact"/>
        <w:jc w:val="center"/>
        <w:rPr>
          <w:rFonts w:hint="eastAsia" w:ascii="Times New Roman" w:hAnsi="Times New Roman" w:eastAsia="仿宋_GB2312"/>
          <w:sz w:val="32"/>
        </w:rPr>
      </w:pPr>
      <w:r>
        <w:rPr>
          <w:rFonts w:hint="eastAsia" w:ascii="Times New Roman" w:hAnsi="宋体" w:eastAsia="仿宋_GB2312"/>
          <w:sz w:val="32"/>
        </w:rPr>
        <w:t>（</w:t>
      </w:r>
      <w:r>
        <w:rPr>
          <w:rFonts w:hint="eastAsia" w:ascii="Times New Roman" w:hAnsi="Times New Roman" w:eastAsia="仿宋_GB2312"/>
          <w:sz w:val="32"/>
          <w:lang w:eastAsia="zh-CN"/>
        </w:rPr>
        <w:t>遂财农【2024】16号-市级衔接资金（种粮先进乡镇奖补）</w:t>
      </w:r>
      <w:r>
        <w:rPr>
          <w:rFonts w:hint="eastAsia" w:ascii="Times New Roman" w:hAnsi="Times New Roman" w:eastAsia="仿宋_GB2312"/>
          <w:sz w:val="32"/>
        </w:rPr>
        <w:t>）</w:t>
      </w:r>
    </w:p>
    <w:p w14:paraId="71175E69">
      <w:pPr>
        <w:tabs>
          <w:tab w:val="left" w:pos="3885"/>
        </w:tabs>
        <w:suppressAutoHyphens/>
        <w:bidi w:val="0"/>
        <w:snapToGrid w:val="0"/>
        <w:spacing w:line="600" w:lineRule="exact"/>
        <w:ind w:firstLine="643" w:firstLineChars="200"/>
        <w:jc w:val="left"/>
        <w:rPr>
          <w:rFonts w:ascii="宋体" w:hAnsi="宋体" w:eastAsia="仿宋_GB2312"/>
          <w:b/>
          <w:sz w:val="32"/>
          <w:szCs w:val="21"/>
        </w:rPr>
      </w:pPr>
    </w:p>
    <w:p w14:paraId="541E064C">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firstLineChars="200"/>
        <w:textAlignment w:val="auto"/>
        <w:rPr>
          <w:rFonts w:ascii="黑体" w:hAnsi="宋体" w:eastAsia="黑体" w:cs="Times New Roman"/>
          <w:sz w:val="32"/>
          <w:szCs w:val="32"/>
          <w:highlight w:val="none"/>
          <w:lang w:val="zh-CN"/>
        </w:rPr>
      </w:pPr>
      <w:r>
        <w:rPr>
          <w:rFonts w:hint="eastAsia" w:ascii="黑体" w:hAnsi="宋体" w:eastAsia="黑体" w:cs="Times New Roman"/>
          <w:sz w:val="32"/>
          <w:szCs w:val="32"/>
          <w:highlight w:val="none"/>
        </w:rPr>
        <w:t>一、</w:t>
      </w:r>
      <w:r>
        <w:rPr>
          <w:rFonts w:hint="eastAsia" w:ascii="黑体" w:hAnsi="宋体" w:eastAsia="黑体" w:cs="Times New Roman"/>
          <w:sz w:val="32"/>
          <w:szCs w:val="32"/>
          <w:highlight w:val="none"/>
          <w:lang w:val="zh-CN"/>
        </w:rPr>
        <w:t>项目概况</w:t>
      </w:r>
    </w:p>
    <w:p w14:paraId="03FC9F19">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（一）设立背景及基本情况。</w:t>
      </w:r>
      <w:r>
        <w:rPr>
          <w:rFonts w:hint="default" w:ascii="仿宋_GB2312" w:hAnsi="仿宋_GB2312" w:eastAsia="仿宋_GB2312" w:cs="仿宋_GB2312"/>
          <w:color w:val="auto"/>
          <w:kern w:val="0"/>
          <w:sz w:val="32"/>
          <w:szCs w:val="32"/>
          <w:highlight w:val="none"/>
          <w:u w:val="none"/>
          <w:shd w:val="clear" w:color="auto" w:fill="FFFFFF"/>
          <w:lang w:val="en-US" w:eastAsia="zh-CN"/>
        </w:rPr>
        <w:t>随着国家对粮食安全重视程度的不断提升，稳定和提高粮食产量成为保障民生的重要任务。在此背景下，为充分调动乡镇发展粮食生产的积极性，推动粮食产业高质量发展，特设立种粮先进乡镇奖补资金项目。该项目依据国家粮食安全战略及地方政府关于促进粮食生产的相关政策文件立项，旨在通过资金奖励的方式，鼓励乡镇积极采取有效措施，提升粮食种植面积、产量及质量。</w:t>
      </w:r>
    </w:p>
    <w:p w14:paraId="5D92165D">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项目主要内容为对在粮食生产工作中表现突出的</w:t>
      </w:r>
      <w:r>
        <w:rPr>
          <w:rFonts w:hint="eastAsia" w:ascii="仿宋_GB2312" w:hAnsi="仿宋_GB2312" w:eastAsia="仿宋_GB2312" w:cs="仿宋_GB2312"/>
          <w:color w:val="auto"/>
          <w:kern w:val="0"/>
          <w:sz w:val="32"/>
          <w:szCs w:val="32"/>
          <w:highlight w:val="none"/>
          <w:u w:val="none"/>
          <w:shd w:val="clear" w:color="auto" w:fill="FFFFFF"/>
          <w:lang w:val="en-US" w:eastAsia="zh-CN"/>
        </w:rPr>
        <w:t>企业或个人</w:t>
      </w:r>
      <w:r>
        <w:rPr>
          <w:rFonts w:hint="default" w:ascii="仿宋_GB2312" w:hAnsi="仿宋_GB2312" w:eastAsia="仿宋_GB2312" w:cs="仿宋_GB2312"/>
          <w:color w:val="auto"/>
          <w:kern w:val="0"/>
          <w:sz w:val="32"/>
          <w:szCs w:val="32"/>
          <w:highlight w:val="none"/>
          <w:u w:val="none"/>
          <w:shd w:val="clear" w:color="auto" w:fill="FFFFFF"/>
          <w:lang w:val="en-US" w:eastAsia="zh-CN"/>
        </w:rPr>
        <w:t>给予资金奖补，涵盖粮食种植规模扩大、种植技术创新推广、农田基础设施建设改善等方面工作成果显著的</w:t>
      </w:r>
      <w:r>
        <w:rPr>
          <w:rFonts w:hint="eastAsia" w:ascii="仿宋_GB2312" w:hAnsi="仿宋_GB2312" w:eastAsia="仿宋_GB2312" w:cs="仿宋_GB2312"/>
          <w:color w:val="auto"/>
          <w:kern w:val="0"/>
          <w:sz w:val="32"/>
          <w:szCs w:val="32"/>
          <w:highlight w:val="none"/>
          <w:u w:val="none"/>
          <w:shd w:val="clear" w:color="auto" w:fill="FFFFFF"/>
          <w:lang w:val="en-US" w:eastAsia="zh-CN"/>
        </w:rPr>
        <w:t>企业</w:t>
      </w:r>
      <w:r>
        <w:rPr>
          <w:rFonts w:hint="default" w:ascii="仿宋_GB2312" w:hAnsi="仿宋_GB2312" w:eastAsia="仿宋_GB2312" w:cs="仿宋_GB2312"/>
          <w:color w:val="auto"/>
          <w:kern w:val="0"/>
          <w:sz w:val="32"/>
          <w:szCs w:val="32"/>
          <w:highlight w:val="none"/>
          <w:u w:val="none"/>
          <w:shd w:val="clear" w:color="auto" w:fill="FFFFFF"/>
          <w:lang w:val="en-US" w:eastAsia="zh-CN"/>
        </w:rPr>
        <w:t>。主管部门为</w:t>
      </w:r>
      <w:r>
        <w:rPr>
          <w:rFonts w:hint="eastAsia" w:ascii="仿宋_GB2312" w:hAnsi="仿宋_GB2312" w:eastAsia="仿宋_GB2312" w:cs="仿宋_GB2312"/>
          <w:color w:val="auto"/>
          <w:kern w:val="0"/>
          <w:sz w:val="32"/>
          <w:szCs w:val="32"/>
          <w:highlight w:val="none"/>
          <w:u w:val="none"/>
          <w:shd w:val="clear" w:color="auto" w:fill="FFFFFF"/>
          <w:lang w:val="en-US" w:eastAsia="zh-CN"/>
        </w:rPr>
        <w:t>三家镇人民政府</w:t>
      </w:r>
      <w:r>
        <w:rPr>
          <w:rFonts w:hint="default" w:ascii="仿宋_GB2312" w:hAnsi="仿宋_GB2312" w:eastAsia="仿宋_GB2312" w:cs="仿宋_GB2312"/>
          <w:color w:val="auto"/>
          <w:kern w:val="0"/>
          <w:sz w:val="32"/>
          <w:szCs w:val="32"/>
          <w:highlight w:val="none"/>
          <w:u w:val="none"/>
          <w:shd w:val="clear" w:color="auto" w:fill="FFFFFF"/>
          <w:lang w:val="en-US" w:eastAsia="zh-CN"/>
        </w:rPr>
        <w:t>，其职能包括制定项目实施方案、审核申报材料、监督项目实施过程以及组织项目验收等，全面负责项目的统筹管理与推进。</w:t>
      </w:r>
      <w:r>
        <w:rPr>
          <w:rFonts w:hint="eastAsia" w:ascii="仿宋_GB2312" w:hAnsi="仿宋_GB2312" w:eastAsia="仿宋_GB2312" w:cs="仿宋_GB2312"/>
          <w:color w:val="auto"/>
          <w:kern w:val="0"/>
          <w:sz w:val="32"/>
          <w:szCs w:val="32"/>
          <w:highlight w:val="none"/>
          <w:u w:val="none"/>
          <w:shd w:val="clear" w:color="auto" w:fill="FFFFFF"/>
          <w:lang w:val="zh-CN"/>
        </w:rPr>
        <w:t>。</w:t>
      </w:r>
    </w:p>
    <w:p w14:paraId="1F3C238F">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为确保资金规范、高效使用，主管部门制定了《种粮先进</w:t>
      </w:r>
      <w:r>
        <w:rPr>
          <w:rFonts w:hint="eastAsia" w:ascii="仿宋_GB2312" w:hAnsi="仿宋_GB2312" w:eastAsia="仿宋_GB2312" w:cs="仿宋_GB2312"/>
          <w:color w:val="auto"/>
          <w:kern w:val="0"/>
          <w:sz w:val="32"/>
          <w:szCs w:val="32"/>
          <w:highlight w:val="none"/>
          <w:u w:val="none"/>
          <w:shd w:val="clear" w:color="auto" w:fill="FFFFFF"/>
          <w:lang w:val="en-US" w:eastAsia="zh-CN"/>
        </w:rPr>
        <w:t>单位</w:t>
      </w:r>
      <w:r>
        <w:rPr>
          <w:rFonts w:hint="default" w:ascii="仿宋_GB2312" w:hAnsi="仿宋_GB2312" w:eastAsia="仿宋_GB2312" w:cs="仿宋_GB2312"/>
          <w:color w:val="auto"/>
          <w:kern w:val="0"/>
          <w:sz w:val="32"/>
          <w:szCs w:val="32"/>
          <w:highlight w:val="none"/>
          <w:u w:val="none"/>
          <w:shd w:val="clear" w:color="auto" w:fill="FFFFFF"/>
          <w:lang w:val="en-US" w:eastAsia="zh-CN"/>
        </w:rPr>
        <w:t>奖补资金管理办法》，明确了资金使用原则、申报流程、监督机制等内容。项目实施目的在于激励</w:t>
      </w:r>
      <w:r>
        <w:rPr>
          <w:rFonts w:hint="eastAsia" w:ascii="仿宋_GB2312" w:hAnsi="仿宋_GB2312" w:eastAsia="仿宋_GB2312" w:cs="仿宋_GB2312"/>
          <w:color w:val="auto"/>
          <w:kern w:val="0"/>
          <w:sz w:val="32"/>
          <w:szCs w:val="32"/>
          <w:highlight w:val="none"/>
          <w:u w:val="none"/>
          <w:shd w:val="clear" w:color="auto" w:fill="FFFFFF"/>
          <w:lang w:val="en-US" w:eastAsia="zh-CN"/>
        </w:rPr>
        <w:t>企业</w:t>
      </w:r>
      <w:r>
        <w:rPr>
          <w:rFonts w:hint="default" w:ascii="仿宋_GB2312" w:hAnsi="仿宋_GB2312" w:eastAsia="仿宋_GB2312" w:cs="仿宋_GB2312"/>
          <w:color w:val="auto"/>
          <w:kern w:val="0"/>
          <w:sz w:val="32"/>
          <w:szCs w:val="32"/>
          <w:highlight w:val="none"/>
          <w:u w:val="none"/>
          <w:shd w:val="clear" w:color="auto" w:fill="FFFFFF"/>
          <w:lang w:val="en-US" w:eastAsia="zh-CN"/>
        </w:rPr>
        <w:t>加大对粮食生产的重视与投入，推动粮食生产规模化、标准化、现代化发展，提高粮食综合生产能力。​</w:t>
      </w:r>
    </w:p>
    <w:p w14:paraId="714BF47C">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ascii="楷体_GB2312" w:hAnsi="宋体" w:eastAsia="楷体_GB2312" w:cs="Times New Roman"/>
          <w:b/>
          <w:color w:val="auto"/>
          <w:sz w:val="32"/>
          <w:szCs w:val="32"/>
          <w:highlight w:val="none"/>
          <w:u w:val="none"/>
          <w:lang w:val="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主要工作任务包括组织开展粮食生产相关培训与技术指导，引导优化粮食种植结构，推广应用先进适用的农业生产技术；鼓励加强农田水利、机耕道等基础设施建设，改善粮食生产条件；支持培育和发展种粮大户、农民专业合作社等新型农业经营主体，提高粮食生产组织化程度。项目支持方向主要聚焦于粮食种植产业发展，从技术推广、设施建设、主体培育等多方面为粮食生产提供有力支撑</w:t>
      </w:r>
      <w:r>
        <w:rPr>
          <w:rFonts w:hint="eastAsia" w:ascii="仿宋_GB2312" w:hAnsi="仿宋_GB2312" w:eastAsia="仿宋_GB2312" w:cs="仿宋_GB2312"/>
          <w:color w:val="auto"/>
          <w:kern w:val="0"/>
          <w:sz w:val="32"/>
          <w:szCs w:val="32"/>
          <w:highlight w:val="none"/>
          <w:u w:val="none"/>
          <w:shd w:val="clear" w:color="auto" w:fill="FFFFFF"/>
          <w:lang w:val="zh-CN"/>
        </w:rPr>
        <w:t>。</w:t>
      </w:r>
    </w:p>
    <w:p w14:paraId="5F7DCFB2">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项目预算由</w:t>
      </w:r>
      <w:r>
        <w:rPr>
          <w:rFonts w:hint="eastAsia" w:ascii="仿宋_GB2312" w:hAnsi="仿宋_GB2312" w:eastAsia="仿宋_GB2312" w:cs="仿宋_GB2312"/>
          <w:color w:val="auto"/>
          <w:kern w:val="0"/>
          <w:sz w:val="32"/>
          <w:szCs w:val="32"/>
          <w:highlight w:val="none"/>
          <w:u w:val="none"/>
          <w:shd w:val="clear" w:color="auto" w:fill="FFFFFF"/>
          <w:lang w:val="en-US" w:eastAsia="zh-CN"/>
        </w:rPr>
        <w:t>三家镇人民政府</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根据上一年度粮食生产情况及本年度粮食生产目标任务进行安排。本年度种粮先进乡镇奖补资金预算总额为 </w:t>
      </w:r>
      <w:r>
        <w:rPr>
          <w:rFonts w:hint="eastAsia" w:ascii="仿宋_GB2312" w:hAnsi="仿宋_GB2312" w:eastAsia="仿宋_GB2312" w:cs="仿宋_GB2312"/>
          <w:color w:val="auto"/>
          <w:kern w:val="0"/>
          <w:sz w:val="32"/>
          <w:szCs w:val="32"/>
          <w:highlight w:val="none"/>
          <w:u w:val="none"/>
          <w:shd w:val="clear" w:color="auto" w:fill="FFFFFF"/>
          <w:lang w:val="en-US" w:eastAsia="zh-CN"/>
        </w:rPr>
        <w:t>1</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万元，资金分配原则综合考虑粮食种植面积、产量增幅、单产水平提升情况、农业技术推广应用成效以及对粮食生产的组织管理力度等因素。​具体分配情况为：依据各项考核指标量化评分，对得分</w:t>
      </w:r>
      <w:r>
        <w:rPr>
          <w:rFonts w:hint="eastAsia" w:ascii="仿宋_GB2312" w:hAnsi="仿宋_GB2312" w:eastAsia="仿宋_GB2312" w:cs="仿宋_GB2312"/>
          <w:color w:val="auto"/>
          <w:kern w:val="0"/>
          <w:sz w:val="32"/>
          <w:szCs w:val="32"/>
          <w:highlight w:val="none"/>
          <w:u w:val="none"/>
          <w:shd w:val="clear" w:color="auto" w:fill="FFFFFF"/>
          <w:lang w:val="en-US" w:eastAsia="zh-CN"/>
        </w:rPr>
        <w:t>最</w:t>
      </w:r>
      <w:r>
        <w:rPr>
          <w:rFonts w:hint="default" w:ascii="仿宋_GB2312" w:hAnsi="仿宋_GB2312" w:eastAsia="仿宋_GB2312" w:cs="仿宋_GB2312"/>
          <w:color w:val="auto"/>
          <w:kern w:val="0"/>
          <w:sz w:val="32"/>
          <w:szCs w:val="32"/>
          <w:highlight w:val="none"/>
          <w:u w:val="none"/>
          <w:shd w:val="clear" w:color="auto" w:fill="FFFFFF"/>
          <w:lang w:val="en-US" w:eastAsia="zh-CN"/>
        </w:rPr>
        <w:t>高的</w:t>
      </w:r>
      <w:r>
        <w:rPr>
          <w:rFonts w:hint="eastAsia" w:ascii="仿宋_GB2312" w:hAnsi="仿宋_GB2312" w:eastAsia="仿宋_GB2312" w:cs="仿宋_GB2312"/>
          <w:color w:val="auto"/>
          <w:kern w:val="0"/>
          <w:sz w:val="32"/>
          <w:szCs w:val="32"/>
          <w:highlight w:val="none"/>
          <w:u w:val="none"/>
          <w:shd w:val="clear" w:color="auto" w:fill="FFFFFF"/>
          <w:lang w:val="en-US" w:eastAsia="zh-CN"/>
        </w:rPr>
        <w:t>遂宁市安居区丰乐农机专业合作社1万元奖补</w:t>
      </w:r>
      <w:r>
        <w:rPr>
          <w:rFonts w:hint="default" w:ascii="仿宋_GB2312" w:hAnsi="仿宋_GB2312" w:eastAsia="仿宋_GB2312" w:cs="仿宋_GB2312"/>
          <w:color w:val="auto"/>
          <w:kern w:val="0"/>
          <w:sz w:val="32"/>
          <w:szCs w:val="32"/>
          <w:highlight w:val="none"/>
          <w:u w:val="none"/>
          <w:shd w:val="clear" w:color="auto" w:fill="FFFFFF"/>
          <w:lang w:val="en-US" w:eastAsia="zh-CN"/>
        </w:rPr>
        <w:t>。通过这种差异化的分配方式，充分发挥资金的激励导向作用。</w:t>
      </w:r>
    </w:p>
    <w:p w14:paraId="071B1BCC">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default" w:ascii="仿宋_GB2312" w:hAnsi="仿宋_GB2312" w:eastAsia="仿宋_GB2312" w:cs="仿宋_GB2312"/>
          <w:color w:val="auto"/>
          <w:kern w:val="0"/>
          <w:sz w:val="32"/>
          <w:szCs w:val="32"/>
          <w:highlight w:val="none"/>
          <w:u w:val="none"/>
          <w:shd w:val="clear" w:color="auto" w:fill="FFFFFF"/>
          <w:lang w:val="en-US" w:eastAsia="zh-CN"/>
        </w:rPr>
        <w:t>项目整体绩效目标为通过奖补资金的投入，有效提升粮食生产积极性，促进粮食种植面积稳定增长，粮食产量稳步提高，推动粮食生产向高质量、可持续方向发展，确保区域粮食安全。区域绩效目标根据地区的粮食生产基础和潜力，分别设定相应的粮食种植面积和产量增长目标，以及农业技术推广覆盖率、新型农业经营主体培育数量等指标。​</w:t>
      </w:r>
    </w:p>
    <w:p w14:paraId="74BC0E8D">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具体绩效目标包括：在产出指标方面，确保奖补资金覆盖的粮食种植面积新增 </w:t>
      </w:r>
      <w:r>
        <w:rPr>
          <w:rFonts w:hint="eastAsia" w:ascii="仿宋_GB2312" w:hAnsi="仿宋_GB2312" w:eastAsia="仿宋_GB2312" w:cs="仿宋_GB2312"/>
          <w:color w:val="auto"/>
          <w:kern w:val="0"/>
          <w:sz w:val="32"/>
          <w:szCs w:val="32"/>
          <w:highlight w:val="none"/>
          <w:u w:val="none"/>
          <w:shd w:val="clear" w:color="auto" w:fill="FFFFFF"/>
          <w:lang w:val="en-US" w:eastAsia="zh-CN"/>
        </w:rPr>
        <w:t>100</w:t>
      </w:r>
      <w:r>
        <w:rPr>
          <w:rFonts w:hint="default" w:ascii="仿宋_GB2312" w:hAnsi="仿宋_GB2312" w:eastAsia="仿宋_GB2312" w:cs="仿宋_GB2312"/>
          <w:color w:val="auto"/>
          <w:kern w:val="0"/>
          <w:sz w:val="32"/>
          <w:szCs w:val="32"/>
          <w:highlight w:val="none"/>
          <w:u w:val="none"/>
          <w:shd w:val="clear" w:color="auto" w:fill="FFFFFF"/>
          <w:lang w:val="en-US" w:eastAsia="zh-CN"/>
        </w:rPr>
        <w:t>亩以上，粮食总产量增加</w:t>
      </w:r>
      <w:r>
        <w:rPr>
          <w:rFonts w:hint="eastAsia" w:ascii="仿宋_GB2312" w:hAnsi="仿宋_GB2312" w:eastAsia="仿宋_GB2312" w:cs="仿宋_GB2312"/>
          <w:color w:val="auto"/>
          <w:kern w:val="0"/>
          <w:sz w:val="32"/>
          <w:szCs w:val="32"/>
          <w:highlight w:val="none"/>
          <w:u w:val="none"/>
          <w:shd w:val="clear" w:color="auto" w:fill="FFFFFF"/>
          <w:lang w:val="en-US" w:eastAsia="zh-CN"/>
        </w:rPr>
        <w:t>1</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吨以上；在质量指标上，推广优质粮食品种种植面积占比达到 </w:t>
      </w:r>
      <w:r>
        <w:rPr>
          <w:rFonts w:hint="eastAsia" w:ascii="仿宋_GB2312" w:hAnsi="仿宋_GB2312" w:eastAsia="仿宋_GB2312" w:cs="仿宋_GB2312"/>
          <w:color w:val="auto"/>
          <w:kern w:val="0"/>
          <w:sz w:val="32"/>
          <w:szCs w:val="32"/>
          <w:highlight w:val="none"/>
          <w:u w:val="none"/>
          <w:shd w:val="clear" w:color="auto" w:fill="FFFFFF"/>
          <w:lang w:val="en-US" w:eastAsia="zh-CN"/>
        </w:rPr>
        <w:t>98</w:t>
      </w:r>
      <w:r>
        <w:rPr>
          <w:rFonts w:hint="default" w:ascii="仿宋_GB2312" w:hAnsi="仿宋_GB2312" w:eastAsia="仿宋_GB2312" w:cs="仿宋_GB2312"/>
          <w:color w:val="auto"/>
          <w:kern w:val="0"/>
          <w:sz w:val="32"/>
          <w:szCs w:val="32"/>
          <w:highlight w:val="none"/>
          <w:u w:val="none"/>
          <w:shd w:val="clear" w:color="auto" w:fill="FFFFFF"/>
          <w:lang w:val="en-US" w:eastAsia="zh-CN"/>
        </w:rPr>
        <w:t>% 以上，粮食产品质量符合国家标准；时效指标要求项目资金在规定时间内足额拨付到相关</w:t>
      </w:r>
      <w:r>
        <w:rPr>
          <w:rFonts w:hint="eastAsia" w:ascii="仿宋_GB2312" w:hAnsi="仿宋_GB2312" w:eastAsia="仿宋_GB2312" w:cs="仿宋_GB2312"/>
          <w:color w:val="auto"/>
          <w:kern w:val="0"/>
          <w:sz w:val="32"/>
          <w:szCs w:val="32"/>
          <w:highlight w:val="none"/>
          <w:u w:val="none"/>
          <w:shd w:val="clear" w:color="auto" w:fill="FFFFFF"/>
          <w:lang w:val="en-US" w:eastAsia="zh-CN"/>
        </w:rPr>
        <w:t>企业</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，奖补申报、审核及资金发放工作在 </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w:t>
      </w:r>
      <w:r>
        <w:rPr>
          <w:rFonts w:hint="default" w:ascii="仿宋_GB2312" w:hAnsi="仿宋_GB2312" w:eastAsia="仿宋_GB2312" w:cs="仿宋_GB2312"/>
          <w:color w:val="auto"/>
          <w:kern w:val="0"/>
          <w:sz w:val="32"/>
          <w:szCs w:val="32"/>
          <w:highlight w:val="none"/>
          <w:u w:val="none"/>
          <w:shd w:val="clear" w:color="auto" w:fill="FFFFFF"/>
          <w:lang w:val="en-US" w:eastAsia="zh-CN"/>
        </w:rPr>
        <w:t>内完成；成本指标严格控制项目实施过程中的管理成本，确保不超过预算总额。​</w:t>
      </w:r>
    </w:p>
    <w:p w14:paraId="4ECD4CAC">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项目自评工作由主管部门组织实施，成立专门的自评工作小组，制定详细的自评工作方案，按照绩效评价指标体系要求，收集相关数据资料，对项目实施全过程进行全面、客观的评价。</w:t>
      </w:r>
    </w:p>
    <w:p w14:paraId="19BBADAF">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597DA584">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（一）评价目的。</w:t>
      </w:r>
      <w:r>
        <w:rPr>
          <w:rFonts w:hint="default" w:ascii="仿宋_GB2312" w:hAnsi="仿宋_GB2312" w:eastAsia="仿宋_GB2312" w:cs="仿宋_GB2312"/>
          <w:color w:val="auto"/>
          <w:kern w:val="0"/>
          <w:sz w:val="32"/>
          <w:szCs w:val="32"/>
          <w:highlight w:val="none"/>
          <w:u w:val="none"/>
          <w:shd w:val="clear" w:color="auto" w:fill="FFFFFF"/>
          <w:lang w:val="en-US" w:eastAsia="zh-CN"/>
        </w:rPr>
        <w:t>通过项目绩效自评，全面了解种粮先进乡镇奖补资金项目的实施进展、资金使用效益、取得的成效以及存在的问题，为进一步优化项目管理、完善奖补政策提供科学依据，提高财政资金使用效率，确保项目目标的顺利实现，更好地发挥奖补资金对粮食生产的激励和促进作用。</w:t>
      </w:r>
    </w:p>
    <w:p w14:paraId="67005585">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（二）预设问题及评价重点。</w:t>
      </w:r>
      <w:r>
        <w:rPr>
          <w:rFonts w:hint="default" w:ascii="仿宋_GB2312" w:hAnsi="仿宋_GB2312" w:eastAsia="仿宋_GB2312" w:cs="仿宋_GB2312"/>
          <w:color w:val="auto"/>
          <w:kern w:val="0"/>
          <w:sz w:val="32"/>
          <w:szCs w:val="32"/>
          <w:highlight w:val="none"/>
          <w:u w:val="none"/>
          <w:shd w:val="clear" w:color="auto" w:fill="FFFFFF"/>
          <w:lang w:val="en-US" w:eastAsia="zh-CN"/>
        </w:rPr>
        <w:t>按照绩效评价指标体系，预设问题包括项目决策是否科学合理，资金分配是否公平公正，项目实施过程是否规范有序，资金使用是否安全高效，以及项目是否达到预期的经济效益、社会效益和生态效益等。评价重点围绕资金支出使用全过程及其实施效果展开，具体涵盖项目决策程序的合规性、规划论证的充分性、资金投向的准确性；项目管理制度的健全性、分配管理的合理性、绩效监管的有效性；项目预算执行的及时性、资金使用的合规性；项目目标完成情况、完成时效以及对粮食生产的实际促进作用等方面。</w:t>
      </w:r>
    </w:p>
    <w:p w14:paraId="59E561E4">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rPr>
        <w:t>（三）评价选点。</w:t>
      </w:r>
      <w:r>
        <w:rPr>
          <w:rFonts w:hint="default" w:ascii="仿宋_GB2312" w:hAnsi="仿宋_GB2312" w:eastAsia="仿宋_GB2312" w:cs="仿宋_GB2312"/>
          <w:color w:val="auto"/>
          <w:kern w:val="0"/>
          <w:sz w:val="32"/>
          <w:szCs w:val="32"/>
          <w:highlight w:val="none"/>
          <w:u w:val="none"/>
          <w:shd w:val="clear" w:color="auto" w:fill="FFFFFF"/>
          <w:lang w:val="en-US" w:eastAsia="zh-CN"/>
        </w:rPr>
        <w:t>为确保评价结果的代表性和准确性，项目绩效自评选取了不同粮食生产类型、种植规模和区域特点作为抽样点位。其中，涵盖了</w:t>
      </w:r>
      <w:r>
        <w:rPr>
          <w:rFonts w:hint="eastAsia" w:ascii="仿宋_GB2312" w:hAnsi="仿宋_GB2312" w:eastAsia="仿宋_GB2312" w:cs="仿宋_GB2312"/>
          <w:color w:val="auto"/>
          <w:kern w:val="0"/>
          <w:sz w:val="32"/>
          <w:szCs w:val="32"/>
          <w:highlight w:val="none"/>
          <w:u w:val="none"/>
          <w:shd w:val="clear" w:color="auto" w:fill="FFFFFF"/>
          <w:lang w:val="en-US" w:eastAsia="zh-CN"/>
        </w:rPr>
        <w:t>竹林田、雾子田、石包田</w:t>
      </w:r>
      <w:r>
        <w:rPr>
          <w:rFonts w:hint="default" w:ascii="仿宋_GB2312" w:hAnsi="仿宋_GB2312" w:eastAsia="仿宋_GB2312" w:cs="仿宋_GB2312"/>
          <w:color w:val="auto"/>
          <w:kern w:val="0"/>
          <w:sz w:val="32"/>
          <w:szCs w:val="32"/>
          <w:highlight w:val="none"/>
          <w:u w:val="none"/>
          <w:shd w:val="clear" w:color="auto" w:fill="FFFFFF"/>
          <w:lang w:val="en-US" w:eastAsia="zh-CN"/>
        </w:rPr>
        <w:t>等，通过对这些具有典型性</w:t>
      </w:r>
      <w:r>
        <w:rPr>
          <w:rFonts w:hint="eastAsia" w:ascii="仿宋_GB2312" w:hAnsi="仿宋_GB2312" w:eastAsia="仿宋_GB2312" w:cs="仿宋_GB2312"/>
          <w:color w:val="auto"/>
          <w:kern w:val="0"/>
          <w:sz w:val="32"/>
          <w:szCs w:val="32"/>
          <w:highlight w:val="none"/>
          <w:u w:val="none"/>
          <w:shd w:val="clear" w:color="auto" w:fill="FFFFFF"/>
          <w:lang w:val="en-US" w:eastAsia="zh-CN"/>
        </w:rPr>
        <w:t>基地</w:t>
      </w:r>
      <w:r>
        <w:rPr>
          <w:rFonts w:hint="default" w:ascii="仿宋_GB2312" w:hAnsi="仿宋_GB2312" w:eastAsia="仿宋_GB2312" w:cs="仿宋_GB2312"/>
          <w:color w:val="auto"/>
          <w:kern w:val="0"/>
          <w:sz w:val="32"/>
          <w:szCs w:val="32"/>
          <w:highlight w:val="none"/>
          <w:u w:val="none"/>
          <w:shd w:val="clear" w:color="auto" w:fill="FFFFFF"/>
          <w:lang w:val="en-US" w:eastAsia="zh-CN"/>
        </w:rPr>
        <w:t>的深入评价，全面反映项目在不同条件下的实施效果。</w:t>
      </w:r>
    </w:p>
    <w:p w14:paraId="7196360E">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（四）评价方法。</w:t>
      </w:r>
      <w:r>
        <w:rPr>
          <w:rFonts w:hint="eastAsia" w:ascii="仿宋_GB2312" w:hAnsi="仿宋_GB2312" w:eastAsia="仿宋_GB2312" w:cs="仿宋_GB2312"/>
          <w:color w:val="auto"/>
          <w:kern w:val="0"/>
          <w:sz w:val="32"/>
          <w:szCs w:val="32"/>
          <w:highlight w:val="none"/>
          <w:u w:val="none"/>
          <w:shd w:val="clear" w:color="auto" w:fill="FFFFFF"/>
          <w:lang w:val="en-US" w:eastAsia="zh-CN"/>
        </w:rPr>
        <w:t>根据项目情况和评价重点，综合采用多种评价方法收集相关材料和开展具体评价。运用成本效益分析法，对比项目投入资金与取得的粮食增产增收效益、社会效益和生态效益，评估项目的经济性；采用标杆管理法，将获奖的粮食生产各项指标与全镇平均水平及周边地区先进水平进行对比，衡量其先进性；通过案卷研究法，查阅项目申报、审批、资金拨付等相关文件资料，审查项目程序的合规性；组织单位自评法，对自身项目实施情况进行自我评价，提交自评报告；实施实地勘察法，评价小组深入乡镇田间地头、农业生产设施现场，查看粮食种植实际情况、基础设施建设及使用状况；发放问卷调查法，向种粮农户、乡镇干部等利益相关者了解对项目的满意度和意见建议；开展座谈调研法，组织农业企业、农民合作社等相关主体进行座谈，深入了解项目实施过程中的问题与经验。</w:t>
      </w:r>
    </w:p>
    <w:p w14:paraId="371EEAC9">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（五）评价组织。</w:t>
      </w:r>
      <w:r>
        <w:rPr>
          <w:rFonts w:hint="eastAsia" w:ascii="仿宋_GB2312" w:hAnsi="仿宋_GB2312" w:eastAsia="仿宋_GB2312" w:cs="仿宋_GB2312"/>
          <w:color w:val="auto"/>
          <w:kern w:val="0"/>
          <w:sz w:val="32"/>
          <w:szCs w:val="32"/>
          <w:highlight w:val="none"/>
          <w:u w:val="none"/>
          <w:shd w:val="clear" w:color="auto" w:fill="FFFFFF"/>
          <w:lang w:val="en-US" w:eastAsia="zh-CN"/>
        </w:rPr>
        <w:t>评价组由业务骨干、财务专家、农业技术专家以及第三方评价机构人员组成。其中，主管部门业务骨干负责提供项目背景资料、协调相关工作；财务专家负责审查项目资金管理和使用情况；农业技术专家对粮食生产技术推广、产量质量提升等方面进行专业评估；第三方评价机构人员运用专业评价方法，确保评价过程的独立性和公正性。评价组各成员职责明确，分工协作，共同完成项目绩效自评工作。</w:t>
      </w:r>
    </w:p>
    <w:p w14:paraId="6AF7DB3E">
      <w:pPr>
        <w:keepNext w:val="0"/>
        <w:keepLines w:val="0"/>
        <w:pageBreakBefore w:val="0"/>
        <w:suppressAutoHyphens/>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s="Times New Roman"/>
          <w:color w:val="auto"/>
          <w:sz w:val="32"/>
          <w:szCs w:val="32"/>
          <w:highlight w:val="none"/>
          <w:u w:val="none"/>
          <w:lang w:val="zh-CN"/>
        </w:rPr>
      </w:pPr>
      <w:r>
        <w:rPr>
          <w:rFonts w:hint="eastAsia" w:ascii="黑体" w:hAnsi="宋体" w:eastAsia="黑体" w:cs="Times New Roman"/>
          <w:color w:val="auto"/>
          <w:sz w:val="32"/>
          <w:szCs w:val="32"/>
          <w:highlight w:val="none"/>
          <w:u w:val="none"/>
        </w:rPr>
        <w:t>三、</w:t>
      </w:r>
      <w:r>
        <w:rPr>
          <w:rFonts w:hint="eastAsia" w:ascii="黑体" w:hAnsi="宋体" w:eastAsia="黑体" w:cs="Times New Roman"/>
          <w:color w:val="auto"/>
          <w:sz w:val="32"/>
          <w:szCs w:val="32"/>
          <w:highlight w:val="none"/>
          <w:u w:val="none"/>
          <w:lang w:eastAsia="zh-CN"/>
        </w:rPr>
        <w:t>绩效分析</w:t>
      </w:r>
      <w:r>
        <w:rPr>
          <w:rFonts w:hint="eastAsia" w:ascii="仿宋_GB2312" w:hAnsi="宋体" w:eastAsia="仿宋_GB2312" w:cs="Times New Roman"/>
          <w:color w:val="auto"/>
          <w:sz w:val="32"/>
          <w:szCs w:val="32"/>
          <w:highlight w:val="none"/>
          <w:u w:val="none"/>
          <w:lang w:val="zh-CN"/>
        </w:rPr>
        <w:tab/>
      </w:r>
    </w:p>
    <w:p w14:paraId="5F53F25D">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根据</w:t>
      </w:r>
      <w:r>
        <w:rPr>
          <w:rFonts w:hint="eastAsia" w:ascii="Times New Roman" w:hAnsi="Times New Roman" w:eastAsia="仿宋_GB2312" w:cs="Times New Roman"/>
          <w:sz w:val="32"/>
          <w:szCs w:val="32"/>
          <w:lang w:val="zh-CN" w:eastAsia="zh-CN"/>
        </w:rPr>
        <w:t>项目</w:t>
      </w:r>
      <w:r>
        <w:rPr>
          <w:rFonts w:hint="default" w:ascii="Times New Roman" w:hAnsi="Times New Roman" w:eastAsia="仿宋_GB2312" w:cs="Times New Roman"/>
          <w:sz w:val="32"/>
          <w:szCs w:val="32"/>
          <w:lang w:val="zh-CN" w:eastAsia="zh-CN"/>
        </w:rPr>
        <w:t>预算绩效评价指标体系“</w:t>
      </w:r>
      <w:r>
        <w:rPr>
          <w:rFonts w:hint="eastAsia" w:ascii="Times New Roman" w:hAnsi="Times New Roman" w:eastAsia="仿宋_GB2312" w:cs="Times New Roman"/>
          <w:sz w:val="32"/>
          <w:szCs w:val="32"/>
          <w:lang w:val="zh-CN" w:eastAsia="zh-CN"/>
        </w:rPr>
        <w:t>通用指标</w:t>
      </w:r>
      <w:r>
        <w:rPr>
          <w:rFonts w:hint="default" w:ascii="Times New Roman" w:hAnsi="Times New Roman" w:eastAsia="仿宋_GB2312" w:cs="Times New Roman"/>
          <w:sz w:val="32"/>
          <w:szCs w:val="32"/>
          <w:lang w:val="zh-CN" w:eastAsia="zh-CN"/>
        </w:rPr>
        <w:t>”</w:t>
      </w:r>
      <w:r>
        <w:rPr>
          <w:rFonts w:hint="eastAsia" w:ascii="Times New Roman" w:hAnsi="Times New Roman" w:eastAsia="仿宋_GB2312" w:cs="Times New Roman"/>
          <w:sz w:val="32"/>
          <w:szCs w:val="32"/>
          <w:lang w:val="zh-CN" w:eastAsia="zh-CN"/>
        </w:rPr>
        <w:t>“专用指标”“个性指标”</w:t>
      </w:r>
      <w:r>
        <w:rPr>
          <w:rFonts w:hint="default" w:ascii="Times New Roman" w:hAnsi="Times New Roman" w:eastAsia="仿宋_GB2312" w:cs="Times New Roman"/>
          <w:sz w:val="32"/>
          <w:szCs w:val="32"/>
          <w:lang w:val="zh-CN" w:eastAsia="zh-CN"/>
        </w:rPr>
        <w:t>涉及</w:t>
      </w:r>
      <w:r>
        <w:rPr>
          <w:rFonts w:hint="eastAsia" w:ascii="Times New Roman" w:hAnsi="Times New Roman" w:eastAsia="仿宋_GB2312" w:cs="Times New Roman"/>
          <w:sz w:val="32"/>
          <w:szCs w:val="32"/>
          <w:lang w:val="zh-CN" w:eastAsia="zh-CN"/>
        </w:rPr>
        <w:t>二、三级</w:t>
      </w:r>
      <w:r>
        <w:rPr>
          <w:rFonts w:hint="default" w:ascii="Times New Roman" w:hAnsi="Times New Roman" w:eastAsia="仿宋_GB2312" w:cs="Times New Roman"/>
          <w:sz w:val="32"/>
          <w:szCs w:val="32"/>
          <w:lang w:val="zh-CN" w:eastAsia="zh-CN"/>
        </w:rPr>
        <w:t>指标进行</w:t>
      </w:r>
      <w:r>
        <w:rPr>
          <w:rFonts w:hint="eastAsia" w:ascii="Times New Roman" w:hAnsi="Times New Roman" w:eastAsia="仿宋_GB2312" w:cs="Times New Roman"/>
          <w:sz w:val="32"/>
          <w:szCs w:val="32"/>
          <w:lang w:val="zh-CN" w:eastAsia="zh-CN"/>
        </w:rPr>
        <w:t>逐项</w:t>
      </w:r>
      <w:r>
        <w:rPr>
          <w:rFonts w:hint="default" w:ascii="Times New Roman" w:hAnsi="Times New Roman" w:eastAsia="仿宋_GB2312" w:cs="Times New Roman"/>
          <w:sz w:val="32"/>
          <w:szCs w:val="32"/>
          <w:lang w:val="zh-CN" w:eastAsia="zh-CN"/>
        </w:rPr>
        <w:t>绩效分析</w:t>
      </w:r>
      <w:r>
        <w:rPr>
          <w:rFonts w:hint="eastAsia" w:ascii="Times New Roman" w:hAnsi="Times New Roman" w:eastAsia="仿宋_GB2312" w:cs="Times New Roman"/>
          <w:sz w:val="32"/>
          <w:szCs w:val="32"/>
          <w:lang w:val="zh-CN" w:eastAsia="zh-CN"/>
        </w:rPr>
        <w:t>并评分</w:t>
      </w:r>
      <w:r>
        <w:rPr>
          <w:rFonts w:hint="eastAsia" w:ascii="Times New Roman" w:hAnsi="Times New Roman" w:eastAsia="仿宋_GB2312" w:cs="Times New Roman"/>
          <w:sz w:val="32"/>
          <w:szCs w:val="32"/>
          <w:lang w:val="en-US" w:eastAsia="zh-CN"/>
        </w:rPr>
        <w:t>。</w:t>
      </w:r>
    </w:p>
    <w:p w14:paraId="47EE8CFE">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772CD79D">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Times New Roman" w:hAnsi="Times New Roman" w:eastAsia="仿宋_GB2312" w:cs="Times New Roman"/>
          <w:sz w:val="32"/>
          <w:szCs w:val="32"/>
          <w:lang w:val="zh-CN" w:eastAsia="zh-CN"/>
        </w:rPr>
        <w:t>项目决策程序严格遵循相关政策文件规定，经过充分的调研论证，结合本地区粮食生产实际情况制定实施方案，决策程序合规。在规划论证方面，对粮食生产的发展趋势、需求等进行了深入分析，规划具有前瞻性和可行性。资金投向明确，重点支持粮食生产关键环节。</w:t>
      </w:r>
    </w:p>
    <w:p w14:paraId="34BF8D63">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 xml:space="preserve">2. </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sz w:val="32"/>
          <w:szCs w:val="32"/>
          <w:lang w:val="zh-CN" w:eastAsia="zh-CN"/>
        </w:rPr>
        <w:t>制定了完善的项目管理制度和资金管理办法，制度体系较为健全。在分配管理上，依据科学合理的分配原则和量化考核指标进行资金分配，过程公平公正。绩效监管方面，建立了定期检查和不定期抽查相结合的监督机制，对项目实施全过程进行跟踪监管。</w:t>
      </w:r>
    </w:p>
    <w:p w14:paraId="7D648E01">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en-US" w:eastAsia="zh-CN"/>
        </w:rPr>
      </w:pPr>
      <w:r>
        <w:rPr>
          <w:rFonts w:hint="eastAsia" w:ascii="楷体_GB2312" w:hAnsi="楷体_GB2312" w:eastAsia="楷体_GB2312" w:cs="楷体_GB2312"/>
          <w:color w:val="auto"/>
          <w:sz w:val="32"/>
          <w:szCs w:val="32"/>
          <w:lang w:val="en-US" w:eastAsia="zh-CN"/>
        </w:rPr>
        <w:t>3. 项目实施。</w:t>
      </w:r>
      <w:r>
        <w:rPr>
          <w:rFonts w:hint="eastAsia" w:ascii="Times New Roman" w:hAnsi="Times New Roman" w:eastAsia="仿宋_GB2312" w:cs="Times New Roman"/>
          <w:sz w:val="32"/>
          <w:szCs w:val="32"/>
          <w:lang w:val="en-US" w:eastAsia="zh-CN"/>
        </w:rPr>
        <w:t>预算执行方面，能够按照项目进度及时使用资金，资金拨付率达到98% 以上。资金使用严格按照规定用途，无截留、挪用现象，使用合规性较好。</w:t>
      </w:r>
    </w:p>
    <w:p w14:paraId="086C24A8">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en-US" w:eastAsia="zh-CN"/>
        </w:rPr>
      </w:pPr>
      <w:r>
        <w:rPr>
          <w:rFonts w:hint="eastAsia" w:ascii="楷体_GB2312" w:hAnsi="楷体_GB2312" w:eastAsia="楷体_GB2312" w:cs="楷体_GB2312"/>
          <w:color w:val="auto"/>
          <w:sz w:val="32"/>
          <w:szCs w:val="32"/>
          <w:lang w:val="en-US" w:eastAsia="zh-CN"/>
        </w:rPr>
        <w:t>4. 项目结果。</w:t>
      </w:r>
      <w:r>
        <w:rPr>
          <w:rFonts w:hint="eastAsia" w:ascii="Times New Roman" w:hAnsi="Times New Roman" w:eastAsia="仿宋_GB2312" w:cs="Times New Roman"/>
          <w:sz w:val="32"/>
          <w:szCs w:val="32"/>
          <w:lang w:val="en-US" w:eastAsia="zh-CN"/>
        </w:rPr>
        <w:t>目标完成方面，通过奖补资金的激励，大部分完成了预定的粮食种植面积和产量增长目标，目标完成率达到 98% 以上。完成时效上，项目整体能够在规定时间内完成各项工作任务。</w:t>
      </w:r>
    </w:p>
    <w:p w14:paraId="5A9CAA8A">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专项资金资金支持对象选择所属指标进行绩效分析。支持对象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4544E446">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1. 产业发展。</w:t>
      </w:r>
      <w:r>
        <w:rPr>
          <w:rFonts w:hint="eastAsia" w:ascii="Times New Roman" w:hAnsi="Times New Roman" w:eastAsia="仿宋_GB2312" w:cs="Times New Roman"/>
          <w:color w:val="auto"/>
          <w:sz w:val="32"/>
          <w:szCs w:val="32"/>
          <w:lang w:val="zh-CN" w:eastAsia="zh-CN"/>
        </w:rPr>
        <w:t>在符合性方面，奖补的粮食生产项目均符合国家和地方粮食产业发展政策导向。成长性上，通过项目实施，粮食种植规模不断扩大，新型农业经营主体数量增加，产业发展态势良好。经济性方面，粮食产量和质量的提升带来了显著的经济效益，农民种粮收入增加。</w:t>
      </w:r>
    </w:p>
    <w:p w14:paraId="4CB660C2">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 xml:space="preserve">2. </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val="zh-CN" w:eastAsia="zh-CN"/>
        </w:rPr>
        <w:t>区域均衡性上，奖补资金覆盖不同区域的乡镇</w:t>
      </w:r>
      <w:r>
        <w:rPr>
          <w:rFonts w:hint="eastAsia" w:ascii="Times New Roman" w:hAnsi="Times New Roman" w:eastAsia="仿宋_GB2312" w:cs="Times New Roman"/>
          <w:color w:val="auto"/>
          <w:sz w:val="32"/>
          <w:szCs w:val="32"/>
          <w:lang w:val="en-US" w:eastAsia="zh-CN"/>
        </w:rPr>
        <w:t>地方</w:t>
      </w:r>
      <w:r>
        <w:rPr>
          <w:rFonts w:hint="eastAsia" w:ascii="Times New Roman" w:hAnsi="Times New Roman" w:eastAsia="仿宋_GB2312" w:cs="Times New Roman"/>
          <w:color w:val="auto"/>
          <w:sz w:val="32"/>
          <w:szCs w:val="32"/>
          <w:lang w:val="zh-CN" w:eastAsia="zh-CN"/>
        </w:rPr>
        <w:t>，促进了区域间粮食生产的协调发展。对象精准性较高，奖补对象均为在粮食生产工作中表现突出的</w:t>
      </w:r>
      <w:r>
        <w:rPr>
          <w:rFonts w:hint="eastAsia" w:ascii="Times New Roman" w:hAnsi="Times New Roman" w:eastAsia="仿宋_GB2312" w:cs="Times New Roman"/>
          <w:color w:val="auto"/>
          <w:sz w:val="32"/>
          <w:szCs w:val="32"/>
          <w:lang w:val="en-US" w:eastAsia="zh-CN"/>
        </w:rPr>
        <w:t>企业</w:t>
      </w:r>
      <w:r>
        <w:rPr>
          <w:rFonts w:hint="eastAsia" w:ascii="Times New Roman" w:hAnsi="Times New Roman" w:eastAsia="仿宋_GB2312" w:cs="Times New Roman"/>
          <w:color w:val="auto"/>
          <w:sz w:val="32"/>
          <w:szCs w:val="32"/>
          <w:lang w:val="zh-CN" w:eastAsia="zh-CN"/>
        </w:rPr>
        <w:t xml:space="preserve">。标准合理性方面，奖补标准根据粮食生产各项指标科学制定，具有合理性。群众满意度通过问卷调查显示，达到 </w:t>
      </w:r>
      <w:r>
        <w:rPr>
          <w:rFonts w:hint="eastAsia" w:ascii="Times New Roman" w:hAnsi="Times New Roman" w:eastAsia="仿宋_GB2312" w:cs="Times New Roman"/>
          <w:color w:val="auto"/>
          <w:sz w:val="32"/>
          <w:szCs w:val="32"/>
          <w:lang w:val="en-US" w:eastAsia="zh-CN"/>
        </w:rPr>
        <w:t>98</w:t>
      </w:r>
      <w:r>
        <w:rPr>
          <w:rFonts w:hint="eastAsia" w:ascii="Times New Roman" w:hAnsi="Times New Roman" w:eastAsia="仿宋_GB2312" w:cs="Times New Roman"/>
          <w:color w:val="auto"/>
          <w:sz w:val="32"/>
          <w:szCs w:val="32"/>
          <w:lang w:val="zh-CN" w:eastAsia="zh-CN"/>
        </w:rPr>
        <w:t>% 以上。</w:t>
      </w:r>
    </w:p>
    <w:p w14:paraId="32DCD826">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3. 基础设施。</w:t>
      </w:r>
      <w:r>
        <w:rPr>
          <w:rFonts w:hint="eastAsia" w:ascii="Times New Roman" w:hAnsi="Times New Roman" w:eastAsia="仿宋_GB2312" w:cs="Times New Roman"/>
          <w:color w:val="auto"/>
          <w:sz w:val="32"/>
          <w:szCs w:val="32"/>
          <w:lang w:val="zh-CN" w:eastAsia="zh-CN"/>
        </w:rPr>
        <w:t>资金拨付及时，保障了项目建设顺利进行。建成项目均通过验收，设施功能实现良好，后续管护责任明确，运行状况良好。</w:t>
      </w:r>
    </w:p>
    <w:p w14:paraId="1DEEB13D">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 xml:space="preserve">4. </w:t>
      </w:r>
      <w:r>
        <w:rPr>
          <w:rFonts w:hint="eastAsia" w:ascii="楷体_GB2312" w:hAnsi="楷体_GB2312" w:eastAsia="楷体_GB2312" w:cs="楷体_GB2312"/>
          <w:color w:val="auto"/>
          <w:sz w:val="32"/>
          <w:szCs w:val="32"/>
          <w:lang w:val="zh-CN" w:eastAsia="zh-CN"/>
        </w:rPr>
        <w:t>行政运转。</w:t>
      </w:r>
      <w:r>
        <w:rPr>
          <w:rFonts w:hint="eastAsia" w:ascii="Times New Roman" w:hAnsi="Times New Roman" w:eastAsia="仿宋_GB2312" w:cs="Times New Roman"/>
          <w:color w:val="auto"/>
          <w:sz w:val="32"/>
          <w:szCs w:val="32"/>
          <w:lang w:val="zh-CN" w:eastAsia="zh-CN"/>
        </w:rPr>
        <w:t>项目资金用途严格按照规定执行，用于粮食生产相关工作，用途合规性好。程序合规性方面，从申报到资金发放，各环节严格履行审批程序。标准合规性上，各项支出符合相关财务标准和规定。</w:t>
      </w:r>
    </w:p>
    <w:p w14:paraId="6B477484">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 xml:space="preserve">根据项目个性，设定了如粮食生产技术创新推广数量、农田基础设施改善面积等个性指标。经评价，在粮食生产技术创新推广方面，共引进和推广新技术 </w:t>
      </w:r>
      <w:r>
        <w:rPr>
          <w:rFonts w:hint="eastAsia" w:ascii="Times New Roman" w:hAnsi="Times New Roman" w:eastAsia="仿宋_GB2312" w:cs="Times New Roman"/>
          <w:color w:val="auto"/>
          <w:sz w:val="32"/>
          <w:szCs w:val="32"/>
          <w:lang w:val="en-US" w:eastAsia="zh-CN"/>
        </w:rPr>
        <w:t>21</w:t>
      </w:r>
      <w:r>
        <w:rPr>
          <w:rFonts w:hint="eastAsia" w:ascii="Times New Roman" w:hAnsi="Times New Roman" w:eastAsia="仿宋_GB2312" w:cs="Times New Roman"/>
          <w:color w:val="auto"/>
          <w:sz w:val="32"/>
          <w:szCs w:val="32"/>
          <w:lang w:val="zh-CN" w:eastAsia="zh-CN"/>
        </w:rPr>
        <w:t xml:space="preserve">项，有效提高了粮食生产效率。农田基础设施改善面积达到 </w:t>
      </w:r>
      <w:r>
        <w:rPr>
          <w:rFonts w:hint="eastAsia" w:ascii="Times New Roman" w:hAnsi="Times New Roman" w:eastAsia="仿宋_GB2312" w:cs="Times New Roman"/>
          <w:color w:val="auto"/>
          <w:sz w:val="32"/>
          <w:szCs w:val="32"/>
          <w:lang w:val="en-US" w:eastAsia="zh-CN"/>
        </w:rPr>
        <w:t>100</w:t>
      </w:r>
      <w:r>
        <w:rPr>
          <w:rFonts w:hint="eastAsia" w:ascii="Times New Roman" w:hAnsi="Times New Roman" w:eastAsia="仿宋_GB2312" w:cs="Times New Roman"/>
          <w:color w:val="auto"/>
          <w:sz w:val="32"/>
          <w:szCs w:val="32"/>
          <w:lang w:val="zh-CN" w:eastAsia="zh-CN"/>
        </w:rPr>
        <w:t>亩，改善了粮食生产条件，这些个性指标均较好地完成了预定目标。</w:t>
      </w:r>
    </w:p>
    <w:p w14:paraId="7CD839A4">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en-US" w:bidi="ar-SA"/>
        </w:rPr>
      </w:pPr>
      <w:r>
        <w:rPr>
          <w:rFonts w:hint="eastAsia" w:ascii="黑体" w:hAnsi="宋体" w:eastAsia="黑体" w:cs="Times New Roman"/>
          <w:color w:val="auto"/>
          <w:kern w:val="0"/>
          <w:position w:val="3"/>
          <w:sz w:val="32"/>
          <w:szCs w:val="32"/>
          <w:highlight w:val="none"/>
          <w:u w:val="none"/>
          <w:lang w:val="en-US" w:eastAsia="zh-CN" w:bidi="ar-SA"/>
        </w:rPr>
        <w:t>四</w:t>
      </w:r>
      <w:r>
        <w:rPr>
          <w:rFonts w:hint="eastAsia" w:ascii="黑体" w:hAnsi="宋体" w:eastAsia="黑体" w:cs="Times New Roman"/>
          <w:color w:val="auto"/>
          <w:kern w:val="0"/>
          <w:position w:val="3"/>
          <w:sz w:val="32"/>
          <w:szCs w:val="32"/>
          <w:highlight w:val="none"/>
          <w:u w:val="none"/>
          <w:lang w:val="en-US" w:eastAsia="en-US" w:bidi="ar-SA"/>
        </w:rPr>
        <w:t>、评价结论</w:t>
      </w:r>
    </w:p>
    <w:p w14:paraId="3D0B2BF9">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en-US" w:eastAsia="zh-CN" w:bidi="ar-SA"/>
        </w:rPr>
      </w:pPr>
      <w:r>
        <w:rPr>
          <w:rFonts w:hint="eastAsia" w:ascii="Times New Roman" w:hAnsi="Times New Roman" w:eastAsia="仿宋_GB2312" w:cs="Times New Roman"/>
          <w:color w:val="auto"/>
          <w:kern w:val="2"/>
          <w:position w:val="0"/>
          <w:sz w:val="32"/>
          <w:szCs w:val="32"/>
          <w:lang w:val="zh-CN" w:eastAsia="zh-CN" w:bidi="ar-SA"/>
        </w:rPr>
        <w:t>经综合评价，种粮先进乡镇奖补资金专项资金项目实施总体情况良好。通过奖补资金的投入，有效激发了发展粮食生产的积极性，粮食种植面积和产量实现了一定增长，农业技术得到推广应用，农田基础设施得到改善，取得了较好的经济效益、社会效益和生态效益。但在项目实施过程中，仍存在资金使用进度缓慢等问题，需要进一步加强管理和督促。</w:t>
      </w:r>
    </w:p>
    <w:p w14:paraId="383C7011">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黑体" w:hAnsi="宋体" w:eastAsia="黑体" w:cs="Times New Roman"/>
          <w:color w:val="auto"/>
          <w:kern w:val="0"/>
          <w:position w:val="3"/>
          <w:sz w:val="32"/>
          <w:szCs w:val="32"/>
          <w:highlight w:val="none"/>
          <w:u w:val="none"/>
          <w:lang w:val="en-US" w:eastAsia="zh-CN" w:bidi="ar-SA"/>
        </w:rPr>
        <w:t>五、存在主要问题</w:t>
      </w:r>
    </w:p>
    <w:p w14:paraId="5135E555">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en-US" w:eastAsia="zh-CN" w:bidi="ar-SA"/>
        </w:rPr>
      </w:pPr>
      <w:r>
        <w:rPr>
          <w:rFonts w:hint="eastAsia" w:ascii="Times New Roman" w:hAnsi="Times New Roman" w:eastAsia="仿宋_GB2312" w:cs="Times New Roman"/>
          <w:color w:val="auto"/>
          <w:kern w:val="2"/>
          <w:position w:val="0"/>
          <w:sz w:val="32"/>
          <w:szCs w:val="32"/>
          <w:lang w:val="zh-CN" w:eastAsia="zh-CN" w:bidi="ar-SA"/>
        </w:rPr>
        <w:t>对奖补资金的使用规划不够合理，导致资金使用进度滞后，影响项目实施效果。项目绩效跟踪监测机制有待进一步完善，对一些项目实施过程中的动态问题未能及时发现和解决。</w:t>
      </w:r>
    </w:p>
    <w:p w14:paraId="00E0254D">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56B8E6B1">
      <w:pPr>
        <w:numPr>
          <w:ilvl w:val="0"/>
          <w:numId w:val="0"/>
        </w:numPr>
        <w:suppressAutoHyphens/>
        <w:bidi w:val="0"/>
        <w:snapToGrid w:val="0"/>
        <w:spacing w:line="600" w:lineRule="exact"/>
        <w:rPr>
          <w:rFonts w:hint="default" w:ascii="仿宋" w:hAnsi="仿宋" w:eastAsia="仿宋" w:cs="仿宋"/>
          <w:b w:val="0"/>
          <w:bCs w:val="0"/>
          <w:sz w:val="3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eastAsia="仿宋_GB2312" w:cs="仿宋_GB2312"/>
          <w:b w:val="0"/>
          <w:bCs w:val="0"/>
          <w:kern w:val="0"/>
          <w:position w:val="0"/>
          <w:sz w:val="32"/>
          <w:szCs w:val="32"/>
          <w:highlight w:val="none"/>
          <w:lang w:val="en-US" w:eastAsia="zh-CN" w:bidi="ar-SA"/>
        </w:rPr>
        <w:t xml:space="preserve">  </w:t>
      </w:r>
      <w:r>
        <w:rPr>
          <w:rFonts w:hint="eastAsia" w:ascii="Times New Roman" w:hAnsi="Times New Roman" w:eastAsia="仿宋_GB2312" w:cs="Times New Roman"/>
          <w:color w:val="auto"/>
          <w:kern w:val="2"/>
          <w:position w:val="0"/>
          <w:sz w:val="32"/>
          <w:szCs w:val="32"/>
          <w:lang w:val="en-US" w:eastAsia="zh-CN" w:bidi="ar-SA"/>
        </w:rPr>
        <w:t xml:space="preserve"> </w:t>
      </w:r>
      <w:r>
        <w:rPr>
          <w:rFonts w:hint="eastAsia" w:ascii="Times New Roman" w:hAnsi="Times New Roman" w:eastAsia="仿宋_GB2312" w:cs="Times New Roman"/>
          <w:color w:val="auto"/>
          <w:kern w:val="2"/>
          <w:position w:val="0"/>
          <w:sz w:val="32"/>
          <w:szCs w:val="32"/>
          <w:lang w:val="zh-CN" w:eastAsia="zh-CN" w:bidi="ar-SA"/>
        </w:rPr>
        <w:t>加强对乡镇的培训和指导，帮助其科学合理制定奖补资金使用计划，根据项目实施进度合理安排资金支出，确保资金及时、高效使用。同时，建立资金使用进度预警机制，对资金使用缓慢的乡镇进行重点督促和跟踪。健全项目绩效跟踪监测体系，增加监测频率和范围，及时掌握项目实施动态。建立问题反馈和解决机制，对监测发现的问题及时督促整改，确保项目顺利实施。</w:t>
      </w: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9"/>
        <w:gridCol w:w="699"/>
        <w:gridCol w:w="457"/>
        <w:gridCol w:w="696"/>
        <w:gridCol w:w="697"/>
        <w:gridCol w:w="1271"/>
        <w:gridCol w:w="2843"/>
        <w:gridCol w:w="588"/>
        <w:gridCol w:w="567"/>
      </w:tblGrid>
      <w:tr w14:paraId="2AC0F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000" w:type="pct"/>
            <w:gridSpan w:val="9"/>
            <w:tcBorders>
              <w:top w:val="nil"/>
              <w:left w:val="nil"/>
              <w:bottom w:val="nil"/>
              <w:right w:val="nil"/>
            </w:tcBorders>
            <w:shd w:val="clear" w:color="auto" w:fill="auto"/>
            <w:vAlign w:val="center"/>
          </w:tcPr>
          <w:p w14:paraId="1F419C9A">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8"/>
                <w:szCs w:val="48"/>
                <w:u w:val="none"/>
              </w:rPr>
            </w:pPr>
            <w:r>
              <w:rPr>
                <w:rFonts w:hint="eastAsia" w:ascii="黑体" w:hAnsi="黑体" w:eastAsia="黑体" w:cs="黑体"/>
                <w:i w:val="0"/>
                <w:iCs w:val="0"/>
                <w:color w:val="000000"/>
                <w:kern w:val="0"/>
                <w:sz w:val="48"/>
                <w:szCs w:val="48"/>
                <w:u w:val="none"/>
                <w:lang w:val="en-US" w:eastAsia="zh-CN" w:bidi="ar"/>
              </w:rPr>
              <w:t>专项资金绩效自评打分表</w:t>
            </w:r>
          </w:p>
        </w:tc>
      </w:tr>
      <w:tr w14:paraId="7BAB5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06" w:type="pct"/>
            <w:gridSpan w:val="5"/>
            <w:tcBorders>
              <w:top w:val="single" w:color="000000" w:sz="4" w:space="0"/>
              <w:left w:val="single" w:color="000000" w:sz="4" w:space="0"/>
              <w:bottom w:val="nil"/>
              <w:right w:val="nil"/>
            </w:tcBorders>
            <w:shd w:val="clear" w:color="auto" w:fill="auto"/>
            <w:vAlign w:val="center"/>
          </w:tcPr>
          <w:p w14:paraId="2E7CD1A2">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绩效评价指标</w:t>
            </w:r>
          </w:p>
        </w:tc>
        <w:tc>
          <w:tcPr>
            <w:tcW w:w="7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9859B">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指标解释</w:t>
            </w:r>
          </w:p>
        </w:tc>
        <w:tc>
          <w:tcPr>
            <w:tcW w:w="16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2AA9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评分说明</w:t>
            </w:r>
          </w:p>
        </w:tc>
        <w:tc>
          <w:tcPr>
            <w:tcW w:w="3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F7B90">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自评得分</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E09C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7626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3DFD0">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一级指标</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EAF7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二级指标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C0F1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三级指标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C56B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分值</w:t>
            </w: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67FEC">
            <w:pPr>
              <w:jc w:val="center"/>
              <w:rPr>
                <w:rFonts w:hint="eastAsia" w:ascii="黑体" w:hAnsi="宋体" w:eastAsia="黑体" w:cs="黑体"/>
                <w:i w:val="0"/>
                <w:iCs w:val="0"/>
                <w:color w:val="000000"/>
                <w:sz w:val="24"/>
                <w:szCs w:val="24"/>
                <w:u w:val="none"/>
              </w:rPr>
            </w:pPr>
          </w:p>
        </w:tc>
        <w:tc>
          <w:tcPr>
            <w:tcW w:w="16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5D03E">
            <w:pPr>
              <w:jc w:val="center"/>
              <w:rPr>
                <w:rFonts w:hint="eastAsia" w:ascii="黑体" w:hAnsi="宋体" w:eastAsia="黑体" w:cs="黑体"/>
                <w:i w:val="0"/>
                <w:iCs w:val="0"/>
                <w:color w:val="000000"/>
                <w:sz w:val="24"/>
                <w:szCs w:val="24"/>
                <w:u w:val="none"/>
              </w:rPr>
            </w:pPr>
          </w:p>
        </w:tc>
        <w:tc>
          <w:tcPr>
            <w:tcW w:w="3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01E00">
            <w:pPr>
              <w:jc w:val="center"/>
              <w:rPr>
                <w:rFonts w:hint="eastAsia" w:ascii="黑体" w:hAnsi="宋体" w:eastAsia="黑体" w:cs="黑体"/>
                <w:i w:val="0"/>
                <w:iCs w:val="0"/>
                <w:color w:val="000000"/>
                <w:sz w:val="24"/>
                <w:szCs w:val="24"/>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95F34">
            <w:pPr>
              <w:jc w:val="center"/>
              <w:rPr>
                <w:rFonts w:hint="eastAsia" w:ascii="黑体" w:hAnsi="宋体" w:eastAsia="黑体" w:cs="黑体"/>
                <w:i w:val="0"/>
                <w:iCs w:val="0"/>
                <w:color w:val="000000"/>
                <w:sz w:val="24"/>
                <w:szCs w:val="24"/>
                <w:u w:val="none"/>
              </w:rPr>
            </w:pPr>
          </w:p>
        </w:tc>
      </w:tr>
      <w:tr w14:paraId="61792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B820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通用指标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（54分）</w:t>
            </w: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1277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项目决策</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（18分）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15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决策程序</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7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B22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项目决策程序是否严密</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CD8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项目设立、调整延续等方面是否符合资金管理基本规范和决策程序要求，发现一处不符合的扣3分，扣完为止。</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9AE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17FAC">
            <w:pPr>
              <w:jc w:val="center"/>
              <w:rPr>
                <w:rFonts w:hint="eastAsia" w:ascii="宋体" w:hAnsi="宋体" w:eastAsia="宋体" w:cs="宋体"/>
                <w:i w:val="0"/>
                <w:iCs w:val="0"/>
                <w:color w:val="000000"/>
                <w:sz w:val="24"/>
                <w:szCs w:val="24"/>
                <w:u w:val="none"/>
              </w:rPr>
            </w:pPr>
          </w:p>
        </w:tc>
      </w:tr>
      <w:tr w14:paraId="6220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A2877">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087C5">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2F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规划论证</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3E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EA1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项目规划论证是否符合中省要求，项目绩效目标设置是否科学合理</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5A0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1.项目规划符合</w:t>
            </w:r>
            <w:r>
              <w:rPr>
                <w:rFonts w:hint="eastAsia" w:ascii="宋体" w:hAnsi="宋体" w:cs="宋体"/>
                <w:i w:val="0"/>
                <w:iCs w:val="0"/>
                <w:color w:val="000000"/>
                <w:kern w:val="0"/>
                <w:sz w:val="24"/>
                <w:szCs w:val="24"/>
                <w:u w:val="none"/>
                <w:lang w:val="en-US" w:eastAsia="zh-CN" w:bidi="ar"/>
              </w:rPr>
              <w:t>中央、省委</w:t>
            </w:r>
            <w:r>
              <w:rPr>
                <w:rFonts w:hint="eastAsia" w:ascii="宋体" w:hAnsi="宋体" w:eastAsia="宋体" w:cs="宋体"/>
                <w:i w:val="0"/>
                <w:iCs w:val="0"/>
                <w:color w:val="000000"/>
                <w:kern w:val="0"/>
                <w:sz w:val="24"/>
                <w:szCs w:val="24"/>
                <w:u w:val="none"/>
                <w:lang w:val="en-US" w:eastAsia="zh-CN" w:bidi="ar"/>
              </w:rPr>
              <w:t>、市有关决策部署安排，得1分；充分评估论证项目立项必要性、前瞻性、合理性和可行性，得3分。否则该项不得分。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项目总体绩效目标设置合理性的偏离度≤15%，得2分；30%≥偏离度＞15%，得1分；偏离度＞30%，不得分。绩效目标是否科学合理、规范完整、量化细化、预算匹配。总体绩效目标设置合理性为绩效目标设置合理的数量与绩效目标总数的比例。</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70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3B863">
            <w:pPr>
              <w:jc w:val="center"/>
              <w:rPr>
                <w:rFonts w:hint="eastAsia" w:ascii="宋体" w:hAnsi="宋体" w:eastAsia="宋体" w:cs="宋体"/>
                <w:i w:val="0"/>
                <w:iCs w:val="0"/>
                <w:color w:val="000000"/>
                <w:sz w:val="24"/>
                <w:szCs w:val="24"/>
                <w:u w:val="none"/>
              </w:rPr>
            </w:pPr>
          </w:p>
        </w:tc>
      </w:tr>
      <w:tr w14:paraId="466DC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0B809">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DA2B5">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6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资金投向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25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92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项目资金是否与项目总体规划、相关行业事业发展相匹配，是否聚焦重大任务、重点领域、重点环节和重点项目</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D2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属于政府支持范围，且符合财政事权支出责任划分规定，得1分；资金投向与项目总体规划、相关行业事业发展相匹配，得1分；聚焦重大任务、重点领域、重点环节和重点项目，体现“集中财力办大事”原则，避免“撒胡椒面”，得3分；未与其他同类项目或部门内部相关项目交叉重复，得1分。否则该项不得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C8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3ED12">
            <w:pPr>
              <w:jc w:val="center"/>
              <w:rPr>
                <w:rFonts w:hint="eastAsia" w:ascii="宋体" w:hAnsi="宋体" w:eastAsia="宋体" w:cs="宋体"/>
                <w:i w:val="0"/>
                <w:iCs w:val="0"/>
                <w:color w:val="000000"/>
                <w:sz w:val="24"/>
                <w:szCs w:val="24"/>
                <w:u w:val="none"/>
              </w:rPr>
            </w:pPr>
          </w:p>
        </w:tc>
      </w:tr>
      <w:tr w14:paraId="0AE2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7D2C0">
            <w:pPr>
              <w:jc w:val="center"/>
              <w:rPr>
                <w:rFonts w:hint="eastAsia" w:ascii="宋体" w:hAnsi="宋体" w:eastAsia="宋体" w:cs="宋体"/>
                <w:b/>
                <w:bCs/>
                <w:i w:val="0"/>
                <w:iCs w:val="0"/>
                <w:color w:val="000000"/>
                <w:sz w:val="24"/>
                <w:szCs w:val="24"/>
                <w:u w:val="none"/>
              </w:rPr>
            </w:pP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A52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（18分）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BE6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制度办法</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6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D41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项目制度办法是否体系健全、要素完备</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C5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资金管理办法等管理制度体系健全完善，不存在管理制度缺失、管理办法过期情况，得2分。否则该项不得分。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531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98E5F">
            <w:pPr>
              <w:jc w:val="center"/>
              <w:rPr>
                <w:rFonts w:hint="eastAsia" w:ascii="宋体" w:hAnsi="宋体" w:eastAsia="宋体" w:cs="宋体"/>
                <w:i w:val="0"/>
                <w:iCs w:val="0"/>
                <w:color w:val="000000"/>
                <w:sz w:val="24"/>
                <w:szCs w:val="24"/>
                <w:u w:val="none"/>
              </w:rPr>
            </w:pPr>
          </w:p>
        </w:tc>
      </w:tr>
      <w:tr w14:paraId="40DC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30AB">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F680D">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7D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分配管理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6B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E11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项目资金分配因素选取、权重设置、区域分布，项目管理、审批是否符合管理要求</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388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因素分配法：资金分配因素选取充分考虑相关行业事业发展实际和发展需求，得2分；资金分配因素的权重设置有效突出项目实施重点，得2分；资金区域分布结果公平合理，得2分。项目分配法：建设项目储备库，得2分；实行入库项目动态管理、推动资金竞争性分配，得2分；明确项目申报审核程序，按规定程序履行项目审批，得2分。其他分配法：资金分配依据充分合理，得6分。否则该项不得分。如涉及多种分配法，按相应资金量的权重进行测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2.资金分配是否严格按管理办法执行，决策程序是否符合管理要求，及时高效，得4分。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45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2A4B">
            <w:pPr>
              <w:jc w:val="center"/>
              <w:rPr>
                <w:rFonts w:hint="eastAsia" w:ascii="宋体" w:hAnsi="宋体" w:eastAsia="宋体" w:cs="宋体"/>
                <w:i w:val="0"/>
                <w:iCs w:val="0"/>
                <w:color w:val="000000"/>
                <w:sz w:val="24"/>
                <w:szCs w:val="24"/>
                <w:u w:val="none"/>
              </w:rPr>
            </w:pPr>
          </w:p>
        </w:tc>
      </w:tr>
      <w:tr w14:paraId="3DB3A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910FF">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DE214">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76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绩效监管</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38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04F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管资金、项目、政策是否管绩效，项目绩效监管是否按要求开展，对下指导是否有力有效</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3FD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项目是否按</w:t>
            </w:r>
            <w:r>
              <w:rPr>
                <w:rFonts w:hint="eastAsia" w:ascii="宋体" w:hAnsi="宋体" w:cs="宋体"/>
                <w:i w:val="0"/>
                <w:iCs w:val="0"/>
                <w:color w:val="000000"/>
                <w:kern w:val="0"/>
                <w:sz w:val="24"/>
                <w:szCs w:val="24"/>
                <w:u w:val="none"/>
                <w:lang w:val="en-US" w:eastAsia="zh-CN" w:bidi="ar"/>
              </w:rPr>
              <w:t>中央、省委</w:t>
            </w:r>
            <w:r>
              <w:rPr>
                <w:rFonts w:hint="eastAsia" w:ascii="宋体" w:hAnsi="宋体" w:eastAsia="宋体" w:cs="宋体"/>
                <w:i w:val="0"/>
                <w:iCs w:val="0"/>
                <w:color w:val="000000"/>
                <w:kern w:val="0"/>
                <w:sz w:val="24"/>
                <w:szCs w:val="24"/>
                <w:u w:val="none"/>
                <w:lang w:val="en-US" w:eastAsia="zh-CN" w:bidi="ar"/>
              </w:rPr>
              <w:t>、市要求全面完成绩效目标（含事前评估）、绩效评价、以前年度问题整改等预算绩效管理工作，得4分；市级部门对县级主管部门预算绩效管理要求是否到位，是否存在对县级资金分配和项目管理指导力度不够的情况，是否对县级开展评价、监督、指导等工作，得2分。否则该项不得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3E3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9B23D">
            <w:pPr>
              <w:jc w:val="center"/>
              <w:rPr>
                <w:rFonts w:hint="eastAsia" w:ascii="宋体" w:hAnsi="宋体" w:eastAsia="宋体" w:cs="宋体"/>
                <w:i w:val="0"/>
                <w:iCs w:val="0"/>
                <w:color w:val="000000"/>
                <w:sz w:val="24"/>
                <w:szCs w:val="24"/>
                <w:u w:val="none"/>
              </w:rPr>
            </w:pPr>
          </w:p>
        </w:tc>
      </w:tr>
      <w:tr w14:paraId="259E5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4D986">
            <w:pPr>
              <w:jc w:val="center"/>
              <w:rPr>
                <w:rFonts w:hint="eastAsia" w:ascii="宋体" w:hAnsi="宋体" w:eastAsia="宋体" w:cs="宋体"/>
                <w:b/>
                <w:bCs/>
                <w:i w:val="0"/>
                <w:iCs w:val="0"/>
                <w:color w:val="000000"/>
                <w:sz w:val="24"/>
                <w:szCs w:val="24"/>
                <w:u w:val="none"/>
              </w:rPr>
            </w:pP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98FF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项目实施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FB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A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96F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项目资金财政拨付、单位执行和地方配套到位情况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B03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该项指标得分=财政资金拨付率×100%×2+单位资金使用率×100%×2+地方资金到位率×100%×2。如部分计算内容不涉及，可同比例分配至本指标其他计算内容。</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0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724F">
            <w:pPr>
              <w:jc w:val="center"/>
              <w:rPr>
                <w:rFonts w:hint="eastAsia" w:ascii="宋体" w:hAnsi="宋体" w:eastAsia="宋体" w:cs="宋体"/>
                <w:i w:val="0"/>
                <w:iCs w:val="0"/>
                <w:color w:val="000000"/>
                <w:sz w:val="24"/>
                <w:szCs w:val="24"/>
                <w:u w:val="none"/>
              </w:rPr>
            </w:pPr>
          </w:p>
        </w:tc>
      </w:tr>
      <w:tr w14:paraId="11FAF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E466D">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A2CA3">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D4C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9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0B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资金使用拨付、项目实施是否符合规定</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271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使用、拨付是否符合国家财经法规、财务管理制度及有关专项资金管理制度办法规定和审批程序，是否存在超范围、超标准、超进度使用专项资金，是否存在资金损失浪费、长期沉淀、截留、挤占、挪用、虚列支出等情况，项目实施是否遵守相关法律法规，发现一处不合规的扣1分，扣完为止。</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F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5B5DF">
            <w:pPr>
              <w:jc w:val="center"/>
              <w:rPr>
                <w:rFonts w:hint="eastAsia" w:ascii="宋体" w:hAnsi="宋体" w:eastAsia="宋体" w:cs="宋体"/>
                <w:i w:val="0"/>
                <w:iCs w:val="0"/>
                <w:color w:val="000000"/>
                <w:sz w:val="24"/>
                <w:szCs w:val="24"/>
                <w:u w:val="none"/>
              </w:rPr>
            </w:pPr>
          </w:p>
        </w:tc>
      </w:tr>
      <w:tr w14:paraId="49FCA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A152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通用指标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（54分）</w:t>
            </w: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EFAF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项目结果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74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目标完成</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50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ECF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项目是否完成预期目标，实施结果是否与绩效目标相匹配，反映目标实现程度</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425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该项指标得分=实际完成目标任务量÷首次批复立项设定绩效目标任务总量×100%×6。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A7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10C09">
            <w:pPr>
              <w:jc w:val="center"/>
              <w:rPr>
                <w:rFonts w:hint="eastAsia" w:ascii="宋体" w:hAnsi="宋体" w:eastAsia="宋体" w:cs="宋体"/>
                <w:i w:val="0"/>
                <w:iCs w:val="0"/>
                <w:color w:val="000000"/>
                <w:sz w:val="24"/>
                <w:szCs w:val="24"/>
                <w:u w:val="none"/>
              </w:rPr>
            </w:pPr>
          </w:p>
        </w:tc>
      </w:tr>
      <w:tr w14:paraId="2997C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53C86">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47AB3">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69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完成时效</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E7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4DD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项目实际完成时间与计划完成时间的比较</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4E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该项指标得分=（1-(实际完成时间-计划完成时间)÷计划完成时间）×100%×3。一般以天数、月数或年数为单位。当实际完成时间-计划完成时间小于等于0时得满分；实际完成时间超过计划完成时间1倍及以上得0分。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AB2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F6CA2">
            <w:pPr>
              <w:jc w:val="center"/>
              <w:rPr>
                <w:rFonts w:hint="eastAsia" w:ascii="宋体" w:hAnsi="宋体" w:eastAsia="宋体" w:cs="宋体"/>
                <w:i w:val="0"/>
                <w:iCs w:val="0"/>
                <w:color w:val="000000"/>
                <w:sz w:val="24"/>
                <w:szCs w:val="24"/>
                <w:u w:val="none"/>
              </w:rPr>
            </w:pPr>
          </w:p>
        </w:tc>
      </w:tr>
      <w:tr w14:paraId="64BC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47846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8F4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产业发展</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6F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929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914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项目实施是否与市委市政府支持重点、产业支持政策符合</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CD7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该项指标得分=项目实施符合市委市政府支持重点、六大优势产业做大做强、传统产业转型升级、产业支持政策的点位数量÷所有选点总数×100%×10。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42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408A1">
            <w:pPr>
              <w:jc w:val="center"/>
              <w:rPr>
                <w:rFonts w:hint="eastAsia" w:ascii="宋体" w:hAnsi="宋体" w:eastAsia="宋体" w:cs="宋体"/>
                <w:i w:val="0"/>
                <w:iCs w:val="0"/>
                <w:color w:val="000000"/>
                <w:sz w:val="24"/>
                <w:szCs w:val="24"/>
                <w:u w:val="none"/>
              </w:rPr>
            </w:pPr>
          </w:p>
        </w:tc>
      </w:tr>
      <w:tr w14:paraId="32009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ACDD1">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482EB">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3F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成长性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996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54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项目实施对相关企业（机构）成长性的促进作用，主要反映支持对象创新创造创业能力情况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91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项目实施对相关行业企业体现促进的点位数量÷所有选点总数×100%×10。对相关企业（机构）创新创造能力提升、扩大投资、技术更新、就业促进以及对农业良种良机良法推广应用、工业科技研发投入、服务业消费新场景新模式、提升行业新质生产力等情况进行综合判断，可查看统计年鉴和企业近三年财报。</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13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348B">
            <w:pPr>
              <w:jc w:val="center"/>
              <w:rPr>
                <w:rFonts w:hint="eastAsia" w:ascii="宋体" w:hAnsi="宋体" w:eastAsia="宋体" w:cs="宋体"/>
                <w:i w:val="0"/>
                <w:iCs w:val="0"/>
                <w:color w:val="000000"/>
                <w:sz w:val="24"/>
                <w:szCs w:val="24"/>
                <w:u w:val="none"/>
              </w:rPr>
            </w:pPr>
          </w:p>
        </w:tc>
      </w:tr>
      <w:tr w14:paraId="45F47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40F33">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085F1">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C8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经济性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4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A7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项目实施对相关企业（机构）主营业务收入、净利润、税收、产量等方面增长情况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91C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反映企业主营业务收入、净利润、税收、产量等增长情况，需将企业（机构）涉及的所有经济指标纳入计算。以主营业务收入为例，主营业务收入增加率≥行业平均增加率，且≥企业上一年度主营业务收入增加率，得10分；主营业务收入增加率≥行业平均增加率且＜企业上一年度主营业务收入增加率，或≥企业上一年度主营业务收入增加率且＜行业平均增加率，得5分；否则不得分。该项指标得分=各指标算术平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5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11FE">
            <w:pPr>
              <w:jc w:val="center"/>
              <w:rPr>
                <w:rFonts w:hint="eastAsia" w:ascii="宋体" w:hAnsi="宋体" w:eastAsia="宋体" w:cs="宋体"/>
                <w:i w:val="0"/>
                <w:iCs w:val="0"/>
                <w:color w:val="000000"/>
                <w:sz w:val="24"/>
                <w:szCs w:val="24"/>
                <w:u w:val="none"/>
              </w:rPr>
            </w:pPr>
          </w:p>
        </w:tc>
      </w:tr>
      <w:tr w14:paraId="46F87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CCB51">
            <w:pPr>
              <w:jc w:val="center"/>
              <w:rPr>
                <w:rFonts w:hint="eastAsia" w:ascii="宋体" w:hAnsi="宋体" w:eastAsia="宋体" w:cs="宋体"/>
                <w:b/>
                <w:bCs/>
                <w:i w:val="0"/>
                <w:iCs w:val="0"/>
                <w:color w:val="000000"/>
                <w:sz w:val="24"/>
                <w:szCs w:val="24"/>
                <w:u w:val="none"/>
              </w:rPr>
            </w:pP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955C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民生保障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5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区域均衡性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8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A84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项目资金分配体现的均衡公平情况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264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实际区域分配结果选择客观因素测算验证资金分配是否科学合理、均衡公平。主要查看区域均衡情况是否得到改善、区域间差距是否缩小，分级计分。其中，区域均衡情况得到改善、区域间差距缩小，得10分；区域均衡情况维持原状、区域间差距不变，得5分；区域均衡情况未得到改善、区域间差距扩大，得0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EA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CC5CC">
            <w:pPr>
              <w:jc w:val="center"/>
              <w:rPr>
                <w:rFonts w:hint="eastAsia" w:ascii="宋体" w:hAnsi="宋体" w:eastAsia="宋体" w:cs="宋体"/>
                <w:i w:val="0"/>
                <w:iCs w:val="0"/>
                <w:color w:val="000000"/>
                <w:sz w:val="24"/>
                <w:szCs w:val="24"/>
                <w:u w:val="none"/>
              </w:rPr>
            </w:pPr>
          </w:p>
        </w:tc>
      </w:tr>
      <w:tr w14:paraId="5FDE3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B224">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F350E">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9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对象精准性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53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A71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资金实际支持对象是否符合管理要求，是否符合支持对象范围</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803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抽样的支持对象总人数-不符合支持对象人数）÷抽样的支持对象总人数×100%×10。主要查看项目资金分配和实施结果是否精准，是否存在明显的排他性和歧视性情形，是否及时落实到支持对象个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0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3B95">
            <w:pPr>
              <w:jc w:val="center"/>
              <w:rPr>
                <w:rFonts w:hint="eastAsia" w:ascii="宋体" w:hAnsi="宋体" w:eastAsia="宋体" w:cs="宋体"/>
                <w:i w:val="0"/>
                <w:iCs w:val="0"/>
                <w:color w:val="000000"/>
                <w:sz w:val="24"/>
                <w:szCs w:val="24"/>
                <w:u w:val="none"/>
              </w:rPr>
            </w:pPr>
          </w:p>
        </w:tc>
      </w:tr>
      <w:tr w14:paraId="0522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ECB04">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744D2">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AA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标准合理性</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BED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398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资金实际补贴标准是否符合资金管理办法规定的补助标准，是否及时按标准兑现</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EA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抽样的支持对象总人数-不符合支持标准人数）÷抽样的支持对象总人数×100%×5。主要查看项目资金补贴标准是否符合资金管理办法规定的补助标准。如存在多发、漏发、重发、迟发等情况，均计入不符合支持标准人数。</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3E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84AA6">
            <w:pPr>
              <w:jc w:val="center"/>
              <w:rPr>
                <w:rFonts w:hint="eastAsia" w:ascii="宋体" w:hAnsi="宋体" w:eastAsia="宋体" w:cs="宋体"/>
                <w:i w:val="0"/>
                <w:iCs w:val="0"/>
                <w:color w:val="000000"/>
                <w:sz w:val="24"/>
                <w:szCs w:val="24"/>
                <w:u w:val="none"/>
              </w:rPr>
            </w:pPr>
          </w:p>
        </w:tc>
      </w:tr>
      <w:tr w14:paraId="111B5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6AA70">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5B3EC">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11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群众满意度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E01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54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资金涉及相关受益群体、支持对象的满意度调查访谈情况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679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该项指标得分=经调研的群众实际满意度得分×100%×5。反映项目相关方在项目实施过程中的人民群众满意值和获得感。</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EB2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C161E">
            <w:pPr>
              <w:jc w:val="center"/>
              <w:rPr>
                <w:rFonts w:hint="eastAsia" w:ascii="宋体" w:hAnsi="宋体" w:eastAsia="宋体" w:cs="宋体"/>
                <w:i w:val="0"/>
                <w:iCs w:val="0"/>
                <w:color w:val="000000"/>
                <w:sz w:val="24"/>
                <w:szCs w:val="24"/>
                <w:u w:val="none"/>
              </w:rPr>
            </w:pPr>
          </w:p>
        </w:tc>
      </w:tr>
      <w:tr w14:paraId="240E8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6616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747F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基础</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设施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2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0EE51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在建</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项目</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DC4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工程进度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6C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319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项目是否达到计划工程进度</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20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工程进度≥计划工程进度，得15分；计划工程进度＞实际工程进度≥计划工程进度的85%，得10分；计划工程进度的85%＞实际工程进度≥计划工程进度的70%，得5分；实际工程进度＜计划工程进度的70%，不得分。按工程时间节点测算进度。</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90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89010">
            <w:pPr>
              <w:jc w:val="center"/>
              <w:rPr>
                <w:rFonts w:hint="eastAsia" w:ascii="宋体" w:hAnsi="宋体" w:eastAsia="宋体" w:cs="宋体"/>
                <w:i w:val="0"/>
                <w:iCs w:val="0"/>
                <w:color w:val="000000"/>
                <w:sz w:val="24"/>
                <w:szCs w:val="24"/>
                <w:u w:val="none"/>
              </w:rPr>
            </w:pPr>
          </w:p>
        </w:tc>
      </w:tr>
      <w:tr w14:paraId="312AE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BF3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05725">
            <w:pPr>
              <w:jc w:val="center"/>
              <w:rPr>
                <w:rFonts w:hint="eastAsia" w:ascii="宋体" w:hAnsi="宋体" w:eastAsia="宋体" w:cs="宋体"/>
                <w:b/>
                <w:bCs/>
                <w:i w:val="0"/>
                <w:iCs w:val="0"/>
                <w:color w:val="000000"/>
                <w:sz w:val="24"/>
                <w:szCs w:val="24"/>
                <w:u w:val="none"/>
              </w:rPr>
            </w:pPr>
          </w:p>
        </w:tc>
        <w:tc>
          <w:tcPr>
            <w:tcW w:w="2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3548E">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56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资金拨付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7C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863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项目是否达到预先确定的资金拨付进度</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94D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资金拨付进度≥预先确定的资金拨付进度，得15分；预先确定的资金拨付进度＞实际资金拨付进度≥预先确定的资金拨付进度的85%，得10分；预先确定的资金拨付进度的85%＞实际资金拨付进度≥预先确定的资金拨付进度的70%，得5分；实际资金拨付进度＜预先确定的资金拨付进度的70%，不得分。如有资金拨付计划、合同约定，按此测算。如无资金拨付计划，按工程进度测算。</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E2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A2DEE">
            <w:pPr>
              <w:jc w:val="center"/>
              <w:rPr>
                <w:rFonts w:hint="eastAsia" w:ascii="宋体" w:hAnsi="宋体" w:eastAsia="宋体" w:cs="宋体"/>
                <w:i w:val="0"/>
                <w:iCs w:val="0"/>
                <w:color w:val="000000"/>
                <w:sz w:val="24"/>
                <w:szCs w:val="24"/>
                <w:u w:val="none"/>
              </w:rPr>
            </w:pPr>
          </w:p>
        </w:tc>
      </w:tr>
      <w:tr w14:paraId="428A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328B1">
            <w:pPr>
              <w:jc w:val="center"/>
              <w:rPr>
                <w:rFonts w:hint="eastAsia" w:ascii="宋体" w:hAnsi="宋体" w:eastAsia="宋体" w:cs="宋体"/>
                <w:b/>
                <w:bCs/>
                <w:i w:val="0"/>
                <w:iCs w:val="0"/>
                <w:color w:val="000000"/>
                <w:sz w:val="24"/>
                <w:szCs w:val="24"/>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2F0FA">
            <w:pPr>
              <w:jc w:val="center"/>
              <w:rPr>
                <w:rFonts w:hint="eastAsia" w:ascii="宋体" w:hAnsi="宋体" w:eastAsia="宋体" w:cs="宋体"/>
                <w:b/>
                <w:bCs/>
                <w:i w:val="0"/>
                <w:iCs w:val="0"/>
                <w:color w:val="000000"/>
                <w:sz w:val="24"/>
                <w:szCs w:val="24"/>
                <w:u w:val="none"/>
              </w:rPr>
            </w:pPr>
          </w:p>
        </w:tc>
        <w:tc>
          <w:tcPr>
            <w:tcW w:w="2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42A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建成</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项目</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6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20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116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项目验收是否及时合格</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E37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该项指标得分=（建成项目总量-验收不及时、验收不合格的建成项目数量）÷建成项目总量×100%×10。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9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C99A0">
            <w:pPr>
              <w:jc w:val="center"/>
              <w:rPr>
                <w:rFonts w:hint="eastAsia" w:ascii="宋体" w:hAnsi="宋体" w:eastAsia="宋体" w:cs="宋体"/>
                <w:i w:val="0"/>
                <w:iCs w:val="0"/>
                <w:color w:val="000000"/>
                <w:sz w:val="24"/>
                <w:szCs w:val="24"/>
                <w:u w:val="none"/>
              </w:rPr>
            </w:pPr>
          </w:p>
        </w:tc>
      </w:tr>
      <w:tr w14:paraId="74C09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3E5A3">
            <w:pPr>
              <w:jc w:val="center"/>
              <w:rPr>
                <w:rFonts w:hint="eastAsia" w:ascii="宋体" w:hAnsi="宋体" w:eastAsia="宋体" w:cs="宋体"/>
                <w:b/>
                <w:bCs/>
                <w:i w:val="0"/>
                <w:iCs w:val="0"/>
                <w:color w:val="000000"/>
                <w:sz w:val="24"/>
                <w:szCs w:val="24"/>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E8396">
            <w:pPr>
              <w:jc w:val="center"/>
              <w:rPr>
                <w:rFonts w:hint="eastAsia" w:ascii="宋体" w:hAnsi="宋体" w:eastAsia="宋体" w:cs="宋体"/>
                <w:b/>
                <w:bCs/>
                <w:i w:val="0"/>
                <w:iCs w:val="0"/>
                <w:color w:val="000000"/>
                <w:sz w:val="24"/>
                <w:szCs w:val="24"/>
                <w:u w:val="none"/>
              </w:rPr>
            </w:pPr>
          </w:p>
        </w:tc>
        <w:tc>
          <w:tcPr>
            <w:tcW w:w="2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CB620">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8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功能实现</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B2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EA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项目经济社会功能是否实现</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1F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经济或社会功能未实现的建成项目数量）÷建成项目总量×100%×10。主要查看建成项目是否实现预期功能，是否功能配套整合协调、能够持续良好地运作，特别是公共设施类项目，是否能有效满足群众现实需要。</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7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A3943">
            <w:pPr>
              <w:jc w:val="center"/>
              <w:rPr>
                <w:rFonts w:hint="eastAsia" w:ascii="宋体" w:hAnsi="宋体" w:eastAsia="宋体" w:cs="宋体"/>
                <w:i w:val="0"/>
                <w:iCs w:val="0"/>
                <w:color w:val="000000"/>
                <w:sz w:val="24"/>
                <w:szCs w:val="24"/>
                <w:u w:val="none"/>
              </w:rPr>
            </w:pPr>
          </w:p>
        </w:tc>
      </w:tr>
      <w:tr w14:paraId="3E00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72EF1">
            <w:pPr>
              <w:jc w:val="center"/>
              <w:rPr>
                <w:rFonts w:hint="eastAsia" w:ascii="宋体" w:hAnsi="宋体" w:eastAsia="宋体" w:cs="宋体"/>
                <w:b/>
                <w:bCs/>
                <w:i w:val="0"/>
                <w:iCs w:val="0"/>
                <w:color w:val="000000"/>
                <w:sz w:val="24"/>
                <w:szCs w:val="24"/>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FB568">
            <w:pPr>
              <w:jc w:val="center"/>
              <w:rPr>
                <w:rFonts w:hint="eastAsia" w:ascii="宋体" w:hAnsi="宋体" w:eastAsia="宋体" w:cs="宋体"/>
                <w:b/>
                <w:bCs/>
                <w:i w:val="0"/>
                <w:iCs w:val="0"/>
                <w:color w:val="000000"/>
                <w:sz w:val="24"/>
                <w:szCs w:val="24"/>
                <w:u w:val="none"/>
              </w:rPr>
            </w:pPr>
          </w:p>
        </w:tc>
        <w:tc>
          <w:tcPr>
            <w:tcW w:w="2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76757">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A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后续管护</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7A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A9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项目后续维护是否实现</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9F4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该项指标得分=（建成项目总量-后续维护未实现的建成项目数量）÷建成项目总量×100%×10。主要查看建成项目是否建立后续管理维护制度机制，是否实现有效维护。</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81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80D06">
            <w:pPr>
              <w:jc w:val="center"/>
              <w:rPr>
                <w:rFonts w:hint="eastAsia" w:ascii="宋体" w:hAnsi="宋体" w:eastAsia="宋体" w:cs="宋体"/>
                <w:i w:val="0"/>
                <w:iCs w:val="0"/>
                <w:color w:val="000000"/>
                <w:sz w:val="24"/>
                <w:szCs w:val="24"/>
                <w:u w:val="none"/>
              </w:rPr>
            </w:pPr>
          </w:p>
        </w:tc>
      </w:tr>
      <w:tr w14:paraId="121C5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4AC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6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8904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行政运转</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08" w:type="pct"/>
            <w:tcBorders>
              <w:top w:val="nil"/>
              <w:left w:val="single" w:color="000000" w:sz="4" w:space="0"/>
              <w:bottom w:val="single" w:color="000000" w:sz="4" w:space="0"/>
              <w:right w:val="single" w:color="000000" w:sz="4" w:space="0"/>
            </w:tcBorders>
            <w:shd w:val="clear" w:color="auto" w:fill="auto"/>
            <w:vAlign w:val="center"/>
          </w:tcPr>
          <w:p w14:paraId="3FB18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用途合规性</w:t>
            </w:r>
          </w:p>
        </w:tc>
        <w:tc>
          <w:tcPr>
            <w:tcW w:w="408" w:type="pct"/>
            <w:tcBorders>
              <w:top w:val="nil"/>
              <w:left w:val="single" w:color="000000" w:sz="4" w:space="0"/>
              <w:bottom w:val="single" w:color="000000" w:sz="4" w:space="0"/>
              <w:right w:val="single" w:color="000000" w:sz="4" w:space="0"/>
            </w:tcBorders>
            <w:shd w:val="clear" w:color="auto" w:fill="auto"/>
            <w:vAlign w:val="center"/>
          </w:tcPr>
          <w:p w14:paraId="79CF2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nil"/>
              <w:left w:val="single" w:color="000000" w:sz="4" w:space="0"/>
              <w:bottom w:val="single" w:color="000000" w:sz="4" w:space="0"/>
              <w:right w:val="single" w:color="000000" w:sz="4" w:space="0"/>
            </w:tcBorders>
            <w:shd w:val="clear" w:color="auto" w:fill="auto"/>
            <w:vAlign w:val="center"/>
          </w:tcPr>
          <w:p w14:paraId="592DEE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是否按规定用途、适用范围进行本地区专项资金分配</w:t>
            </w:r>
          </w:p>
        </w:tc>
        <w:tc>
          <w:tcPr>
            <w:tcW w:w="1669" w:type="pct"/>
            <w:tcBorders>
              <w:top w:val="nil"/>
              <w:left w:val="single" w:color="000000" w:sz="4" w:space="0"/>
              <w:bottom w:val="single" w:color="000000" w:sz="4" w:space="0"/>
              <w:right w:val="single" w:color="000000" w:sz="4" w:space="0"/>
            </w:tcBorders>
            <w:shd w:val="clear" w:color="auto" w:fill="auto"/>
            <w:vAlign w:val="center"/>
          </w:tcPr>
          <w:p w14:paraId="6912AD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资金实际用途不符合专项资金管理要求的，发现一处扣2分。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7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52DC5">
            <w:pPr>
              <w:jc w:val="center"/>
              <w:rPr>
                <w:rFonts w:hint="eastAsia" w:ascii="宋体" w:hAnsi="宋体" w:eastAsia="宋体" w:cs="宋体"/>
                <w:i w:val="0"/>
                <w:iCs w:val="0"/>
                <w:color w:val="000000"/>
                <w:sz w:val="24"/>
                <w:szCs w:val="24"/>
                <w:u w:val="none"/>
              </w:rPr>
            </w:pPr>
          </w:p>
        </w:tc>
      </w:tr>
      <w:tr w14:paraId="4CBAF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13A71">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C7DE8">
            <w:pPr>
              <w:jc w:val="center"/>
              <w:rPr>
                <w:rFonts w:hint="eastAsia" w:ascii="宋体" w:hAnsi="宋体" w:eastAsia="宋体" w:cs="宋体"/>
                <w:b/>
                <w:bCs/>
                <w:i w:val="0"/>
                <w:iCs w:val="0"/>
                <w:color w:val="000000"/>
                <w:sz w:val="24"/>
                <w:szCs w:val="24"/>
                <w:u w:val="none"/>
              </w:rPr>
            </w:pPr>
          </w:p>
        </w:tc>
        <w:tc>
          <w:tcPr>
            <w:tcW w:w="408" w:type="pct"/>
            <w:tcBorders>
              <w:top w:val="nil"/>
              <w:left w:val="single" w:color="000000" w:sz="4" w:space="0"/>
              <w:bottom w:val="single" w:color="000000" w:sz="4" w:space="0"/>
              <w:right w:val="single" w:color="000000" w:sz="4" w:space="0"/>
            </w:tcBorders>
            <w:shd w:val="clear" w:color="auto" w:fill="auto"/>
            <w:vAlign w:val="center"/>
          </w:tcPr>
          <w:p w14:paraId="13845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程序合规性</w:t>
            </w:r>
          </w:p>
        </w:tc>
        <w:tc>
          <w:tcPr>
            <w:tcW w:w="408" w:type="pct"/>
            <w:tcBorders>
              <w:top w:val="nil"/>
              <w:left w:val="single" w:color="000000" w:sz="4" w:space="0"/>
              <w:bottom w:val="single" w:color="000000" w:sz="4" w:space="0"/>
              <w:right w:val="single" w:color="000000" w:sz="4" w:space="0"/>
            </w:tcBorders>
            <w:shd w:val="clear" w:color="auto" w:fill="auto"/>
            <w:vAlign w:val="center"/>
          </w:tcPr>
          <w:p w14:paraId="59D2F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784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资金管理程序是否符合专项资金管理要求</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91E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资金管理程序不符合专项资金管理要求的，发现一处扣2分。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DC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4E681">
            <w:pPr>
              <w:jc w:val="center"/>
              <w:rPr>
                <w:rFonts w:hint="eastAsia" w:ascii="宋体" w:hAnsi="宋体" w:eastAsia="宋体" w:cs="宋体"/>
                <w:i w:val="0"/>
                <w:iCs w:val="0"/>
                <w:color w:val="000000"/>
                <w:sz w:val="24"/>
                <w:szCs w:val="24"/>
                <w:u w:val="none"/>
              </w:rPr>
            </w:pPr>
          </w:p>
        </w:tc>
      </w:tr>
      <w:tr w14:paraId="1173C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64353">
            <w:pPr>
              <w:jc w:val="center"/>
              <w:rPr>
                <w:rFonts w:hint="eastAsia" w:ascii="宋体" w:hAnsi="宋体" w:eastAsia="宋体" w:cs="宋体"/>
                <w:b/>
                <w:bCs/>
                <w:i w:val="0"/>
                <w:iCs w:val="0"/>
                <w:color w:val="000000"/>
                <w:sz w:val="24"/>
                <w:szCs w:val="24"/>
                <w:u w:val="none"/>
              </w:rPr>
            </w:pPr>
          </w:p>
        </w:tc>
        <w:tc>
          <w:tcPr>
            <w:tcW w:w="6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4832F">
            <w:pPr>
              <w:jc w:val="center"/>
              <w:rPr>
                <w:rFonts w:hint="eastAsia" w:ascii="宋体" w:hAnsi="宋体" w:eastAsia="宋体" w:cs="宋体"/>
                <w:b/>
                <w:bCs/>
                <w:i w:val="0"/>
                <w:iCs w:val="0"/>
                <w:color w:val="000000"/>
                <w:sz w:val="24"/>
                <w:szCs w:val="24"/>
                <w:u w:val="none"/>
              </w:rPr>
            </w:pPr>
          </w:p>
        </w:tc>
        <w:tc>
          <w:tcPr>
            <w:tcW w:w="408" w:type="pct"/>
            <w:tcBorders>
              <w:top w:val="nil"/>
              <w:left w:val="single" w:color="000000" w:sz="4" w:space="0"/>
              <w:bottom w:val="single" w:color="000000" w:sz="4" w:space="0"/>
              <w:right w:val="single" w:color="000000" w:sz="4" w:space="0"/>
            </w:tcBorders>
            <w:shd w:val="clear" w:color="auto" w:fill="auto"/>
            <w:vAlign w:val="center"/>
          </w:tcPr>
          <w:p w14:paraId="4FD13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标准合规性</w:t>
            </w:r>
          </w:p>
        </w:tc>
        <w:tc>
          <w:tcPr>
            <w:tcW w:w="408" w:type="pct"/>
            <w:tcBorders>
              <w:top w:val="nil"/>
              <w:left w:val="single" w:color="000000" w:sz="4" w:space="0"/>
              <w:bottom w:val="single" w:color="000000" w:sz="4" w:space="0"/>
              <w:right w:val="single" w:color="000000" w:sz="4" w:space="0"/>
            </w:tcBorders>
            <w:shd w:val="clear" w:color="auto" w:fill="auto"/>
            <w:vAlign w:val="center"/>
          </w:tcPr>
          <w:p w14:paraId="644D99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6B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资金分配标准是否符合专项资金管理要求</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45E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资金分配标准不符合专项资金管理要求的，发现一处扣2分。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80C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BFC3">
            <w:pPr>
              <w:jc w:val="center"/>
              <w:rPr>
                <w:rFonts w:hint="eastAsia" w:ascii="宋体" w:hAnsi="宋体" w:eastAsia="宋体" w:cs="宋体"/>
                <w:i w:val="0"/>
                <w:iCs w:val="0"/>
                <w:color w:val="000000"/>
                <w:sz w:val="24"/>
                <w:szCs w:val="24"/>
                <w:u w:val="none"/>
              </w:rPr>
            </w:pPr>
          </w:p>
        </w:tc>
      </w:tr>
      <w:tr w14:paraId="2CC26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8" w:type="pct"/>
            <w:gridSpan w:val="3"/>
            <w:vMerge w:val="restart"/>
            <w:tcBorders>
              <w:top w:val="single" w:color="000000" w:sz="4" w:space="0"/>
              <w:left w:val="single" w:color="000000" w:sz="4" w:space="0"/>
              <w:bottom w:val="nil"/>
              <w:right w:val="single" w:color="000000" w:sz="4" w:space="0"/>
            </w:tcBorders>
            <w:shd w:val="clear" w:color="auto" w:fill="auto"/>
            <w:vAlign w:val="center"/>
          </w:tcPr>
          <w:p w14:paraId="5FADDE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个性指标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（16分）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C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3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375C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根据项目个性自行设定部分指标，反映该项指标执行完成情况。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01A9D">
            <w:pPr>
              <w:jc w:val="left"/>
              <w:rPr>
                <w:rFonts w:hint="eastAsia" w:ascii="宋体" w:hAnsi="宋体" w:eastAsia="宋体" w:cs="宋体"/>
                <w:i w:val="0"/>
                <w:iCs w:val="0"/>
                <w:color w:val="000000"/>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C69F3">
            <w:pPr>
              <w:jc w:val="center"/>
              <w:rPr>
                <w:rFonts w:hint="eastAsia" w:ascii="宋体" w:hAnsi="宋体" w:eastAsia="宋体" w:cs="宋体"/>
                <w:i w:val="0"/>
                <w:iCs w:val="0"/>
                <w:color w:val="000000"/>
                <w:sz w:val="24"/>
                <w:szCs w:val="24"/>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6229F">
            <w:pPr>
              <w:jc w:val="center"/>
              <w:rPr>
                <w:rFonts w:hint="eastAsia" w:ascii="宋体" w:hAnsi="宋体" w:eastAsia="宋体" w:cs="宋体"/>
                <w:i w:val="0"/>
                <w:iCs w:val="0"/>
                <w:color w:val="000000"/>
                <w:sz w:val="24"/>
                <w:szCs w:val="24"/>
                <w:u w:val="none"/>
              </w:rPr>
            </w:pPr>
          </w:p>
        </w:tc>
      </w:tr>
      <w:tr w14:paraId="01F93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8" w:type="pct"/>
            <w:gridSpan w:val="3"/>
            <w:vMerge w:val="continue"/>
            <w:tcBorders>
              <w:top w:val="single" w:color="000000" w:sz="4" w:space="0"/>
              <w:left w:val="single" w:color="000000" w:sz="4" w:space="0"/>
              <w:bottom w:val="nil"/>
              <w:right w:val="single" w:color="000000" w:sz="4" w:space="0"/>
            </w:tcBorders>
            <w:shd w:val="clear" w:color="auto" w:fill="auto"/>
            <w:vAlign w:val="center"/>
          </w:tcPr>
          <w:p w14:paraId="1802D3D4">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C7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784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05C2B">
            <w:pPr>
              <w:jc w:val="left"/>
              <w:rPr>
                <w:rFonts w:hint="eastAsia" w:ascii="宋体" w:hAnsi="宋体" w:eastAsia="宋体" w:cs="宋体"/>
                <w:i w:val="0"/>
                <w:iCs w:val="0"/>
                <w:color w:val="000000"/>
                <w:sz w:val="24"/>
                <w:szCs w:val="24"/>
                <w:u w:val="none"/>
              </w:rPr>
            </w:pP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C9B27">
            <w:pPr>
              <w:jc w:val="left"/>
              <w:rPr>
                <w:rFonts w:hint="eastAsia" w:ascii="宋体" w:hAnsi="宋体" w:eastAsia="宋体" w:cs="宋体"/>
                <w:i w:val="0"/>
                <w:iCs w:val="0"/>
                <w:color w:val="000000"/>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67C4D">
            <w:pPr>
              <w:jc w:val="center"/>
              <w:rPr>
                <w:rFonts w:hint="eastAsia" w:ascii="宋体" w:hAnsi="宋体" w:eastAsia="宋体" w:cs="宋体"/>
                <w:i w:val="0"/>
                <w:iCs w:val="0"/>
                <w:color w:val="000000"/>
                <w:sz w:val="24"/>
                <w:szCs w:val="24"/>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93E5">
            <w:pPr>
              <w:jc w:val="center"/>
              <w:rPr>
                <w:rFonts w:hint="eastAsia" w:ascii="宋体" w:hAnsi="宋体" w:eastAsia="宋体" w:cs="宋体"/>
                <w:i w:val="0"/>
                <w:iCs w:val="0"/>
                <w:color w:val="000000"/>
                <w:sz w:val="24"/>
                <w:szCs w:val="24"/>
                <w:u w:val="none"/>
              </w:rPr>
            </w:pPr>
          </w:p>
        </w:tc>
      </w:tr>
      <w:tr w14:paraId="7ED7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8" w:type="pct"/>
            <w:gridSpan w:val="3"/>
            <w:vMerge w:val="continue"/>
            <w:tcBorders>
              <w:top w:val="single" w:color="000000" w:sz="4" w:space="0"/>
              <w:left w:val="single" w:color="000000" w:sz="4" w:space="0"/>
              <w:bottom w:val="nil"/>
              <w:right w:val="single" w:color="000000" w:sz="4" w:space="0"/>
            </w:tcBorders>
            <w:shd w:val="clear" w:color="auto" w:fill="auto"/>
            <w:vAlign w:val="center"/>
          </w:tcPr>
          <w:p w14:paraId="43E8B64F">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68A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BF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4A552">
            <w:pPr>
              <w:jc w:val="left"/>
              <w:rPr>
                <w:rFonts w:hint="eastAsia" w:ascii="宋体" w:hAnsi="宋体" w:eastAsia="宋体" w:cs="宋体"/>
                <w:i w:val="0"/>
                <w:iCs w:val="0"/>
                <w:color w:val="000000"/>
                <w:sz w:val="24"/>
                <w:szCs w:val="24"/>
                <w:u w:val="none"/>
              </w:rPr>
            </w:pP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25E9E">
            <w:pPr>
              <w:jc w:val="left"/>
              <w:rPr>
                <w:rFonts w:hint="eastAsia" w:ascii="宋体" w:hAnsi="宋体" w:eastAsia="宋体" w:cs="宋体"/>
                <w:i w:val="0"/>
                <w:iCs w:val="0"/>
                <w:color w:val="000000"/>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C69D4">
            <w:pPr>
              <w:jc w:val="center"/>
              <w:rPr>
                <w:rFonts w:hint="eastAsia" w:ascii="宋体" w:hAnsi="宋体" w:eastAsia="宋体" w:cs="宋体"/>
                <w:i w:val="0"/>
                <w:iCs w:val="0"/>
                <w:color w:val="000000"/>
                <w:sz w:val="24"/>
                <w:szCs w:val="24"/>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15F3B">
            <w:pPr>
              <w:jc w:val="center"/>
              <w:rPr>
                <w:rFonts w:hint="eastAsia" w:ascii="宋体" w:hAnsi="宋体" w:eastAsia="宋体" w:cs="宋体"/>
                <w:i w:val="0"/>
                <w:iCs w:val="0"/>
                <w:color w:val="000000"/>
                <w:sz w:val="24"/>
                <w:szCs w:val="24"/>
                <w:u w:val="none"/>
              </w:rPr>
            </w:pPr>
          </w:p>
        </w:tc>
      </w:tr>
      <w:tr w14:paraId="782CE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08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CA4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扣分项</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（10分）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BCC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存在问题</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8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4D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预算绩效管理工作存在问题</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A8F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依据评价年度人大监督、巡视巡察、审计监督、财会监督等结果以及评价指标体系涉及各方面出现的问题，每有一个问题点扣1分，扣完为止。</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24B98">
            <w:pPr>
              <w:jc w:val="center"/>
              <w:rPr>
                <w:rFonts w:hint="eastAsia" w:ascii="宋体" w:hAnsi="宋体" w:eastAsia="宋体" w:cs="宋体"/>
                <w:i w:val="0"/>
                <w:iCs w:val="0"/>
                <w:color w:val="000000"/>
                <w:sz w:val="24"/>
                <w:szCs w:val="24"/>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872DD">
            <w:pPr>
              <w:jc w:val="center"/>
              <w:rPr>
                <w:rFonts w:hint="eastAsia" w:ascii="宋体" w:hAnsi="宋体" w:eastAsia="宋体" w:cs="宋体"/>
                <w:i w:val="0"/>
                <w:iCs w:val="0"/>
                <w:color w:val="000000"/>
                <w:sz w:val="24"/>
                <w:szCs w:val="24"/>
                <w:u w:val="none"/>
              </w:rPr>
            </w:pPr>
          </w:p>
        </w:tc>
      </w:tr>
      <w:tr w14:paraId="6247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63859">
            <w:pPr>
              <w:jc w:val="center"/>
              <w:rPr>
                <w:rFonts w:hint="eastAsia" w:ascii="宋体" w:hAnsi="宋体" w:eastAsia="宋体" w:cs="宋体"/>
                <w:b/>
                <w:bCs/>
                <w:i w:val="0"/>
                <w:iCs w:val="0"/>
                <w:color w:val="000000"/>
                <w:sz w:val="24"/>
                <w:szCs w:val="24"/>
                <w:u w:val="none"/>
              </w:rPr>
            </w:pP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06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部门配合度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01D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F2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被评价对象工作配合情况</w:t>
            </w:r>
          </w:p>
        </w:tc>
        <w:tc>
          <w:tcPr>
            <w:tcW w:w="16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1AE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评价工作开展过程中，被评价对象拖延推诿、提交资料不及时等拒不配合评价工作的，发现一处扣1分，扣完为止。</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39F7">
            <w:pPr>
              <w:jc w:val="center"/>
              <w:rPr>
                <w:rFonts w:hint="eastAsia" w:ascii="宋体" w:hAnsi="宋体" w:eastAsia="宋体" w:cs="宋体"/>
                <w:i w:val="0"/>
                <w:iCs w:val="0"/>
                <w:color w:val="000000"/>
                <w:sz w:val="24"/>
                <w:szCs w:val="24"/>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08C2">
            <w:pPr>
              <w:jc w:val="center"/>
              <w:rPr>
                <w:rFonts w:hint="eastAsia" w:ascii="宋体" w:hAnsi="宋体" w:eastAsia="宋体" w:cs="宋体"/>
                <w:i w:val="0"/>
                <w:iCs w:val="0"/>
                <w:color w:val="000000"/>
                <w:sz w:val="24"/>
                <w:szCs w:val="24"/>
                <w:u w:val="none"/>
              </w:rPr>
            </w:pPr>
          </w:p>
        </w:tc>
      </w:tr>
    </w:tbl>
    <w:p w14:paraId="6E96E1A5">
      <w:pPr>
        <w:suppressAutoHyphens/>
        <w:bidi w:val="0"/>
        <w:rPr>
          <w:rFonts w:ascii="Times New Roman" w:hAnsi="Times New Roman" w:eastAsia="仿宋_GB2312"/>
          <w:b/>
          <w:bCs/>
          <w:sz w:val="32"/>
        </w:rPr>
      </w:pPr>
    </w:p>
    <w:p w14:paraId="7A02267E">
      <w:pPr>
        <w:suppressAutoHyphens/>
        <w:bidi w:val="0"/>
        <w:rPr>
          <w:rFonts w:ascii="Times New Roman" w:hAnsi="Times New Roman" w:eastAsia="仿宋_GB2312"/>
          <w:b/>
          <w:bCs/>
          <w:sz w:val="32"/>
        </w:rPr>
      </w:pPr>
    </w:p>
    <w:p w14:paraId="7BE2684F">
      <w:pPr>
        <w:suppressAutoHyphens/>
        <w:bidi w:val="0"/>
        <w:rPr>
          <w:rFonts w:ascii="Times New Roman" w:hAnsi="Times New Roman" w:eastAsia="仿宋_GB2312"/>
          <w:b/>
          <w:bCs/>
          <w:sz w:val="32"/>
        </w:rPr>
      </w:pPr>
    </w:p>
    <w:p w14:paraId="2DF58196">
      <w:pPr>
        <w:suppressAutoHyphens/>
        <w:bidi w:val="0"/>
        <w:rPr>
          <w:rFonts w:ascii="Times New Roman" w:hAnsi="Times New Roman" w:eastAsia="仿宋_GB2312"/>
          <w:b/>
          <w:bCs/>
          <w:sz w:val="32"/>
        </w:rPr>
      </w:pPr>
    </w:p>
    <w:p w14:paraId="7F0EC953">
      <w:pPr>
        <w:suppressAutoHyphens/>
        <w:bidi w:val="0"/>
        <w:rPr>
          <w:rFonts w:ascii="Times New Roman" w:hAnsi="Times New Roman" w:eastAsia="仿宋_GB2312"/>
          <w:b/>
          <w:bCs/>
          <w:sz w:val="32"/>
        </w:rPr>
      </w:pPr>
    </w:p>
    <w:p w14:paraId="1F1DC4BF">
      <w:pPr>
        <w:suppressAutoHyphens/>
        <w:bidi w:val="0"/>
        <w:rPr>
          <w:rFonts w:ascii="Times New Roman" w:hAnsi="Times New Roman" w:eastAsia="仿宋_GB2312"/>
          <w:b/>
          <w:bCs/>
          <w:sz w:val="32"/>
        </w:rPr>
      </w:pPr>
    </w:p>
    <w:p w14:paraId="18FE2A55">
      <w:pPr>
        <w:suppressAutoHyphens/>
        <w:bidi w:val="0"/>
        <w:rPr>
          <w:rFonts w:ascii="Times New Roman" w:hAnsi="Times New Roman" w:eastAsia="仿宋_GB2312"/>
          <w:b/>
          <w:bCs/>
          <w:sz w:val="32"/>
        </w:rPr>
      </w:pPr>
    </w:p>
    <w:p w14:paraId="6AB2C81E">
      <w:pPr>
        <w:suppressAutoHyphens/>
        <w:bidi w:val="0"/>
        <w:rPr>
          <w:rFonts w:ascii="Times New Roman" w:hAnsi="Times New Roman" w:eastAsia="仿宋_GB2312"/>
          <w:b/>
          <w:bCs/>
          <w:sz w:val="32"/>
        </w:rPr>
      </w:pPr>
    </w:p>
    <w:p w14:paraId="56907B2F">
      <w:pPr>
        <w:suppressAutoHyphens/>
        <w:bidi w:val="0"/>
        <w:rPr>
          <w:rFonts w:ascii="Times New Roman" w:hAnsi="Times New Roman" w:eastAsia="仿宋_GB2312"/>
          <w:b/>
          <w:bCs/>
          <w:sz w:val="32"/>
        </w:rPr>
      </w:pPr>
    </w:p>
    <w:p w14:paraId="113BDFFD">
      <w:pPr>
        <w:suppressAutoHyphens/>
        <w:bidi w:val="0"/>
        <w:rPr>
          <w:rFonts w:ascii="Times New Roman" w:hAnsi="Times New Roman" w:eastAsia="仿宋_GB2312"/>
          <w:b/>
          <w:bCs/>
          <w:sz w:val="32"/>
        </w:rPr>
      </w:pPr>
    </w:p>
    <w:p w14:paraId="375A750E">
      <w:pPr>
        <w:suppressAutoHyphens/>
        <w:bidi w:val="0"/>
        <w:rPr>
          <w:rFonts w:ascii="Times New Roman" w:hAnsi="Times New Roman" w:eastAsia="仿宋_GB2312"/>
          <w:b/>
          <w:bCs/>
          <w:sz w:val="32"/>
        </w:rPr>
      </w:pPr>
    </w:p>
    <w:p w14:paraId="009B9741">
      <w:pPr>
        <w:pStyle w:val="2"/>
        <w:rPr>
          <w:rFonts w:ascii="Times New Roman" w:hAnsi="Times New Roman" w:eastAsia="仿宋_GB2312"/>
          <w:b/>
          <w:bCs/>
          <w:sz w:val="32"/>
        </w:rPr>
      </w:pPr>
    </w:p>
    <w:p w14:paraId="1F79AC20">
      <w:pPr>
        <w:pStyle w:val="3"/>
        <w:rPr>
          <w:rFonts w:ascii="Times New Roman" w:hAnsi="Times New Roman" w:eastAsia="仿宋_GB2312"/>
          <w:b/>
          <w:bCs/>
          <w:sz w:val="32"/>
        </w:rPr>
      </w:pPr>
    </w:p>
    <w:p w14:paraId="02B185C8">
      <w:pPr>
        <w:pStyle w:val="3"/>
        <w:rPr>
          <w:rFonts w:ascii="Times New Roman" w:hAnsi="Times New Roman" w:eastAsia="仿宋_GB2312"/>
          <w:b/>
          <w:bCs/>
          <w:sz w:val="32"/>
        </w:rPr>
      </w:pPr>
    </w:p>
    <w:p w14:paraId="361BEE92">
      <w:pPr>
        <w:suppressAutoHyphens/>
        <w:bidi w:val="0"/>
        <w:rPr>
          <w:rFonts w:ascii="Times New Roman" w:hAnsi="Times New Roman" w:eastAsia="仿宋_GB2312"/>
          <w:b/>
          <w:bCs/>
          <w:sz w:val="32"/>
        </w:rPr>
      </w:pPr>
    </w:p>
    <w:p w14:paraId="288D96D0">
      <w:pPr>
        <w:pStyle w:val="2"/>
        <w:rPr>
          <w:rFonts w:ascii="Times New Roman" w:hAnsi="Times New Roman" w:eastAsia="仿宋_GB2312"/>
          <w:b/>
          <w:bCs/>
          <w:sz w:val="32"/>
        </w:rPr>
      </w:pPr>
    </w:p>
    <w:p w14:paraId="6770415C">
      <w:pPr>
        <w:pStyle w:val="3"/>
        <w:rPr>
          <w:rFonts w:ascii="Times New Roman" w:hAnsi="Times New Roman" w:eastAsia="仿宋_GB2312"/>
          <w:b/>
          <w:bCs/>
          <w:sz w:val="32"/>
        </w:rPr>
      </w:pPr>
    </w:p>
    <w:p w14:paraId="717761F3">
      <w:pPr>
        <w:pStyle w:val="3"/>
        <w:rPr>
          <w:rFonts w:ascii="Times New Roman" w:hAnsi="Times New Roman" w:eastAsia="仿宋_GB2312"/>
          <w:b/>
          <w:bCs/>
          <w:sz w:val="32"/>
        </w:rPr>
      </w:pPr>
    </w:p>
    <w:p w14:paraId="429B5DEE">
      <w:pPr>
        <w:pStyle w:val="3"/>
        <w:rPr>
          <w:rFonts w:ascii="Times New Roman" w:hAnsi="Times New Roman" w:eastAsia="仿宋_GB2312"/>
          <w:b/>
          <w:bCs/>
          <w:sz w:val="32"/>
        </w:rPr>
      </w:pPr>
    </w:p>
    <w:p w14:paraId="7FF1B472">
      <w:pPr>
        <w:pStyle w:val="3"/>
        <w:rPr>
          <w:rFonts w:ascii="Times New Roman" w:hAnsi="Times New Roman" w:eastAsia="仿宋_GB2312"/>
          <w:b/>
          <w:bCs/>
          <w:sz w:val="32"/>
        </w:rPr>
      </w:pPr>
    </w:p>
    <w:p w14:paraId="3C8771F0">
      <w:pPr>
        <w:suppressAutoHyphens/>
        <w:bidi w:val="0"/>
        <w:spacing w:line="700" w:lineRule="exact"/>
        <w:jc w:val="center"/>
        <w:rPr>
          <w:rFonts w:hint="eastAsia" w:ascii="黑体" w:hAnsi="黑体" w:eastAsia="黑体" w:cs="黑体"/>
          <w:sz w:val="44"/>
          <w:szCs w:val="44"/>
          <w:lang w:eastAsia="zh-CN"/>
        </w:rPr>
      </w:pPr>
      <w:r>
        <w:rPr>
          <w:rFonts w:hint="eastAsia" w:ascii="黑体" w:hAnsi="黑体" w:eastAsia="黑体" w:cs="黑体"/>
          <w:sz w:val="44"/>
          <w:szCs w:val="44"/>
          <w:lang w:val="en-US" w:eastAsia="zh-CN"/>
        </w:rPr>
        <w:t>专项</w:t>
      </w:r>
      <w:r>
        <w:rPr>
          <w:rFonts w:hint="eastAsia" w:ascii="黑体" w:hAnsi="黑体" w:eastAsia="黑体" w:cs="黑体"/>
          <w:sz w:val="44"/>
          <w:szCs w:val="44"/>
          <w:lang w:eastAsia="zh-CN"/>
        </w:rPr>
        <w:t>预算项目支出绩效自评报告</w:t>
      </w:r>
    </w:p>
    <w:p w14:paraId="0875D7A4">
      <w:pPr>
        <w:suppressAutoHyphens/>
        <w:bidi w:val="0"/>
        <w:spacing w:line="700" w:lineRule="exact"/>
        <w:jc w:val="center"/>
        <w:rPr>
          <w:rFonts w:ascii="宋体" w:hAnsi="宋体" w:eastAsia="仿宋_GB2312"/>
          <w:b/>
          <w:sz w:val="32"/>
          <w:szCs w:val="21"/>
        </w:rPr>
      </w:pPr>
      <w:r>
        <w:rPr>
          <w:rFonts w:hint="eastAsia" w:ascii="Times New Roman" w:hAnsi="宋体" w:eastAsia="仿宋_GB2312"/>
          <w:sz w:val="32"/>
        </w:rPr>
        <w:t>（</w:t>
      </w:r>
      <w:r>
        <w:rPr>
          <w:rFonts w:hint="eastAsia" w:ascii="Times New Roman" w:hAnsi="Times New Roman" w:eastAsia="仿宋_GB2312"/>
          <w:sz w:val="32"/>
          <w:lang w:val="en-US" w:eastAsia="zh-CN"/>
        </w:rPr>
        <w:t>公共图书馆、美术馆、文化馆（站）免费开放资金</w:t>
      </w:r>
      <w:r>
        <w:rPr>
          <w:rFonts w:hint="eastAsia" w:ascii="Times New Roman" w:hAnsi="Times New Roman" w:eastAsia="仿宋_GB2312"/>
          <w:sz w:val="32"/>
        </w:rPr>
        <w:t>项目）</w:t>
      </w:r>
    </w:p>
    <w:p w14:paraId="3F2475E6">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firstLineChars="200"/>
        <w:textAlignment w:val="auto"/>
        <w:rPr>
          <w:rFonts w:ascii="黑体" w:hAnsi="宋体" w:eastAsia="黑体" w:cs="Times New Roman"/>
          <w:sz w:val="32"/>
          <w:szCs w:val="32"/>
          <w:highlight w:val="none"/>
          <w:lang w:val="zh-CN"/>
        </w:rPr>
      </w:pPr>
      <w:r>
        <w:rPr>
          <w:rFonts w:hint="eastAsia" w:ascii="黑体" w:hAnsi="宋体" w:eastAsia="黑体" w:cs="Times New Roman"/>
          <w:sz w:val="32"/>
          <w:szCs w:val="32"/>
          <w:highlight w:val="none"/>
        </w:rPr>
        <w:t>一、</w:t>
      </w:r>
      <w:r>
        <w:rPr>
          <w:rFonts w:hint="eastAsia" w:ascii="黑体" w:hAnsi="宋体" w:eastAsia="黑体" w:cs="Times New Roman"/>
          <w:sz w:val="32"/>
          <w:szCs w:val="32"/>
          <w:highlight w:val="none"/>
          <w:lang w:val="zh-CN"/>
        </w:rPr>
        <w:t>项目概况</w:t>
      </w:r>
    </w:p>
    <w:p w14:paraId="6BB511F0">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（一）设立背景及基本情况。</w:t>
      </w:r>
      <w:r>
        <w:rPr>
          <w:rFonts w:hint="default" w:ascii="仿宋_GB2312" w:hAnsi="仿宋_GB2312" w:eastAsia="仿宋_GB2312" w:cs="仿宋_GB2312"/>
          <w:color w:val="auto"/>
          <w:kern w:val="0"/>
          <w:sz w:val="32"/>
          <w:szCs w:val="32"/>
          <w:highlight w:val="none"/>
          <w:u w:val="none"/>
          <w:shd w:val="clear" w:color="auto" w:fill="FFFFFF"/>
          <w:lang w:val="en-US" w:eastAsia="zh-CN"/>
        </w:rPr>
        <w:t>随着社会经济的发展，人民群众对精神文化生活的需求日益增长。综合文化站作为基层公共文化服务的重要阵地，在丰富群众文化生活、提升文化素养等方面发挥着关键作用。为推动综合文化站持续、稳定、高质量地向公众免费开放，充分发挥其公共文化服务职能，设立综合文化站免费开放资金专项资金。本项目依据国家关于推进公共文化服务体系建设的相关政策法规立项，资金申报严格遵循地方财政部门制定的申报流程与标准。​</w:t>
      </w:r>
    </w:p>
    <w:p w14:paraId="7A0CC02C">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项目主要内容包括支持综合文化站日常运营，如场地维护、设备购置与更新；组织开展各类文化活动，涵盖文艺演出、艺术培训、科普宣传等；保障文化站工作人员的部分工作经费等。主管部门负责统筹规划区域内综合文化站的建设与发展，制定免费开放工作的政策标准，监督项目资金使用情况，指导文化站开展各类文化服务活动，确保公共文化服务工作的有效落实。</w:t>
      </w:r>
    </w:p>
    <w:p w14:paraId="53C5B351">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为规范项目资金管理，主管部门制定了《综合文化站免费开放资金管理办法》，明确了资金的使用范围、申请审批流程、监督检查机制等内容。项目实施目的在于全面提升综合文化站的服务能力和水平，扩大公共文化服务的覆盖面，满足基层群众多样化、多层次的文化需求，推动基层文化事业繁荣发展。​</w:t>
      </w:r>
    </w:p>
    <w:p w14:paraId="576EBC32">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项目主要工作任务包括保障综合文化站场地全年免费开放，组织开展丰富多彩、形式多样的文化活动，加强文化站设施设备建设与维护，提升工作人员业务能力等。项目支持方向聚焦于基层公共文化服务，重点支持文化活动开展、设施设备改善、人员队伍建设等领域。</w:t>
      </w:r>
    </w:p>
    <w:p w14:paraId="4C1D0BF9">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本年度项目预算安排总额为 </w:t>
      </w:r>
      <w:r>
        <w:rPr>
          <w:rFonts w:hint="eastAsia" w:ascii="仿宋_GB2312" w:hAnsi="仿宋_GB2312" w:eastAsia="仿宋_GB2312" w:cs="仿宋_GB2312"/>
          <w:color w:val="auto"/>
          <w:kern w:val="0"/>
          <w:sz w:val="32"/>
          <w:szCs w:val="32"/>
          <w:highlight w:val="none"/>
          <w:u w:val="none"/>
          <w:shd w:val="clear" w:color="auto" w:fill="FFFFFF"/>
          <w:lang w:val="en-US" w:eastAsia="zh-CN"/>
        </w:rPr>
        <w:t>2.52</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万元。项目资金分配遵循公平、公正、公开的原则，充分考虑各综合文化站的服务人口数量、区域文化需求差异、原有设施基础等因素。根据各文化站申报的项目计划和实际需求，结合财政资金状况，合理分配资金。</w:t>
      </w:r>
    </w:p>
    <w:p w14:paraId="20BAAA99">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default" w:ascii="仿宋_GB2312" w:hAnsi="仿宋_GB2312" w:eastAsia="仿宋_GB2312" w:cs="仿宋_GB2312"/>
          <w:color w:val="auto"/>
          <w:kern w:val="0"/>
          <w:sz w:val="32"/>
          <w:szCs w:val="32"/>
          <w:highlight w:val="none"/>
          <w:u w:val="none"/>
          <w:shd w:val="clear" w:color="auto" w:fill="FFFFFF"/>
          <w:lang w:val="en-US" w:eastAsia="zh-CN"/>
        </w:rPr>
        <w:t>项目整体绩效目标为全面实现综合文化站免费开放，提升基层公共文化服务质量，增强群众文化获得感。​</w:t>
      </w:r>
    </w:p>
    <w:p w14:paraId="6968EA75">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具体绩效目标包括：文化站场地年开放时长</w:t>
      </w:r>
      <w:r>
        <w:rPr>
          <w:rFonts w:hint="eastAsia" w:ascii="仿宋_GB2312" w:hAnsi="仿宋_GB2312" w:eastAsia="仿宋_GB2312" w:cs="仿宋_GB2312"/>
          <w:color w:val="auto"/>
          <w:kern w:val="0"/>
          <w:sz w:val="32"/>
          <w:szCs w:val="32"/>
          <w:highlight w:val="none"/>
          <w:u w:val="none"/>
          <w:shd w:val="clear" w:color="auto" w:fill="FFFFFF"/>
          <w:lang w:val="en-US" w:eastAsia="zh-CN"/>
        </w:rPr>
        <w:t>每天</w:t>
      </w:r>
      <w:r>
        <w:rPr>
          <w:rFonts w:hint="default" w:ascii="仿宋_GB2312" w:hAnsi="仿宋_GB2312" w:eastAsia="仿宋_GB2312" w:cs="仿宋_GB2312"/>
          <w:color w:val="auto"/>
          <w:kern w:val="0"/>
          <w:sz w:val="32"/>
          <w:szCs w:val="32"/>
          <w:highlight w:val="none"/>
          <w:u w:val="none"/>
          <w:shd w:val="clear" w:color="auto" w:fill="FFFFFF"/>
          <w:lang w:val="en-US" w:eastAsia="zh-CN"/>
        </w:rPr>
        <w:t>不低于</w:t>
      </w:r>
      <w:r>
        <w:rPr>
          <w:rFonts w:hint="eastAsia" w:ascii="仿宋_GB2312" w:hAnsi="仿宋_GB2312" w:eastAsia="仿宋_GB2312" w:cs="仿宋_GB2312"/>
          <w:color w:val="auto"/>
          <w:kern w:val="0"/>
          <w:sz w:val="32"/>
          <w:szCs w:val="32"/>
          <w:highlight w:val="none"/>
          <w:u w:val="none"/>
          <w:shd w:val="clear" w:color="auto" w:fill="FFFFFF"/>
          <w:lang w:val="en-US" w:eastAsia="zh-CN"/>
        </w:rPr>
        <w:t>6</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小时；全年组织各类文化活动不少于 </w:t>
      </w: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场次，参与群众不少于 </w:t>
      </w:r>
      <w:r>
        <w:rPr>
          <w:rFonts w:hint="eastAsia" w:ascii="仿宋_GB2312" w:hAnsi="仿宋_GB2312" w:eastAsia="仿宋_GB2312" w:cs="仿宋_GB2312"/>
          <w:color w:val="auto"/>
          <w:kern w:val="0"/>
          <w:sz w:val="32"/>
          <w:szCs w:val="32"/>
          <w:highlight w:val="none"/>
          <w:u w:val="none"/>
          <w:shd w:val="clear" w:color="auto" w:fill="FFFFFF"/>
          <w:lang w:val="en-US" w:eastAsia="zh-CN"/>
        </w:rPr>
        <w:t>200</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人次；购置图书、设备等物资数量达到</w:t>
      </w:r>
      <w:r>
        <w:rPr>
          <w:rFonts w:hint="eastAsia" w:ascii="仿宋_GB2312" w:hAnsi="仿宋_GB2312" w:eastAsia="仿宋_GB2312" w:cs="仿宋_GB2312"/>
          <w:color w:val="auto"/>
          <w:kern w:val="0"/>
          <w:sz w:val="32"/>
          <w:szCs w:val="32"/>
          <w:highlight w:val="none"/>
          <w:u w:val="none"/>
          <w:shd w:val="clear" w:color="auto" w:fill="FFFFFF"/>
          <w:lang w:val="en-US" w:eastAsia="zh-CN"/>
        </w:rPr>
        <w:t>80</w:t>
      </w:r>
      <w:r>
        <w:rPr>
          <w:rFonts w:hint="default" w:ascii="仿宋_GB2312" w:hAnsi="仿宋_GB2312" w:eastAsia="仿宋_GB2312" w:cs="仿宋_GB2312"/>
          <w:color w:val="auto"/>
          <w:kern w:val="0"/>
          <w:sz w:val="32"/>
          <w:szCs w:val="32"/>
          <w:highlight w:val="none"/>
          <w:u w:val="none"/>
          <w:shd w:val="clear" w:color="auto" w:fill="FFFFFF"/>
          <w:lang w:val="en-US" w:eastAsia="zh-CN"/>
        </w:rPr>
        <w:t xml:space="preserve"> 件；工作人员培训覆盖率达到 </w:t>
      </w:r>
      <w:r>
        <w:rPr>
          <w:rFonts w:hint="eastAsia" w:ascii="仿宋_GB2312" w:hAnsi="仿宋_GB2312" w:eastAsia="仿宋_GB2312" w:cs="仿宋_GB2312"/>
          <w:color w:val="auto"/>
          <w:kern w:val="0"/>
          <w:sz w:val="32"/>
          <w:szCs w:val="32"/>
          <w:highlight w:val="none"/>
          <w:u w:val="none"/>
          <w:shd w:val="clear" w:color="auto" w:fill="FFFFFF"/>
          <w:lang w:val="en-US" w:eastAsia="zh-CN"/>
        </w:rPr>
        <w:t>50</w:t>
      </w:r>
      <w:r>
        <w:rPr>
          <w:rFonts w:hint="default" w:ascii="仿宋_GB2312" w:hAnsi="仿宋_GB2312" w:eastAsia="仿宋_GB2312" w:cs="仿宋_GB2312"/>
          <w:color w:val="auto"/>
          <w:kern w:val="0"/>
          <w:sz w:val="32"/>
          <w:szCs w:val="32"/>
          <w:highlight w:val="none"/>
          <w:u w:val="none"/>
          <w:shd w:val="clear" w:color="auto" w:fill="FFFFFF"/>
          <w:lang w:val="en-US" w:eastAsia="zh-CN"/>
        </w:rPr>
        <w:t>% 等。​</w:t>
      </w:r>
    </w:p>
    <w:p w14:paraId="05D5140C">
      <w:pPr>
        <w:keepNext w:val="0"/>
        <w:keepLines w:val="0"/>
        <w:pageBreakBefore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zh-CN" w:eastAsia="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为确保绩效目标的实现，项目实施单位定期开展自评工作，对照绩效目标对项目执行情况进行检查和分析，及时发现问题并采取整改措施。</w:t>
      </w:r>
    </w:p>
    <w:p w14:paraId="70F58334">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59C0C02D">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rPr>
      </w:pPr>
      <w:r>
        <w:rPr>
          <w:rFonts w:hint="eastAsia" w:ascii="楷体_GB2312" w:hAnsi="宋体" w:eastAsia="楷体_GB2312" w:cs="Times New Roman"/>
          <w:b/>
          <w:color w:val="auto"/>
          <w:sz w:val="32"/>
          <w:szCs w:val="32"/>
          <w:highlight w:val="none"/>
          <w:u w:val="none"/>
          <w:lang w:val="zh-CN"/>
        </w:rPr>
        <w:t>（一）评价目的。</w:t>
      </w:r>
      <w:r>
        <w:rPr>
          <w:rFonts w:hint="eastAsia" w:ascii="Times New Roman" w:hAnsi="Times New Roman" w:eastAsia="仿宋_GB2312" w:cs="Times New Roman"/>
          <w:sz w:val="32"/>
          <w:szCs w:val="32"/>
        </w:rPr>
        <w:t>通过项目绩效自评，全面了解综合文化站免费开放资金专项资金的使用情况和项目实施效果，总结项目实施过程中的经验和不足，为优化资金分配、完善政策措施、提高项目管理水平提供依据，确保资金使用效益最大化，推动综合文化站更好地发挥公共文化服务职能。</w:t>
      </w:r>
    </w:p>
    <w:p w14:paraId="73D807A2">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Times New Roman" w:hAnsi="Times New Roman"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rPr>
        <w:t>（二）预设问题及评价重点。</w:t>
      </w:r>
      <w:r>
        <w:rPr>
          <w:rFonts w:hint="eastAsia" w:ascii="Times New Roman" w:hAnsi="Times New Roman" w:eastAsia="仿宋_GB2312" w:cs="Times New Roman"/>
          <w:sz w:val="32"/>
          <w:szCs w:val="32"/>
        </w:rPr>
        <w:t>预设问题包括资金使用是否合规、项目实施是否达到预期目标、文化活动开展效果是否良好、群众满意度是否达标等。评价重点围绕资金支出使用全过程及其实施效果，依据绩效评价指标体系，对项目决策、项目管理、项目实施和项目结果等方面进行综合评价和判断，重点关注资金使用的安全性、有效性和项目产出的质量与社会效益。</w:t>
      </w:r>
    </w:p>
    <w:p w14:paraId="7816C8BD">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Times New Roman" w:hAnsi="Times New Roman" w:eastAsia="仿宋_GB2312" w:cs="Times New Roman"/>
          <w:sz w:val="32"/>
          <w:szCs w:val="32"/>
          <w:lang w:val="zh-CN" w:eastAsia="zh-CN"/>
        </w:rPr>
      </w:pPr>
      <w:r>
        <w:rPr>
          <w:rFonts w:hint="eastAsia" w:ascii="楷体_GB2312" w:hAnsi="宋体" w:eastAsia="楷体_GB2312" w:cs="Times New Roman"/>
          <w:b/>
          <w:color w:val="auto"/>
          <w:sz w:val="32"/>
          <w:szCs w:val="32"/>
          <w:highlight w:val="none"/>
          <w:u w:val="none"/>
          <w:lang w:val="zh-CN"/>
        </w:rPr>
        <w:t>（三）评价选点。</w:t>
      </w:r>
      <w:r>
        <w:rPr>
          <w:rFonts w:hint="eastAsia" w:ascii="Times New Roman" w:hAnsi="Times New Roman" w:eastAsia="仿宋_GB2312" w:cs="Times New Roman"/>
          <w:sz w:val="32"/>
          <w:szCs w:val="32"/>
        </w:rPr>
        <w:t xml:space="preserve">本次项目绩效自评采用抽样方式，选取了 </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个具有代表性的综合文化站作为评价点位</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确保评价结果能够全面反映项目实施情况。</w:t>
      </w:r>
    </w:p>
    <w:p w14:paraId="30A216E5">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rPr>
      </w:pPr>
      <w:r>
        <w:rPr>
          <w:rFonts w:hint="eastAsia" w:ascii="楷体_GB2312" w:hAnsi="宋体" w:eastAsia="楷体_GB2312" w:cs="Times New Roman"/>
          <w:b/>
          <w:color w:val="auto"/>
          <w:sz w:val="32"/>
          <w:szCs w:val="32"/>
          <w:highlight w:val="none"/>
          <w:u w:val="none"/>
          <w:lang w:val="zh-CN"/>
        </w:rPr>
        <w:t>（四）评价方法。</w:t>
      </w:r>
      <w:r>
        <w:rPr>
          <w:rFonts w:hint="eastAsia" w:ascii="Times New Roman" w:hAnsi="Times New Roman" w:eastAsia="仿宋_GB2312" w:cs="Times New Roman"/>
          <w:sz w:val="32"/>
          <w:szCs w:val="32"/>
        </w:rPr>
        <w:t xml:space="preserve">本次评价综合运用多种方法。采用成本效益分析法，对项目投入与产出进行对比分析，评估资金使用的经济效益；运用案卷研究法，查阅项目申报材料、资金拨付凭证、活动记录等资料，检查项目实施的规范性；通过单位自评法，要求各文化站对照绩效目标进行自我评估；采用实地勘察法，到文化站现场查看场地开放、设施设备使用情况；运用问卷调查法，随机抽取 </w:t>
      </w:r>
      <w:r>
        <w:rPr>
          <w:rFonts w:hint="eastAsia"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rPr>
        <w:t xml:space="preserve"> 名参与文化活动的群众，了解他们对文化站服务的满意度；开展座谈调研法，组织文化站工作人员、社区居民代表等进行座谈，听取意见和建议。</w:t>
      </w:r>
    </w:p>
    <w:p w14:paraId="34286DE4">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rPr>
        <w:t>（五）评价组织。</w:t>
      </w:r>
      <w:r>
        <w:rPr>
          <w:rFonts w:hint="eastAsia" w:ascii="Times New Roman" w:hAnsi="Times New Roman" w:eastAsia="仿宋_GB2312" w:cs="Times New Roman"/>
          <w:sz w:val="32"/>
          <w:szCs w:val="32"/>
        </w:rPr>
        <w:t>评价组由主管部门相关负责人、财务</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、文化领域</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组成。主管部门负责人负责统筹协调评价工作，把握评价方向；财务</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负责审核资金使用情况，检查财务合规性；文化领域</w:t>
      </w:r>
      <w:r>
        <w:rPr>
          <w:rFonts w:hint="eastAsia" w:ascii="Times New Roman" w:hAnsi="Times New Roman" w:eastAsia="仿宋_GB2312" w:cs="Times New Roman"/>
          <w:sz w:val="32"/>
          <w:szCs w:val="32"/>
          <w:lang w:val="en-US" w:eastAsia="zh-CN"/>
        </w:rPr>
        <w:t>人员</w:t>
      </w:r>
      <w:r>
        <w:rPr>
          <w:rFonts w:hint="eastAsia" w:ascii="Times New Roman" w:hAnsi="Times New Roman" w:eastAsia="仿宋_GB2312" w:cs="Times New Roman"/>
          <w:sz w:val="32"/>
          <w:szCs w:val="32"/>
        </w:rPr>
        <w:t>对文化活动开展、服务质量等进行专业评估。评价组人员分工明确，密切配合，共同完成绩效评价工作。</w:t>
      </w:r>
    </w:p>
    <w:p w14:paraId="197A5541">
      <w:pPr>
        <w:keepNext w:val="0"/>
        <w:keepLines w:val="0"/>
        <w:pageBreakBefore w:val="0"/>
        <w:suppressAutoHyphens/>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s="Times New Roman"/>
          <w:color w:val="auto"/>
          <w:sz w:val="32"/>
          <w:szCs w:val="32"/>
          <w:highlight w:val="none"/>
          <w:u w:val="none"/>
          <w:lang w:val="zh-CN"/>
        </w:rPr>
      </w:pPr>
      <w:r>
        <w:rPr>
          <w:rFonts w:hint="eastAsia" w:ascii="黑体" w:hAnsi="宋体" w:eastAsia="黑体" w:cs="Times New Roman"/>
          <w:color w:val="auto"/>
          <w:sz w:val="32"/>
          <w:szCs w:val="32"/>
          <w:highlight w:val="none"/>
          <w:u w:val="none"/>
        </w:rPr>
        <w:t>三、</w:t>
      </w:r>
      <w:r>
        <w:rPr>
          <w:rFonts w:hint="eastAsia" w:ascii="黑体" w:hAnsi="宋体" w:eastAsia="黑体" w:cs="Times New Roman"/>
          <w:color w:val="auto"/>
          <w:sz w:val="32"/>
          <w:szCs w:val="32"/>
          <w:highlight w:val="none"/>
          <w:u w:val="none"/>
          <w:lang w:eastAsia="zh-CN"/>
        </w:rPr>
        <w:t>绩效分析</w:t>
      </w:r>
      <w:r>
        <w:rPr>
          <w:rFonts w:hint="eastAsia" w:ascii="仿宋_GB2312" w:hAnsi="宋体" w:eastAsia="仿宋_GB2312" w:cs="Times New Roman"/>
          <w:color w:val="auto"/>
          <w:sz w:val="32"/>
          <w:szCs w:val="32"/>
          <w:highlight w:val="none"/>
          <w:u w:val="none"/>
          <w:lang w:val="zh-CN"/>
        </w:rPr>
        <w:tab/>
      </w:r>
    </w:p>
    <w:p w14:paraId="73CB7703">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根据</w:t>
      </w:r>
      <w:r>
        <w:rPr>
          <w:rFonts w:hint="eastAsia" w:ascii="Times New Roman" w:hAnsi="Times New Roman" w:eastAsia="仿宋_GB2312" w:cs="Times New Roman"/>
          <w:sz w:val="32"/>
          <w:szCs w:val="32"/>
          <w:lang w:val="zh-CN" w:eastAsia="zh-CN"/>
        </w:rPr>
        <w:t>项目</w:t>
      </w:r>
      <w:r>
        <w:rPr>
          <w:rFonts w:hint="default" w:ascii="Times New Roman" w:hAnsi="Times New Roman" w:eastAsia="仿宋_GB2312" w:cs="Times New Roman"/>
          <w:sz w:val="32"/>
          <w:szCs w:val="32"/>
          <w:lang w:val="zh-CN" w:eastAsia="zh-CN"/>
        </w:rPr>
        <w:t>预算绩效评价指标体系“</w:t>
      </w:r>
      <w:r>
        <w:rPr>
          <w:rFonts w:hint="eastAsia" w:ascii="Times New Roman" w:hAnsi="Times New Roman" w:eastAsia="仿宋_GB2312" w:cs="Times New Roman"/>
          <w:sz w:val="32"/>
          <w:szCs w:val="32"/>
          <w:lang w:val="zh-CN" w:eastAsia="zh-CN"/>
        </w:rPr>
        <w:t>通用指标</w:t>
      </w:r>
      <w:r>
        <w:rPr>
          <w:rFonts w:hint="default" w:ascii="Times New Roman" w:hAnsi="Times New Roman" w:eastAsia="仿宋_GB2312" w:cs="Times New Roman"/>
          <w:sz w:val="32"/>
          <w:szCs w:val="32"/>
          <w:lang w:val="zh-CN" w:eastAsia="zh-CN"/>
        </w:rPr>
        <w:t>”</w:t>
      </w:r>
      <w:r>
        <w:rPr>
          <w:rFonts w:hint="eastAsia" w:ascii="Times New Roman" w:hAnsi="Times New Roman" w:eastAsia="仿宋_GB2312" w:cs="Times New Roman"/>
          <w:sz w:val="32"/>
          <w:szCs w:val="32"/>
          <w:lang w:val="zh-CN" w:eastAsia="zh-CN"/>
        </w:rPr>
        <w:t>“专用指标”“个性指标”</w:t>
      </w:r>
      <w:r>
        <w:rPr>
          <w:rFonts w:hint="default" w:ascii="Times New Roman" w:hAnsi="Times New Roman" w:eastAsia="仿宋_GB2312" w:cs="Times New Roman"/>
          <w:sz w:val="32"/>
          <w:szCs w:val="32"/>
          <w:lang w:val="zh-CN" w:eastAsia="zh-CN"/>
        </w:rPr>
        <w:t>涉及</w:t>
      </w:r>
      <w:r>
        <w:rPr>
          <w:rFonts w:hint="eastAsia" w:ascii="Times New Roman" w:hAnsi="Times New Roman" w:eastAsia="仿宋_GB2312" w:cs="Times New Roman"/>
          <w:sz w:val="32"/>
          <w:szCs w:val="32"/>
          <w:lang w:val="zh-CN" w:eastAsia="zh-CN"/>
        </w:rPr>
        <w:t>二、三级</w:t>
      </w:r>
      <w:r>
        <w:rPr>
          <w:rFonts w:hint="default" w:ascii="Times New Roman" w:hAnsi="Times New Roman" w:eastAsia="仿宋_GB2312" w:cs="Times New Roman"/>
          <w:sz w:val="32"/>
          <w:szCs w:val="32"/>
          <w:lang w:val="zh-CN" w:eastAsia="zh-CN"/>
        </w:rPr>
        <w:t>指标进行</w:t>
      </w:r>
      <w:r>
        <w:rPr>
          <w:rFonts w:hint="eastAsia" w:ascii="Times New Roman" w:hAnsi="Times New Roman" w:eastAsia="仿宋_GB2312" w:cs="Times New Roman"/>
          <w:sz w:val="32"/>
          <w:szCs w:val="32"/>
          <w:lang w:val="zh-CN" w:eastAsia="zh-CN"/>
        </w:rPr>
        <w:t>逐项</w:t>
      </w:r>
      <w:r>
        <w:rPr>
          <w:rFonts w:hint="default" w:ascii="Times New Roman" w:hAnsi="Times New Roman" w:eastAsia="仿宋_GB2312" w:cs="Times New Roman"/>
          <w:sz w:val="32"/>
          <w:szCs w:val="32"/>
          <w:lang w:val="zh-CN" w:eastAsia="zh-CN"/>
        </w:rPr>
        <w:t>绩效分析</w:t>
      </w:r>
      <w:r>
        <w:rPr>
          <w:rFonts w:hint="eastAsia" w:ascii="Times New Roman" w:hAnsi="Times New Roman" w:eastAsia="仿宋_GB2312" w:cs="Times New Roman"/>
          <w:sz w:val="32"/>
          <w:szCs w:val="32"/>
          <w:lang w:val="zh-CN" w:eastAsia="zh-CN"/>
        </w:rPr>
        <w:t>并评分</w:t>
      </w:r>
      <w:r>
        <w:rPr>
          <w:rFonts w:hint="eastAsia" w:ascii="Times New Roman" w:hAnsi="Times New Roman" w:eastAsia="仿宋_GB2312" w:cs="Times New Roman"/>
          <w:sz w:val="32"/>
          <w:szCs w:val="32"/>
          <w:lang w:val="en-US" w:eastAsia="zh-CN"/>
        </w:rPr>
        <w:t>。</w:t>
      </w:r>
    </w:p>
    <w:p w14:paraId="1C58696B">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2AA76447">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楷体_GB2312" w:hAnsi="楷体_GB2312" w:eastAsia="楷体_GB2312" w:cs="楷体_GB2312"/>
          <w:color w:val="auto"/>
          <w:sz w:val="32"/>
          <w:szCs w:val="32"/>
          <w:lang w:val="en-US" w:eastAsia="zh-CN"/>
        </w:rPr>
        <w:t>项</w:t>
      </w:r>
      <w:r>
        <w:rPr>
          <w:rFonts w:hint="eastAsia" w:ascii="Times New Roman" w:hAnsi="Times New Roman" w:eastAsia="仿宋_GB2312" w:cs="Times New Roman"/>
          <w:sz w:val="32"/>
          <w:szCs w:val="32"/>
          <w:lang w:val="zh-CN" w:eastAsia="zh-CN"/>
        </w:rPr>
        <w:t>目立项依据充分，符合国家和地方公共文化服务政策要求。决策程序规范，经过了科学的规划论证，资金投向明确合理，重点支持基层文化服务薄弱环节。在项目规划过程中，充分征求了基层文化站和群众的意见，确保项目符合实际需求。</w:t>
      </w:r>
    </w:p>
    <w:p w14:paraId="416C92D8">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 xml:space="preserve">2. </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sz w:val="32"/>
          <w:szCs w:val="32"/>
          <w:lang w:val="zh-CN" w:eastAsia="zh-CN"/>
        </w:rPr>
        <w:t>制定了完善的资金管理办法和项目管理制度，明确了各环节的责任和流程。资金分配管理公开透明，严格按照规定程序进行。建立了绩效监管机制，定期对项目实施情况进行检查和评估。</w:t>
      </w:r>
    </w:p>
    <w:p w14:paraId="196EC152">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3. 项目实施。</w:t>
      </w:r>
      <w:r>
        <w:rPr>
          <w:rFonts w:hint="eastAsia" w:ascii="Times New Roman" w:hAnsi="Times New Roman" w:eastAsia="仿宋_GB2312" w:cs="Times New Roman"/>
          <w:sz w:val="32"/>
          <w:szCs w:val="32"/>
          <w:lang w:val="zh-CN" w:eastAsia="zh-CN"/>
        </w:rPr>
        <w:t xml:space="preserve">预算执行率达到 </w:t>
      </w:r>
      <w:r>
        <w:rPr>
          <w:rFonts w:hint="eastAsia" w:ascii="Times New Roman" w:hAnsi="Times New Roman" w:eastAsia="仿宋_GB2312" w:cs="Times New Roman"/>
          <w:sz w:val="32"/>
          <w:szCs w:val="32"/>
          <w:lang w:val="en-US" w:eastAsia="zh-CN"/>
        </w:rPr>
        <w:t>100</w:t>
      </w:r>
      <w:r>
        <w:rPr>
          <w:rFonts w:hint="eastAsia" w:ascii="Times New Roman" w:hAnsi="Times New Roman" w:eastAsia="仿宋_GB2312" w:cs="Times New Roman"/>
          <w:sz w:val="32"/>
          <w:szCs w:val="32"/>
          <w:lang w:val="zh-CN" w:eastAsia="zh-CN"/>
        </w:rPr>
        <w:t>%，资金使用符合规定用途，未出现挪用、截留等违规现象。在资金使用过程中，严格按照财务制度进行审批和报销，确保资金使用安全。</w:t>
      </w:r>
    </w:p>
    <w:p w14:paraId="62BE1B93">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sz w:val="32"/>
          <w:szCs w:val="32"/>
          <w:lang w:val="zh-CN" w:eastAsia="zh-CN"/>
        </w:rPr>
      </w:pPr>
      <w:r>
        <w:rPr>
          <w:rFonts w:hint="eastAsia" w:ascii="楷体_GB2312" w:hAnsi="楷体_GB2312" w:eastAsia="楷体_GB2312" w:cs="楷体_GB2312"/>
          <w:color w:val="auto"/>
          <w:sz w:val="32"/>
          <w:szCs w:val="32"/>
          <w:lang w:val="en-US" w:eastAsia="zh-CN"/>
        </w:rPr>
        <w:t>4. 项目结果。</w:t>
      </w:r>
      <w:r>
        <w:rPr>
          <w:rFonts w:hint="eastAsia" w:ascii="Times New Roman" w:hAnsi="Times New Roman" w:eastAsia="仿宋_GB2312" w:cs="Times New Roman"/>
          <w:sz w:val="32"/>
          <w:szCs w:val="32"/>
          <w:lang w:val="zh-CN" w:eastAsia="zh-CN"/>
        </w:rPr>
        <w:t>各项绩效目标基本完成，文化站场地开放时长、文化活动开展场次、参与人数等均达到或超过预期目标。</w:t>
      </w:r>
    </w:p>
    <w:p w14:paraId="3767E4B6">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专项资金资金支持对象选择所属指标进行绩效分析。支持对象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50E807CC">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1. 产业发展。</w:t>
      </w:r>
      <w:r>
        <w:rPr>
          <w:rFonts w:hint="eastAsia" w:ascii="Times New Roman" w:hAnsi="Times New Roman" w:eastAsia="仿宋_GB2312" w:cs="Times New Roman"/>
          <w:color w:val="auto"/>
          <w:sz w:val="32"/>
          <w:szCs w:val="32"/>
          <w:lang w:val="zh-CN" w:eastAsia="zh-CN"/>
        </w:rPr>
        <w:t>综合文化站免费开放资金项目与国家推动文化产业发展、提升公共文化服务水平的政策导向高度契合，资金主要用于文化活动开展、设备购置等，能够为文化产业发展营造良好的基层文化环境，符合文化产业发展需求。通过资金支持开展的各类文化活动，如艺术培训、非遗传承活动等，在一定程度上挖掘和培育了地方文化特色资源，为文化产业的潜在发展提供了要素积累。从成本效益角度来看，资金投入主要用于保障公共文化服务，短期内难以产生直接的经济收益。然而，通过文化活动的开展，提升了区域文化氛围和居民文化素养，长远来看有利于吸引文化投资，促进文化消费，具有一定的潜在经济效益。</w:t>
      </w:r>
    </w:p>
    <w:p w14:paraId="0A62D891">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 xml:space="preserve">2. </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val="zh-CN" w:eastAsia="zh-CN"/>
        </w:rPr>
        <w:t>资金精准投向综合文化站免费开放服务，覆盖了各年龄段、不同职业和收入层次的基层群众，无论是老年群体参与的戏曲表演活动，还是青少年参与的科普讲座，都切实满足了不同群体的文化需求，服务对象精准度较高。</w:t>
      </w:r>
    </w:p>
    <w:p w14:paraId="1AF847EE">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3. 基础设施</w:t>
      </w:r>
      <w:r>
        <w:rPr>
          <w:rFonts w:hint="eastAsia"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zh-CN" w:eastAsia="zh-CN"/>
        </w:rPr>
        <w:t>已建成的文化站基础设施，如音响设备、图书阅览室等，均通过了相关验收。在功能实现上，基本满足了日常文化活动开展和群众文化需求。</w:t>
      </w:r>
    </w:p>
    <w:p w14:paraId="684137FB">
      <w:pPr>
        <w:keepNext w:val="0"/>
        <w:keepLines w:val="0"/>
        <w:pageBreakBefore w:val="0"/>
        <w:widowControl w:val="0"/>
        <w:suppressAutoHyphens/>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 xml:space="preserve">4. </w:t>
      </w:r>
      <w:r>
        <w:rPr>
          <w:rFonts w:hint="eastAsia" w:ascii="楷体_GB2312" w:hAnsi="楷体_GB2312" w:eastAsia="楷体_GB2312" w:cs="楷体_GB2312"/>
          <w:color w:val="auto"/>
          <w:sz w:val="32"/>
          <w:szCs w:val="32"/>
          <w:lang w:val="zh-CN" w:eastAsia="zh-CN"/>
        </w:rPr>
        <w:t>行政运转。</w:t>
      </w:r>
      <w:r>
        <w:rPr>
          <w:rFonts w:hint="eastAsia" w:ascii="Times New Roman" w:hAnsi="Times New Roman" w:eastAsia="仿宋_GB2312" w:cs="Times New Roman"/>
          <w:color w:val="auto"/>
          <w:sz w:val="32"/>
          <w:szCs w:val="32"/>
          <w:lang w:val="zh-CN" w:eastAsia="zh-CN"/>
        </w:rPr>
        <w:t>资金使用严格遵循《综合文化站免费开放资金管理办法》，全部用于文化站日常运营、活动开展、设备购置等规定用途，未出现违规挪用至其他行政事务或非文化服务领域的情况。在资金申请、审批、拨付和使用过程中，严格按照既定程序执行，项目申报材料齐全，审批流程规范，资金拨付手续完备。。</w:t>
      </w:r>
    </w:p>
    <w:p w14:paraId="2D97A85F">
      <w:pPr>
        <w:keepNext w:val="0"/>
        <w:keepLines w:val="0"/>
        <w:pageBreakBefore w:val="0"/>
        <w:widowControl w:val="0"/>
        <w:suppressAutoHyphens/>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val="en-US"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设定 “特色文化品牌活动数量” 为个性指标，目标为打造 [</w:t>
      </w:r>
      <w:r>
        <w:rPr>
          <w:rFonts w:hint="eastAsia"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zh-CN" w:eastAsia="zh-CN"/>
        </w:rPr>
        <w:t xml:space="preserve"> 个特色文化品牌活动，实际完成 </w:t>
      </w:r>
      <w:r>
        <w:rPr>
          <w:rFonts w:hint="eastAsia"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zh-CN" w:eastAsia="zh-CN"/>
        </w:rPr>
        <w:t xml:space="preserve">个，完成率为 </w:t>
      </w:r>
      <w:r>
        <w:rPr>
          <w:rFonts w:hint="eastAsia" w:ascii="Times New Roman" w:hAnsi="Times New Roman" w:eastAsia="仿宋_GB2312" w:cs="Times New Roman"/>
          <w:color w:val="auto"/>
          <w:sz w:val="32"/>
          <w:szCs w:val="32"/>
          <w:lang w:val="en-US" w:eastAsia="zh-CN"/>
        </w:rPr>
        <w:t>100</w:t>
      </w:r>
      <w:r>
        <w:rPr>
          <w:rFonts w:hint="eastAsia" w:ascii="Times New Roman" w:hAnsi="Times New Roman" w:eastAsia="仿宋_GB2312" w:cs="Times New Roman"/>
          <w:color w:val="auto"/>
          <w:sz w:val="32"/>
          <w:szCs w:val="32"/>
          <w:lang w:val="zh-CN" w:eastAsia="zh-CN"/>
        </w:rPr>
        <w:t>%。</w:t>
      </w:r>
    </w:p>
    <w:p w14:paraId="692703F4">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en-US" w:bidi="ar-SA"/>
        </w:rPr>
      </w:pPr>
      <w:r>
        <w:rPr>
          <w:rFonts w:hint="eastAsia" w:ascii="黑体" w:hAnsi="宋体" w:eastAsia="黑体" w:cs="Times New Roman"/>
          <w:color w:val="auto"/>
          <w:kern w:val="0"/>
          <w:position w:val="3"/>
          <w:sz w:val="32"/>
          <w:szCs w:val="32"/>
          <w:highlight w:val="none"/>
          <w:u w:val="none"/>
          <w:lang w:val="en-US" w:eastAsia="zh-CN" w:bidi="ar-SA"/>
        </w:rPr>
        <w:t>四</w:t>
      </w:r>
      <w:r>
        <w:rPr>
          <w:rFonts w:hint="eastAsia" w:ascii="黑体" w:hAnsi="宋体" w:eastAsia="黑体" w:cs="Times New Roman"/>
          <w:color w:val="auto"/>
          <w:kern w:val="0"/>
          <w:position w:val="3"/>
          <w:sz w:val="32"/>
          <w:szCs w:val="32"/>
          <w:highlight w:val="none"/>
          <w:u w:val="none"/>
          <w:lang w:val="en-US" w:eastAsia="en-US" w:bidi="ar-SA"/>
        </w:rPr>
        <w:t>、评价结论</w:t>
      </w:r>
    </w:p>
    <w:p w14:paraId="606835C1">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en-US" w:eastAsia="zh-CN" w:bidi="ar-SA"/>
        </w:rPr>
      </w:pPr>
      <w:r>
        <w:rPr>
          <w:rFonts w:hint="eastAsia" w:ascii="Times New Roman" w:hAnsi="Times New Roman" w:eastAsia="仿宋_GB2312" w:cs="Times New Roman"/>
          <w:color w:val="auto"/>
          <w:kern w:val="2"/>
          <w:position w:val="0"/>
          <w:sz w:val="32"/>
          <w:szCs w:val="32"/>
          <w:lang w:val="zh-CN" w:eastAsia="zh-CN" w:bidi="ar-SA"/>
        </w:rPr>
        <w:t>经综合评价，本项目实施取得了一定成效，基本实现了预期目标。综合文化站免费开放资金专项资金的投入，有效保障了文化站的正常运营和各类文化活动的开展，提升了基层公共文化服务水平，丰富了群众精神文化生活。但在资金使用效率、区域均衡发展、服务质量提升等方面仍存在不足，需要进一步改进和完善。</w:t>
      </w:r>
    </w:p>
    <w:p w14:paraId="52E94ECD">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黑体" w:hAnsi="宋体" w:eastAsia="黑体" w:cs="Times New Roman"/>
          <w:color w:val="auto"/>
          <w:kern w:val="0"/>
          <w:position w:val="3"/>
          <w:sz w:val="32"/>
          <w:szCs w:val="32"/>
          <w:highlight w:val="none"/>
          <w:u w:val="none"/>
          <w:lang w:val="en-US" w:eastAsia="zh-CN" w:bidi="ar-SA"/>
        </w:rPr>
        <w:t>五、存在主要问题</w:t>
      </w:r>
    </w:p>
    <w:p w14:paraId="0B086314">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en-US" w:eastAsia="zh-CN" w:bidi="ar-SA"/>
        </w:rPr>
      </w:pPr>
      <w:r>
        <w:rPr>
          <w:rFonts w:hint="eastAsia" w:ascii="Times New Roman" w:hAnsi="Times New Roman" w:eastAsia="仿宋_GB2312" w:cs="Times New Roman"/>
          <w:color w:val="auto"/>
          <w:kern w:val="2"/>
          <w:position w:val="0"/>
          <w:sz w:val="32"/>
          <w:szCs w:val="32"/>
          <w:lang w:val="zh-CN" w:eastAsia="zh-CN" w:bidi="ar-SA"/>
        </w:rPr>
        <w:t>部分文化站存在资金闲置、使用进度缓慢问题，资金拨付审批流程繁琐，影响项目实施进度和资金使用效益。文化活动内容和形式创新不足，不能充分满足群众多样化文化需求；文化站设施设备维护不到位，影响服务质量。</w:t>
      </w:r>
    </w:p>
    <w:p w14:paraId="0CE3CFBE">
      <w:pPr>
        <w:keepNext w:val="0"/>
        <w:keepLines w:val="0"/>
        <w:pageBreakBefore w:val="0"/>
        <w:widowControl/>
        <w:numPr>
          <w:ilvl w:val="0"/>
          <w:numId w:val="7"/>
        </w:numPr>
        <w:tabs>
          <w:tab w:val="left" w:pos="2160"/>
        </w:tabs>
        <w:kinsoku/>
        <w:wordWrap/>
        <w:overflowPunct/>
        <w:topLinePunct w:val="0"/>
        <w:autoSpaceDE/>
        <w:autoSpaceDN/>
        <w:bidi w:val="0"/>
        <w:adjustRightInd/>
        <w:snapToGrid/>
        <w:spacing w:line="590" w:lineRule="exact"/>
        <w:ind w:left="0" w:leftChars="0" w:right="0" w:rightChars="0" w:firstLine="640" w:firstLineChars="200"/>
        <w:jc w:val="left"/>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改进建议</w:t>
      </w:r>
    </w:p>
    <w:p w14:paraId="617ACFE0">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leftChars="200" w:right="0" w:rightChars="0" w:firstLine="640" w:firstLineChars="200"/>
        <w:jc w:val="left"/>
        <w:textAlignment w:val="auto"/>
        <w:rPr>
          <w:rFonts w:hint="eastAsia" w:ascii="Times New Roman" w:hAnsi="Times New Roman" w:eastAsia="仿宋_GB2312" w:cs="Times New Roman"/>
          <w:color w:val="auto"/>
          <w:kern w:val="2"/>
          <w:position w:val="0"/>
          <w:sz w:val="32"/>
          <w:szCs w:val="32"/>
          <w:lang w:val="zh-CN" w:eastAsia="zh-CN" w:bidi="ar-SA"/>
        </w:rPr>
      </w:pPr>
      <w:r>
        <w:rPr>
          <w:rFonts w:hint="eastAsia" w:ascii="Times New Roman" w:hAnsi="Times New Roman" w:eastAsia="仿宋_GB2312" w:cs="Times New Roman"/>
          <w:color w:val="auto"/>
          <w:kern w:val="2"/>
          <w:position w:val="0"/>
          <w:sz w:val="32"/>
          <w:szCs w:val="32"/>
          <w:lang w:val="zh-CN" w:eastAsia="zh-CN" w:bidi="ar-SA"/>
        </w:rPr>
        <w:t>简化资金拨付审批流程，建立资金使用进度跟踪机制，</w:t>
      </w:r>
    </w:p>
    <w:p w14:paraId="44B12D7F">
      <w:pPr>
        <w:keepNext w:val="0"/>
        <w:keepLines w:val="0"/>
        <w:pageBreakBefore w:val="0"/>
        <w:widowControl/>
        <w:numPr>
          <w:ilvl w:val="0"/>
          <w:numId w:val="0"/>
        </w:numPr>
        <w:tabs>
          <w:tab w:val="left" w:pos="2160"/>
        </w:tabs>
        <w:kinsoku/>
        <w:wordWrap/>
        <w:overflowPunct/>
        <w:topLinePunct w:val="0"/>
        <w:autoSpaceDE/>
        <w:autoSpaceDN/>
        <w:bidi w:val="0"/>
        <w:adjustRightInd/>
        <w:snapToGrid/>
        <w:spacing w:line="590" w:lineRule="exact"/>
        <w:ind w:leftChars="0" w:right="0" w:rightChars="0" w:firstLine="0" w:firstLineChars="0"/>
        <w:jc w:val="left"/>
        <w:textAlignment w:val="auto"/>
        <w:rPr>
          <w:rFonts w:hint="eastAsia" w:ascii="Times New Roman" w:hAnsi="Times New Roman" w:eastAsia="仿宋_GB2312" w:cs="Times New Roman"/>
          <w:color w:val="auto"/>
          <w:kern w:val="2"/>
          <w:position w:val="0"/>
          <w:sz w:val="32"/>
          <w:szCs w:val="32"/>
          <w:lang w:val="zh-CN" w:eastAsia="zh-CN" w:bidi="ar-SA"/>
        </w:rPr>
      </w:pPr>
      <w:r>
        <w:rPr>
          <w:rFonts w:hint="eastAsia" w:ascii="Times New Roman" w:hAnsi="Times New Roman" w:eastAsia="仿宋_GB2312" w:cs="Times New Roman"/>
          <w:color w:val="auto"/>
          <w:kern w:val="2"/>
          <w:position w:val="0"/>
          <w:sz w:val="32"/>
          <w:szCs w:val="32"/>
          <w:lang w:val="zh-CN" w:eastAsia="zh-CN" w:bidi="ar-SA"/>
        </w:rPr>
        <w:t>对资金使用缓慢的文化站进行重点督促和指导，提高资金使用效率。鼓励文化站结合地方特色和群众需求，创新文化活动内容和形式，打造更多群众喜闻乐见的文化品牌活动；建立健全设施设备维护管理制度，落实维护责任，保障设施设备正常运行。</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9"/>
        <w:gridCol w:w="729"/>
        <w:gridCol w:w="472"/>
        <w:gridCol w:w="735"/>
        <w:gridCol w:w="706"/>
        <w:gridCol w:w="1195"/>
        <w:gridCol w:w="2984"/>
        <w:gridCol w:w="493"/>
        <w:gridCol w:w="479"/>
      </w:tblGrid>
      <w:tr w14:paraId="3076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000" w:type="pct"/>
            <w:gridSpan w:val="9"/>
            <w:tcBorders>
              <w:top w:val="nil"/>
              <w:left w:val="nil"/>
              <w:bottom w:val="nil"/>
              <w:right w:val="nil"/>
            </w:tcBorders>
            <w:shd w:val="clear" w:color="auto" w:fill="auto"/>
            <w:vAlign w:val="center"/>
          </w:tcPr>
          <w:p w14:paraId="4E8110A3">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8"/>
                <w:szCs w:val="48"/>
                <w:u w:val="none"/>
              </w:rPr>
            </w:pPr>
            <w:r>
              <w:rPr>
                <w:rFonts w:hint="eastAsia" w:ascii="黑体" w:hAnsi="黑体" w:eastAsia="黑体" w:cs="黑体"/>
                <w:i w:val="0"/>
                <w:iCs w:val="0"/>
                <w:color w:val="000000"/>
                <w:kern w:val="0"/>
                <w:sz w:val="48"/>
                <w:szCs w:val="48"/>
                <w:u w:val="none"/>
                <w:lang w:val="en-US" w:eastAsia="zh-CN" w:bidi="ar"/>
              </w:rPr>
              <w:t>专项资金绩效自评打分表</w:t>
            </w:r>
          </w:p>
        </w:tc>
      </w:tr>
      <w:tr w14:paraId="42337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8" w:type="pct"/>
            <w:gridSpan w:val="5"/>
            <w:tcBorders>
              <w:top w:val="single" w:color="000000" w:sz="4" w:space="0"/>
              <w:left w:val="single" w:color="000000" w:sz="4" w:space="0"/>
              <w:bottom w:val="nil"/>
              <w:right w:val="nil"/>
            </w:tcBorders>
            <w:shd w:val="clear" w:color="auto" w:fill="auto"/>
            <w:vAlign w:val="center"/>
          </w:tcPr>
          <w:p w14:paraId="7A781AC3">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绩效评价指标</w:t>
            </w: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90A23">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指标解释</w:t>
            </w:r>
          </w:p>
        </w:tc>
        <w:tc>
          <w:tcPr>
            <w:tcW w:w="17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8403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评分说明</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78F4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自评得分</w:t>
            </w:r>
          </w:p>
        </w:tc>
        <w:tc>
          <w:tcPr>
            <w:tcW w:w="2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4217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14:paraId="2A8F0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482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一级指标</w:t>
            </w: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93D4B">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二级指标</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7AF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三级指标</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3C4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分值</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D93BF">
            <w:pPr>
              <w:jc w:val="center"/>
              <w:rPr>
                <w:rFonts w:hint="eastAsia" w:ascii="黑体" w:hAnsi="宋体" w:eastAsia="黑体" w:cs="黑体"/>
                <w:i w:val="0"/>
                <w:iCs w:val="0"/>
                <w:color w:val="000000"/>
                <w:sz w:val="24"/>
                <w:szCs w:val="24"/>
                <w:u w:val="none"/>
              </w:rPr>
            </w:pPr>
          </w:p>
        </w:tc>
        <w:tc>
          <w:tcPr>
            <w:tcW w:w="1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41558">
            <w:pPr>
              <w:jc w:val="center"/>
              <w:rPr>
                <w:rFonts w:hint="eastAsia" w:ascii="黑体" w:hAnsi="宋体" w:eastAsia="黑体" w:cs="黑体"/>
                <w:i w:val="0"/>
                <w:iCs w:val="0"/>
                <w:color w:val="000000"/>
                <w:sz w:val="24"/>
                <w:szCs w:val="24"/>
                <w:u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A23D1">
            <w:pPr>
              <w:jc w:val="center"/>
              <w:rPr>
                <w:rFonts w:hint="eastAsia" w:ascii="黑体" w:hAnsi="宋体" w:eastAsia="黑体" w:cs="黑体"/>
                <w:i w:val="0"/>
                <w:iCs w:val="0"/>
                <w:color w:val="000000"/>
                <w:sz w:val="24"/>
                <w:szCs w:val="24"/>
                <w:u w:val="none"/>
              </w:rPr>
            </w:pPr>
          </w:p>
        </w:tc>
        <w:tc>
          <w:tcPr>
            <w:tcW w:w="2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39B7E">
            <w:pPr>
              <w:jc w:val="center"/>
              <w:rPr>
                <w:rFonts w:hint="eastAsia" w:ascii="黑体" w:hAnsi="宋体" w:eastAsia="黑体" w:cs="黑体"/>
                <w:i w:val="0"/>
                <w:iCs w:val="0"/>
                <w:color w:val="000000"/>
                <w:sz w:val="24"/>
                <w:szCs w:val="24"/>
                <w:u w:val="none"/>
              </w:rPr>
            </w:pPr>
          </w:p>
        </w:tc>
      </w:tr>
      <w:tr w14:paraId="3B0A9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1E7E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通用指标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（54分）</w:t>
            </w: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0C16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项目决策</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（18分）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BF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决策程序</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DA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38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项目决策程序是否严密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C10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项目设立、调整延续等方面是否符合资金管理基本规范和决策程序要求，发现一处不符合的扣3分，扣完为止。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40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486EC">
            <w:pPr>
              <w:jc w:val="center"/>
              <w:rPr>
                <w:rFonts w:hint="eastAsia" w:ascii="宋体" w:hAnsi="宋体" w:eastAsia="宋体" w:cs="宋体"/>
                <w:i w:val="0"/>
                <w:iCs w:val="0"/>
                <w:color w:val="000000"/>
                <w:sz w:val="24"/>
                <w:szCs w:val="24"/>
                <w:u w:val="none"/>
              </w:rPr>
            </w:pPr>
          </w:p>
        </w:tc>
      </w:tr>
      <w:tr w14:paraId="2CF59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59E11">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B2569">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1A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规划论证</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1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643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项目规划论证是否符合中省要求，项目绩效目标设置是否科学合理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069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1.项目规划符合</w:t>
            </w:r>
            <w:r>
              <w:rPr>
                <w:rFonts w:hint="eastAsia" w:ascii="宋体" w:hAnsi="宋体" w:cs="宋体"/>
                <w:i w:val="0"/>
                <w:iCs w:val="0"/>
                <w:color w:val="000000"/>
                <w:kern w:val="0"/>
                <w:sz w:val="24"/>
                <w:szCs w:val="24"/>
                <w:u w:val="none"/>
                <w:lang w:val="en-US" w:eastAsia="zh-CN" w:bidi="ar"/>
              </w:rPr>
              <w:t>中央、省委</w:t>
            </w:r>
            <w:r>
              <w:rPr>
                <w:rFonts w:hint="eastAsia" w:ascii="宋体" w:hAnsi="宋体" w:eastAsia="宋体" w:cs="宋体"/>
                <w:i w:val="0"/>
                <w:iCs w:val="0"/>
                <w:color w:val="000000"/>
                <w:kern w:val="0"/>
                <w:sz w:val="24"/>
                <w:szCs w:val="24"/>
                <w:u w:val="none"/>
                <w:lang w:val="en-US" w:eastAsia="zh-CN" w:bidi="ar"/>
              </w:rPr>
              <w:t>、市有关决策部署安排，得1分；充分评估论证项目立项必要性、前瞻性、合理性和可行性，得3分。否则该项不得分。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项目总体绩效目标设置合理性的偏离度≤15%，得2分；30%≥偏离度＞15%，得1分；偏离度＞30%，不得分。绩效目标是否科学合理、规范完整、量化细化、预算匹配。总体绩效目标设置合理性为绩效目标设置合理的数量与绩效目标总数的比例。</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8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2A89">
            <w:pPr>
              <w:jc w:val="center"/>
              <w:rPr>
                <w:rFonts w:hint="eastAsia" w:ascii="宋体" w:hAnsi="宋体" w:eastAsia="宋体" w:cs="宋体"/>
                <w:i w:val="0"/>
                <w:iCs w:val="0"/>
                <w:color w:val="000000"/>
                <w:sz w:val="24"/>
                <w:szCs w:val="24"/>
                <w:u w:val="none"/>
              </w:rPr>
            </w:pPr>
          </w:p>
        </w:tc>
      </w:tr>
      <w:tr w14:paraId="6BD49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F8BAE">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36C17">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5C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资金投向</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91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A1E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项目资金是否与项目总体规划、相关行业事业发展相匹配，是否聚焦重大任务、重点领域、重点环节和重点项目</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3A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属于政府支持范围，且符合财政事权支出责任划分规定，得1分；资金投向与项目总体规划、相关行业事业发展相匹配，得1分；聚焦重大任务、重点领域、重点环节和重点项目，体现“集中财力办大事”原则，避免“撒胡椒面”，得3分；未与其他同类项目或部门内部相关项目交叉重复，得1分。否则该项不得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A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47796">
            <w:pPr>
              <w:jc w:val="center"/>
              <w:rPr>
                <w:rFonts w:hint="eastAsia" w:ascii="宋体" w:hAnsi="宋体" w:eastAsia="宋体" w:cs="宋体"/>
                <w:i w:val="0"/>
                <w:iCs w:val="0"/>
                <w:color w:val="000000"/>
                <w:sz w:val="24"/>
                <w:szCs w:val="24"/>
                <w:u w:val="none"/>
              </w:rPr>
            </w:pPr>
          </w:p>
        </w:tc>
      </w:tr>
      <w:tr w14:paraId="79CCE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E07C">
            <w:pPr>
              <w:jc w:val="center"/>
              <w:rPr>
                <w:rFonts w:hint="eastAsia" w:ascii="宋体" w:hAnsi="宋体" w:eastAsia="宋体" w:cs="宋体"/>
                <w:b/>
                <w:bCs/>
                <w:i w:val="0"/>
                <w:iCs w:val="0"/>
                <w:color w:val="000000"/>
                <w:sz w:val="24"/>
                <w:szCs w:val="24"/>
                <w:u w:val="none"/>
              </w:rPr>
            </w:pP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15B3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项目管理</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（18分）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AE7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制度办法</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30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308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项目制度办法是否体系健全、要素完备</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931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资金管理办法等管理制度体系健全完善，不存在管理制度缺失、管理办法过期情况，得2分。否则该项不得分。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74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D0AE">
            <w:pPr>
              <w:jc w:val="center"/>
              <w:rPr>
                <w:rFonts w:hint="eastAsia" w:ascii="宋体" w:hAnsi="宋体" w:eastAsia="宋体" w:cs="宋体"/>
                <w:i w:val="0"/>
                <w:iCs w:val="0"/>
                <w:color w:val="000000"/>
                <w:sz w:val="24"/>
                <w:szCs w:val="24"/>
                <w:u w:val="none"/>
              </w:rPr>
            </w:pPr>
          </w:p>
        </w:tc>
      </w:tr>
      <w:tr w14:paraId="0CC4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185E5">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EA60B">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3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分配管理</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16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153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项目资金分配因素选取、权重设置、区域分布，项目管理、审批是否符合管理要求</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92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因素分配法：资金分配因素选取充分考虑相关行业事业发展实际和发展需求，得2分；资金分配因素的权重设置有效突出项目实施重点，得2分；资金区域分布结果公平合理，得2分。项目分配法：建设项目储备库，得2分；实行入库项目动态管理、推动资金竞争性分配，得2分；明确项目申报审核程序，按规定程序履行项目审批，得2分。其他分配法：资金分配依据充分合理，得6分。否则该项不得分。如涉及多种分配法，按相应资金量的权重进行测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2.资金分配是否严格按管理办法执行，决策程序是否符合管理要求，及时高效，得4分。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D7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FD5EE">
            <w:pPr>
              <w:jc w:val="center"/>
              <w:rPr>
                <w:rFonts w:hint="eastAsia" w:ascii="宋体" w:hAnsi="宋体" w:eastAsia="宋体" w:cs="宋体"/>
                <w:i w:val="0"/>
                <w:iCs w:val="0"/>
                <w:color w:val="000000"/>
                <w:sz w:val="24"/>
                <w:szCs w:val="24"/>
                <w:u w:val="none"/>
              </w:rPr>
            </w:pPr>
          </w:p>
        </w:tc>
      </w:tr>
      <w:tr w14:paraId="31166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BF9B4">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FBA2F">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4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绩效监管</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63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DDC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管资金、项目、政策是否管绩效，项目绩效监管是否按要求开展，对下指导是否有力有效</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7B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项目是否按</w:t>
            </w:r>
            <w:r>
              <w:rPr>
                <w:rFonts w:hint="eastAsia" w:ascii="宋体" w:hAnsi="宋体" w:cs="宋体"/>
                <w:i w:val="0"/>
                <w:iCs w:val="0"/>
                <w:color w:val="000000"/>
                <w:kern w:val="0"/>
                <w:sz w:val="24"/>
                <w:szCs w:val="24"/>
                <w:u w:val="none"/>
                <w:lang w:val="en-US" w:eastAsia="zh-CN" w:bidi="ar"/>
              </w:rPr>
              <w:t>中央、省委</w:t>
            </w:r>
            <w:r>
              <w:rPr>
                <w:rFonts w:hint="eastAsia" w:ascii="宋体" w:hAnsi="宋体" w:eastAsia="宋体" w:cs="宋体"/>
                <w:i w:val="0"/>
                <w:iCs w:val="0"/>
                <w:color w:val="000000"/>
                <w:kern w:val="0"/>
                <w:sz w:val="24"/>
                <w:szCs w:val="24"/>
                <w:u w:val="none"/>
                <w:lang w:val="en-US" w:eastAsia="zh-CN" w:bidi="ar"/>
              </w:rPr>
              <w:t>、市要求全面完成绩效目标（含事前评估）、绩效评价、以前年度问题整改等预算绩效管理工作，得4分；市级部门对县级主管部门预算绩效管理要求是否到位，是否存在对县级资金分配和项目管理指导力度不够的情况，是否对县级开展评价、监督、指导等工作，得2分。否则该项不得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60D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35EB">
            <w:pPr>
              <w:jc w:val="center"/>
              <w:rPr>
                <w:rFonts w:hint="eastAsia" w:ascii="宋体" w:hAnsi="宋体" w:eastAsia="宋体" w:cs="宋体"/>
                <w:i w:val="0"/>
                <w:iCs w:val="0"/>
                <w:color w:val="000000"/>
                <w:sz w:val="24"/>
                <w:szCs w:val="24"/>
                <w:u w:val="none"/>
              </w:rPr>
            </w:pPr>
          </w:p>
        </w:tc>
      </w:tr>
      <w:tr w14:paraId="659C7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063E0">
            <w:pPr>
              <w:jc w:val="center"/>
              <w:rPr>
                <w:rFonts w:hint="eastAsia" w:ascii="宋体" w:hAnsi="宋体" w:eastAsia="宋体" w:cs="宋体"/>
                <w:b/>
                <w:bCs/>
                <w:i w:val="0"/>
                <w:iCs w:val="0"/>
                <w:color w:val="000000"/>
                <w:sz w:val="24"/>
                <w:szCs w:val="24"/>
                <w:u w:val="none"/>
              </w:rPr>
            </w:pP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F12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项目实施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2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D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0B9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项目资金财政拨付、单位执行和地方配套到位情况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D86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该项指标得分=财政资金拨付率×100%×2+单位资金使用率×100%×2+地方资金到位率×100%×2。如部分计算内容不涉及，可同比例分配至本指标其他计算内容。</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ED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13DAA">
            <w:pPr>
              <w:jc w:val="center"/>
              <w:rPr>
                <w:rFonts w:hint="eastAsia" w:ascii="宋体" w:hAnsi="宋体" w:eastAsia="宋体" w:cs="宋体"/>
                <w:i w:val="0"/>
                <w:iCs w:val="0"/>
                <w:color w:val="000000"/>
                <w:sz w:val="24"/>
                <w:szCs w:val="24"/>
                <w:u w:val="none"/>
              </w:rPr>
            </w:pPr>
          </w:p>
        </w:tc>
      </w:tr>
      <w:tr w14:paraId="185C7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97CB1">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9015A">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A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9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196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资金使用拨付、项目实施是否符合规定</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303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使用、拨付是否符合国家财经法规、财务管理制度及有关专项资金管理制度办法规定和审批程序，是否存在超范围、超标准、超进度使用专项资金，是否存在资金损失浪费、长期沉淀、截留、挤占、挪用、虚列支出等情况，项目实施是否遵守相关法律法规，发现一处不合规的扣1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B3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7993B">
            <w:pPr>
              <w:jc w:val="center"/>
              <w:rPr>
                <w:rFonts w:hint="eastAsia" w:ascii="宋体" w:hAnsi="宋体" w:eastAsia="宋体" w:cs="宋体"/>
                <w:i w:val="0"/>
                <w:iCs w:val="0"/>
                <w:color w:val="000000"/>
                <w:sz w:val="24"/>
                <w:szCs w:val="24"/>
                <w:u w:val="none"/>
              </w:rPr>
            </w:pPr>
          </w:p>
        </w:tc>
      </w:tr>
      <w:tr w14:paraId="31AE5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3CC2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通用指标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（54分）</w:t>
            </w: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A86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项目结果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（9分）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F9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目标完成</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A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D6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项目是否完成预期目标，实施结果是否与绩效目标相匹配，反映目标实现程度</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803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该项指标得分=实际完成目标任务量÷首次批复立项设定绩效目标任务总量×100%×6。</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E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B2037">
            <w:pPr>
              <w:jc w:val="center"/>
              <w:rPr>
                <w:rFonts w:hint="eastAsia" w:ascii="宋体" w:hAnsi="宋体" w:eastAsia="宋体" w:cs="宋体"/>
                <w:i w:val="0"/>
                <w:iCs w:val="0"/>
                <w:color w:val="000000"/>
                <w:sz w:val="24"/>
                <w:szCs w:val="24"/>
                <w:u w:val="none"/>
              </w:rPr>
            </w:pPr>
          </w:p>
        </w:tc>
      </w:tr>
      <w:tr w14:paraId="2768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1BCF5">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0E3C2">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AC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完成时效</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E7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B97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项目实际完成时间与计划完成时间的比较</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B5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该项指标得分=（1-(实际完成时间-计划完成时间)÷计划完成时间）×100%×3。一般以天数、月数或年数为单位。当实际完成时间-计划完成时间小于等于0时得满分；实际完成时间超过计划完成时间1倍及以上得0分。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85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F62C">
            <w:pPr>
              <w:jc w:val="center"/>
              <w:rPr>
                <w:rFonts w:hint="eastAsia" w:ascii="宋体" w:hAnsi="宋体" w:eastAsia="宋体" w:cs="宋体"/>
                <w:i w:val="0"/>
                <w:iCs w:val="0"/>
                <w:color w:val="000000"/>
                <w:sz w:val="24"/>
                <w:szCs w:val="24"/>
                <w:u w:val="none"/>
              </w:rPr>
            </w:pPr>
          </w:p>
        </w:tc>
      </w:tr>
      <w:tr w14:paraId="5337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3BB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DEA3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产业发展</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D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符合性</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83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713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项目实施是否与市委市政府支持重点、产业支持政策符合</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CCE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该项指标得分=项目实施符合市委市政府支持重点、六大优势产业做大做强、传统产业转型升级、产业支持政策的点位数量÷所有选点总数×100%×10。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D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74DE1">
            <w:pPr>
              <w:jc w:val="center"/>
              <w:rPr>
                <w:rFonts w:hint="eastAsia" w:ascii="宋体" w:hAnsi="宋体" w:eastAsia="宋体" w:cs="宋体"/>
                <w:i w:val="0"/>
                <w:iCs w:val="0"/>
                <w:color w:val="000000"/>
                <w:sz w:val="24"/>
                <w:szCs w:val="24"/>
                <w:u w:val="none"/>
              </w:rPr>
            </w:pPr>
          </w:p>
        </w:tc>
      </w:tr>
      <w:tr w14:paraId="1BD7B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68007">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E6332">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F0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成长性</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F8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0EF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项目实施对相关企业（机构）成长性的促进作用，主要反映支持对象创新创造创业能力情况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943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项目实施对相关行业企业体现促进的点位数量÷所有选点总数×100%×10。对相关企业（机构）创新创造能力提升、扩大投资、技术更新、就业促进以及对农业良种良机良法推广应用、工业科技研发投入、服务业消费新场景新模式、提升行业新质生产力等情况进行综合判断，可查看统计年鉴和企业近三年财报。</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E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80EFC">
            <w:pPr>
              <w:jc w:val="center"/>
              <w:rPr>
                <w:rFonts w:hint="eastAsia" w:ascii="宋体" w:hAnsi="宋体" w:eastAsia="宋体" w:cs="宋体"/>
                <w:i w:val="0"/>
                <w:iCs w:val="0"/>
                <w:color w:val="000000"/>
                <w:sz w:val="24"/>
                <w:szCs w:val="24"/>
                <w:u w:val="none"/>
              </w:rPr>
            </w:pPr>
          </w:p>
        </w:tc>
      </w:tr>
      <w:tr w14:paraId="1A743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E62FC">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28426">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00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经济性</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A8C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889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项目实施对相关企业（机构）主营业务收入、净利润、税收、产量等方面增长情况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DF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反映企业主营业务收入、净利润、税收、产量等增长情况，需将企业（机构）涉及的所有经济指标纳入计算。以主营业务收入为例，主营业务收入增加率≥行业平均增加率，且≥企业上一年度主营业务收入增加率，得10分；主营业务收入增加率≥行业平均增加率且＜企业上一年度主营业务收入增加率，或≥企业上一年度主营业务收入增加率且＜行业平均增加率，得5分；否则不得分。该项指标得分=各指标算术平均。</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06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F49D3">
            <w:pPr>
              <w:jc w:val="center"/>
              <w:rPr>
                <w:rFonts w:hint="eastAsia" w:ascii="宋体" w:hAnsi="宋体" w:eastAsia="宋体" w:cs="宋体"/>
                <w:i w:val="0"/>
                <w:iCs w:val="0"/>
                <w:color w:val="000000"/>
                <w:sz w:val="24"/>
                <w:szCs w:val="24"/>
                <w:u w:val="none"/>
              </w:rPr>
            </w:pPr>
          </w:p>
        </w:tc>
      </w:tr>
      <w:tr w14:paraId="3C625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C894B">
            <w:pPr>
              <w:jc w:val="center"/>
              <w:rPr>
                <w:rFonts w:hint="eastAsia" w:ascii="宋体" w:hAnsi="宋体" w:eastAsia="宋体" w:cs="宋体"/>
                <w:b/>
                <w:bCs/>
                <w:i w:val="0"/>
                <w:iCs w:val="0"/>
                <w:color w:val="000000"/>
                <w:sz w:val="24"/>
                <w:szCs w:val="24"/>
                <w:u w:val="none"/>
              </w:rPr>
            </w:pP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F3A1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民生保障</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7AB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区域均衡性</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923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CBF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项目资金分配体现的均衡公平情况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2C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实际区域分配结果选择客观因素测算验证资金分配是否科学合理、均衡公平。主要查看区域均衡情况是否得到改善、区域间差距是否缩小，分级计分。其中，区域均衡情况得到改善、区域间差距缩小，得10分；区域均衡情况维持原状、区域间差距不变，得5分；区域均衡情况未得到改善、区域间差距扩大，得0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8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0CF04">
            <w:pPr>
              <w:jc w:val="center"/>
              <w:rPr>
                <w:rFonts w:hint="eastAsia" w:ascii="宋体" w:hAnsi="宋体" w:eastAsia="宋体" w:cs="宋体"/>
                <w:i w:val="0"/>
                <w:iCs w:val="0"/>
                <w:color w:val="000000"/>
                <w:sz w:val="24"/>
                <w:szCs w:val="24"/>
                <w:u w:val="none"/>
              </w:rPr>
            </w:pPr>
          </w:p>
        </w:tc>
      </w:tr>
      <w:tr w14:paraId="186F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E82A5">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94CF7">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AD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对象精准性</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58B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0FC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资金实际支持对象是否符合管理要求，是否符合支持对象范围</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C7E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抽样的支持对象总人数-不符合支持对象人数）÷抽样的支持对象总人数×100%×10。主要查看项目资金分配和实施结果是否精准，是否存在明显的排他性和歧视性情形，是否及时落实到支持对象个人。</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125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6DEC">
            <w:pPr>
              <w:jc w:val="center"/>
              <w:rPr>
                <w:rFonts w:hint="eastAsia" w:ascii="宋体" w:hAnsi="宋体" w:eastAsia="宋体" w:cs="宋体"/>
                <w:i w:val="0"/>
                <w:iCs w:val="0"/>
                <w:color w:val="000000"/>
                <w:sz w:val="24"/>
                <w:szCs w:val="24"/>
                <w:u w:val="none"/>
              </w:rPr>
            </w:pPr>
          </w:p>
        </w:tc>
      </w:tr>
      <w:tr w14:paraId="59A4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5D191">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75C71">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6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标准合理性</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B69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05F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资金实际补贴标准是否符合资金管理办法规定的补助标准，是否及时按标准兑现</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12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抽样的支持对象总人数-不符合支持标准人数）÷抽样的支持对象总人数×100%×5。主要查看项目资金补贴标准是否符合资金管理办法规定的补助标准。如存在多发、漏发、重发、迟发等情况，均计入不符合支持标准人数。</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A1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B548A">
            <w:pPr>
              <w:jc w:val="center"/>
              <w:rPr>
                <w:rFonts w:hint="eastAsia" w:ascii="宋体" w:hAnsi="宋体" w:eastAsia="宋体" w:cs="宋体"/>
                <w:i w:val="0"/>
                <w:iCs w:val="0"/>
                <w:color w:val="000000"/>
                <w:sz w:val="24"/>
                <w:szCs w:val="24"/>
                <w:u w:val="none"/>
              </w:rPr>
            </w:pPr>
          </w:p>
        </w:tc>
      </w:tr>
      <w:tr w14:paraId="25F4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82228">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8DD62">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08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群众满意度</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1E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280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资金涉及相关受益群体、支持对象的满意度调查访谈情况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67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该项指标得分=经调研的群众实际满意度得分×100%×5。反映项目相关方在项目实施过程中的人民群众满意值和获得感。</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0A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79C3C">
            <w:pPr>
              <w:jc w:val="center"/>
              <w:rPr>
                <w:rFonts w:hint="eastAsia" w:ascii="宋体" w:hAnsi="宋体" w:eastAsia="宋体" w:cs="宋体"/>
                <w:i w:val="0"/>
                <w:iCs w:val="0"/>
                <w:color w:val="000000"/>
                <w:sz w:val="24"/>
                <w:szCs w:val="24"/>
                <w:u w:val="none"/>
              </w:rPr>
            </w:pPr>
          </w:p>
        </w:tc>
      </w:tr>
      <w:tr w14:paraId="130F5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F9D3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0DAF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基础</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设施</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AF413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在建</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项目</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95A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工程进度</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8B5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DBB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项目是否达到计划工程进度</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BF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工程进度≥计划工程进度，得15分；计划工程进度＞实际工程进度≥计划工程进度的85%，得10分；计划工程进度的85%＞实际工程进度≥计划工程进度的70%，得5分；实际工程进度＜计划工程进度的70%，不得分。按工程时间节点测算进度。</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50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A868">
            <w:pPr>
              <w:jc w:val="center"/>
              <w:rPr>
                <w:rFonts w:hint="eastAsia" w:ascii="宋体" w:hAnsi="宋体" w:eastAsia="宋体" w:cs="宋体"/>
                <w:i w:val="0"/>
                <w:iCs w:val="0"/>
                <w:color w:val="000000"/>
                <w:sz w:val="24"/>
                <w:szCs w:val="24"/>
                <w:u w:val="none"/>
              </w:rPr>
            </w:pPr>
          </w:p>
        </w:tc>
      </w:tr>
      <w:tr w14:paraId="3F6E8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819F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5313D">
            <w:pPr>
              <w:jc w:val="center"/>
              <w:rPr>
                <w:rFonts w:hint="eastAsia" w:ascii="宋体" w:hAnsi="宋体" w:eastAsia="宋体" w:cs="宋体"/>
                <w:b/>
                <w:bCs/>
                <w:i w:val="0"/>
                <w:iCs w:val="0"/>
                <w:color w:val="000000"/>
                <w:sz w:val="24"/>
                <w:szCs w:val="24"/>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9DAB5">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7B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资金拨付</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D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04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项目是否达到预先确定的资金拨付进度</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BE4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际资金拨付进度≥预先确定的资金拨付进度，得15分；预先确定的资金拨付进度＞实际资金拨付进度≥预先确定的资金拨付进度的85%，得10分；预先确定的资金拨付进度的85%＞实际资金拨付进度≥预先确定的资金拨付进度的70%，得5分；实际资金拨付进度＜预先确定的资金拨付进度的70%，不得分。如有资金拨付计划、合同约定，按此测算。如无资金拨付计划，按工程进度测算。</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43D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ED466">
            <w:pPr>
              <w:jc w:val="center"/>
              <w:rPr>
                <w:rFonts w:hint="eastAsia" w:ascii="宋体" w:hAnsi="宋体" w:eastAsia="宋体" w:cs="宋体"/>
                <w:i w:val="0"/>
                <w:iCs w:val="0"/>
                <w:color w:val="000000"/>
                <w:sz w:val="24"/>
                <w:szCs w:val="24"/>
                <w:u w:val="none"/>
              </w:rPr>
            </w:pPr>
          </w:p>
        </w:tc>
      </w:tr>
      <w:tr w14:paraId="2E73C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A72AB">
            <w:pPr>
              <w:jc w:val="center"/>
              <w:rPr>
                <w:rFonts w:hint="eastAsia" w:ascii="宋体" w:hAnsi="宋体" w:eastAsia="宋体" w:cs="宋体"/>
                <w:b/>
                <w:bCs/>
                <w:i w:val="0"/>
                <w:iCs w:val="0"/>
                <w:color w:val="000000"/>
                <w:sz w:val="24"/>
                <w:szCs w:val="24"/>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4053C">
            <w:pPr>
              <w:jc w:val="center"/>
              <w:rPr>
                <w:rFonts w:hint="eastAsia" w:ascii="宋体" w:hAnsi="宋体" w:eastAsia="宋体" w:cs="宋体"/>
                <w:b/>
                <w:bCs/>
                <w:i w:val="0"/>
                <w:iCs w:val="0"/>
                <w:color w:val="000000"/>
                <w:sz w:val="24"/>
                <w:szCs w:val="24"/>
                <w:u w:val="none"/>
              </w:rPr>
            </w:pP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7A58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建成</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项目</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EFB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9A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C1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项目验收是否及时合格</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1E1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该项指标得分=（建成项目总量-验收不及时、验收不合格的建成项目数量）÷建成项目总量×100%×10。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CC8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5AC38">
            <w:pPr>
              <w:jc w:val="center"/>
              <w:rPr>
                <w:rFonts w:hint="eastAsia" w:ascii="宋体" w:hAnsi="宋体" w:eastAsia="宋体" w:cs="宋体"/>
                <w:i w:val="0"/>
                <w:iCs w:val="0"/>
                <w:color w:val="000000"/>
                <w:sz w:val="24"/>
                <w:szCs w:val="24"/>
                <w:u w:val="none"/>
              </w:rPr>
            </w:pPr>
          </w:p>
        </w:tc>
      </w:tr>
      <w:tr w14:paraId="09043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65728">
            <w:pPr>
              <w:jc w:val="center"/>
              <w:rPr>
                <w:rFonts w:hint="eastAsia" w:ascii="宋体" w:hAnsi="宋体" w:eastAsia="宋体" w:cs="宋体"/>
                <w:b/>
                <w:bCs/>
                <w:i w:val="0"/>
                <w:iCs w:val="0"/>
                <w:color w:val="000000"/>
                <w:sz w:val="24"/>
                <w:szCs w:val="24"/>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D4602">
            <w:pPr>
              <w:jc w:val="center"/>
              <w:rPr>
                <w:rFonts w:hint="eastAsia" w:ascii="宋体" w:hAnsi="宋体" w:eastAsia="宋体" w:cs="宋体"/>
                <w:b/>
                <w:bCs/>
                <w:i w:val="0"/>
                <w:iCs w:val="0"/>
                <w:color w:val="000000"/>
                <w:sz w:val="24"/>
                <w:szCs w:val="24"/>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41F94">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BE2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功能实现</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06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C80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项目经济社会功能是否实现</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22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经济或社会功能未实现的建成项目数量）÷建成项目总量×100%×10。主要查看建成项目是否实现预期功能，是否功能配套整合协调、能够持续良好地运作，特别是公共设施类项目，是否能有效满足群众现实需要。</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57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2485F">
            <w:pPr>
              <w:jc w:val="center"/>
              <w:rPr>
                <w:rFonts w:hint="eastAsia" w:ascii="宋体" w:hAnsi="宋体" w:eastAsia="宋体" w:cs="宋体"/>
                <w:i w:val="0"/>
                <w:iCs w:val="0"/>
                <w:color w:val="000000"/>
                <w:sz w:val="24"/>
                <w:szCs w:val="24"/>
                <w:u w:val="none"/>
              </w:rPr>
            </w:pPr>
          </w:p>
        </w:tc>
      </w:tr>
      <w:tr w14:paraId="17BFA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58386">
            <w:pPr>
              <w:jc w:val="center"/>
              <w:rPr>
                <w:rFonts w:hint="eastAsia" w:ascii="宋体" w:hAnsi="宋体" w:eastAsia="宋体" w:cs="宋体"/>
                <w:b/>
                <w:bCs/>
                <w:i w:val="0"/>
                <w:iCs w:val="0"/>
                <w:color w:val="000000"/>
                <w:sz w:val="24"/>
                <w:szCs w:val="24"/>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85353">
            <w:pPr>
              <w:jc w:val="center"/>
              <w:rPr>
                <w:rFonts w:hint="eastAsia" w:ascii="宋体" w:hAnsi="宋体" w:eastAsia="宋体" w:cs="宋体"/>
                <w:b/>
                <w:bCs/>
                <w:i w:val="0"/>
                <w:iCs w:val="0"/>
                <w:color w:val="000000"/>
                <w:sz w:val="24"/>
                <w:szCs w:val="24"/>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AFC97">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32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后续管护</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7BE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1F2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项目后续维护是否实现</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A05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该项指标得分=（建成项目总量-后续维护未实现的建成项目数量）÷建成项目总量×100%×10。主要查看建成项目是否建立后续管理维护制度机制，是否实现有效维护。</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7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E7C4B">
            <w:pPr>
              <w:jc w:val="center"/>
              <w:rPr>
                <w:rFonts w:hint="eastAsia" w:ascii="宋体" w:hAnsi="宋体" w:eastAsia="宋体" w:cs="宋体"/>
                <w:i w:val="0"/>
                <w:iCs w:val="0"/>
                <w:color w:val="000000"/>
                <w:sz w:val="24"/>
                <w:szCs w:val="24"/>
                <w:u w:val="none"/>
              </w:rPr>
            </w:pPr>
          </w:p>
        </w:tc>
      </w:tr>
      <w:tr w14:paraId="718A2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7E2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专用指标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7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47C6B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行政运转</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（30分）</w:t>
            </w:r>
          </w:p>
        </w:tc>
        <w:tc>
          <w:tcPr>
            <w:tcW w:w="431" w:type="pct"/>
            <w:tcBorders>
              <w:top w:val="nil"/>
              <w:left w:val="single" w:color="000000" w:sz="4" w:space="0"/>
              <w:bottom w:val="single" w:color="000000" w:sz="4" w:space="0"/>
              <w:right w:val="single" w:color="000000" w:sz="4" w:space="0"/>
            </w:tcBorders>
            <w:shd w:val="clear" w:color="auto" w:fill="auto"/>
            <w:vAlign w:val="center"/>
          </w:tcPr>
          <w:p w14:paraId="31C95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用途合规性</w:t>
            </w:r>
          </w:p>
        </w:tc>
        <w:tc>
          <w:tcPr>
            <w:tcW w:w="413" w:type="pct"/>
            <w:tcBorders>
              <w:top w:val="nil"/>
              <w:left w:val="single" w:color="000000" w:sz="4" w:space="0"/>
              <w:bottom w:val="single" w:color="000000" w:sz="4" w:space="0"/>
              <w:right w:val="single" w:color="000000" w:sz="4" w:space="0"/>
            </w:tcBorders>
            <w:shd w:val="clear" w:color="auto" w:fill="auto"/>
            <w:vAlign w:val="center"/>
          </w:tcPr>
          <w:p w14:paraId="108DBF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nil"/>
              <w:left w:val="single" w:color="000000" w:sz="4" w:space="0"/>
              <w:bottom w:val="single" w:color="000000" w:sz="4" w:space="0"/>
              <w:right w:val="single" w:color="000000" w:sz="4" w:space="0"/>
            </w:tcBorders>
            <w:shd w:val="clear" w:color="auto" w:fill="auto"/>
            <w:vAlign w:val="center"/>
          </w:tcPr>
          <w:p w14:paraId="48C47E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是否按规定用途、适用范围进行本地区专项资金分配</w:t>
            </w:r>
          </w:p>
        </w:tc>
        <w:tc>
          <w:tcPr>
            <w:tcW w:w="1751" w:type="pct"/>
            <w:tcBorders>
              <w:top w:val="nil"/>
              <w:left w:val="single" w:color="000000" w:sz="4" w:space="0"/>
              <w:bottom w:val="single" w:color="000000" w:sz="4" w:space="0"/>
              <w:right w:val="single" w:color="000000" w:sz="4" w:space="0"/>
            </w:tcBorders>
            <w:shd w:val="clear" w:color="auto" w:fill="auto"/>
            <w:vAlign w:val="center"/>
          </w:tcPr>
          <w:p w14:paraId="2D6DA8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资金实际用途不符合专项资金管理要求的，发现一处扣2分。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F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0744">
            <w:pPr>
              <w:jc w:val="center"/>
              <w:rPr>
                <w:rFonts w:hint="eastAsia" w:ascii="宋体" w:hAnsi="宋体" w:eastAsia="宋体" w:cs="宋体"/>
                <w:i w:val="0"/>
                <w:iCs w:val="0"/>
                <w:color w:val="000000"/>
                <w:sz w:val="24"/>
                <w:szCs w:val="24"/>
                <w:u w:val="none"/>
              </w:rPr>
            </w:pPr>
          </w:p>
        </w:tc>
      </w:tr>
      <w:tr w14:paraId="21FCF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11AFD">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AF088">
            <w:pPr>
              <w:jc w:val="center"/>
              <w:rPr>
                <w:rFonts w:hint="eastAsia" w:ascii="宋体" w:hAnsi="宋体" w:eastAsia="宋体" w:cs="宋体"/>
                <w:b/>
                <w:bCs/>
                <w:i w:val="0"/>
                <w:iCs w:val="0"/>
                <w:color w:val="000000"/>
                <w:sz w:val="24"/>
                <w:szCs w:val="24"/>
                <w:u w:val="none"/>
              </w:rPr>
            </w:pPr>
          </w:p>
        </w:tc>
        <w:tc>
          <w:tcPr>
            <w:tcW w:w="431" w:type="pct"/>
            <w:tcBorders>
              <w:top w:val="nil"/>
              <w:left w:val="single" w:color="000000" w:sz="4" w:space="0"/>
              <w:bottom w:val="single" w:color="000000" w:sz="4" w:space="0"/>
              <w:right w:val="single" w:color="000000" w:sz="4" w:space="0"/>
            </w:tcBorders>
            <w:shd w:val="clear" w:color="auto" w:fill="auto"/>
            <w:vAlign w:val="center"/>
          </w:tcPr>
          <w:p w14:paraId="44DBD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程序合规性</w:t>
            </w:r>
          </w:p>
        </w:tc>
        <w:tc>
          <w:tcPr>
            <w:tcW w:w="413" w:type="pct"/>
            <w:tcBorders>
              <w:top w:val="nil"/>
              <w:left w:val="single" w:color="000000" w:sz="4" w:space="0"/>
              <w:bottom w:val="single" w:color="000000" w:sz="4" w:space="0"/>
              <w:right w:val="single" w:color="000000" w:sz="4" w:space="0"/>
            </w:tcBorders>
            <w:shd w:val="clear" w:color="auto" w:fill="auto"/>
            <w:vAlign w:val="center"/>
          </w:tcPr>
          <w:p w14:paraId="6BA84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14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资金管理程序是否符合专项资金管理要求</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2AA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资金管理程序不符合专项资金管理要求的，发现一处扣2分。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AC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DF2B6">
            <w:pPr>
              <w:jc w:val="center"/>
              <w:rPr>
                <w:rFonts w:hint="eastAsia" w:ascii="宋体" w:hAnsi="宋体" w:eastAsia="宋体" w:cs="宋体"/>
                <w:i w:val="0"/>
                <w:iCs w:val="0"/>
                <w:color w:val="000000"/>
                <w:sz w:val="24"/>
                <w:szCs w:val="24"/>
                <w:u w:val="none"/>
              </w:rPr>
            </w:pPr>
          </w:p>
        </w:tc>
      </w:tr>
      <w:tr w14:paraId="19369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FF909">
            <w:pPr>
              <w:jc w:val="center"/>
              <w:rPr>
                <w:rFonts w:hint="eastAsia" w:ascii="宋体" w:hAnsi="宋体" w:eastAsia="宋体" w:cs="宋体"/>
                <w:b/>
                <w:bCs/>
                <w:i w:val="0"/>
                <w:iCs w:val="0"/>
                <w:color w:val="000000"/>
                <w:sz w:val="24"/>
                <w:szCs w:val="24"/>
                <w:u w:val="none"/>
              </w:rPr>
            </w:pPr>
          </w:p>
        </w:tc>
        <w:tc>
          <w:tcPr>
            <w:tcW w:w="7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520BF">
            <w:pPr>
              <w:jc w:val="center"/>
              <w:rPr>
                <w:rFonts w:hint="eastAsia" w:ascii="宋体" w:hAnsi="宋体" w:eastAsia="宋体" w:cs="宋体"/>
                <w:b/>
                <w:bCs/>
                <w:i w:val="0"/>
                <w:iCs w:val="0"/>
                <w:color w:val="000000"/>
                <w:sz w:val="24"/>
                <w:szCs w:val="24"/>
                <w:u w:val="none"/>
              </w:rPr>
            </w:pPr>
          </w:p>
        </w:tc>
        <w:tc>
          <w:tcPr>
            <w:tcW w:w="431" w:type="pct"/>
            <w:tcBorders>
              <w:top w:val="nil"/>
              <w:left w:val="single" w:color="000000" w:sz="4" w:space="0"/>
              <w:bottom w:val="single" w:color="000000" w:sz="4" w:space="0"/>
              <w:right w:val="single" w:color="000000" w:sz="4" w:space="0"/>
            </w:tcBorders>
            <w:shd w:val="clear" w:color="auto" w:fill="auto"/>
            <w:vAlign w:val="center"/>
          </w:tcPr>
          <w:p w14:paraId="7ED36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标准合规性</w:t>
            </w:r>
          </w:p>
        </w:tc>
        <w:tc>
          <w:tcPr>
            <w:tcW w:w="413" w:type="pct"/>
            <w:tcBorders>
              <w:top w:val="nil"/>
              <w:left w:val="single" w:color="000000" w:sz="4" w:space="0"/>
              <w:bottom w:val="single" w:color="000000" w:sz="4" w:space="0"/>
              <w:right w:val="single" w:color="000000" w:sz="4" w:space="0"/>
            </w:tcBorders>
            <w:shd w:val="clear" w:color="auto" w:fill="auto"/>
            <w:vAlign w:val="center"/>
          </w:tcPr>
          <w:p w14:paraId="33419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8E4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资金分配标准是否符合专项资金管理要求</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D8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资金分配标准不符合专项资金管理要求的，发现一处扣2分。</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8F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BD7D7">
            <w:pPr>
              <w:jc w:val="center"/>
              <w:rPr>
                <w:rFonts w:hint="eastAsia" w:ascii="宋体" w:hAnsi="宋体" w:eastAsia="宋体" w:cs="宋体"/>
                <w:i w:val="0"/>
                <w:iCs w:val="0"/>
                <w:color w:val="000000"/>
                <w:sz w:val="24"/>
                <w:szCs w:val="24"/>
                <w:u w:val="none"/>
              </w:rPr>
            </w:pPr>
          </w:p>
        </w:tc>
      </w:tr>
      <w:tr w14:paraId="494FF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 w:type="pct"/>
            <w:gridSpan w:val="3"/>
            <w:vMerge w:val="restart"/>
            <w:tcBorders>
              <w:top w:val="single" w:color="000000" w:sz="4" w:space="0"/>
              <w:left w:val="single" w:color="000000" w:sz="4" w:space="0"/>
              <w:bottom w:val="nil"/>
              <w:right w:val="single" w:color="000000" w:sz="4" w:space="0"/>
            </w:tcBorders>
            <w:shd w:val="clear" w:color="auto" w:fill="auto"/>
            <w:vAlign w:val="center"/>
          </w:tcPr>
          <w:p w14:paraId="2E6CE0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个性指标</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（16分）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D1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767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A8C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根据项目个性自行设定部分指标，反映该项指标执行完成情况。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3B64">
            <w:pPr>
              <w:jc w:val="left"/>
              <w:rPr>
                <w:rFonts w:hint="eastAsia" w:ascii="宋体" w:hAnsi="宋体" w:eastAsia="宋体" w:cs="宋体"/>
                <w:i w:val="0"/>
                <w:iCs w:val="0"/>
                <w:color w:val="000000"/>
                <w:sz w:val="24"/>
                <w:szCs w:val="24"/>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0E7C">
            <w:pPr>
              <w:jc w:val="center"/>
              <w:rPr>
                <w:rFonts w:hint="eastAsia" w:ascii="宋体" w:hAnsi="宋体" w:eastAsia="宋体" w:cs="宋体"/>
                <w:i w:val="0"/>
                <w:iCs w:val="0"/>
                <w:color w:val="000000"/>
                <w:sz w:val="24"/>
                <w:szCs w:val="24"/>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590FC">
            <w:pPr>
              <w:jc w:val="center"/>
              <w:rPr>
                <w:rFonts w:hint="eastAsia" w:ascii="宋体" w:hAnsi="宋体" w:eastAsia="宋体" w:cs="宋体"/>
                <w:i w:val="0"/>
                <w:iCs w:val="0"/>
                <w:color w:val="000000"/>
                <w:sz w:val="24"/>
                <w:szCs w:val="24"/>
                <w:u w:val="none"/>
              </w:rPr>
            </w:pPr>
          </w:p>
        </w:tc>
      </w:tr>
      <w:tr w14:paraId="65A77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 w:type="pct"/>
            <w:gridSpan w:val="3"/>
            <w:vMerge w:val="continue"/>
            <w:tcBorders>
              <w:top w:val="single" w:color="000000" w:sz="4" w:space="0"/>
              <w:left w:val="single" w:color="000000" w:sz="4" w:space="0"/>
              <w:bottom w:val="nil"/>
              <w:right w:val="single" w:color="000000" w:sz="4" w:space="0"/>
            </w:tcBorders>
            <w:shd w:val="clear" w:color="auto" w:fill="auto"/>
            <w:vAlign w:val="center"/>
          </w:tcPr>
          <w:p w14:paraId="1E67E721">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C0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959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A7F67">
            <w:pPr>
              <w:jc w:val="left"/>
              <w:rPr>
                <w:rFonts w:hint="eastAsia" w:ascii="宋体" w:hAnsi="宋体" w:eastAsia="宋体" w:cs="宋体"/>
                <w:i w:val="0"/>
                <w:iCs w:val="0"/>
                <w:color w:val="000000"/>
                <w:sz w:val="24"/>
                <w:szCs w:val="24"/>
                <w:u w:val="none"/>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2244B">
            <w:pPr>
              <w:jc w:val="left"/>
              <w:rPr>
                <w:rFonts w:hint="eastAsia" w:ascii="宋体" w:hAnsi="宋体" w:eastAsia="宋体" w:cs="宋体"/>
                <w:i w:val="0"/>
                <w:iCs w:val="0"/>
                <w:color w:val="000000"/>
                <w:sz w:val="24"/>
                <w:szCs w:val="24"/>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31467">
            <w:pPr>
              <w:jc w:val="center"/>
              <w:rPr>
                <w:rFonts w:hint="eastAsia" w:ascii="宋体" w:hAnsi="宋体" w:eastAsia="宋体" w:cs="宋体"/>
                <w:i w:val="0"/>
                <w:iCs w:val="0"/>
                <w:color w:val="000000"/>
                <w:sz w:val="24"/>
                <w:szCs w:val="24"/>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BC980">
            <w:pPr>
              <w:jc w:val="center"/>
              <w:rPr>
                <w:rFonts w:hint="eastAsia" w:ascii="宋体" w:hAnsi="宋体" w:eastAsia="宋体" w:cs="宋体"/>
                <w:i w:val="0"/>
                <w:iCs w:val="0"/>
                <w:color w:val="000000"/>
                <w:sz w:val="24"/>
                <w:szCs w:val="24"/>
                <w:u w:val="none"/>
              </w:rPr>
            </w:pPr>
          </w:p>
        </w:tc>
      </w:tr>
      <w:tr w14:paraId="1E8E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 w:type="pct"/>
            <w:gridSpan w:val="3"/>
            <w:vMerge w:val="continue"/>
            <w:tcBorders>
              <w:top w:val="single" w:color="000000" w:sz="4" w:space="0"/>
              <w:left w:val="single" w:color="000000" w:sz="4" w:space="0"/>
              <w:bottom w:val="nil"/>
              <w:right w:val="single" w:color="000000" w:sz="4" w:space="0"/>
            </w:tcBorders>
            <w:shd w:val="clear" w:color="auto" w:fill="auto"/>
            <w:vAlign w:val="center"/>
          </w:tcPr>
          <w:p w14:paraId="455A46EE">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F4C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A1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ED1E1">
            <w:pPr>
              <w:jc w:val="left"/>
              <w:rPr>
                <w:rFonts w:hint="eastAsia" w:ascii="宋体" w:hAnsi="宋体" w:eastAsia="宋体" w:cs="宋体"/>
                <w:i w:val="0"/>
                <w:iCs w:val="0"/>
                <w:color w:val="000000"/>
                <w:sz w:val="24"/>
                <w:szCs w:val="24"/>
                <w:u w:val="none"/>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7A051">
            <w:pPr>
              <w:jc w:val="left"/>
              <w:rPr>
                <w:rFonts w:hint="eastAsia" w:ascii="宋体" w:hAnsi="宋体" w:eastAsia="宋体" w:cs="宋体"/>
                <w:i w:val="0"/>
                <w:iCs w:val="0"/>
                <w:color w:val="000000"/>
                <w:sz w:val="24"/>
                <w:szCs w:val="24"/>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CC91">
            <w:pPr>
              <w:jc w:val="center"/>
              <w:rPr>
                <w:rFonts w:hint="eastAsia" w:ascii="宋体" w:hAnsi="宋体" w:eastAsia="宋体" w:cs="宋体"/>
                <w:i w:val="0"/>
                <w:iCs w:val="0"/>
                <w:color w:val="000000"/>
                <w:sz w:val="24"/>
                <w:szCs w:val="24"/>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00EB4">
            <w:pPr>
              <w:jc w:val="center"/>
              <w:rPr>
                <w:rFonts w:hint="eastAsia" w:ascii="宋体" w:hAnsi="宋体" w:eastAsia="宋体" w:cs="宋体"/>
                <w:i w:val="0"/>
                <w:iCs w:val="0"/>
                <w:color w:val="000000"/>
                <w:sz w:val="24"/>
                <w:szCs w:val="24"/>
                <w:u w:val="none"/>
              </w:rPr>
            </w:pPr>
          </w:p>
        </w:tc>
      </w:tr>
      <w:tr w14:paraId="6C7C8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13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2524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扣分项</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（10分）</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B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存在问题</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CD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A3B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预算绩效管理工作存在问题</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6A6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依据评价年度人大监督、巡视巡察、审计监督、财会监督等结果以及评价指标体系涉及各方面出现的问题，每有一个问题点扣1分，扣完为止。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873B6">
            <w:pPr>
              <w:jc w:val="center"/>
              <w:rPr>
                <w:rFonts w:hint="eastAsia" w:ascii="宋体" w:hAnsi="宋体" w:eastAsia="宋体" w:cs="宋体"/>
                <w:i w:val="0"/>
                <w:iCs w:val="0"/>
                <w:color w:val="000000"/>
                <w:sz w:val="24"/>
                <w:szCs w:val="24"/>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8AA3">
            <w:pPr>
              <w:jc w:val="center"/>
              <w:rPr>
                <w:rFonts w:hint="eastAsia" w:ascii="宋体" w:hAnsi="宋体" w:eastAsia="宋体" w:cs="宋体"/>
                <w:i w:val="0"/>
                <w:iCs w:val="0"/>
                <w:color w:val="000000"/>
                <w:sz w:val="24"/>
                <w:szCs w:val="24"/>
                <w:u w:val="none"/>
              </w:rPr>
            </w:pPr>
          </w:p>
        </w:tc>
      </w:tr>
      <w:tr w14:paraId="0FDCF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3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E8D95">
            <w:pPr>
              <w:jc w:val="center"/>
              <w:rPr>
                <w:rFonts w:hint="eastAsia" w:ascii="宋体" w:hAnsi="宋体" w:eastAsia="宋体" w:cs="宋体"/>
                <w:b/>
                <w:bCs/>
                <w:i w:val="0"/>
                <w:iCs w:val="0"/>
                <w:color w:val="000000"/>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76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部门配合度</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E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3F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被评价对象工作配合情况</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ED4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评价工作开展过程中，被评价对象拖延推诿、提交资料不及时等拒不配合评价工作的，发现一处扣1分，扣完为止。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54235">
            <w:pPr>
              <w:jc w:val="center"/>
              <w:rPr>
                <w:rFonts w:hint="eastAsia" w:ascii="宋体" w:hAnsi="宋体" w:eastAsia="宋体" w:cs="宋体"/>
                <w:i w:val="0"/>
                <w:iCs w:val="0"/>
                <w:color w:val="000000"/>
                <w:sz w:val="24"/>
                <w:szCs w:val="24"/>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227A4">
            <w:pPr>
              <w:jc w:val="center"/>
              <w:rPr>
                <w:rFonts w:hint="eastAsia" w:ascii="宋体" w:hAnsi="宋体" w:eastAsia="宋体" w:cs="宋体"/>
                <w:i w:val="0"/>
                <w:iCs w:val="0"/>
                <w:color w:val="000000"/>
                <w:sz w:val="24"/>
                <w:szCs w:val="24"/>
                <w:u w:val="none"/>
              </w:rPr>
            </w:pPr>
          </w:p>
        </w:tc>
      </w:tr>
    </w:tbl>
    <w:p w14:paraId="10F7E346">
      <w:pPr>
        <w:pStyle w:val="2"/>
        <w:rPr>
          <w:rFonts w:hint="eastAsia"/>
          <w:lang w:val="en-US" w:eastAsia="zh-CN"/>
        </w:rPr>
      </w:pPr>
    </w:p>
    <w:p w14:paraId="30C3D0D3">
      <w:pPr>
        <w:widowControl/>
        <w:jc w:val="center"/>
        <w:outlineLvl w:val="9"/>
        <w:rPr>
          <w:rFonts w:hint="eastAsia" w:ascii="黑体" w:hAnsi="黑体" w:eastAsia="黑体"/>
          <w:color w:val="auto"/>
          <w:sz w:val="44"/>
          <w:szCs w:val="44"/>
          <w:highlight w:val="none"/>
        </w:rPr>
      </w:pPr>
      <w:r>
        <w:rPr>
          <w:rFonts w:hint="eastAsia" w:ascii="黑体" w:hAnsi="黑体" w:eastAsia="黑体"/>
          <w:color w:val="auto"/>
          <w:sz w:val="44"/>
          <w:szCs w:val="44"/>
          <w:highlight w:val="none"/>
          <w:lang w:val="en-US" w:eastAsia="zh-CN"/>
        </w:rPr>
        <w:br w:type="page"/>
      </w:r>
      <w:bookmarkStart w:id="169" w:name="_Toc26168"/>
      <w:bookmarkStart w:id="170" w:name="_Toc10283"/>
      <w:bookmarkStart w:id="171" w:name="_Toc21452"/>
      <w:bookmarkStart w:id="172" w:name="_Toc380"/>
    </w:p>
    <w:p w14:paraId="017C4FDD">
      <w:pPr>
        <w:widowControl/>
        <w:jc w:val="center"/>
        <w:outlineLvl w:val="0"/>
        <w:rPr>
          <w:rFonts w:hint="eastAsia" w:ascii="仿宋" w:hAnsi="仿宋" w:eastAsia="仿宋"/>
          <w:b w:val="0"/>
          <w:color w:val="auto"/>
          <w:highlight w:val="none"/>
        </w:rPr>
      </w:pPr>
      <w:bookmarkStart w:id="173" w:name="_Toc23896"/>
      <w:r>
        <w:rPr>
          <w:rFonts w:hint="eastAsia" w:ascii="黑体" w:hAnsi="黑体" w:eastAsia="黑体"/>
          <w:color w:val="auto"/>
          <w:sz w:val="44"/>
          <w:szCs w:val="44"/>
          <w:highlight w:val="none"/>
        </w:rPr>
        <w:t>第</w:t>
      </w:r>
      <w:r>
        <w:rPr>
          <w:rStyle w:val="23"/>
          <w:rFonts w:hint="eastAsia" w:ascii="黑体" w:hAnsi="黑体" w:eastAsia="黑体"/>
          <w:b w:val="0"/>
          <w:color w:val="auto"/>
          <w:highlight w:val="none"/>
        </w:rPr>
        <w:t>五部分 附表</w:t>
      </w:r>
      <w:bookmarkEnd w:id="140"/>
      <w:bookmarkEnd w:id="168"/>
      <w:bookmarkEnd w:id="169"/>
      <w:bookmarkEnd w:id="170"/>
      <w:bookmarkEnd w:id="171"/>
      <w:bookmarkEnd w:id="172"/>
      <w:bookmarkEnd w:id="173"/>
      <w:bookmarkStart w:id="174" w:name="_Toc15396619"/>
    </w:p>
    <w:p w14:paraId="23F6E4E8">
      <w:pPr>
        <w:pStyle w:val="6"/>
        <w:rPr>
          <w:rFonts w:ascii="仿宋" w:hAnsi="仿宋" w:eastAsia="仿宋"/>
          <w:color w:val="auto"/>
          <w:highlight w:val="none"/>
        </w:rPr>
      </w:pPr>
      <w:bookmarkStart w:id="175" w:name="_Toc31849"/>
      <w:bookmarkStart w:id="176" w:name="_Toc15948"/>
      <w:bookmarkStart w:id="177" w:name="_Toc10938"/>
      <w:bookmarkStart w:id="178" w:name="_Toc1224"/>
      <w:bookmarkStart w:id="179" w:name="_Toc26617"/>
      <w:r>
        <w:rPr>
          <w:rFonts w:hint="eastAsia" w:ascii="仿宋" w:hAnsi="仿宋" w:eastAsia="仿宋"/>
          <w:b w:val="0"/>
          <w:color w:val="auto"/>
          <w:highlight w:val="none"/>
        </w:rPr>
        <w:t>一、收</w:t>
      </w:r>
      <w:r>
        <w:rPr>
          <w:rStyle w:val="24"/>
          <w:rFonts w:hint="eastAsia" w:ascii="仿宋" w:hAnsi="仿宋" w:eastAsia="仿宋"/>
          <w:b w:val="0"/>
          <w:bCs w:val="0"/>
          <w:color w:val="auto"/>
          <w:highlight w:val="none"/>
        </w:rPr>
        <w:t>入支出决算总表</w:t>
      </w:r>
      <w:bookmarkEnd w:id="174"/>
      <w:bookmarkEnd w:id="175"/>
      <w:bookmarkEnd w:id="176"/>
      <w:bookmarkEnd w:id="177"/>
      <w:bookmarkEnd w:id="178"/>
      <w:bookmarkEnd w:id="179"/>
    </w:p>
    <w:p w14:paraId="2BC388AB">
      <w:pPr>
        <w:pStyle w:val="6"/>
        <w:rPr>
          <w:rFonts w:ascii="仿宋" w:hAnsi="仿宋" w:eastAsia="仿宋"/>
          <w:color w:val="auto"/>
          <w:highlight w:val="none"/>
        </w:rPr>
      </w:pPr>
      <w:bookmarkStart w:id="180" w:name="_Toc15396620"/>
      <w:bookmarkStart w:id="181" w:name="_Toc26116"/>
      <w:bookmarkStart w:id="182" w:name="_Toc16210"/>
      <w:bookmarkStart w:id="183" w:name="_Toc14988"/>
      <w:bookmarkStart w:id="184" w:name="_Toc11269"/>
      <w:bookmarkStart w:id="185" w:name="_Toc3416"/>
      <w:r>
        <w:rPr>
          <w:rFonts w:hint="eastAsia" w:ascii="仿宋" w:hAnsi="仿宋" w:eastAsia="仿宋"/>
          <w:b w:val="0"/>
          <w:color w:val="auto"/>
          <w:highlight w:val="none"/>
        </w:rPr>
        <w:t>二、收</w:t>
      </w:r>
      <w:r>
        <w:rPr>
          <w:rStyle w:val="24"/>
          <w:rFonts w:hint="eastAsia" w:ascii="仿宋" w:hAnsi="仿宋" w:eastAsia="仿宋"/>
          <w:b w:val="0"/>
          <w:bCs w:val="0"/>
          <w:color w:val="auto"/>
          <w:highlight w:val="none"/>
        </w:rPr>
        <w:t>入决算表</w:t>
      </w:r>
      <w:bookmarkEnd w:id="180"/>
      <w:bookmarkEnd w:id="181"/>
      <w:bookmarkEnd w:id="182"/>
      <w:bookmarkEnd w:id="183"/>
      <w:bookmarkEnd w:id="184"/>
      <w:bookmarkEnd w:id="185"/>
    </w:p>
    <w:p w14:paraId="2780ED2B">
      <w:pPr>
        <w:pStyle w:val="6"/>
        <w:rPr>
          <w:rFonts w:ascii="仿宋" w:hAnsi="仿宋" w:eastAsia="仿宋"/>
          <w:color w:val="auto"/>
          <w:highlight w:val="none"/>
        </w:rPr>
      </w:pPr>
      <w:bookmarkStart w:id="186" w:name="_Toc13892"/>
      <w:bookmarkStart w:id="187" w:name="_Toc3338"/>
      <w:bookmarkStart w:id="188" w:name="_Toc32711"/>
      <w:bookmarkStart w:id="189" w:name="_Toc15396621"/>
      <w:bookmarkStart w:id="190" w:name="_Toc21586"/>
      <w:bookmarkStart w:id="191" w:name="_Toc16027"/>
      <w:r>
        <w:rPr>
          <w:rStyle w:val="24"/>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4"/>
          <w:rFonts w:hint="eastAsia" w:ascii="仿宋" w:hAnsi="仿宋" w:eastAsia="仿宋"/>
          <w:b w:val="0"/>
          <w:bCs w:val="0"/>
          <w:color w:val="auto"/>
          <w:highlight w:val="none"/>
        </w:rPr>
        <w:t>出决算表</w:t>
      </w:r>
      <w:bookmarkEnd w:id="186"/>
      <w:bookmarkEnd w:id="187"/>
      <w:bookmarkEnd w:id="188"/>
      <w:bookmarkEnd w:id="189"/>
      <w:bookmarkEnd w:id="190"/>
      <w:bookmarkEnd w:id="191"/>
    </w:p>
    <w:p w14:paraId="1176E41D">
      <w:pPr>
        <w:pStyle w:val="6"/>
        <w:rPr>
          <w:rFonts w:ascii="仿宋" w:hAnsi="仿宋" w:eastAsia="仿宋"/>
          <w:b w:val="0"/>
          <w:color w:val="auto"/>
          <w:highlight w:val="none"/>
        </w:rPr>
      </w:pPr>
      <w:bookmarkStart w:id="192" w:name="_Toc28488"/>
      <w:bookmarkStart w:id="193" w:name="_Toc15396622"/>
      <w:bookmarkStart w:id="194" w:name="_Toc3082"/>
      <w:bookmarkStart w:id="195" w:name="_Toc30006"/>
      <w:bookmarkStart w:id="196" w:name="_Toc14807"/>
      <w:bookmarkStart w:id="197" w:name="_Toc31347"/>
      <w:r>
        <w:rPr>
          <w:rStyle w:val="24"/>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4"/>
          <w:rFonts w:hint="eastAsia" w:ascii="仿宋" w:hAnsi="仿宋" w:eastAsia="仿宋"/>
          <w:b w:val="0"/>
          <w:bCs w:val="0"/>
          <w:color w:val="auto"/>
          <w:highlight w:val="none"/>
        </w:rPr>
        <w:t>政拨款收入支出决算总表</w:t>
      </w:r>
      <w:bookmarkEnd w:id="192"/>
      <w:bookmarkEnd w:id="193"/>
      <w:bookmarkEnd w:id="194"/>
      <w:bookmarkEnd w:id="195"/>
      <w:bookmarkEnd w:id="196"/>
      <w:bookmarkEnd w:id="197"/>
    </w:p>
    <w:p w14:paraId="6BC1772C">
      <w:pPr>
        <w:pStyle w:val="6"/>
        <w:rPr>
          <w:rStyle w:val="24"/>
          <w:rFonts w:ascii="仿宋" w:hAnsi="仿宋" w:eastAsia="仿宋"/>
          <w:b w:val="0"/>
          <w:bCs w:val="0"/>
          <w:color w:val="auto"/>
          <w:highlight w:val="none"/>
        </w:rPr>
      </w:pPr>
      <w:bookmarkStart w:id="198" w:name="_Toc15396623"/>
      <w:bookmarkStart w:id="199" w:name="_Toc29066"/>
      <w:bookmarkStart w:id="200" w:name="_Toc8725"/>
      <w:bookmarkStart w:id="201" w:name="_Toc27711"/>
      <w:bookmarkStart w:id="202" w:name="_Toc14977"/>
      <w:bookmarkStart w:id="203" w:name="_Toc32230"/>
      <w:r>
        <w:rPr>
          <w:rStyle w:val="24"/>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4"/>
          <w:rFonts w:hint="eastAsia" w:ascii="仿宋" w:hAnsi="仿宋" w:eastAsia="仿宋"/>
          <w:b w:val="0"/>
          <w:bCs w:val="0"/>
          <w:color w:val="auto"/>
          <w:highlight w:val="none"/>
        </w:rPr>
        <w:t>政拨款支出决算明细表</w:t>
      </w:r>
      <w:bookmarkEnd w:id="198"/>
      <w:bookmarkEnd w:id="199"/>
      <w:bookmarkEnd w:id="200"/>
      <w:bookmarkEnd w:id="201"/>
      <w:bookmarkEnd w:id="202"/>
      <w:bookmarkEnd w:id="203"/>
      <w:bookmarkStart w:id="204" w:name="_Toc15396624"/>
    </w:p>
    <w:p w14:paraId="0BCC44B2">
      <w:pPr>
        <w:pStyle w:val="6"/>
        <w:rPr>
          <w:rFonts w:ascii="仿宋" w:hAnsi="仿宋" w:eastAsia="仿宋"/>
          <w:color w:val="auto"/>
          <w:highlight w:val="none"/>
        </w:rPr>
      </w:pPr>
      <w:bookmarkStart w:id="205" w:name="_Toc17503"/>
      <w:bookmarkStart w:id="206" w:name="_Toc13047"/>
      <w:bookmarkStart w:id="207" w:name="_Toc8775"/>
      <w:bookmarkStart w:id="208" w:name="_Toc5743"/>
      <w:bookmarkStart w:id="209" w:name="_Toc24745"/>
      <w:r>
        <w:rPr>
          <w:rStyle w:val="24"/>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般公共预算财政拨款支出决算表</w:t>
      </w:r>
      <w:bookmarkEnd w:id="204"/>
      <w:bookmarkEnd w:id="205"/>
      <w:bookmarkEnd w:id="206"/>
      <w:bookmarkEnd w:id="207"/>
      <w:bookmarkEnd w:id="208"/>
      <w:bookmarkEnd w:id="209"/>
    </w:p>
    <w:p w14:paraId="68526DCE">
      <w:pPr>
        <w:pStyle w:val="6"/>
        <w:rPr>
          <w:rFonts w:ascii="仿宋" w:hAnsi="仿宋" w:eastAsia="仿宋"/>
          <w:color w:val="auto"/>
          <w:highlight w:val="none"/>
        </w:rPr>
      </w:pPr>
      <w:bookmarkStart w:id="210" w:name="_Toc28130"/>
      <w:bookmarkStart w:id="211" w:name="_Toc15396625"/>
      <w:bookmarkStart w:id="212" w:name="_Toc27641"/>
      <w:bookmarkStart w:id="213" w:name="_Toc21539"/>
      <w:bookmarkStart w:id="214" w:name="_Toc3703"/>
      <w:bookmarkStart w:id="215" w:name="_Toc6977"/>
      <w:r>
        <w:rPr>
          <w:rStyle w:val="24"/>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般公共预算财政拨款支出决算明细表</w:t>
      </w:r>
      <w:bookmarkEnd w:id="210"/>
      <w:bookmarkEnd w:id="211"/>
      <w:bookmarkEnd w:id="212"/>
      <w:bookmarkEnd w:id="213"/>
      <w:bookmarkEnd w:id="214"/>
      <w:bookmarkEnd w:id="215"/>
    </w:p>
    <w:p w14:paraId="6A469656">
      <w:pPr>
        <w:pStyle w:val="6"/>
        <w:rPr>
          <w:rFonts w:ascii="仿宋" w:hAnsi="仿宋" w:eastAsia="仿宋"/>
          <w:color w:val="auto"/>
          <w:highlight w:val="none"/>
        </w:rPr>
      </w:pPr>
      <w:bookmarkStart w:id="216" w:name="_Toc15396626"/>
      <w:bookmarkStart w:id="217" w:name="_Toc358"/>
      <w:bookmarkStart w:id="218" w:name="_Toc6691"/>
      <w:bookmarkStart w:id="219" w:name="_Toc9354"/>
      <w:bookmarkStart w:id="220" w:name="_Toc26557"/>
      <w:bookmarkStart w:id="221" w:name="_Toc4066"/>
      <w:r>
        <w:rPr>
          <w:rStyle w:val="24"/>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般公共预算财政拨款基本支出决算表</w:t>
      </w:r>
      <w:bookmarkEnd w:id="216"/>
      <w:bookmarkEnd w:id="217"/>
      <w:bookmarkEnd w:id="218"/>
      <w:bookmarkEnd w:id="219"/>
      <w:bookmarkEnd w:id="220"/>
      <w:bookmarkEnd w:id="221"/>
    </w:p>
    <w:p w14:paraId="6DF2A6C0">
      <w:pPr>
        <w:pStyle w:val="6"/>
        <w:rPr>
          <w:rFonts w:ascii="仿宋" w:hAnsi="仿宋" w:eastAsia="仿宋"/>
          <w:color w:val="auto"/>
          <w:highlight w:val="none"/>
        </w:rPr>
      </w:pPr>
      <w:bookmarkStart w:id="222" w:name="_Toc17218"/>
      <w:bookmarkStart w:id="223" w:name="_Toc15396627"/>
      <w:bookmarkStart w:id="224" w:name="_Toc17349"/>
      <w:bookmarkStart w:id="225" w:name="_Toc716"/>
      <w:bookmarkStart w:id="226" w:name="_Toc10520"/>
      <w:bookmarkStart w:id="227" w:name="_Toc5129"/>
      <w:r>
        <w:rPr>
          <w:rStyle w:val="24"/>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般公共预算财政拨款项目支出决算表</w:t>
      </w:r>
      <w:bookmarkEnd w:id="222"/>
      <w:bookmarkEnd w:id="223"/>
      <w:bookmarkEnd w:id="224"/>
      <w:bookmarkEnd w:id="225"/>
      <w:bookmarkEnd w:id="226"/>
      <w:bookmarkEnd w:id="227"/>
    </w:p>
    <w:p w14:paraId="42B99B09">
      <w:pPr>
        <w:pStyle w:val="6"/>
        <w:rPr>
          <w:rFonts w:ascii="仿宋" w:hAnsi="仿宋" w:eastAsia="仿宋"/>
          <w:color w:val="auto"/>
          <w:highlight w:val="none"/>
        </w:rPr>
      </w:pPr>
      <w:bookmarkStart w:id="228" w:name="_Toc15396628"/>
      <w:bookmarkStart w:id="229" w:name="_Toc780"/>
      <w:bookmarkStart w:id="230" w:name="_Toc14440"/>
      <w:bookmarkStart w:id="231" w:name="_Toc16048"/>
      <w:bookmarkStart w:id="232" w:name="_Toc25053"/>
      <w:bookmarkStart w:id="233" w:name="_Toc1269"/>
      <w:r>
        <w:rPr>
          <w:rStyle w:val="24"/>
          <w:rFonts w:hint="eastAsia" w:ascii="仿宋" w:hAnsi="仿宋" w:eastAsia="仿宋"/>
          <w:b w:val="0"/>
          <w:bCs w:val="0"/>
          <w:color w:val="auto"/>
          <w:highlight w:val="none"/>
        </w:rPr>
        <w:t>十、</w:t>
      </w:r>
      <w:bookmarkEnd w:id="228"/>
      <w:r>
        <w:rPr>
          <w:rFonts w:hint="eastAsia" w:ascii="仿宋" w:hAnsi="仿宋" w:eastAsia="仿宋"/>
          <w:b w:val="0"/>
          <w:color w:val="auto"/>
          <w:highlight w:val="none"/>
        </w:rPr>
        <w:t>政</w:t>
      </w:r>
      <w:r>
        <w:rPr>
          <w:rStyle w:val="24"/>
          <w:rFonts w:hint="eastAsia" w:ascii="仿宋" w:hAnsi="仿宋" w:eastAsia="仿宋"/>
          <w:b w:val="0"/>
          <w:bCs w:val="0"/>
          <w:color w:val="auto"/>
          <w:highlight w:val="none"/>
        </w:rPr>
        <w:t>府性基金预算财政拨款收入支出决算表</w:t>
      </w:r>
      <w:bookmarkEnd w:id="229"/>
      <w:bookmarkEnd w:id="230"/>
      <w:bookmarkEnd w:id="231"/>
      <w:bookmarkEnd w:id="232"/>
      <w:bookmarkEnd w:id="233"/>
    </w:p>
    <w:p w14:paraId="78A3E6A6">
      <w:pPr>
        <w:pStyle w:val="6"/>
        <w:rPr>
          <w:rFonts w:ascii="仿宋" w:hAnsi="仿宋" w:eastAsia="仿宋"/>
          <w:color w:val="auto"/>
          <w:highlight w:val="none"/>
        </w:rPr>
      </w:pPr>
      <w:bookmarkStart w:id="234" w:name="_Toc15396629"/>
      <w:bookmarkStart w:id="235" w:name="_Toc27769"/>
      <w:bookmarkStart w:id="236" w:name="_Toc11185"/>
      <w:bookmarkStart w:id="237" w:name="_Toc23241"/>
      <w:bookmarkStart w:id="238" w:name="_Toc8640"/>
      <w:bookmarkStart w:id="239" w:name="_Toc26249"/>
      <w:r>
        <w:rPr>
          <w:rStyle w:val="24"/>
          <w:rFonts w:hint="eastAsia" w:ascii="仿宋" w:hAnsi="仿宋" w:eastAsia="仿宋"/>
          <w:b w:val="0"/>
          <w:bCs w:val="0"/>
          <w:color w:val="auto"/>
          <w:highlight w:val="none"/>
        </w:rPr>
        <w:t>十一、</w:t>
      </w:r>
      <w:bookmarkEnd w:id="234"/>
      <w:r>
        <w:rPr>
          <w:rFonts w:hint="eastAsia" w:ascii="仿宋" w:hAnsi="仿宋" w:eastAsia="仿宋"/>
          <w:b w:val="0"/>
          <w:color w:val="auto"/>
          <w:highlight w:val="none"/>
        </w:rPr>
        <w:t>国</w:t>
      </w:r>
      <w:r>
        <w:rPr>
          <w:rStyle w:val="24"/>
          <w:rFonts w:hint="eastAsia" w:ascii="仿宋" w:hAnsi="仿宋" w:eastAsia="仿宋"/>
          <w:b w:val="0"/>
          <w:bCs w:val="0"/>
          <w:color w:val="auto"/>
          <w:highlight w:val="none"/>
        </w:rPr>
        <w:t>有资本经营预算</w:t>
      </w:r>
      <w:r>
        <w:rPr>
          <w:rStyle w:val="24"/>
          <w:rFonts w:hint="eastAsia" w:ascii="仿宋" w:hAnsi="仿宋" w:eastAsia="仿宋"/>
          <w:b w:val="0"/>
          <w:bCs w:val="0"/>
          <w:color w:val="auto"/>
          <w:highlight w:val="none"/>
          <w:lang w:eastAsia="zh-CN"/>
        </w:rPr>
        <w:t>财政拨款收入</w:t>
      </w:r>
      <w:r>
        <w:rPr>
          <w:rStyle w:val="24"/>
          <w:rFonts w:hint="eastAsia" w:ascii="仿宋" w:hAnsi="仿宋" w:eastAsia="仿宋"/>
          <w:b w:val="0"/>
          <w:bCs w:val="0"/>
          <w:color w:val="auto"/>
          <w:highlight w:val="none"/>
        </w:rPr>
        <w:t>支出决算表</w:t>
      </w:r>
      <w:bookmarkEnd w:id="235"/>
      <w:bookmarkEnd w:id="236"/>
      <w:bookmarkEnd w:id="237"/>
      <w:bookmarkEnd w:id="238"/>
      <w:bookmarkEnd w:id="239"/>
    </w:p>
    <w:p w14:paraId="72673D77">
      <w:pPr>
        <w:pStyle w:val="6"/>
        <w:rPr>
          <w:rFonts w:ascii="仿宋" w:hAnsi="仿宋" w:eastAsia="仿宋"/>
          <w:color w:val="auto"/>
          <w:highlight w:val="none"/>
        </w:rPr>
      </w:pPr>
      <w:bookmarkStart w:id="240" w:name="_Toc15396630"/>
      <w:bookmarkStart w:id="241" w:name="_Toc11703"/>
      <w:bookmarkStart w:id="242" w:name="_Toc18725"/>
      <w:bookmarkStart w:id="243" w:name="_Toc17569"/>
      <w:bookmarkStart w:id="244" w:name="_Toc3444"/>
      <w:bookmarkStart w:id="245" w:name="_Toc11146"/>
      <w:r>
        <w:rPr>
          <w:rStyle w:val="24"/>
          <w:rFonts w:hint="eastAsia" w:ascii="仿宋" w:hAnsi="仿宋" w:eastAsia="仿宋"/>
          <w:b w:val="0"/>
          <w:bCs w:val="0"/>
          <w:color w:val="auto"/>
          <w:highlight w:val="none"/>
        </w:rPr>
        <w:t>十二、</w:t>
      </w:r>
      <w:bookmarkEnd w:id="240"/>
      <w:r>
        <w:rPr>
          <w:rStyle w:val="24"/>
          <w:rFonts w:hint="eastAsia" w:ascii="仿宋" w:hAnsi="仿宋" w:eastAsia="仿宋"/>
          <w:b w:val="0"/>
          <w:bCs w:val="0"/>
          <w:color w:val="auto"/>
          <w:highlight w:val="none"/>
          <w:lang w:eastAsia="zh-CN"/>
        </w:rPr>
        <w:t>国有资本经营预算财政拨款支出决算表</w:t>
      </w:r>
      <w:bookmarkEnd w:id="241"/>
      <w:bookmarkEnd w:id="242"/>
      <w:bookmarkEnd w:id="243"/>
      <w:bookmarkEnd w:id="244"/>
      <w:bookmarkEnd w:id="245"/>
    </w:p>
    <w:p w14:paraId="33C2010A">
      <w:pPr>
        <w:pStyle w:val="6"/>
        <w:rPr>
          <w:rStyle w:val="24"/>
          <w:rFonts w:hint="eastAsia" w:ascii="仿宋" w:hAnsi="仿宋" w:eastAsia="仿宋"/>
          <w:b w:val="0"/>
          <w:bCs w:val="0"/>
          <w:color w:val="auto"/>
          <w:highlight w:val="none"/>
          <w:lang w:eastAsia="zh-CN"/>
        </w:rPr>
      </w:pPr>
      <w:bookmarkStart w:id="246" w:name="_Toc15396631"/>
      <w:bookmarkStart w:id="247" w:name="_Toc18373"/>
      <w:bookmarkStart w:id="248" w:name="_Toc23762"/>
      <w:bookmarkStart w:id="249" w:name="_Toc17916"/>
      <w:bookmarkStart w:id="250" w:name="_Toc26378"/>
      <w:bookmarkStart w:id="251" w:name="_Toc7209"/>
      <w:r>
        <w:rPr>
          <w:rStyle w:val="24"/>
          <w:rFonts w:hint="eastAsia" w:ascii="仿宋" w:hAnsi="仿宋" w:eastAsia="仿宋"/>
          <w:b w:val="0"/>
          <w:bCs w:val="0"/>
          <w:color w:val="auto"/>
          <w:highlight w:val="none"/>
        </w:rPr>
        <w:t>十三、</w:t>
      </w:r>
      <w:bookmarkEnd w:id="246"/>
      <w:r>
        <w:rPr>
          <w:rStyle w:val="24"/>
          <w:rFonts w:hint="eastAsia" w:ascii="仿宋" w:hAnsi="仿宋" w:eastAsia="仿宋"/>
          <w:b w:val="0"/>
          <w:bCs w:val="0"/>
          <w:color w:val="auto"/>
          <w:highlight w:val="none"/>
          <w:lang w:eastAsia="zh-CN"/>
        </w:rPr>
        <w:t>财政拨款“三公”经费支出决算表</w:t>
      </w:r>
      <w:bookmarkEnd w:id="247"/>
      <w:bookmarkEnd w:id="248"/>
      <w:bookmarkEnd w:id="249"/>
      <w:bookmarkEnd w:id="250"/>
      <w:bookmarkEnd w:id="251"/>
    </w:p>
    <w:sectPr>
      <w:type w:val="continuous"/>
      <w:pgSz w:w="11906" w:h="16838"/>
      <w:pgMar w:top="1440" w:right="1800" w:bottom="1440" w:left="1800" w:header="720" w:footer="720" w:gutter="0"/>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5-08-22T11:09:53Z" w:initials="A">
    <w:p w14:paraId="4A0ED963">
      <w:pPr>
        <w:pStyle w:val="8"/>
        <w:rPr>
          <w:rFonts w:hint="eastAsia" w:eastAsia="宋体"/>
          <w:lang w:eastAsia="zh-CN"/>
        </w:rPr>
      </w:pPr>
      <w:r>
        <w:rPr>
          <w:rFonts w:hint="eastAsia"/>
          <w:lang w:eastAsia="zh-CN"/>
        </w:rPr>
        <w:t>专项自评报告后对应附该项目的自评表，下面也请核实添加</w:t>
      </w:r>
    </w:p>
  </w:comment>
  <w:comment w:id="1" w:author="Administrator" w:date="2025-08-22T11:07:52Z" w:initials="A">
    <w:p w14:paraId="3CE4721D">
      <w:pPr>
        <w:pStyle w:val="8"/>
        <w:rPr>
          <w:rFonts w:hint="eastAsia" w:eastAsia="宋体"/>
          <w:lang w:eastAsia="zh-CN"/>
        </w:rPr>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A0ED963" w15:done="0"/>
  <w15:commentEx w15:paraId="3CE4721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E9C9F6-8C57-4737-BF6B-41EE9549E7A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99E50D36-B232-4C96-BEF1-F6B9D223D27B}"/>
  </w:font>
  <w:font w:name="Cambria">
    <w:panose1 w:val="02040503050406030204"/>
    <w:charset w:val="00"/>
    <w:family w:val="roman"/>
    <w:pitch w:val="default"/>
    <w:sig w:usb0="E00002FF" w:usb1="400004FF" w:usb2="00000000" w:usb3="00000000" w:csb0="2000019F" w:csb1="00000000"/>
    <w:embedRegular r:id="rId3" w:fontKey="{BAF5F13C-1A8C-4F8E-A3F2-45C9F669650A}"/>
  </w:font>
  <w:font w:name="仿宋_GB2312">
    <w:panose1 w:val="02010609030101010101"/>
    <w:charset w:val="86"/>
    <w:family w:val="modern"/>
    <w:pitch w:val="default"/>
    <w:sig w:usb0="00000001" w:usb1="080E0000" w:usb2="00000000" w:usb3="00000000" w:csb0="00040000" w:csb1="00000000"/>
    <w:embedRegular r:id="rId4" w:fontKey="{240DF0DE-1C16-44BA-B2EF-B6555039EF10}"/>
  </w:font>
  <w:font w:name="仿宋">
    <w:panose1 w:val="02010609060101010101"/>
    <w:charset w:val="86"/>
    <w:family w:val="modern"/>
    <w:pitch w:val="default"/>
    <w:sig w:usb0="800002BF" w:usb1="38CF7CFA" w:usb2="00000016" w:usb3="00000000" w:csb0="00040001" w:csb1="00000000"/>
    <w:embedRegular r:id="rId5" w:fontKey="{A12FE3D0-C548-4EA3-AADF-E31F2562C916}"/>
  </w:font>
  <w:font w:name="Liberation Sans">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6" w:fontKey="{ABADEBD5-D581-409E-9D50-935034F504A5}"/>
  </w:font>
  <w:font w:name="Noto Sans CJK SC Regular">
    <w:altName w:val="宋体"/>
    <w:panose1 w:val="020B0500000000000000"/>
    <w:charset w:val="86"/>
    <w:family w:val="auto"/>
    <w:pitch w:val="default"/>
    <w:sig w:usb0="00000000" w:usb1="00000000" w:usb2="00000016" w:usb3="00000000" w:csb0="602E0107" w:csb1="00000000"/>
  </w:font>
  <w:font w:name="??">
    <w:altName w:val="Times New Roman"/>
    <w:panose1 w:val="00000000000000000000"/>
    <w:charset w:val="00"/>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7" w:fontKey="{B53A4890-DDCA-456B-A8F3-3E9D68CCCA1D}"/>
  </w:font>
  <w:font w:name="华文中宋">
    <w:panose1 w:val="02010600040101010101"/>
    <w:charset w:val="86"/>
    <w:family w:val="auto"/>
    <w:pitch w:val="default"/>
    <w:sig w:usb0="00000287" w:usb1="080F0000" w:usb2="00000000" w:usb3="00000000" w:csb0="0004009F" w:csb1="DFD70000"/>
    <w:embedRegular r:id="rId8" w:fontKey="{3C852B42-DFF5-4483-8A52-C990629B3A82}"/>
  </w:font>
  <w:font w:name="楷体_GB2312">
    <w:panose1 w:val="02010609030101010101"/>
    <w:charset w:val="86"/>
    <w:family w:val="auto"/>
    <w:pitch w:val="default"/>
    <w:sig w:usb0="00000001" w:usb1="080E0000" w:usb2="00000000" w:usb3="00000000" w:csb0="00040000" w:csb1="00000000"/>
    <w:embedRegular r:id="rId9" w:fontKey="{645E7C6C-0B8B-4164-B99F-6617D268A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829E3">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AF34A">
                          <w:pPr>
                            <w:pStyle w:val="1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14:paraId="2C3AF34A">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70A3C">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6AFCD"/>
    <w:multiLevelType w:val="singleLevel"/>
    <w:tmpl w:val="8D76AFCD"/>
    <w:lvl w:ilvl="0" w:tentative="0">
      <w:start w:val="20"/>
      <w:numFmt w:val="decimal"/>
      <w:lvlText w:val="%1."/>
      <w:lvlJc w:val="left"/>
      <w:pPr>
        <w:tabs>
          <w:tab w:val="left" w:pos="312"/>
        </w:tabs>
      </w:pPr>
      <w:rPr>
        <w:rFonts w:hint="default"/>
        <w:b/>
        <w:bCs/>
      </w:rPr>
    </w:lvl>
  </w:abstractNum>
  <w:abstractNum w:abstractNumId="1">
    <w:nsid w:val="A1E4CBB5"/>
    <w:multiLevelType w:val="singleLevel"/>
    <w:tmpl w:val="A1E4CBB5"/>
    <w:lvl w:ilvl="0" w:tentative="0">
      <w:start w:val="6"/>
      <w:numFmt w:val="chineseCounting"/>
      <w:suff w:val="nothing"/>
      <w:lvlText w:val="%1、"/>
      <w:lvlJc w:val="left"/>
      <w:rPr>
        <w:rFonts w:hint="eastAsia"/>
      </w:rPr>
    </w:lvl>
  </w:abstractNum>
  <w:abstractNum w:abstractNumId="2">
    <w:nsid w:val="A9AF253A"/>
    <w:multiLevelType w:val="singleLevel"/>
    <w:tmpl w:val="A9AF253A"/>
    <w:lvl w:ilvl="0" w:tentative="0">
      <w:start w:val="1"/>
      <w:numFmt w:val="chineseCounting"/>
      <w:suff w:val="nothing"/>
      <w:lvlText w:val="%1、"/>
      <w:lvlJc w:val="left"/>
      <w:rPr>
        <w:rFonts w:hint="eastAsia"/>
      </w:r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0CC27D78"/>
    <w:multiLevelType w:val="singleLevel"/>
    <w:tmpl w:val="0CC27D78"/>
    <w:lvl w:ilvl="0" w:tentative="0">
      <w:start w:val="4"/>
      <w:numFmt w:val="decimal"/>
      <w:suff w:val="space"/>
      <w:lvlText w:val="%1."/>
      <w:lvlJc w:val="left"/>
    </w:lvl>
  </w:abstractNum>
  <w:abstractNum w:abstractNumId="6">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6"/>
  </w:num>
  <w:num w:numId="3">
    <w:abstractNumId w:val="0"/>
  </w:num>
  <w:num w:numId="4">
    <w:abstractNumId w:val="3"/>
  </w:num>
  <w:num w:numId="5">
    <w:abstractNumId w:val="4"/>
  </w:num>
  <w:num w:numId="6">
    <w:abstractNumId w:val="5"/>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360"/>
  <w:drawingGridHorizontalSpacing w:val="1"/>
  <w:drawingGridVerticalSpacing w:val="1"/>
  <w:displayHorizontalDrawingGridEvery w:val="1"/>
  <w:displayVerticalDrawingGridEvery w:val="1"/>
  <w:doNotUseMarginsForDrawingGridOrigin w:val="1"/>
  <w:drawingGridHorizontalOrigin w:val="0"/>
  <w:drawingGridVerticalOrigin w:val="0"/>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000000"/>
    <w:rsid w:val="01E7687A"/>
    <w:rsid w:val="094370FF"/>
    <w:rsid w:val="0B785A87"/>
    <w:rsid w:val="0BAF5DD6"/>
    <w:rsid w:val="0D466E39"/>
    <w:rsid w:val="0E940838"/>
    <w:rsid w:val="12740D5F"/>
    <w:rsid w:val="143A6CDD"/>
    <w:rsid w:val="15767345"/>
    <w:rsid w:val="1646204D"/>
    <w:rsid w:val="16B43B57"/>
    <w:rsid w:val="16BA6DB5"/>
    <w:rsid w:val="17280647"/>
    <w:rsid w:val="17824C23"/>
    <w:rsid w:val="185F60F9"/>
    <w:rsid w:val="18E13BCB"/>
    <w:rsid w:val="19F71E89"/>
    <w:rsid w:val="1A101C8F"/>
    <w:rsid w:val="1ABF39A0"/>
    <w:rsid w:val="1C8F4EEB"/>
    <w:rsid w:val="1CCE7A12"/>
    <w:rsid w:val="1E226AD8"/>
    <w:rsid w:val="1EEC012E"/>
    <w:rsid w:val="2164488F"/>
    <w:rsid w:val="2318468D"/>
    <w:rsid w:val="233D1B3B"/>
    <w:rsid w:val="23A74B93"/>
    <w:rsid w:val="23BB6D72"/>
    <w:rsid w:val="23F30C56"/>
    <w:rsid w:val="2A1F09F7"/>
    <w:rsid w:val="2EBF74FE"/>
    <w:rsid w:val="308A4C98"/>
    <w:rsid w:val="372A4760"/>
    <w:rsid w:val="37411FAD"/>
    <w:rsid w:val="37EC1874"/>
    <w:rsid w:val="39D2108A"/>
    <w:rsid w:val="3CBF4990"/>
    <w:rsid w:val="3DD9070B"/>
    <w:rsid w:val="46E258DE"/>
    <w:rsid w:val="48AC1250"/>
    <w:rsid w:val="4C2C1F06"/>
    <w:rsid w:val="4C3B34F2"/>
    <w:rsid w:val="4DF40961"/>
    <w:rsid w:val="508B5F00"/>
    <w:rsid w:val="558A1A3B"/>
    <w:rsid w:val="55A34235"/>
    <w:rsid w:val="55FE1772"/>
    <w:rsid w:val="58A67A6A"/>
    <w:rsid w:val="5D415FB3"/>
    <w:rsid w:val="5D46181B"/>
    <w:rsid w:val="5E371164"/>
    <w:rsid w:val="5F586965"/>
    <w:rsid w:val="64616F3B"/>
    <w:rsid w:val="6732270D"/>
    <w:rsid w:val="6B010F92"/>
    <w:rsid w:val="6B8F25DF"/>
    <w:rsid w:val="6C9A046D"/>
    <w:rsid w:val="6D401DE3"/>
    <w:rsid w:val="6E041063"/>
    <w:rsid w:val="6E480B5F"/>
    <w:rsid w:val="6F213864"/>
    <w:rsid w:val="764F474E"/>
    <w:rsid w:val="786F5723"/>
    <w:rsid w:val="7A0E4B48"/>
    <w:rsid w:val="7A677395"/>
    <w:rsid w:val="7B784F8D"/>
    <w:rsid w:val="7FB71932"/>
    <w:rsid w:val="AFEF86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5">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24"/>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19">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qFormat/>
    <w:uiPriority w:val="0"/>
    <w:pPr>
      <w:spacing w:after="120"/>
      <w:ind w:leftChars="200"/>
    </w:pPr>
    <w:rPr>
      <w:rFonts w:ascii="仿宋_GB2312"/>
      <w:szCs w:val="32"/>
    </w:rPr>
  </w:style>
  <w:style w:type="paragraph" w:styleId="7">
    <w:name w:val="caption"/>
    <w:basedOn w:val="1"/>
    <w:qFormat/>
    <w:uiPriority w:val="0"/>
    <w:pPr>
      <w:widowControl w:val="0"/>
      <w:suppressLineNumbers/>
      <w:suppressAutoHyphens/>
      <w:spacing w:before="120" w:after="120"/>
    </w:pPr>
    <w:rPr>
      <w:i/>
      <w:iCs/>
      <w:sz w:val="24"/>
      <w:szCs w:val="24"/>
    </w:rPr>
  </w:style>
  <w:style w:type="paragraph" w:styleId="8">
    <w:name w:val="annotation text"/>
    <w:basedOn w:val="1"/>
    <w:qFormat/>
    <w:uiPriority w:val="0"/>
    <w:pPr>
      <w:jc w:val="left"/>
    </w:pPr>
  </w:style>
  <w:style w:type="paragraph" w:styleId="9">
    <w:name w:val="Body Text"/>
    <w:basedOn w:val="1"/>
    <w:qFormat/>
    <w:uiPriority w:val="0"/>
    <w:pPr>
      <w:spacing w:before="0" w:after="140" w:line="276" w:lineRule="auto"/>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List"/>
    <w:basedOn w:val="9"/>
    <w:qFormat/>
    <w:uiPriority w:val="0"/>
  </w:style>
  <w:style w:type="paragraph" w:styleId="15">
    <w:name w:val="table of figures"/>
    <w:basedOn w:val="1"/>
    <w:next w:val="1"/>
    <w:qFormat/>
    <w:uiPriority w:val="0"/>
    <w:pPr>
      <w:ind w:left="200" w:leftChars="200" w:hanging="200" w:hangingChars="200"/>
    </w:pPr>
    <w:rPr>
      <w:rFonts w:eastAsia="仿宋"/>
      <w:sz w:val="32"/>
      <w:szCs w:val="24"/>
    </w:rPr>
  </w:style>
  <w:style w:type="paragraph" w:styleId="16">
    <w:name w:val="toc 2"/>
    <w:basedOn w:val="1"/>
    <w:next w:val="1"/>
    <w:unhideWhenUsed/>
    <w:qFormat/>
    <w:uiPriority w:val="39"/>
    <w:pPr>
      <w:tabs>
        <w:tab w:val="right" w:leader="dot" w:pos="8296"/>
      </w:tabs>
      <w:ind w:left="420" w:leftChars="200"/>
    </w:pPr>
  </w:style>
  <w:style w:type="paragraph" w:styleId="17">
    <w:name w:val="Normal (Web)"/>
    <w:basedOn w:val="1"/>
    <w:qFormat/>
    <w:uiPriority w:val="0"/>
    <w:rPr>
      <w:sz w:val="24"/>
    </w:rPr>
  </w:style>
  <w:style w:type="character" w:styleId="20">
    <w:name w:val="Strong"/>
    <w:basedOn w:val="19"/>
    <w:qFormat/>
    <w:uiPriority w:val="99"/>
    <w:rPr>
      <w:b/>
    </w:rPr>
  </w:style>
  <w:style w:type="character" w:styleId="21">
    <w:name w:val="Hyperlink"/>
    <w:basedOn w:val="19"/>
    <w:unhideWhenUsed/>
    <w:qFormat/>
    <w:uiPriority w:val="99"/>
    <w:rPr>
      <w:color w:val="0000FF"/>
      <w:u w:val="single"/>
    </w:rPr>
  </w:style>
  <w:style w:type="paragraph" w:customStyle="1" w:styleId="2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3">
    <w:name w:val="标题 1 Char"/>
    <w:basedOn w:val="19"/>
    <w:link w:val="5"/>
    <w:qFormat/>
    <w:uiPriority w:val="9"/>
    <w:rPr>
      <w:b/>
      <w:bCs/>
      <w:kern w:val="44"/>
      <w:sz w:val="44"/>
      <w:szCs w:val="44"/>
    </w:rPr>
  </w:style>
  <w:style w:type="character" w:customStyle="1" w:styleId="24">
    <w:name w:val="标题 2 Char"/>
    <w:basedOn w:val="19"/>
    <w:link w:val="6"/>
    <w:qFormat/>
    <w:uiPriority w:val="9"/>
    <w:rPr>
      <w:rFonts w:ascii="Cambria" w:hAnsi="Cambria" w:eastAsia="宋体" w:cs="Times New Roman"/>
      <w:b/>
      <w:bCs/>
      <w:sz w:val="32"/>
      <w:szCs w:val="32"/>
    </w:rPr>
  </w:style>
  <w:style w:type="paragraph" w:customStyle="1" w:styleId="25">
    <w:name w:val="图表目录1"/>
    <w:basedOn w:val="1"/>
    <w:next w:val="1"/>
    <w:qFormat/>
    <w:uiPriority w:val="0"/>
    <w:pPr>
      <w:ind w:left="200" w:leftChars="200" w:hanging="200" w:hangingChars="200"/>
    </w:pPr>
  </w:style>
  <w:style w:type="character" w:customStyle="1" w:styleId="26">
    <w:name w:val="默认段落字体1"/>
    <w:qFormat/>
    <w:uiPriority w:val="0"/>
  </w:style>
  <w:style w:type="paragraph" w:customStyle="1" w:styleId="27">
    <w:name w:val="Heading"/>
    <w:basedOn w:val="1"/>
    <w:next w:val="9"/>
    <w:qFormat/>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28">
    <w:name w:val="Index"/>
    <w:basedOn w:val="1"/>
    <w:qFormat/>
    <w:uiPriority w:val="0"/>
    <w:pPr>
      <w:widowControl w:val="0"/>
      <w:suppressLineNumbers/>
      <w:suppressAutoHyphens/>
    </w:pPr>
  </w:style>
  <w:style w:type="paragraph" w:styleId="29">
    <w:name w:val="List Paragraph"/>
    <w:basedOn w:val="1"/>
    <w:qFormat/>
    <w:uiPriority w:val="34"/>
    <w:pPr>
      <w:ind w:firstLine="420" w:firstLineChars="200"/>
    </w:pPr>
  </w:style>
  <w:style w:type="paragraph" w:customStyle="1" w:styleId="30">
    <w:name w:val="Default"/>
    <w:next w:val="1"/>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1">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2">
    <w:name w:val="15"/>
    <w:basedOn w:val="19"/>
    <w:qFormat/>
    <w:uiPriority w:val="0"/>
    <w:rPr>
      <w:rFonts w:hint="default" w:ascii="Times New Roman" w:hAnsi="Times New Roman" w:cs="Times New Roman"/>
      <w:b/>
    </w:rPr>
  </w:style>
  <w:style w:type="character" w:customStyle="1" w:styleId="33">
    <w:name w:val="font41"/>
    <w:basedOn w:val="19"/>
    <w:qFormat/>
    <w:uiPriority w:val="0"/>
    <w:rPr>
      <w:rFonts w:hint="eastAsia" w:ascii="微软雅黑" w:hAnsi="微软雅黑" w:eastAsia="微软雅黑" w:cs="微软雅黑"/>
      <w:i/>
      <w:iCs/>
      <w:color w:val="000000"/>
      <w:sz w:val="16"/>
      <w:szCs w:val="16"/>
      <w:u w:val="none"/>
    </w:rPr>
  </w:style>
  <w:style w:type="character" w:customStyle="1" w:styleId="34">
    <w:name w:val="font61"/>
    <w:basedOn w:val="19"/>
    <w:qFormat/>
    <w:uiPriority w:val="0"/>
    <w:rPr>
      <w:rFonts w:hint="default" w:ascii="Times New Roman" w:hAnsi="Times New Roman" w:cs="Times New Roman"/>
      <w:i/>
      <w:iC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政府性基金预算财政拨款收入</c:v>
                </c:pt>
              </c:strCache>
            </c:strRef>
          </c:cat>
          <c:val>
            <c:numRef>
              <c:f>Sheet1!$B$2:$B$3</c:f>
              <c:numCache>
                <c:formatCode>0.00%</c:formatCode>
                <c:ptCount val="2"/>
                <c:pt idx="0">
                  <c:v>0.9841</c:v>
                </c:pt>
                <c:pt idx="1">
                  <c:v>0.0159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ce6463d-4d10-4edf-9570-0fa80be658d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0.827</c:v>
                </c:pt>
                <c:pt idx="1">
                  <c:v>0.173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8c91175-89cc-4ad8-a60b-ae8c48388f5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财政拨款收、支决算总计变动情况</a:t>
            </a:r>
            <a:endParaRPr lang="en-US"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财政拨款收入总计</c:v>
                </c:pt>
                <c:pt idx="1">
                  <c:v>财政拨款支出总计</c:v>
                </c:pt>
              </c:strCache>
            </c:strRef>
          </c:cat>
          <c:val>
            <c:numRef>
              <c:f>Sheet1!$B$2:$B$3</c:f>
              <c:numCache>
                <c:formatCode>General</c:formatCode>
                <c:ptCount val="2"/>
                <c:pt idx="0">
                  <c:v>3045.79</c:v>
                </c:pt>
                <c:pt idx="1">
                  <c:v>3045.79</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财政拨款收入总计</c:v>
                </c:pt>
                <c:pt idx="1">
                  <c:v>财政拨款支出总计</c:v>
                </c:pt>
              </c:strCache>
            </c:strRef>
          </c:cat>
          <c:val>
            <c:numRef>
              <c:f>Sheet1!$C$2:$C$3</c:f>
              <c:numCache>
                <c:formatCode>General</c:formatCode>
                <c:ptCount val="2"/>
                <c:pt idx="0">
                  <c:v>2761.06</c:v>
                </c:pt>
                <c:pt idx="1">
                  <c:v>2761.06</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Sheet1!$A$2:$A$3</c:f>
              <c:strCache>
                <c:ptCount val="2"/>
                <c:pt idx="0">
                  <c:v>财政拨款收入总计</c:v>
                </c:pt>
                <c:pt idx="1">
                  <c:v>财政拨款支出总计</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46"/>
        <c:overlap val="-28"/>
        <c:axId val="29537689"/>
        <c:axId val="948159258"/>
      </c:barChart>
      <c:catAx>
        <c:axId val="295376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8159258"/>
        <c:crosses val="autoZero"/>
        <c:auto val="1"/>
        <c:lblAlgn val="ctr"/>
        <c:lblOffset val="100"/>
        <c:noMultiLvlLbl val="0"/>
      </c:catAx>
      <c:valAx>
        <c:axId val="94815925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537689"/>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476a8a8-2cb8-43e4-87ba-7f7f4435630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Sheet1!$B$2</c:f>
              <c:numCache>
                <c:formatCode>General</c:formatCode>
                <c:ptCount val="1"/>
                <c:pt idx="0">
                  <c:v>2985.79</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Sheet1!$C$2</c:f>
              <c:numCache>
                <c:formatCode>#,##0.00</c:formatCode>
                <c:ptCount val="1"/>
                <c:pt idx="0">
                  <c:v>2717.06</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c:f>
              <c:strCache>
                <c:ptCount val="1"/>
                <c:pt idx="0">
                  <c:v>类别 1</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46"/>
        <c:overlap val="-28"/>
        <c:axId val="466414116"/>
        <c:axId val="697557719"/>
      </c:barChart>
      <c:catAx>
        <c:axId val="466414116"/>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7557719"/>
        <c:crosses val="autoZero"/>
        <c:auto val="1"/>
        <c:lblAlgn val="ctr"/>
        <c:lblOffset val="100"/>
        <c:noMultiLvlLbl val="0"/>
      </c:catAx>
      <c:valAx>
        <c:axId val="697557719"/>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414116"/>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009c5eb-c204-43e9-883d-9c1005d9015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Lbls>
            <c:dLbl>
              <c:idx val="1"/>
              <c:layout>
                <c:manualLayout>
                  <c:x val="0.108721913505678"/>
                  <c:y val="-0.080747981300467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8050253684465"/>
                  <c:y val="-0.048873778155546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5610050736893"/>
                  <c:y val="-0.014874628134296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13553998550374"/>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86566803575743"/>
                  <c:y val="0.0254993625159371"/>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01352983812515"/>
                      <c:h val="0.0441988950276243"/>
                    </c:manualLayout>
                  </c15:layout>
                </c:ext>
              </c:extLst>
            </c:dLbl>
            <c:dLbl>
              <c:idx val="6"/>
              <c:layout>
                <c:manualLayout>
                  <c:x val="-0.118386083595071"/>
                  <c:y val="-0.00657682414747836"/>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0843198840299589"/>
                      <c:h val="0.0575860603484913"/>
                    </c:manualLayout>
                  </c15:layout>
                </c:ext>
              </c:extLst>
            </c:dLbl>
            <c:dLbl>
              <c:idx val="7"/>
              <c:layout>
                <c:manualLayout>
                  <c:x val="-0.101473785938633"/>
                  <c:y val="-0.080747981300467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文化旅游体育与传媒支出</c:v>
                </c:pt>
                <c:pt idx="2">
                  <c:v>社会保障和就业支出</c:v>
                </c:pt>
                <c:pt idx="3">
                  <c:v>卫生健康支出</c:v>
                </c:pt>
                <c:pt idx="4">
                  <c:v>住房保障支出</c:v>
                </c:pt>
                <c:pt idx="5">
                  <c:v>灾害防治及应急管理支出</c:v>
                </c:pt>
                <c:pt idx="6">
                  <c:v>节能环保支出</c:v>
                </c:pt>
                <c:pt idx="7">
                  <c:v>城乡社区支出</c:v>
                </c:pt>
                <c:pt idx="8">
                  <c:v>农林水支出</c:v>
                </c:pt>
              </c:strCache>
            </c:strRef>
          </c:cat>
          <c:val>
            <c:numRef>
              <c:f>Sheet1!$B$2:$B$10</c:f>
              <c:numCache>
                <c:formatCode>0.00%</c:formatCode>
                <c:ptCount val="9"/>
                <c:pt idx="0">
                  <c:v>0.3415</c:v>
                </c:pt>
                <c:pt idx="1">
                  <c:v>0.0162</c:v>
                </c:pt>
                <c:pt idx="2">
                  <c:v>0.1089</c:v>
                </c:pt>
                <c:pt idx="3">
                  <c:v>0.0345</c:v>
                </c:pt>
                <c:pt idx="4">
                  <c:v>0.0352</c:v>
                </c:pt>
                <c:pt idx="5">
                  <c:v>0.0048</c:v>
                </c:pt>
                <c:pt idx="6">
                  <c:v>0.0147</c:v>
                </c:pt>
                <c:pt idx="7">
                  <c:v>0.0254</c:v>
                </c:pt>
                <c:pt idx="8">
                  <c:v>0.4188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b3f9d2b-5644-4989-a4c6-589a8434afd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166</Pages>
  <Words>8737</Words>
  <Characters>9524</Characters>
  <TotalTime>34</TotalTime>
  <ScaleCrop>false</ScaleCrop>
  <LinksUpToDate>false</LinksUpToDate>
  <CharactersWithSpaces>9631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2018-11-27T01:47:00Z</dcterms:created>
  <dc:creator>user</dc:creator>
  <cp:lastModifiedBy>Administrator</cp:lastModifiedBy>
  <cp:lastPrinted>2024-08-26T11:41:00Z</cp:lastPrinted>
  <dcterms:modified xsi:type="dcterms:W3CDTF">2025-09-19T05:52:45Z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F848601C7DC341B4ACA5AD6E7F44D074_13</vt:lpwstr>
  </property>
  <property fmtid="{D5CDD505-2E9C-101B-9397-08002B2CF9AE}" pid="4" name="KSOTemplateDocerSaveRecord">
    <vt:lpwstr>eyJoZGlkIjoiMjcwYjc0NzEyMzZlNTZmOWU5MGU4MTc5MzFmMjczNTkifQ==</vt:lpwstr>
  </property>
</Properties>
</file>