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55854">
      <w:pPr>
        <w:pStyle w:val="10"/>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96597"/>
      <w:bookmarkStart w:id="2" w:name="_Toc15396475"/>
      <w:bookmarkStart w:id="3" w:name="_Toc15378441"/>
      <w:bookmarkStart w:id="4" w:name="_Toc15377193"/>
      <w:bookmarkStart w:id="5" w:name="_Toc15306267"/>
    </w:p>
    <w:bookmarkEnd w:id="0"/>
    <w:bookmarkEnd w:id="1"/>
    <w:bookmarkEnd w:id="2"/>
    <w:bookmarkEnd w:id="3"/>
    <w:bookmarkEnd w:id="4"/>
    <w:p w14:paraId="1DBE3E70">
      <w:pPr>
        <w:pStyle w:val="10"/>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77426"/>
      <w:bookmarkStart w:id="8" w:name="_Toc15396598"/>
      <w:bookmarkStart w:id="9" w:name="_Toc15377194"/>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p>
    <w:p w14:paraId="17A98EB2">
      <w:pPr>
        <w:pStyle w:val="10"/>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遂宁市安居区发展和改革局</w:t>
      </w:r>
    </w:p>
    <w:p w14:paraId="4419B236">
      <w:pPr>
        <w:pStyle w:val="10"/>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31D12FF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11D79444">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52A29807">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281C5C0D">
      <w:pPr>
        <w:pStyle w:val="15"/>
        <w:rPr>
          <w:rFonts w:ascii="Times New Roman" w:hAnsi="Times New Roman"/>
          <w:color w:val="auto"/>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2623"/>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400672CB">
          <w:pPr>
            <w:spacing w:before="0" w:beforeLines="0" w:after="0" w:afterLines="0" w:line="240" w:lineRule="auto"/>
            <w:ind w:left="0" w:leftChars="0" w:right="0" w:rightChars="0" w:firstLine="0" w:firstLineChars="0"/>
            <w:jc w:val="center"/>
          </w:pPr>
        </w:p>
        <w:p w14:paraId="2FFDFDA6">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rPr>
            <w:fldChar w:fldCharType="begin"/>
          </w:r>
          <w:r>
            <w:rPr>
              <w:rFonts w:hint="eastAsia"/>
            </w:rPr>
            <w:instrText xml:space="preserve">TOC \o "1-2" \h \u </w:instrText>
          </w:r>
          <w:r>
            <w:rPr>
              <w:rFonts w:hint="eastAsia"/>
            </w:rPr>
            <w:fldChar w:fldCharType="separate"/>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_Toc26664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第一部分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部门概况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_Toc26664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3</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6F838C89">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_Toc9365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lang w:eastAsia="zh-CN"/>
            </w:rPr>
            <w:t>一、部门职责</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_Toc9365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3</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15E0EBD0">
          <w:pPr>
            <w:pStyle w:val="16"/>
            <w:tabs>
              <w:tab w:val="right" w:leader="dot" w:pos="8306"/>
              <w:tab w:val="clear" w:pos="8296"/>
            </w:tabs>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_Toc30931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二、机构设置</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_Toc30931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7</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46F1CCBE">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_Toc3834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w:t>
          </w:r>
          <w:r>
            <w:rPr>
              <w:rFonts w:hint="eastAsia" w:ascii="Times New Roman" w:hAnsi="Times New Roman" w:eastAsia="黑体" w:cs="黑体"/>
              <w:color w:val="auto"/>
              <w:sz w:val="32"/>
              <w:szCs w:val="32"/>
              <w:highlight w:val="none"/>
              <w:lang w:val="en-US" w:eastAsia="zh-CN"/>
            </w:rPr>
            <w:t>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_Toc3834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8</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1FCA31FF">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_Toc17812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lang w:eastAsia="zh-CN"/>
            </w:rPr>
            <w:t>一、</w:t>
          </w:r>
          <w:r>
            <w:rPr>
              <w:rFonts w:hint="eastAsia" w:ascii="Times New Roman" w:hAnsi="Times New Roman" w:eastAsia="仿宋_GB2312" w:cs="仿宋_GB2312"/>
              <w:szCs w:val="32"/>
              <w:highlight w:val="none"/>
            </w:rPr>
            <w:t>收入支出决算总体情况说明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_Toc17812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8</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6EC289B9">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_Toc24971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lang w:eastAsia="zh-CN"/>
            </w:rPr>
            <w:t>二、收入决算情况说明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_Toc24971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8</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6561D965">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_Toc3459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lang w:eastAsia="zh-CN"/>
            </w:rPr>
            <w:t>三、</w:t>
          </w:r>
          <w:r>
            <w:rPr>
              <w:rFonts w:hint="eastAsia" w:ascii="Times New Roman" w:hAnsi="Times New Roman" w:eastAsia="仿宋_GB2312" w:cs="仿宋_GB2312"/>
              <w:szCs w:val="32"/>
              <w:highlight w:val="none"/>
            </w:rPr>
            <w:t>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_Toc3459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9</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619AFD95">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_Toc3185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四、财政拨款收入支出决算总体情况说明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_Toc3185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10</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1E3FB0BF">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_Toc16339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五、一般公共预算财政拨款支出决算情况说明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_Toc16339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10</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6BC92576">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_Toc11031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六、一般公共预算财政拨款基本支出决算情况说明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_Toc11031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14</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2A50F86E">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_Toc22333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七、财政拨款“三公”经费支出决算情况说明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_Toc22333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15</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057E96A9">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_Toc20068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八、政府性基金预算支出决算情况说明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_Toc20068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17</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0E8A8444">
          <w:pPr>
            <w:pStyle w:val="16"/>
            <w:tabs>
              <w:tab w:val="right" w:leader="dot" w:pos="8306"/>
              <w:tab w:val="clear" w:pos="8296"/>
            </w:tabs>
            <w:rPr>
              <w:rFonts w:hint="eastAsia" w:ascii="Times New Roman" w:hAnsi="Times New Roman" w:eastAsia="仿宋_GB2312" w:cs="仿宋_GB2312"/>
              <w:szCs w:val="32"/>
              <w:highlight w:val="none"/>
            </w:rPr>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_Toc26071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lang w:eastAsia="zh-CN"/>
            </w:rPr>
            <w:t>九、</w:t>
          </w:r>
          <w:r>
            <w:rPr>
              <w:rFonts w:hint="eastAsia" w:ascii="Times New Roman" w:hAnsi="Times New Roman" w:eastAsia="仿宋_GB2312" w:cs="仿宋_GB2312"/>
              <w:szCs w:val="32"/>
              <w:highlight w:val="none"/>
            </w:rPr>
            <w:t>国有资本经营预算支出决算情况说明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_Toc26071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17</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09036310">
          <w:pPr>
            <w:pStyle w:val="16"/>
            <w:tabs>
              <w:tab w:val="right" w:leader="dot" w:pos="8306"/>
              <w:tab w:val="clear" w:pos="8296"/>
            </w:tabs>
          </w:pP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HYPERLINK \l _Toc6583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lang w:eastAsia="zh-CN"/>
            </w:rPr>
            <w:t>十、</w:t>
          </w:r>
          <w:r>
            <w:rPr>
              <w:rFonts w:hint="eastAsia" w:ascii="Times New Roman" w:hAnsi="Times New Roman" w:eastAsia="仿宋_GB2312" w:cs="仿宋_GB2312"/>
              <w:szCs w:val="32"/>
              <w:highlight w:val="none"/>
            </w:rPr>
            <w:t>其他重要事项的情况说明</w:t>
          </w:r>
          <w:r>
            <w:rPr>
              <w:rFonts w:hint="eastAsia" w:ascii="Times New Roman" w:hAnsi="Times New Roman" w:eastAsia="仿宋_GB2312" w:cs="仿宋_GB2312"/>
              <w:szCs w:val="32"/>
              <w:highlight w:val="none"/>
            </w:rPr>
            <w:tab/>
          </w:r>
          <w:r>
            <w:rPr>
              <w:rFonts w:hint="eastAsia" w:ascii="Times New Roman" w:hAnsi="Times New Roman" w:eastAsia="仿宋_GB2312" w:cs="仿宋_GB2312"/>
              <w:szCs w:val="32"/>
              <w:highlight w:val="none"/>
            </w:rPr>
            <w:fldChar w:fldCharType="begin"/>
          </w:r>
          <w:r>
            <w:rPr>
              <w:rFonts w:hint="eastAsia" w:ascii="Times New Roman" w:hAnsi="Times New Roman" w:eastAsia="仿宋_GB2312" w:cs="仿宋_GB2312"/>
              <w:szCs w:val="32"/>
              <w:highlight w:val="none"/>
            </w:rPr>
            <w:instrText xml:space="preserve"> PAGEREF _Toc6583 \h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仿宋_GB2312" w:cs="仿宋_GB2312"/>
              <w:szCs w:val="32"/>
              <w:highlight w:val="none"/>
            </w:rPr>
            <w:t>17</w:t>
          </w:r>
          <w:r>
            <w:rPr>
              <w:rFonts w:hint="eastAsia" w:ascii="Times New Roman" w:hAnsi="Times New Roman" w:eastAsia="仿宋_GB2312" w:cs="仿宋_GB2312"/>
              <w:szCs w:val="32"/>
              <w:highlight w:val="none"/>
            </w:rPr>
            <w:fldChar w:fldCharType="end"/>
          </w:r>
          <w:r>
            <w:rPr>
              <w:rFonts w:hint="eastAsia" w:ascii="Times New Roman" w:hAnsi="Times New Roman" w:eastAsia="仿宋_GB2312" w:cs="仿宋_GB2312"/>
              <w:szCs w:val="32"/>
              <w:highlight w:val="none"/>
            </w:rPr>
            <w:fldChar w:fldCharType="end"/>
          </w:r>
        </w:p>
        <w:p w14:paraId="308C1809">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_Toc31899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_Toc31899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24</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5A3134D9">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_Toc20692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第四部分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_Toc20692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28</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3E199583">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_Toc13351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xml:space="preserve">第五部分 </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_Toc13351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90</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3CE3AD42">
          <w:pPr>
            <w:pStyle w:val="16"/>
            <w:tabs>
              <w:tab w:val="right" w:leader="dot" w:pos="8306"/>
              <w:tab w:val="clear" w:pos="8296"/>
            </w:tabs>
          </w:pPr>
          <w:r>
            <w:rPr>
              <w:rFonts w:hint="eastAsia"/>
            </w:rPr>
            <w:fldChar w:fldCharType="begin"/>
          </w:r>
          <w:r>
            <w:rPr>
              <w:rFonts w:hint="eastAsia"/>
            </w:rPr>
            <w:instrText xml:space="preserve"> HYPERLINK \l _Toc9764 </w:instrText>
          </w:r>
          <w:r>
            <w:rPr>
              <w:rFonts w:hint="eastAsia"/>
            </w:rPr>
            <w:fldChar w:fldCharType="separate"/>
          </w:r>
          <w:r>
            <w:rPr>
              <w:rFonts w:hint="eastAsia" w:ascii="Times New Roman" w:hAnsi="Times New Roman" w:eastAsia="仿宋_GB2312" w:cs="仿宋_GB2312"/>
              <w:szCs w:val="32"/>
              <w:highlight w:val="none"/>
            </w:rPr>
            <w:t>一、收入支出决算总表</w:t>
          </w:r>
          <w:r>
            <w:tab/>
          </w:r>
          <w:r>
            <w:fldChar w:fldCharType="begin"/>
          </w:r>
          <w:r>
            <w:instrText xml:space="preserve"> PAGEREF _Toc9764 \h </w:instrText>
          </w:r>
          <w:r>
            <w:fldChar w:fldCharType="separate"/>
          </w:r>
          <w:r>
            <w:t>90</w:t>
          </w:r>
          <w:r>
            <w:fldChar w:fldCharType="end"/>
          </w:r>
          <w:r>
            <w:rPr>
              <w:rFonts w:hint="eastAsia"/>
            </w:rPr>
            <w:fldChar w:fldCharType="end"/>
          </w:r>
        </w:p>
        <w:p w14:paraId="6E51D79A">
          <w:pPr>
            <w:pStyle w:val="16"/>
            <w:tabs>
              <w:tab w:val="right" w:leader="dot" w:pos="8306"/>
              <w:tab w:val="clear" w:pos="8296"/>
            </w:tabs>
          </w:pPr>
          <w:r>
            <w:rPr>
              <w:rFonts w:hint="eastAsia"/>
            </w:rPr>
            <w:fldChar w:fldCharType="begin"/>
          </w:r>
          <w:r>
            <w:rPr>
              <w:rFonts w:hint="eastAsia"/>
            </w:rPr>
            <w:instrText xml:space="preserve"> HYPERLINK \l _Toc2175 </w:instrText>
          </w:r>
          <w:r>
            <w:rPr>
              <w:rFonts w:hint="eastAsia"/>
            </w:rPr>
            <w:fldChar w:fldCharType="separate"/>
          </w:r>
          <w:r>
            <w:rPr>
              <w:rFonts w:hint="eastAsia" w:ascii="Times New Roman" w:hAnsi="Times New Roman" w:eastAsia="仿宋_GB2312" w:cs="仿宋_GB2312"/>
              <w:szCs w:val="32"/>
              <w:highlight w:val="none"/>
            </w:rPr>
            <w:t>二、收入决算表</w:t>
          </w:r>
          <w:r>
            <w:tab/>
          </w:r>
          <w:r>
            <w:fldChar w:fldCharType="begin"/>
          </w:r>
          <w:r>
            <w:instrText xml:space="preserve"> PAGEREF _Toc2175 \h </w:instrText>
          </w:r>
          <w:r>
            <w:fldChar w:fldCharType="separate"/>
          </w:r>
          <w:r>
            <w:t>90</w:t>
          </w:r>
          <w:r>
            <w:fldChar w:fldCharType="end"/>
          </w:r>
          <w:r>
            <w:rPr>
              <w:rFonts w:hint="eastAsia"/>
            </w:rPr>
            <w:fldChar w:fldCharType="end"/>
          </w:r>
        </w:p>
        <w:p w14:paraId="74F322A2">
          <w:pPr>
            <w:pStyle w:val="16"/>
            <w:tabs>
              <w:tab w:val="right" w:leader="dot" w:pos="8306"/>
              <w:tab w:val="clear" w:pos="8296"/>
            </w:tabs>
          </w:pPr>
          <w:r>
            <w:rPr>
              <w:rFonts w:hint="eastAsia"/>
            </w:rPr>
            <w:fldChar w:fldCharType="begin"/>
          </w:r>
          <w:r>
            <w:rPr>
              <w:rFonts w:hint="eastAsia"/>
            </w:rPr>
            <w:instrText xml:space="preserve"> HYPERLINK \l _Toc21485 </w:instrText>
          </w:r>
          <w:r>
            <w:rPr>
              <w:rFonts w:hint="eastAsia"/>
            </w:rPr>
            <w:fldChar w:fldCharType="separate"/>
          </w:r>
          <w:r>
            <w:rPr>
              <w:rFonts w:hint="eastAsia" w:ascii="Times New Roman" w:hAnsi="Times New Roman" w:eastAsia="仿宋_GB2312" w:cs="仿宋_GB2312"/>
              <w:szCs w:val="32"/>
              <w:highlight w:val="none"/>
            </w:rPr>
            <w:t>三、支出决算表</w:t>
          </w:r>
          <w:r>
            <w:tab/>
          </w:r>
          <w:r>
            <w:fldChar w:fldCharType="begin"/>
          </w:r>
          <w:r>
            <w:instrText xml:space="preserve"> PAGEREF _Toc21485 \h </w:instrText>
          </w:r>
          <w:r>
            <w:fldChar w:fldCharType="separate"/>
          </w:r>
          <w:r>
            <w:t>90</w:t>
          </w:r>
          <w:r>
            <w:fldChar w:fldCharType="end"/>
          </w:r>
          <w:r>
            <w:rPr>
              <w:rFonts w:hint="eastAsia"/>
            </w:rPr>
            <w:fldChar w:fldCharType="end"/>
          </w:r>
        </w:p>
        <w:p w14:paraId="061D6180">
          <w:pPr>
            <w:pStyle w:val="16"/>
            <w:tabs>
              <w:tab w:val="right" w:leader="dot" w:pos="8306"/>
              <w:tab w:val="clear" w:pos="8296"/>
            </w:tabs>
          </w:pPr>
          <w:r>
            <w:rPr>
              <w:rFonts w:hint="eastAsia"/>
            </w:rPr>
            <w:fldChar w:fldCharType="begin"/>
          </w:r>
          <w:r>
            <w:rPr>
              <w:rFonts w:hint="eastAsia"/>
            </w:rPr>
            <w:instrText xml:space="preserve"> HYPERLINK \l _Toc2005 </w:instrText>
          </w:r>
          <w:r>
            <w:rPr>
              <w:rFonts w:hint="eastAsia"/>
            </w:rPr>
            <w:fldChar w:fldCharType="separate"/>
          </w:r>
          <w:r>
            <w:rPr>
              <w:rFonts w:hint="eastAsia" w:ascii="Times New Roman" w:hAnsi="Times New Roman" w:eastAsia="仿宋_GB2312" w:cs="仿宋_GB2312"/>
              <w:szCs w:val="32"/>
              <w:highlight w:val="none"/>
            </w:rPr>
            <w:t>四、财政拨款收入支出决算总表</w:t>
          </w:r>
          <w:r>
            <w:tab/>
          </w:r>
          <w:r>
            <w:fldChar w:fldCharType="begin"/>
          </w:r>
          <w:r>
            <w:instrText xml:space="preserve"> PAGEREF _Toc2005 \h </w:instrText>
          </w:r>
          <w:r>
            <w:fldChar w:fldCharType="separate"/>
          </w:r>
          <w:r>
            <w:t>90</w:t>
          </w:r>
          <w:r>
            <w:fldChar w:fldCharType="end"/>
          </w:r>
          <w:r>
            <w:rPr>
              <w:rFonts w:hint="eastAsia"/>
            </w:rPr>
            <w:fldChar w:fldCharType="end"/>
          </w:r>
        </w:p>
        <w:p w14:paraId="285E414E">
          <w:pPr>
            <w:pStyle w:val="16"/>
            <w:tabs>
              <w:tab w:val="right" w:leader="dot" w:pos="8306"/>
              <w:tab w:val="clear" w:pos="8296"/>
            </w:tabs>
          </w:pPr>
          <w:r>
            <w:rPr>
              <w:rFonts w:hint="eastAsia"/>
            </w:rPr>
            <w:fldChar w:fldCharType="begin"/>
          </w:r>
          <w:r>
            <w:rPr>
              <w:rFonts w:hint="eastAsia"/>
            </w:rPr>
            <w:instrText xml:space="preserve"> HYPERLINK \l _Toc8313 </w:instrText>
          </w:r>
          <w:r>
            <w:rPr>
              <w:rFonts w:hint="eastAsia"/>
            </w:rPr>
            <w:fldChar w:fldCharType="separate"/>
          </w:r>
          <w:r>
            <w:rPr>
              <w:rFonts w:hint="eastAsia" w:ascii="Times New Roman" w:hAnsi="Times New Roman" w:eastAsia="仿宋_GB2312" w:cs="仿宋_GB2312"/>
              <w:szCs w:val="32"/>
              <w:highlight w:val="none"/>
            </w:rPr>
            <w:t>五、财政拨款支出决算明细表</w:t>
          </w:r>
          <w:r>
            <w:tab/>
          </w:r>
          <w:r>
            <w:fldChar w:fldCharType="begin"/>
          </w:r>
          <w:r>
            <w:instrText xml:space="preserve"> PAGEREF _Toc8313 \h </w:instrText>
          </w:r>
          <w:r>
            <w:fldChar w:fldCharType="separate"/>
          </w:r>
          <w:r>
            <w:t>90</w:t>
          </w:r>
          <w:r>
            <w:fldChar w:fldCharType="end"/>
          </w:r>
          <w:r>
            <w:rPr>
              <w:rFonts w:hint="eastAsia"/>
            </w:rPr>
            <w:fldChar w:fldCharType="end"/>
          </w:r>
        </w:p>
        <w:p w14:paraId="526DB483">
          <w:pPr>
            <w:pStyle w:val="16"/>
            <w:tabs>
              <w:tab w:val="right" w:leader="dot" w:pos="8306"/>
              <w:tab w:val="clear" w:pos="8296"/>
            </w:tabs>
          </w:pPr>
          <w:r>
            <w:rPr>
              <w:rFonts w:hint="eastAsia"/>
            </w:rPr>
            <w:fldChar w:fldCharType="begin"/>
          </w:r>
          <w:r>
            <w:rPr>
              <w:rFonts w:hint="eastAsia"/>
            </w:rPr>
            <w:instrText xml:space="preserve"> HYPERLINK \l _Toc5287 </w:instrText>
          </w:r>
          <w:r>
            <w:rPr>
              <w:rFonts w:hint="eastAsia"/>
            </w:rPr>
            <w:fldChar w:fldCharType="separate"/>
          </w:r>
          <w:r>
            <w:rPr>
              <w:rFonts w:hint="eastAsia" w:ascii="Times New Roman" w:hAnsi="Times New Roman" w:eastAsia="仿宋_GB2312" w:cs="仿宋_GB2312"/>
              <w:szCs w:val="32"/>
              <w:highlight w:val="none"/>
            </w:rPr>
            <w:t>六、一般公共预算财政拨款支出决算表</w:t>
          </w:r>
          <w:r>
            <w:tab/>
          </w:r>
          <w:r>
            <w:fldChar w:fldCharType="begin"/>
          </w:r>
          <w:r>
            <w:instrText xml:space="preserve"> PAGEREF _Toc5287 \h </w:instrText>
          </w:r>
          <w:r>
            <w:fldChar w:fldCharType="separate"/>
          </w:r>
          <w:r>
            <w:t>90</w:t>
          </w:r>
          <w:r>
            <w:fldChar w:fldCharType="end"/>
          </w:r>
          <w:r>
            <w:rPr>
              <w:rFonts w:hint="eastAsia"/>
            </w:rPr>
            <w:fldChar w:fldCharType="end"/>
          </w:r>
        </w:p>
        <w:p w14:paraId="6C7CF2E4">
          <w:pPr>
            <w:pStyle w:val="16"/>
            <w:tabs>
              <w:tab w:val="right" w:leader="dot" w:pos="8306"/>
              <w:tab w:val="clear" w:pos="8296"/>
            </w:tabs>
          </w:pPr>
          <w:r>
            <w:rPr>
              <w:rFonts w:hint="eastAsia"/>
            </w:rPr>
            <w:fldChar w:fldCharType="begin"/>
          </w:r>
          <w:r>
            <w:rPr>
              <w:rFonts w:hint="eastAsia"/>
            </w:rPr>
            <w:instrText xml:space="preserve"> HYPERLINK \l _Toc11330 </w:instrText>
          </w:r>
          <w:r>
            <w:rPr>
              <w:rFonts w:hint="eastAsia"/>
            </w:rPr>
            <w:fldChar w:fldCharType="separate"/>
          </w:r>
          <w:r>
            <w:rPr>
              <w:rFonts w:hint="eastAsia" w:ascii="Times New Roman" w:hAnsi="Times New Roman" w:eastAsia="仿宋_GB2312" w:cs="仿宋_GB2312"/>
              <w:szCs w:val="32"/>
              <w:highlight w:val="none"/>
            </w:rPr>
            <w:t>七、一般公共预算财政拨款支出决算明细表</w:t>
          </w:r>
          <w:r>
            <w:tab/>
          </w:r>
          <w:r>
            <w:fldChar w:fldCharType="begin"/>
          </w:r>
          <w:r>
            <w:instrText xml:space="preserve"> PAGEREF _Toc11330 \h </w:instrText>
          </w:r>
          <w:r>
            <w:fldChar w:fldCharType="separate"/>
          </w:r>
          <w:r>
            <w:t>90</w:t>
          </w:r>
          <w:r>
            <w:fldChar w:fldCharType="end"/>
          </w:r>
          <w:r>
            <w:rPr>
              <w:rFonts w:hint="eastAsia"/>
            </w:rPr>
            <w:fldChar w:fldCharType="end"/>
          </w:r>
        </w:p>
        <w:p w14:paraId="15EA576A">
          <w:pPr>
            <w:pStyle w:val="16"/>
            <w:tabs>
              <w:tab w:val="right" w:leader="dot" w:pos="8306"/>
              <w:tab w:val="clear" w:pos="8296"/>
            </w:tabs>
          </w:pPr>
          <w:r>
            <w:rPr>
              <w:rFonts w:hint="eastAsia"/>
            </w:rPr>
            <w:fldChar w:fldCharType="begin"/>
          </w:r>
          <w:r>
            <w:rPr>
              <w:rFonts w:hint="eastAsia"/>
            </w:rPr>
            <w:instrText xml:space="preserve"> HYPERLINK \l _Toc15792 </w:instrText>
          </w:r>
          <w:r>
            <w:rPr>
              <w:rFonts w:hint="eastAsia"/>
            </w:rPr>
            <w:fldChar w:fldCharType="separate"/>
          </w:r>
          <w:r>
            <w:rPr>
              <w:rFonts w:hint="eastAsia" w:ascii="Times New Roman" w:hAnsi="Times New Roman" w:eastAsia="仿宋_GB2312" w:cs="仿宋_GB2312"/>
              <w:szCs w:val="32"/>
              <w:highlight w:val="none"/>
            </w:rPr>
            <w:t>八、一般公共预算财政拨款基本支出决算表</w:t>
          </w:r>
          <w:r>
            <w:tab/>
          </w:r>
          <w:r>
            <w:fldChar w:fldCharType="begin"/>
          </w:r>
          <w:r>
            <w:instrText xml:space="preserve"> PAGEREF _Toc15792 \h </w:instrText>
          </w:r>
          <w:r>
            <w:fldChar w:fldCharType="separate"/>
          </w:r>
          <w:r>
            <w:t>90</w:t>
          </w:r>
          <w:r>
            <w:fldChar w:fldCharType="end"/>
          </w:r>
          <w:r>
            <w:rPr>
              <w:rFonts w:hint="eastAsia"/>
            </w:rPr>
            <w:fldChar w:fldCharType="end"/>
          </w:r>
        </w:p>
        <w:p w14:paraId="4ED5DD3C">
          <w:pPr>
            <w:pStyle w:val="16"/>
            <w:tabs>
              <w:tab w:val="right" w:leader="dot" w:pos="8306"/>
              <w:tab w:val="clear" w:pos="8296"/>
            </w:tabs>
          </w:pPr>
          <w:r>
            <w:rPr>
              <w:rFonts w:hint="eastAsia"/>
            </w:rPr>
            <w:fldChar w:fldCharType="begin"/>
          </w:r>
          <w:r>
            <w:rPr>
              <w:rFonts w:hint="eastAsia"/>
            </w:rPr>
            <w:instrText xml:space="preserve"> HYPERLINK \l _Toc8854 </w:instrText>
          </w:r>
          <w:r>
            <w:rPr>
              <w:rFonts w:hint="eastAsia"/>
            </w:rPr>
            <w:fldChar w:fldCharType="separate"/>
          </w:r>
          <w:r>
            <w:rPr>
              <w:rFonts w:hint="eastAsia" w:ascii="Times New Roman" w:hAnsi="Times New Roman" w:eastAsia="仿宋_GB2312" w:cs="仿宋_GB2312"/>
              <w:szCs w:val="32"/>
              <w:highlight w:val="none"/>
            </w:rPr>
            <w:t>九、一般公共预算财政拨款项目支出决算表</w:t>
          </w:r>
          <w:r>
            <w:tab/>
          </w:r>
          <w:r>
            <w:fldChar w:fldCharType="begin"/>
          </w:r>
          <w:r>
            <w:instrText xml:space="preserve"> PAGEREF _Toc8854 \h </w:instrText>
          </w:r>
          <w:r>
            <w:fldChar w:fldCharType="separate"/>
          </w:r>
          <w:r>
            <w:t>90</w:t>
          </w:r>
          <w:r>
            <w:fldChar w:fldCharType="end"/>
          </w:r>
          <w:r>
            <w:rPr>
              <w:rFonts w:hint="eastAsia"/>
            </w:rPr>
            <w:fldChar w:fldCharType="end"/>
          </w:r>
        </w:p>
        <w:p w14:paraId="2B25BECD">
          <w:pPr>
            <w:pStyle w:val="16"/>
            <w:tabs>
              <w:tab w:val="right" w:leader="dot" w:pos="8306"/>
              <w:tab w:val="clear" w:pos="8296"/>
            </w:tabs>
          </w:pPr>
          <w:r>
            <w:rPr>
              <w:rFonts w:hint="eastAsia"/>
            </w:rPr>
            <w:fldChar w:fldCharType="begin"/>
          </w:r>
          <w:r>
            <w:rPr>
              <w:rFonts w:hint="eastAsia"/>
            </w:rPr>
            <w:instrText xml:space="preserve"> HYPERLINK \l _Toc641 </w:instrText>
          </w:r>
          <w:r>
            <w:rPr>
              <w:rFonts w:hint="eastAsia"/>
            </w:rPr>
            <w:fldChar w:fldCharType="separate"/>
          </w:r>
          <w:r>
            <w:rPr>
              <w:rFonts w:hint="eastAsia" w:ascii="Times New Roman" w:hAnsi="Times New Roman" w:eastAsia="仿宋_GB2312" w:cs="仿宋_GB2312"/>
              <w:szCs w:val="32"/>
              <w:highlight w:val="none"/>
            </w:rPr>
            <w:t>十、政府性基金预算财政拨款收入支出决算表</w:t>
          </w:r>
          <w:r>
            <w:tab/>
          </w:r>
          <w:r>
            <w:fldChar w:fldCharType="begin"/>
          </w:r>
          <w:r>
            <w:instrText xml:space="preserve"> PAGEREF _Toc641 \h </w:instrText>
          </w:r>
          <w:r>
            <w:fldChar w:fldCharType="separate"/>
          </w:r>
          <w:r>
            <w:t>90</w:t>
          </w:r>
          <w:r>
            <w:fldChar w:fldCharType="end"/>
          </w:r>
          <w:r>
            <w:rPr>
              <w:rFonts w:hint="eastAsia"/>
            </w:rPr>
            <w:fldChar w:fldCharType="end"/>
          </w:r>
        </w:p>
        <w:p w14:paraId="460BE6D9">
          <w:pPr>
            <w:pStyle w:val="16"/>
            <w:tabs>
              <w:tab w:val="right" w:leader="dot" w:pos="8306"/>
              <w:tab w:val="clear" w:pos="8296"/>
            </w:tabs>
          </w:pPr>
          <w:r>
            <w:rPr>
              <w:rFonts w:hint="eastAsia"/>
            </w:rPr>
            <w:fldChar w:fldCharType="begin"/>
          </w:r>
          <w:r>
            <w:rPr>
              <w:rFonts w:hint="eastAsia"/>
            </w:rPr>
            <w:instrText xml:space="preserve"> HYPERLINK \l _Toc26713 </w:instrText>
          </w:r>
          <w:r>
            <w:rPr>
              <w:rFonts w:hint="eastAsia"/>
            </w:rPr>
            <w:fldChar w:fldCharType="separate"/>
          </w:r>
          <w:r>
            <w:rPr>
              <w:rFonts w:hint="eastAsia" w:ascii="Times New Roman" w:hAnsi="Times New Roman" w:eastAsia="仿宋_GB2312" w:cs="仿宋_GB2312"/>
              <w:szCs w:val="32"/>
              <w:highlight w:val="none"/>
            </w:rPr>
            <w:t>十一、国有资本经营预算</w:t>
          </w:r>
          <w:r>
            <w:rPr>
              <w:rFonts w:hint="eastAsia" w:ascii="Times New Roman" w:hAnsi="Times New Roman" w:eastAsia="仿宋_GB2312" w:cs="仿宋_GB2312"/>
              <w:szCs w:val="32"/>
              <w:highlight w:val="none"/>
              <w:lang w:eastAsia="zh-CN"/>
            </w:rPr>
            <w:t>财政拨款收入</w:t>
          </w:r>
          <w:r>
            <w:rPr>
              <w:rFonts w:hint="eastAsia" w:ascii="Times New Roman" w:hAnsi="Times New Roman" w:eastAsia="仿宋_GB2312" w:cs="仿宋_GB2312"/>
              <w:szCs w:val="32"/>
              <w:highlight w:val="none"/>
            </w:rPr>
            <w:t>支出决算表</w:t>
          </w:r>
          <w:r>
            <w:tab/>
          </w:r>
          <w:r>
            <w:fldChar w:fldCharType="begin"/>
          </w:r>
          <w:r>
            <w:instrText xml:space="preserve"> PAGEREF _Toc26713 \h </w:instrText>
          </w:r>
          <w:r>
            <w:fldChar w:fldCharType="separate"/>
          </w:r>
          <w:r>
            <w:t>90</w:t>
          </w:r>
          <w:r>
            <w:fldChar w:fldCharType="end"/>
          </w:r>
          <w:r>
            <w:rPr>
              <w:rFonts w:hint="eastAsia"/>
            </w:rPr>
            <w:fldChar w:fldCharType="end"/>
          </w:r>
        </w:p>
        <w:p w14:paraId="5D28D1E4">
          <w:pPr>
            <w:pStyle w:val="16"/>
            <w:tabs>
              <w:tab w:val="right" w:leader="dot" w:pos="8306"/>
              <w:tab w:val="clear" w:pos="8296"/>
            </w:tabs>
          </w:pPr>
          <w:r>
            <w:rPr>
              <w:rFonts w:hint="eastAsia"/>
            </w:rPr>
            <w:fldChar w:fldCharType="begin"/>
          </w:r>
          <w:r>
            <w:rPr>
              <w:rFonts w:hint="eastAsia"/>
            </w:rPr>
            <w:instrText xml:space="preserve"> HYPERLINK \l _Toc20922 </w:instrText>
          </w:r>
          <w:r>
            <w:rPr>
              <w:rFonts w:hint="eastAsia"/>
            </w:rPr>
            <w:fldChar w:fldCharType="separate"/>
          </w:r>
          <w:r>
            <w:rPr>
              <w:rFonts w:hint="eastAsia" w:ascii="Times New Roman" w:hAnsi="Times New Roman" w:eastAsia="仿宋_GB2312" w:cs="仿宋_GB2312"/>
              <w:szCs w:val="32"/>
              <w:highlight w:val="none"/>
            </w:rPr>
            <w:t>十二、</w:t>
          </w:r>
          <w:r>
            <w:rPr>
              <w:rFonts w:hint="eastAsia" w:ascii="Times New Roman" w:hAnsi="Times New Roman" w:eastAsia="仿宋_GB2312" w:cs="仿宋_GB2312"/>
              <w:szCs w:val="32"/>
              <w:highlight w:val="none"/>
              <w:lang w:eastAsia="zh-CN"/>
            </w:rPr>
            <w:t>国有资本经营预算财政拨款支出决算表</w:t>
          </w:r>
          <w:r>
            <w:tab/>
          </w:r>
          <w:r>
            <w:fldChar w:fldCharType="begin"/>
          </w:r>
          <w:r>
            <w:instrText xml:space="preserve"> PAGEREF _Toc20922 \h </w:instrText>
          </w:r>
          <w:r>
            <w:fldChar w:fldCharType="separate"/>
          </w:r>
          <w:r>
            <w:t>90</w:t>
          </w:r>
          <w:r>
            <w:fldChar w:fldCharType="end"/>
          </w:r>
          <w:r>
            <w:rPr>
              <w:rFonts w:hint="eastAsia"/>
            </w:rPr>
            <w:fldChar w:fldCharType="end"/>
          </w:r>
        </w:p>
        <w:p w14:paraId="13B7068A">
          <w:pPr>
            <w:pStyle w:val="16"/>
            <w:tabs>
              <w:tab w:val="right" w:leader="dot" w:pos="8306"/>
              <w:tab w:val="clear" w:pos="8296"/>
            </w:tabs>
          </w:pPr>
          <w:r>
            <w:rPr>
              <w:rFonts w:hint="eastAsia"/>
            </w:rPr>
            <w:fldChar w:fldCharType="begin"/>
          </w:r>
          <w:r>
            <w:rPr>
              <w:rFonts w:hint="eastAsia"/>
            </w:rPr>
            <w:instrText xml:space="preserve"> HYPERLINK \l _Toc455 </w:instrText>
          </w:r>
          <w:r>
            <w:rPr>
              <w:rFonts w:hint="eastAsia"/>
            </w:rPr>
            <w:fldChar w:fldCharType="separate"/>
          </w:r>
          <w:r>
            <w:rPr>
              <w:rFonts w:hint="eastAsia" w:ascii="Times New Roman" w:hAnsi="Times New Roman" w:eastAsia="仿宋_GB2312" w:cs="仿宋_GB2312"/>
              <w:szCs w:val="32"/>
              <w:highlight w:val="none"/>
            </w:rPr>
            <w:t>十三、</w:t>
          </w:r>
          <w:r>
            <w:rPr>
              <w:rFonts w:hint="eastAsia" w:ascii="Times New Roman" w:hAnsi="Times New Roman" w:eastAsia="仿宋_GB2312" w:cs="仿宋_GB2312"/>
              <w:szCs w:val="32"/>
              <w:highlight w:val="none"/>
              <w:lang w:eastAsia="zh-CN"/>
            </w:rPr>
            <w:t>财政拨款“三公”经费支出决算表</w:t>
          </w:r>
          <w:r>
            <w:tab/>
          </w:r>
          <w:r>
            <w:fldChar w:fldCharType="begin"/>
          </w:r>
          <w:r>
            <w:instrText xml:space="preserve"> PAGEREF _Toc455 \h </w:instrText>
          </w:r>
          <w:r>
            <w:fldChar w:fldCharType="separate"/>
          </w:r>
          <w:r>
            <w:t>90</w:t>
          </w:r>
          <w:r>
            <w:fldChar w:fldCharType="end"/>
          </w:r>
          <w:r>
            <w:rPr>
              <w:rFonts w:hint="eastAsia"/>
            </w:rPr>
            <w:fldChar w:fldCharType="end"/>
          </w:r>
        </w:p>
        <w:p w14:paraId="3044313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rPr>
          </w:pPr>
          <w:r>
            <w:rPr>
              <w:rFonts w:hint="eastAsia"/>
            </w:rPr>
            <w:fldChar w:fldCharType="end"/>
          </w:r>
          <w:bookmarkStart w:id="12" w:name="_Toc15396599"/>
          <w:bookmarkStart w:id="13" w:name="_Toc15377196"/>
        </w:p>
        <w:p w14:paraId="598400E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宋体" w:cs="Times New Roman"/>
              <w:kern w:val="2"/>
              <w:sz w:val="21"/>
              <w:szCs w:val="24"/>
              <w:lang w:val="en-US" w:eastAsia="zh-CN" w:bidi="ar-SA"/>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5064EBBE">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pPr>
        </w:p>
      </w:sdtContent>
    </w:sdt>
    <w:p w14:paraId="7775FBA8">
      <w:pPr>
        <w:pStyle w:val="5"/>
        <w:jc w:val="center"/>
        <w:rPr>
          <w:rFonts w:ascii="Times New Roman" w:hAnsi="Times New Roman" w:eastAsia="黑体"/>
          <w:color w:val="auto"/>
          <w:sz w:val="32"/>
          <w:szCs w:val="32"/>
          <w:highlight w:val="none"/>
        </w:rPr>
      </w:pPr>
      <w:bookmarkStart w:id="14" w:name="_Toc26664"/>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3"/>
          <w:rFonts w:hint="eastAsia" w:ascii="Times New Roman" w:hAnsi="Times New Roman" w:eastAsia="方正小标宋简体" w:cs="方正小标宋简体"/>
          <w:b w:val="0"/>
          <w:bCs w:val="0"/>
          <w:color w:val="auto"/>
          <w:highlight w:val="none"/>
        </w:rPr>
        <w:t>部门概况</w:t>
      </w:r>
      <w:bookmarkEnd w:id="12"/>
      <w:bookmarkEnd w:id="13"/>
      <w:bookmarkEnd w:id="14"/>
    </w:p>
    <w:p w14:paraId="10B17375">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Times New Roman" w:hAnsi="Times New Roman" w:eastAsia="黑体"/>
          <w:b w:val="0"/>
          <w:color w:val="auto"/>
          <w:highlight w:val="none"/>
          <w:lang w:eastAsia="zh-CN"/>
        </w:rPr>
      </w:pPr>
      <w:bookmarkStart w:id="15" w:name="_Toc9365"/>
      <w:r>
        <w:rPr>
          <w:rFonts w:hint="eastAsia"/>
          <w:b w:val="0"/>
          <w:color w:val="auto"/>
          <w:highlight w:val="none"/>
          <w:lang w:eastAsia="zh-CN"/>
        </w:rPr>
        <w:t>一、</w:t>
      </w:r>
      <w:r>
        <w:rPr>
          <w:rFonts w:hint="eastAsia" w:ascii="Times New Roman" w:hAnsi="Times New Roman" w:eastAsia="黑体"/>
          <w:b w:val="0"/>
          <w:color w:val="auto"/>
          <w:highlight w:val="none"/>
          <w:lang w:eastAsia="zh-CN"/>
        </w:rPr>
        <w:t>部门</w:t>
      </w:r>
      <w:r>
        <w:rPr>
          <w:rStyle w:val="34"/>
          <w:rFonts w:hint="eastAsia" w:ascii="Times New Roman" w:hAnsi="Times New Roman" w:eastAsia="黑体"/>
          <w:b w:val="0"/>
          <w:color w:val="auto"/>
          <w:highlight w:val="none"/>
          <w:lang w:eastAsia="zh-CN"/>
        </w:rPr>
        <w:t>职责</w:t>
      </w:r>
      <w:bookmarkEnd w:id="15"/>
    </w:p>
    <w:p w14:paraId="5F07AAF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贯彻执行国家、省、市有关国民经济和社会发展、经济体制改革、粮食流通和物流储备管理的方针政策和法律法规。拟订并组织实施全区国民经济和社会发展战略、中长期规划和年度计划。牵头组织全区统一规划体系建设，负责区级专项规划、区域规划、空间规划与全区发展规划的统筹衔接。拟订并组织实施国民经济和社会发展、经济体制改革、粮食流通和物资储备管理措施。</w:t>
      </w:r>
    </w:p>
    <w:p w14:paraId="05D4F7D0">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统筹提出全区国民经济和社会发展主要目标，提出加快建设现代化经济体系、推动高质量发展的总体目标、重大任务及相关政策，监测预测预警宏观经济和社会发展态势趋势，研究宏观调控重大问题并提出政策建议，协调解决经济运行、总量平衡等重大问题。负责开发区的指导、协调和宏观管理。</w:t>
      </w:r>
    </w:p>
    <w:p w14:paraId="2F0FBFBB">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汇总分析全区财政、金融等方面情况，参与拟订财政、金融、土地政策、综合分析政策执行效果，负责全口径外债的总量控制、结构优化和监测工作，提出多渠道融资的建议，综合协调财政、金融、价格和产业政策等经济杠杆，保证全区国民经济和社会发展规划的实施。</w:t>
      </w:r>
    </w:p>
    <w:p w14:paraId="1C7F5E0B">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指导推进和综合协调全区经济体制改革有关工作，提出相关改革建议。牵头推进供给侧结构性改革。协调推进产权制度和要素市场化配置改革。推动完善基本经济制度和现代市场体系建设，会同相关部门组织实施市场准入负面清单制度，牵头推进优化营商环境工作。</w:t>
      </w:r>
    </w:p>
    <w:p w14:paraId="7B6EC805">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贯彻实施国家、省、市、区有关价格法律法规和方针政策，编制和执行价格调整改革规划，提出年度价格总水平调控目标及价格调控措施并组织实施，管理国家、省、市和区列名管理的除药品和医疗服务价格外的商品和服务价格，承担行政事业性收费管理工作，负责全区价格成本调查监审、价格监测、价格认定等工作。</w:t>
      </w:r>
    </w:p>
    <w:p w14:paraId="0A249FE1">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负责全区投资综合管理和协调推进重大项目建设，拟订全社会固定资产投资总规模、结构调控目标、政策及措施，拟订区级政府投资项目年度计划，安排区级预算内基本建设资金。提出全区重点项目年度投资计划，按规定权限审批除企业技术改造项目外的固定资产投资项目。引导民间投资方向，推动国家、省、市和区民间投资政策措施落实。提出利用外资和境外投资的战略、规划、总量平衡和结构优化政策。指导和协调国外贷款项目实施。指导工程咨询业发展。</w:t>
      </w:r>
    </w:p>
    <w:p w14:paraId="4952732E">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eastAsia="zh-CN"/>
        </w:rPr>
        <w:t>）组织拟订全区综合性产业政策。协调第一二三产业发展重大问题并统筹衔接相关发展规划和重大政策。拟订重大产业发展规划，引导全区重大生产力合理布局，协调推进重大基础设施建设发展，组织拟订并推动实施服务业及现代物流业战略、规划和重大政策。组织拟订并推动实施高技术产业和战略性新兴产业发展规划政策，协调产业升级、重大技术装备推广应用等方面的重大问题。</w:t>
      </w:r>
    </w:p>
    <w:p w14:paraId="1BA3431A">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推动落实区域协调发展战略、新型城镇化战略和重大政策，牵头推进实施“一带一路”建设。统筹推进“一核三片、四区协同”“双联双拓、全域开放”等区域发展和对外开放战略，组织拟订全区区域协调发展战略、规划和政策，负责区域合作的统筹协调工作。组织实施以工代赈等。</w:t>
      </w:r>
    </w:p>
    <w:p w14:paraId="53B41A07">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eastAsia="zh-CN"/>
        </w:rPr>
        <w:t>）跟踪研判涉及经济安全、生态安全、资源安全、科技安全、社会安全等各类风险隐患，提出相关工作建议。负责重要商品总量平衡和宏观调控，提出重要工业品、原材料和重要农产品进出口调控意见并协调落实。提出重要商品市场、生产要素市场的总体布局和发展规划。</w:t>
      </w:r>
    </w:p>
    <w:p w14:paraId="00C7BF30">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eastAsia="zh-CN"/>
        </w:rPr>
        <w:t>）承担全区粮食宏观调控、粮食预警监测和应急供应工作。组织实施全区重要物资和应急储备物资的收储、轮换和日常管理，落实有关动用计划和指令，管理全区粮食、棉花、食糖及重要消费品储备，负责全区军粮供应</w:t>
      </w:r>
      <w:r>
        <w:rPr>
          <w:rFonts w:hint="eastAsia" w:eastAsia="仿宋_GB2312" w:cs="仿宋_GB2312"/>
          <w:color w:val="auto"/>
          <w:sz w:val="32"/>
          <w:szCs w:val="32"/>
          <w:highlight w:val="none"/>
          <w:lang w:eastAsia="zh-CN"/>
        </w:rPr>
        <w:t>和提</w:t>
      </w:r>
      <w:r>
        <w:rPr>
          <w:rFonts w:hint="eastAsia" w:ascii="Times New Roman" w:hAnsi="Times New Roman" w:eastAsia="仿宋_GB2312" w:cs="仿宋_GB2312"/>
          <w:color w:val="auto"/>
          <w:sz w:val="32"/>
          <w:szCs w:val="32"/>
          <w:highlight w:val="none"/>
          <w:lang w:eastAsia="zh-CN"/>
        </w:rPr>
        <w:t>前运粮相关工作，承担粮食安全行政首长责任制考核具体工作。负责储备基础设施的建设和管理。负责对管理的政府储备、企业储备以及储备政策落实情况进行监督检查。负责粮食流通执法督查。负责粮食收购、储存、运输环节和政策性用粮质量安全和原粮卫生的监督管理，组织实施全区粮食库存检查工作。</w:t>
      </w:r>
    </w:p>
    <w:p w14:paraId="7AC11486">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lang w:eastAsia="zh-CN"/>
        </w:rPr>
        <w:t>）负责全区社会发展与国民经济发展的政策衔接，协调有关重大问题。组织拟订社会发展战略、总体规划，拟订人口发展战略、规划及人口政策，参与拟订科学技术、教育、文化、卫生健康、民政等发展政策，推进社会事业建设。统筹推进基本公共服务体系建设和收入分配制度改革，提出促进就业、完善社会保障与经济协调发展的政策建议。牵头开展社会信用体系建设。</w:t>
      </w:r>
    </w:p>
    <w:p w14:paraId="38E83763">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lang w:eastAsia="zh-CN"/>
        </w:rPr>
        <w:t>）推进实施可持续发展战略，推动生态文明建设和改革，协调生态环境保护与修复、能源资源节约和综合利用等工作。组织制定并协调实施全区发展循环经济、能源资源节约和综合利用规划及政策措施，参与编制生态建设、环境保护规划。提出健全生态保护补偿机制的政策措施，综合协调环保产业和清洁生产促进有关工作。</w:t>
      </w:r>
    </w:p>
    <w:p w14:paraId="77E7B414">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13</w:t>
      </w:r>
      <w:r>
        <w:rPr>
          <w:rFonts w:hint="eastAsia" w:ascii="Times New Roman" w:hAnsi="Times New Roman" w:eastAsia="仿宋_GB2312" w:cs="仿宋_GB2312"/>
          <w:color w:val="auto"/>
          <w:sz w:val="32"/>
          <w:szCs w:val="32"/>
          <w:highlight w:val="none"/>
          <w:lang w:eastAsia="zh-CN"/>
        </w:rPr>
        <w:t>）拟订全区能源发展战略、规划和政策，提出能源消费总量控制目标、任务并组织实施，协调能源发展和改革中的重大问题。统筹规划、综合平衡能源建设和重大项目布局，按权限实施对能源项目和计划的管理，监测能源发展情况，跟踪了解能源运行和安全状况，参与能源运行调节和应急保障。指导协调农村能源发展工作。</w:t>
      </w:r>
    </w:p>
    <w:p w14:paraId="3875BBAA">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lang w:eastAsia="zh-CN"/>
        </w:rPr>
        <w:t>）会同有关部门拟订推进经济建设与国防建设协调发展的战略和规划，协调有关重大问题。</w:t>
      </w:r>
    </w:p>
    <w:p w14:paraId="6D748887">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lang w:eastAsia="zh-CN"/>
        </w:rPr>
        <w:t>）指导、协调并综合管理全区招标投标工作，对国家、省、市、区重大建设项目的工程招标投标活动实施监督检查。</w:t>
      </w:r>
    </w:p>
    <w:p w14:paraId="38113780">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lang w:eastAsia="zh-CN"/>
        </w:rPr>
        <w:t>）承担区重点工程建设项目的组织协调工作和组织协调处理全区铁路项目建设过程中涉及的重大问题，协同做好全区铁路建设规划及年度计划编制，征地拆迁相关工作等行政职责。</w:t>
      </w:r>
    </w:p>
    <w:p w14:paraId="1454BF0E">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lang w:eastAsia="zh-CN"/>
        </w:rPr>
        <w:t>）负责职责范围内的安全生产和职业健康、生态环境保护、审批服务便民化、依法治理等工作。</w:t>
      </w:r>
    </w:p>
    <w:p w14:paraId="3CE4F0F8">
      <w:pPr>
        <w:ind w:firstLine="800" w:firstLineChars="250"/>
        <w:rPr>
          <w:rFonts w:hint="default"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18</w:t>
      </w:r>
      <w:r>
        <w:rPr>
          <w:rFonts w:hint="eastAsia" w:ascii="Times New Roman" w:hAnsi="Times New Roman" w:eastAsia="仿宋_GB2312" w:cs="仿宋_GB2312"/>
          <w:color w:val="auto"/>
          <w:sz w:val="32"/>
          <w:szCs w:val="32"/>
          <w:highlight w:val="none"/>
          <w:lang w:eastAsia="zh-CN"/>
        </w:rPr>
        <w:t>）完成区委和区政府交办的其他任务。</w:t>
      </w:r>
    </w:p>
    <w:p w14:paraId="6D503DB0">
      <w:pPr>
        <w:numPr>
          <w:ilvl w:val="0"/>
          <w:numId w:val="0"/>
        </w:numPr>
        <w:rPr>
          <w:rFonts w:hint="eastAsia"/>
          <w:lang w:eastAsia="zh-CN"/>
        </w:rPr>
      </w:pPr>
    </w:p>
    <w:p w14:paraId="1441EBBE">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34"/>
          <w:rFonts w:ascii="Times New Roman" w:hAnsi="Times New Roman"/>
          <w:b w:val="0"/>
          <w:bCs w:val="0"/>
          <w:color w:val="auto"/>
          <w:highlight w:val="none"/>
        </w:rPr>
      </w:pPr>
      <w:bookmarkStart w:id="16" w:name="_Toc15396601"/>
      <w:bookmarkStart w:id="17" w:name="_Toc30931"/>
      <w:bookmarkStart w:id="18" w:name="_Toc15377200"/>
      <w:r>
        <w:rPr>
          <w:rFonts w:hint="eastAsia" w:ascii="Times New Roman" w:hAnsi="Times New Roman" w:eastAsia="黑体"/>
          <w:b w:val="0"/>
          <w:color w:val="auto"/>
          <w:highlight w:val="none"/>
        </w:rPr>
        <w:t>二、机</w:t>
      </w:r>
      <w:r>
        <w:rPr>
          <w:rStyle w:val="34"/>
          <w:rFonts w:hint="eastAsia" w:ascii="Times New Roman" w:hAnsi="Times New Roman" w:eastAsia="黑体"/>
          <w:b w:val="0"/>
          <w:bCs w:val="0"/>
          <w:color w:val="auto"/>
          <w:highlight w:val="none"/>
        </w:rPr>
        <w:t>构</w:t>
      </w:r>
      <w:r>
        <w:rPr>
          <w:rStyle w:val="34"/>
          <w:rFonts w:hint="eastAsia" w:ascii="Times New Roman" w:hAnsi="Times New Roman" w:eastAsia="黑体"/>
          <w:b w:val="0"/>
          <w:color w:val="auto"/>
          <w:highlight w:val="none"/>
        </w:rPr>
        <w:t>设置</w:t>
      </w:r>
      <w:bookmarkEnd w:id="16"/>
      <w:bookmarkEnd w:id="17"/>
      <w:bookmarkEnd w:id="18"/>
    </w:p>
    <w:p w14:paraId="669BDD4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区发展改革局下属二级预算单位</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个，其中行政单位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个，参照公务员法管理的事业单位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个，其他事业单位</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个，</w:t>
      </w:r>
      <w:r>
        <w:rPr>
          <w:rFonts w:hint="eastAsia" w:eastAsia="仿宋_GB2312" w:cs="仿宋_GB2312"/>
          <w:color w:val="auto"/>
          <w:sz w:val="32"/>
          <w:szCs w:val="32"/>
          <w:highlight w:val="none"/>
          <w:lang w:eastAsia="zh-CN"/>
        </w:rPr>
        <w:t>区</w:t>
      </w:r>
      <w:r>
        <w:rPr>
          <w:rFonts w:hint="eastAsia" w:ascii="Times New Roman" w:hAnsi="Times New Roman" w:eastAsia="仿宋_GB2312" w:cs="仿宋_GB2312"/>
          <w:color w:val="auto"/>
          <w:sz w:val="32"/>
          <w:szCs w:val="32"/>
          <w:highlight w:val="none"/>
          <w:lang w:eastAsia="zh-CN"/>
        </w:rPr>
        <w:t>项目建设</w:t>
      </w:r>
      <w:r>
        <w:rPr>
          <w:rFonts w:hint="eastAsia" w:eastAsia="仿宋_GB2312" w:cs="仿宋_GB2312"/>
          <w:color w:val="auto"/>
          <w:sz w:val="32"/>
          <w:szCs w:val="32"/>
          <w:highlight w:val="none"/>
          <w:lang w:eastAsia="zh-CN"/>
        </w:rPr>
        <w:t>服务中心</w:t>
      </w:r>
      <w:r>
        <w:rPr>
          <w:rFonts w:hint="eastAsia" w:ascii="Times New Roman" w:hAnsi="Times New Roman" w:eastAsia="仿宋_GB2312" w:cs="仿宋_GB2312"/>
          <w:color w:val="auto"/>
          <w:sz w:val="32"/>
          <w:szCs w:val="32"/>
          <w:highlight w:val="none"/>
          <w:lang w:eastAsia="zh-CN"/>
        </w:rPr>
        <w:t>（正科级）、</w:t>
      </w:r>
      <w:r>
        <w:rPr>
          <w:rFonts w:hint="eastAsia" w:eastAsia="仿宋_GB2312" w:cs="仿宋_GB2312"/>
          <w:color w:val="auto"/>
          <w:sz w:val="32"/>
          <w:szCs w:val="32"/>
          <w:highlight w:val="none"/>
          <w:lang w:eastAsia="zh-CN"/>
        </w:rPr>
        <w:t>区</w:t>
      </w:r>
      <w:r>
        <w:rPr>
          <w:rFonts w:hint="eastAsia" w:ascii="Times New Roman" w:hAnsi="Times New Roman" w:eastAsia="仿宋_GB2312" w:cs="仿宋_GB2312"/>
          <w:color w:val="auto"/>
          <w:sz w:val="32"/>
          <w:szCs w:val="32"/>
          <w:highlight w:val="none"/>
          <w:lang w:eastAsia="zh-CN"/>
        </w:rPr>
        <w:t>重点工程和铁路建设</w:t>
      </w:r>
      <w:r>
        <w:rPr>
          <w:rFonts w:hint="eastAsia" w:eastAsia="仿宋_GB2312" w:cs="仿宋_GB2312"/>
          <w:color w:val="auto"/>
          <w:sz w:val="32"/>
          <w:szCs w:val="32"/>
          <w:highlight w:val="none"/>
          <w:lang w:eastAsia="zh-CN"/>
        </w:rPr>
        <w:t>服务</w:t>
      </w:r>
      <w:r>
        <w:rPr>
          <w:rFonts w:hint="eastAsia" w:ascii="Times New Roman" w:hAnsi="Times New Roman" w:eastAsia="仿宋_GB2312" w:cs="仿宋_GB2312"/>
          <w:color w:val="auto"/>
          <w:sz w:val="32"/>
          <w:szCs w:val="32"/>
          <w:highlight w:val="none"/>
          <w:lang w:eastAsia="zh-CN"/>
        </w:rPr>
        <w:t>中心（正科级）、</w:t>
      </w:r>
      <w:r>
        <w:rPr>
          <w:rFonts w:hint="eastAsia" w:eastAsia="仿宋_GB2312" w:cs="仿宋_GB2312"/>
          <w:color w:val="auto"/>
          <w:sz w:val="32"/>
          <w:szCs w:val="32"/>
          <w:highlight w:val="none"/>
          <w:lang w:eastAsia="zh-CN"/>
        </w:rPr>
        <w:t>区</w:t>
      </w:r>
      <w:r>
        <w:rPr>
          <w:rFonts w:hint="eastAsia" w:ascii="Times New Roman" w:hAnsi="Times New Roman" w:eastAsia="仿宋_GB2312" w:cs="仿宋_GB2312"/>
          <w:color w:val="auto"/>
          <w:sz w:val="32"/>
          <w:szCs w:val="32"/>
          <w:highlight w:val="none"/>
          <w:lang w:eastAsia="zh-CN"/>
        </w:rPr>
        <w:t>价格认定服务中心（股级）、</w:t>
      </w:r>
      <w:r>
        <w:rPr>
          <w:rFonts w:hint="eastAsia" w:eastAsia="仿宋_GB2312" w:cs="仿宋_GB2312"/>
          <w:color w:val="auto"/>
          <w:sz w:val="32"/>
          <w:szCs w:val="32"/>
          <w:highlight w:val="none"/>
          <w:lang w:eastAsia="zh-CN"/>
        </w:rPr>
        <w:t>区</w:t>
      </w:r>
      <w:r>
        <w:rPr>
          <w:rFonts w:hint="eastAsia" w:ascii="Times New Roman" w:hAnsi="Times New Roman" w:eastAsia="仿宋_GB2312" w:cs="仿宋_GB2312"/>
          <w:color w:val="auto"/>
          <w:sz w:val="32"/>
          <w:szCs w:val="32"/>
          <w:highlight w:val="none"/>
          <w:lang w:eastAsia="zh-CN"/>
        </w:rPr>
        <w:t>招标投标服务中心（股级）。</w:t>
      </w:r>
    </w:p>
    <w:p w14:paraId="2EED1AF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纳入区发展改革局2024年度部门决算编制范围的二级预算单位</w:t>
      </w:r>
      <w:r>
        <w:rPr>
          <w:rFonts w:hint="eastAsia" w:ascii="Times New Roman" w:hAnsi="Times New Roman" w:eastAsia="仿宋_GB2312" w:cs="仿宋_GB2312"/>
          <w:color w:val="auto"/>
          <w:sz w:val="32"/>
          <w:szCs w:val="32"/>
          <w:highlight w:val="none"/>
          <w:lang w:val="en-US" w:eastAsia="zh-CN"/>
        </w:rPr>
        <w:t>0个。</w:t>
      </w:r>
    </w:p>
    <w:p w14:paraId="502ACCCE">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5BD13CE">
      <w:pPr>
        <w:pStyle w:val="5"/>
        <w:jc w:val="center"/>
        <w:rPr>
          <w:rFonts w:ascii="Times New Roman" w:hAnsi="Times New Roman"/>
          <w:color w:val="auto"/>
          <w:highlight w:val="none"/>
        </w:rPr>
      </w:pPr>
      <w:bookmarkStart w:id="19" w:name="_Toc15396602"/>
      <w:bookmarkStart w:id="20" w:name="_Toc3834"/>
      <w:bookmarkStart w:id="2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bookmarkEnd w:id="21"/>
    </w:p>
    <w:p w14:paraId="5D11EF1C">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34"/>
          <w:rFonts w:hint="eastAsia" w:ascii="Times New Roman" w:hAnsi="Times New Roman" w:eastAsia="黑体"/>
          <w:b w:val="0"/>
          <w:color w:val="auto"/>
          <w:highlight w:val="none"/>
        </w:rPr>
      </w:pPr>
      <w:bookmarkStart w:id="22" w:name="_Toc17812"/>
      <w:bookmarkStart w:id="23" w:name="_Toc15377205"/>
      <w:bookmarkStart w:id="2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4"/>
          <w:rFonts w:hint="eastAsia" w:ascii="Times New Roman" w:hAnsi="Times New Roman" w:eastAsia="黑体"/>
          <w:b w:val="0"/>
          <w:color w:val="auto"/>
          <w:highlight w:val="none"/>
        </w:rPr>
        <w:t>入支出决算总体情况说明</w:t>
      </w:r>
      <w:bookmarkEnd w:id="22"/>
      <w:bookmarkEnd w:id="23"/>
      <w:bookmarkEnd w:id="24"/>
    </w:p>
    <w:p w14:paraId="732C86D7">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rPr>
        <w:t>36215.21万元。与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11620</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47.24</w:t>
      </w:r>
      <w:r>
        <w:rPr>
          <w:rFonts w:hint="eastAsia" w:ascii="Times New Roman" w:hAnsi="Times New Roman" w:eastAsia="仿宋_GB2312" w:cs="仿宋_GB2312"/>
          <w:color w:val="auto"/>
          <w:sz w:val="32"/>
          <w:szCs w:val="32"/>
          <w:highlight w:val="none"/>
        </w:rPr>
        <w:t>%。主要变动</w:t>
      </w:r>
      <w:r>
        <w:rPr>
          <w:rFonts w:hint="eastAsia" w:eastAsia="仿宋_GB2312" w:cs="仿宋_GB2312"/>
          <w:color w:val="auto"/>
          <w:sz w:val="32"/>
          <w:szCs w:val="32"/>
          <w:highlight w:val="none"/>
          <w:lang w:eastAsia="zh-CN"/>
        </w:rPr>
        <w:t>原因是增加了</w:t>
      </w:r>
      <w:r>
        <w:rPr>
          <w:rFonts w:hint="eastAsia" w:eastAsia="仿宋_GB2312" w:cs="仿宋_GB2312"/>
          <w:color w:val="auto"/>
          <w:sz w:val="32"/>
          <w:szCs w:val="32"/>
          <w:highlight w:val="none"/>
          <w:lang w:val="en-US" w:eastAsia="zh-CN"/>
        </w:rPr>
        <w:t>2024年新建绵遂内铁路绵阳至遂宁段项目。</w:t>
      </w:r>
    </w:p>
    <w:p w14:paraId="2E6ED8B6">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Times New Roman" w:hAnsi="Times New Roman" w:eastAsia="仿宋_GB2312" w:cs="仿宋_GB2312"/>
          <w:color w:val="auto"/>
          <w:sz w:val="32"/>
          <w:szCs w:val="32"/>
          <w:highlight w:val="none"/>
        </w:rPr>
      </w:pPr>
      <w:r>
        <w:rPr>
          <w:rFonts w:hint="default" w:eastAsia="仿宋_GB2312"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249555</wp:posOffset>
            </wp:positionH>
            <wp:positionV relativeFrom="paragraph">
              <wp:posOffset>162560</wp:posOffset>
            </wp:positionV>
            <wp:extent cx="4838700" cy="2755900"/>
            <wp:effectExtent l="0" t="0" r="0" b="0"/>
            <wp:wrapTopAndBottom/>
            <wp:docPr id="1" name="图片 1" descr="图1：收入、支出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收入、支出决算总计变动情况图"/>
                    <pic:cNvPicPr>
                      <a:picLocks noChangeAspect="1"/>
                    </pic:cNvPicPr>
                  </pic:nvPicPr>
                  <pic:blipFill>
                    <a:blip r:embed="rId10"/>
                    <a:stretch>
                      <a:fillRect/>
                    </a:stretch>
                  </pic:blipFill>
                  <pic:spPr>
                    <a:xfrm>
                      <a:off x="0" y="0"/>
                      <a:ext cx="4838700" cy="2755900"/>
                    </a:xfrm>
                    <a:prstGeom prst="rect">
                      <a:avLst/>
                    </a:prstGeom>
                  </pic:spPr>
                </pic:pic>
              </a:graphicData>
            </a:graphic>
          </wp:anchor>
        </w:drawing>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B5E9C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28921AF">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77206"/>
      <w:bookmarkStart w:id="26" w:name="_Toc24971"/>
      <w:bookmarkStart w:id="27" w:name="_Toc15396604"/>
      <w:r>
        <w:rPr>
          <w:rFonts w:hint="eastAsia" w:ascii="Times New Roman" w:hAnsi="Times New Roman" w:eastAsia="黑体"/>
          <w:color w:val="auto"/>
          <w:sz w:val="32"/>
          <w:szCs w:val="32"/>
          <w:highlight w:val="none"/>
          <w:lang w:eastAsia="zh-CN"/>
        </w:rPr>
        <w:t>二、收入决算情况说明</w:t>
      </w:r>
      <w:bookmarkEnd w:id="25"/>
      <w:bookmarkEnd w:id="26"/>
      <w:bookmarkEnd w:id="27"/>
    </w:p>
    <w:p w14:paraId="6AD19CBC">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36215.21</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4050.98</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11.19</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eastAsia="仿宋_GB2312" w:cs="仿宋_GB2312"/>
          <w:color w:val="auto"/>
          <w:sz w:val="32"/>
          <w:szCs w:val="32"/>
          <w:highlight w:val="none"/>
          <w:lang w:val="en-US" w:eastAsia="zh-CN"/>
        </w:rPr>
        <w:t>32164.23</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88.81</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14:paraId="137C3942">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838700" cy="2755900"/>
            <wp:effectExtent l="0" t="0" r="0" b="0"/>
            <wp:docPr id="2" name="图片 2" descr="图2：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收入决算结构图"/>
                    <pic:cNvPicPr>
                      <a:picLocks noChangeAspect="1"/>
                    </pic:cNvPicPr>
                  </pic:nvPicPr>
                  <pic:blipFill>
                    <a:blip r:embed="rId11"/>
                    <a:stretch>
                      <a:fillRect/>
                    </a:stretch>
                  </pic:blipFill>
                  <pic:spPr>
                    <a:xfrm>
                      <a:off x="0" y="0"/>
                      <a:ext cx="4838700" cy="2755900"/>
                    </a:xfrm>
                    <a:prstGeom prst="rect">
                      <a:avLst/>
                    </a:prstGeom>
                  </pic:spPr>
                </pic:pic>
              </a:graphicData>
            </a:graphic>
          </wp:inline>
        </w:drawing>
      </w:r>
    </w:p>
    <w:p w14:paraId="124A66C8">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7FD6D1A">
      <w:pPr>
        <w:ind w:firstLine="800" w:firstLineChars="250"/>
        <w:rPr>
          <w:rFonts w:hint="eastAsia" w:ascii="Times New Roman" w:hAnsi="Times New Roman" w:eastAsia="仿宋_GB2312" w:cs="仿宋_GB2312"/>
          <w:color w:val="auto"/>
          <w:sz w:val="32"/>
          <w:szCs w:val="32"/>
          <w:highlight w:val="none"/>
          <w:lang w:eastAsia="zh-CN"/>
        </w:rPr>
      </w:pPr>
    </w:p>
    <w:p w14:paraId="3180EF78">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34"/>
          <w:rFonts w:hint="eastAsia" w:ascii="Times New Roman" w:hAnsi="Times New Roman" w:eastAsia="黑体"/>
          <w:b w:val="0"/>
          <w:color w:val="auto"/>
          <w:highlight w:val="none"/>
        </w:rPr>
      </w:pPr>
      <w:bookmarkStart w:id="28" w:name="_Toc3459"/>
      <w:bookmarkStart w:id="29" w:name="_Toc15396605"/>
      <w:bookmarkStart w:id="30"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4"/>
          <w:rFonts w:hint="eastAsia" w:ascii="Times New Roman" w:hAnsi="Times New Roman" w:eastAsia="黑体"/>
          <w:b w:val="0"/>
          <w:color w:val="auto"/>
          <w:highlight w:val="none"/>
        </w:rPr>
        <w:t>出决算情况说明</w:t>
      </w:r>
      <w:bookmarkEnd w:id="28"/>
      <w:bookmarkEnd w:id="29"/>
      <w:bookmarkEnd w:id="30"/>
    </w:p>
    <w:p w14:paraId="0BA98F59">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center"/>
        <w:textAlignment w:val="auto"/>
        <w:outlineLvl w:val="9"/>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36215.21</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627.78</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1.73</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35587.43</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98.27</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14:paraId="5E0ED8A7">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838700" cy="2755900"/>
            <wp:effectExtent l="0" t="0" r="0" b="0"/>
            <wp:docPr id="3" name="图片 3" descr="图3：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支出决算结构图"/>
                    <pic:cNvPicPr>
                      <a:picLocks noChangeAspect="1"/>
                    </pic:cNvPicPr>
                  </pic:nvPicPr>
                  <pic:blipFill>
                    <a:blip r:embed="rId12"/>
                    <a:stretch>
                      <a:fillRect/>
                    </a:stretch>
                  </pic:blipFill>
                  <pic:spPr>
                    <a:xfrm>
                      <a:off x="0" y="0"/>
                      <a:ext cx="4838700" cy="2755900"/>
                    </a:xfrm>
                    <a:prstGeom prst="rect">
                      <a:avLst/>
                    </a:prstGeom>
                  </pic:spPr>
                </pic:pic>
              </a:graphicData>
            </a:graphic>
          </wp:inline>
        </w:drawing>
      </w:r>
    </w:p>
    <w:p w14:paraId="0708D6A7">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0C7AA9A">
      <w:pPr>
        <w:ind w:firstLine="800" w:firstLineChars="250"/>
        <w:rPr>
          <w:rFonts w:hint="eastAsia" w:ascii="Times New Roman" w:hAnsi="Times New Roman" w:eastAsia="仿宋_GB2312" w:cs="仿宋_GB2312"/>
          <w:color w:val="auto"/>
          <w:sz w:val="32"/>
          <w:szCs w:val="32"/>
          <w:highlight w:val="none"/>
          <w:lang w:eastAsia="zh-CN"/>
        </w:rPr>
      </w:pPr>
    </w:p>
    <w:p w14:paraId="7BD68DA6">
      <w:pPr>
        <w:pStyle w:val="3"/>
        <w:ind w:left="0" w:leftChars="0" w:firstLine="0" w:firstLineChars="0"/>
        <w:rPr>
          <w:rFonts w:hint="eastAsia"/>
          <w:lang w:eastAsia="zh-CN"/>
        </w:rPr>
      </w:pPr>
    </w:p>
    <w:p w14:paraId="4620617B">
      <w:pPr>
        <w:spacing w:line="600" w:lineRule="exact"/>
        <w:ind w:firstLine="640" w:firstLineChars="200"/>
        <w:outlineLvl w:val="1"/>
        <w:rPr>
          <w:rStyle w:val="34"/>
          <w:rFonts w:ascii="Times New Roman" w:hAnsi="Times New Roman" w:eastAsia="黑体"/>
          <w:b w:val="0"/>
          <w:color w:val="auto"/>
          <w:highlight w:val="none"/>
        </w:rPr>
      </w:pPr>
      <w:bookmarkStart w:id="31" w:name="_Toc3185"/>
      <w:bookmarkStart w:id="32" w:name="_Toc15396606"/>
      <w:bookmarkStart w:id="33" w:name="_Toc15377208"/>
      <w:r>
        <w:rPr>
          <w:rFonts w:hint="eastAsia" w:ascii="Times New Roman" w:hAnsi="Times New Roman" w:eastAsia="黑体"/>
          <w:color w:val="auto"/>
          <w:sz w:val="32"/>
          <w:szCs w:val="32"/>
          <w:highlight w:val="none"/>
        </w:rPr>
        <w:t>四、财</w:t>
      </w:r>
      <w:r>
        <w:rPr>
          <w:rStyle w:val="34"/>
          <w:rFonts w:hint="eastAsia" w:ascii="Times New Roman" w:hAnsi="Times New Roman" w:eastAsia="黑体"/>
          <w:b w:val="0"/>
          <w:color w:val="auto"/>
          <w:highlight w:val="none"/>
        </w:rPr>
        <w:t>政拨款收入支出决算总体情况说明</w:t>
      </w:r>
      <w:bookmarkEnd w:id="31"/>
      <w:bookmarkEnd w:id="32"/>
      <w:bookmarkEnd w:id="33"/>
    </w:p>
    <w:p w14:paraId="6AD32F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36215.21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万元。与2023年度相比，财政拨款收入、支出总计各增加</w:t>
      </w:r>
      <w:r>
        <w:rPr>
          <w:rFonts w:hint="eastAsia" w:eastAsia="仿宋_GB2312" w:cs="仿宋_GB2312"/>
          <w:color w:val="auto"/>
          <w:kern w:val="2"/>
          <w:sz w:val="32"/>
          <w:szCs w:val="32"/>
          <w:highlight w:val="none"/>
          <w:lang w:val="en-US" w:eastAsia="zh-CN" w:bidi="ar-SA"/>
        </w:rPr>
        <w:t>11620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47.24</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增加了</w:t>
      </w:r>
      <w:r>
        <w:rPr>
          <w:rFonts w:hint="eastAsia" w:ascii="Times New Roman" w:hAnsi="Times New Roman" w:eastAsia="仿宋_GB2312" w:cs="仿宋_GB2312"/>
          <w:color w:val="auto"/>
          <w:kern w:val="2"/>
          <w:sz w:val="32"/>
          <w:szCs w:val="32"/>
          <w:highlight w:val="none"/>
          <w:lang w:val="en-US" w:eastAsia="zh-CN" w:bidi="ar-SA"/>
        </w:rPr>
        <w:t>是</w:t>
      </w:r>
      <w:r>
        <w:rPr>
          <w:rFonts w:hint="eastAsia" w:eastAsia="仿宋_GB2312" w:cs="仿宋_GB2312"/>
          <w:color w:val="auto"/>
          <w:sz w:val="32"/>
          <w:szCs w:val="32"/>
          <w:highlight w:val="none"/>
          <w:lang w:val="en-US" w:eastAsia="zh-CN"/>
        </w:rPr>
        <w:t>2024年新建绵遂内铁路绵阳至遂宁段项目。</w:t>
      </w:r>
    </w:p>
    <w:p w14:paraId="7B3B886A">
      <w:pPr>
        <w:pStyle w:val="2"/>
        <w:jc w:val="center"/>
        <w:rPr>
          <w:rFonts w:hint="eastAsia"/>
          <w:lang w:val="en-US" w:eastAsia="zh-CN"/>
        </w:rPr>
      </w:pPr>
      <w:r>
        <w:rPr>
          <w:rFonts w:hint="eastAsia"/>
          <w:lang w:val="en-US" w:eastAsia="zh-CN"/>
        </w:rPr>
        <w:drawing>
          <wp:inline distT="0" distB="0" distL="114300" distR="114300">
            <wp:extent cx="4838700" cy="2755900"/>
            <wp:effectExtent l="0" t="0" r="0" b="0"/>
            <wp:docPr id="4" name="图片 4" descr="图4：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4：财政拨款收、支决算总计变动情况"/>
                    <pic:cNvPicPr>
                      <a:picLocks noChangeAspect="1"/>
                    </pic:cNvPicPr>
                  </pic:nvPicPr>
                  <pic:blipFill>
                    <a:blip r:embed="rId13"/>
                    <a:stretch>
                      <a:fillRect/>
                    </a:stretch>
                  </pic:blipFill>
                  <pic:spPr>
                    <a:xfrm>
                      <a:off x="0" y="0"/>
                      <a:ext cx="4838700" cy="2755900"/>
                    </a:xfrm>
                    <a:prstGeom prst="rect">
                      <a:avLst/>
                    </a:prstGeom>
                  </pic:spPr>
                </pic:pic>
              </a:graphicData>
            </a:graphic>
          </wp:inline>
        </w:drawing>
      </w:r>
    </w:p>
    <w:p w14:paraId="3B934269">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FAE7F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653177">
      <w:pPr>
        <w:spacing w:line="600" w:lineRule="exact"/>
        <w:ind w:firstLine="640" w:firstLineChars="200"/>
        <w:outlineLvl w:val="1"/>
        <w:rPr>
          <w:rStyle w:val="34"/>
          <w:rFonts w:ascii="Times New Roman" w:hAnsi="Times New Roman" w:eastAsia="黑体"/>
          <w:b w:val="0"/>
          <w:color w:val="auto"/>
          <w:highlight w:val="none"/>
        </w:rPr>
      </w:pPr>
      <w:bookmarkStart w:id="34" w:name="_Toc15396607"/>
      <w:bookmarkStart w:id="35" w:name="_Toc16339"/>
      <w:bookmarkStart w:id="36"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般公共预算财政拨款支出决算情况说明</w:t>
      </w:r>
      <w:bookmarkEnd w:id="34"/>
      <w:bookmarkEnd w:id="35"/>
      <w:bookmarkEnd w:id="36"/>
    </w:p>
    <w:p w14:paraId="6AB7EE5C">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3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7"/>
    </w:p>
    <w:p w14:paraId="609C3F8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4050.98</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11.19</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253.62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6.68</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是2024年以工代赈项目支出增加。</w:t>
      </w:r>
    </w:p>
    <w:p w14:paraId="7284C444">
      <w:pPr>
        <w:pStyle w:val="2"/>
        <w:jc w:val="center"/>
        <w:rPr>
          <w:rFonts w:hint="eastAsia"/>
          <w:lang w:val="en-US" w:eastAsia="zh-CN"/>
        </w:rPr>
      </w:pPr>
      <w:r>
        <w:rPr>
          <w:rFonts w:hint="eastAsia"/>
          <w:lang w:val="en-US" w:eastAsia="zh-CN"/>
        </w:rPr>
        <w:drawing>
          <wp:inline distT="0" distB="0" distL="114300" distR="114300">
            <wp:extent cx="4838700" cy="2755900"/>
            <wp:effectExtent l="0" t="0" r="0" b="0"/>
            <wp:docPr id="5" name="图片 5" descr="图5：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一般公共预算财政拨款支出决算变动情况"/>
                    <pic:cNvPicPr>
                      <a:picLocks noChangeAspect="1"/>
                    </pic:cNvPicPr>
                  </pic:nvPicPr>
                  <pic:blipFill>
                    <a:blip r:embed="rId14"/>
                    <a:stretch>
                      <a:fillRect/>
                    </a:stretch>
                  </pic:blipFill>
                  <pic:spPr>
                    <a:xfrm>
                      <a:off x="0" y="0"/>
                      <a:ext cx="4838700" cy="2755900"/>
                    </a:xfrm>
                    <a:prstGeom prst="rect">
                      <a:avLst/>
                    </a:prstGeom>
                  </pic:spPr>
                </pic:pic>
              </a:graphicData>
            </a:graphic>
          </wp:inline>
        </w:drawing>
      </w:r>
    </w:p>
    <w:p w14:paraId="1B71CD55">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3F258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4DA0E6">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3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8"/>
    </w:p>
    <w:p w14:paraId="3EA1896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4050.98</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737.03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18.19</w:t>
      </w:r>
      <w:r>
        <w:rPr>
          <w:rFonts w:hint="eastAsia" w:ascii="Times New Roman" w:hAnsi="Times New Roman" w:eastAsia="仿宋_GB2312" w:cs="仿宋_GB2312"/>
          <w:color w:val="auto"/>
          <w:kern w:val="2"/>
          <w:sz w:val="32"/>
          <w:szCs w:val="32"/>
          <w:highlight w:val="none"/>
          <w:lang w:val="en-US" w:eastAsia="zh-CN" w:bidi="ar-SA"/>
        </w:rPr>
        <w:t>%；社会保障和就业支出80.75万元，占</w:t>
      </w:r>
      <w:r>
        <w:rPr>
          <w:rFonts w:hint="eastAsia" w:eastAsia="仿宋_GB2312" w:cs="仿宋_GB2312"/>
          <w:color w:val="auto"/>
          <w:kern w:val="2"/>
          <w:sz w:val="32"/>
          <w:szCs w:val="32"/>
          <w:highlight w:val="none"/>
          <w:lang w:val="en-US" w:eastAsia="zh-CN" w:bidi="ar-SA"/>
        </w:rPr>
        <w:t>1.99</w:t>
      </w:r>
      <w:r>
        <w:rPr>
          <w:rFonts w:hint="eastAsia" w:ascii="Times New Roman" w:hAnsi="Times New Roman" w:eastAsia="仿宋_GB2312" w:cs="仿宋_GB2312"/>
          <w:color w:val="auto"/>
          <w:kern w:val="2"/>
          <w:sz w:val="32"/>
          <w:szCs w:val="32"/>
          <w:highlight w:val="none"/>
          <w:lang w:val="en-US" w:eastAsia="zh-CN" w:bidi="ar-SA"/>
        </w:rPr>
        <w:t>%；卫生健康支出34.07万元，占</w:t>
      </w:r>
      <w:r>
        <w:rPr>
          <w:rFonts w:hint="eastAsia" w:eastAsia="仿宋_GB2312" w:cs="仿宋_GB2312"/>
          <w:color w:val="auto"/>
          <w:kern w:val="2"/>
          <w:sz w:val="32"/>
          <w:szCs w:val="32"/>
          <w:highlight w:val="none"/>
          <w:lang w:val="en-US" w:eastAsia="zh-CN" w:bidi="ar-SA"/>
        </w:rPr>
        <w:t>0.84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42.63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1.05</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2862.13</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70.65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；粮油物资储备支出290.09万元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7.16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；灾害防治及应急管理支出4.28万元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D3B0197">
      <w:pPr>
        <w:pStyle w:val="2"/>
        <w:jc w:val="center"/>
        <w:rPr>
          <w:rFonts w:hint="eastAsia"/>
          <w:lang w:val="en-US" w:eastAsia="zh-CN"/>
        </w:rPr>
      </w:pPr>
      <w:r>
        <w:rPr>
          <w:rFonts w:hint="eastAsia"/>
          <w:lang w:val="en-US" w:eastAsia="zh-CN"/>
        </w:rPr>
        <w:drawing>
          <wp:inline distT="0" distB="0" distL="114300" distR="114300">
            <wp:extent cx="4838700" cy="2755900"/>
            <wp:effectExtent l="0" t="0" r="0" b="0"/>
            <wp:docPr id="6" name="图片 6" descr="图6：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一般公共预算财政拨款支出决算结构"/>
                    <pic:cNvPicPr>
                      <a:picLocks noChangeAspect="1"/>
                    </pic:cNvPicPr>
                  </pic:nvPicPr>
                  <pic:blipFill>
                    <a:blip r:embed="rId15"/>
                    <a:stretch>
                      <a:fillRect/>
                    </a:stretch>
                  </pic:blipFill>
                  <pic:spPr>
                    <a:xfrm>
                      <a:off x="0" y="0"/>
                      <a:ext cx="4838700" cy="2755900"/>
                    </a:xfrm>
                    <a:prstGeom prst="rect">
                      <a:avLst/>
                    </a:prstGeom>
                  </pic:spPr>
                </pic:pic>
              </a:graphicData>
            </a:graphic>
          </wp:inline>
        </w:drawing>
      </w:r>
    </w:p>
    <w:p w14:paraId="110DDCE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E5E55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0F805F">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3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9"/>
    </w:p>
    <w:p w14:paraId="0FE3FB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8460"/>
      <w:bookmarkStart w:id="41" w:name="_Toc15377213"/>
      <w:bookmarkStart w:id="42"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4050.98</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40"/>
      <w:bookmarkEnd w:id="41"/>
      <w:bookmarkEnd w:id="42"/>
    </w:p>
    <w:p w14:paraId="19B081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1.一般公共服务支出(201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发展与改革事务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行政运行</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：支出决算为270.52万元，完成预算100%。</w:t>
      </w:r>
    </w:p>
    <w:p w14:paraId="534463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发展与改革事务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战略规划与实施</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：支出决算为38.40万元，完成预算100%。</w:t>
      </w:r>
    </w:p>
    <w:p w14:paraId="6C88EA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发展与改革事务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物价管理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08</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：支出决算为6.84万元，完成预算100%。</w:t>
      </w:r>
    </w:p>
    <w:p w14:paraId="56C289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发展与改革事务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事业运行</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50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：支出决算为202.05万元，完成预算100%。</w:t>
      </w:r>
    </w:p>
    <w:p w14:paraId="591118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5.一般公共服务支出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发展与改革事务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其他发展与改革事务支出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：支出决算为218.23万元，完成预算100%。</w:t>
      </w:r>
    </w:p>
    <w:p w14:paraId="756748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6.一般公共服务支出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商贸事务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其他商贸事务支出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：支出决算为1.00万元，完成预算100%。</w:t>
      </w:r>
    </w:p>
    <w:p w14:paraId="544064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208</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行政单位离退休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：支出决算为16.84万元，完成预算100%。</w:t>
      </w:r>
    </w:p>
    <w:p w14:paraId="4EB76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208</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：支出决算为58.25万元，完成预算100%。</w:t>
      </w:r>
    </w:p>
    <w:p w14:paraId="0718C6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208</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其他行政事业单位养老支出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：支出决算为2.03万元，完成预算100%。</w:t>
      </w:r>
    </w:p>
    <w:p w14:paraId="58E136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208</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其他社会保障和就业支出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其他社会保障和就业支出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：支出决算为3.63万元，完成预算100%。</w:t>
      </w:r>
    </w:p>
    <w:p w14:paraId="564FAB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11.卫生健康支出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公共卫生</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其他公共卫生支出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：支出决算为2.23万元，完成预算100%。</w:t>
      </w:r>
    </w:p>
    <w:p w14:paraId="7B9CD6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12.卫生健康支出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行政单位医疗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：支出决算为12.43万元，完成预算100%。</w:t>
      </w:r>
    </w:p>
    <w:p w14:paraId="307139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事业单位医疗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：支出决算为12.19万元，完成预算100%。</w:t>
      </w:r>
    </w:p>
    <w:p w14:paraId="0ACEAC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公务员医疗补助</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：支出决算为7.22万元，完成预算100%。</w:t>
      </w:r>
    </w:p>
    <w:p w14:paraId="217ACE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15.农林水支出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213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巩固脱贫攻坚成果衔接乡村振兴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农村基础设施建设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：支出决算为1172.13万元，完成预算100%。</w:t>
      </w:r>
    </w:p>
    <w:p w14:paraId="59BC70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16.农林水支出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213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巩固脱贫攻坚成果衔接乡村振兴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其他巩固脱贫攻坚成果衔接乡村振兴支出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：支出决算为1690.00万元，完成预算100%。</w:t>
      </w:r>
    </w:p>
    <w:p w14:paraId="687B6E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17.住房保障支出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221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住房改革支出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：支出决算为42.63万元，完成预算100%。</w:t>
      </w:r>
    </w:p>
    <w:p w14:paraId="1C3A24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18.粮油物资储备支出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222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粮油物资事务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粮食风险基金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：支出决算为114.83万元，完成预算100%。</w:t>
      </w:r>
    </w:p>
    <w:p w14:paraId="2104E0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19.粮油物资储备支出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222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粮油物资事务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其他粮油物资事务支出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：支出决算为100.00万元，完成预算100%。</w:t>
      </w:r>
    </w:p>
    <w:p w14:paraId="1A5766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20.粮油物资储备支出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222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粮油储备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其他粮油储备支出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：支出决算为51.60万元，完成预算100%。</w:t>
      </w:r>
    </w:p>
    <w:p w14:paraId="1674A2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21.粮油物资储备支出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222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重要商品储备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应急物资储备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：支出决算为23.66万元，完成预算100%。</w:t>
      </w:r>
    </w:p>
    <w:p w14:paraId="5980C4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22.灾害防治及应急管理支出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224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应急管理事务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其他应急管理支出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：支出决算为4.28万元，完成预算100%。</w:t>
      </w:r>
    </w:p>
    <w:p w14:paraId="29209C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3" w:name="_Toc15396608"/>
      <w:bookmarkStart w:id="44" w:name="_Toc15377214"/>
      <w:bookmarkStart w:id="45" w:name="_Toc11031"/>
    </w:p>
    <w:p w14:paraId="0D7139A1">
      <w:pPr>
        <w:tabs>
          <w:tab w:val="right" w:pos="8306"/>
        </w:tabs>
        <w:spacing w:line="600" w:lineRule="exact"/>
        <w:ind w:firstLine="640" w:firstLineChars="0"/>
        <w:outlineLvl w:val="1"/>
        <w:rPr>
          <w:rStyle w:val="34"/>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般公共预算财政拨款基本支出决算情况说明</w:t>
      </w:r>
      <w:bookmarkEnd w:id="43"/>
      <w:bookmarkEnd w:id="44"/>
      <w:bookmarkEnd w:id="45"/>
      <w:r>
        <w:rPr>
          <w:rStyle w:val="34"/>
          <w:rFonts w:ascii="Times New Roman" w:hAnsi="Times New Roman" w:eastAsia="黑体"/>
          <w:b w:val="0"/>
          <w:color w:val="auto"/>
          <w:highlight w:val="none"/>
        </w:rPr>
        <w:tab/>
      </w:r>
    </w:p>
    <w:p w14:paraId="76E33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627.78</w:t>
      </w:r>
      <w:r>
        <w:rPr>
          <w:rFonts w:hint="eastAsia" w:ascii="Times New Roman" w:hAnsi="Times New Roman" w:eastAsia="仿宋_GB2312" w:cs="仿宋_GB2312"/>
          <w:color w:val="auto"/>
          <w:kern w:val="2"/>
          <w:sz w:val="32"/>
          <w:szCs w:val="32"/>
          <w:highlight w:val="none"/>
          <w:lang w:val="en-US" w:eastAsia="zh-CN" w:bidi="ar-SA"/>
        </w:rPr>
        <w:t>万元，其中：</w:t>
      </w:r>
    </w:p>
    <w:p w14:paraId="1F175A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556.52</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绩效工资、机关事业单位基本养老保险缴费、职工基本医疗保险缴费、公务员医疗补助缴费、其他社会保障缴费、住房公积金、其他工资福利支出、抚恤金、生活补助、其他对个人和家庭的补助等。</w:t>
      </w:r>
    </w:p>
    <w:p w14:paraId="3B772C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71.26</w:t>
      </w:r>
      <w:r>
        <w:rPr>
          <w:rFonts w:hint="eastAsia" w:ascii="Times New Roman" w:hAnsi="Times New Roman" w:eastAsia="仿宋_GB2312" w:cs="仿宋_GB2312"/>
          <w:color w:val="auto"/>
          <w:kern w:val="2"/>
          <w:sz w:val="32"/>
          <w:szCs w:val="32"/>
          <w:highlight w:val="none"/>
          <w:lang w:val="en-US" w:eastAsia="zh-CN" w:bidi="ar-SA"/>
        </w:rPr>
        <w:t>万元，主要包括：办公费、邮电费、差旅费、培训费、公务接待费、劳务费、工会经费、福利费、公务用车运行维护费、其他交通费用、其他商品和服务支出等。</w:t>
      </w:r>
    </w:p>
    <w:p w14:paraId="2CB602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B2475D">
      <w:pPr>
        <w:spacing w:line="600" w:lineRule="exact"/>
        <w:ind w:firstLine="640" w:firstLineChars="0"/>
        <w:outlineLvl w:val="1"/>
        <w:rPr>
          <w:rStyle w:val="34"/>
          <w:rFonts w:ascii="Times New Roman" w:hAnsi="Times New Roman" w:eastAsia="黑体"/>
          <w:b w:val="0"/>
          <w:color w:val="auto"/>
          <w:highlight w:val="none"/>
        </w:rPr>
      </w:pPr>
      <w:bookmarkStart w:id="46" w:name="_Toc15377215"/>
      <w:bookmarkStart w:id="47" w:name="_Toc22333"/>
      <w:bookmarkStart w:id="48" w:name="_Toc15396609"/>
      <w:r>
        <w:rPr>
          <w:rFonts w:hint="eastAsia" w:ascii="Times New Roman" w:hAnsi="Times New Roman" w:eastAsia="黑体"/>
          <w:color w:val="auto"/>
          <w:sz w:val="32"/>
          <w:szCs w:val="32"/>
          <w:highlight w:val="none"/>
        </w:rPr>
        <w:t>七、</w:t>
      </w:r>
      <w:r>
        <w:rPr>
          <w:rStyle w:val="34"/>
          <w:rFonts w:hint="eastAsia" w:ascii="Times New Roman" w:hAnsi="Times New Roman" w:eastAsia="黑体"/>
          <w:b w:val="0"/>
          <w:color w:val="auto"/>
          <w:highlight w:val="none"/>
        </w:rPr>
        <w:t>财政拨款</w:t>
      </w:r>
      <w:r>
        <w:rPr>
          <w:rStyle w:val="34"/>
          <w:rFonts w:hint="eastAsia" w:ascii="Times New Roman" w:hAnsi="Times New Roman" w:eastAsia="黑体"/>
          <w:color w:val="auto"/>
          <w:highlight w:val="none"/>
        </w:rPr>
        <w:t>“</w:t>
      </w:r>
      <w:r>
        <w:rPr>
          <w:rStyle w:val="34"/>
          <w:rFonts w:hint="eastAsia" w:ascii="Times New Roman" w:hAnsi="Times New Roman" w:eastAsia="黑体"/>
          <w:b w:val="0"/>
          <w:color w:val="auto"/>
          <w:highlight w:val="none"/>
        </w:rPr>
        <w:t>三公”经费支出决算情况说明</w:t>
      </w:r>
      <w:bookmarkEnd w:id="46"/>
      <w:bookmarkEnd w:id="47"/>
      <w:bookmarkEnd w:id="48"/>
    </w:p>
    <w:p w14:paraId="4828585C">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4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9"/>
    </w:p>
    <w:p w14:paraId="5A6890D3">
      <w:pPr>
        <w:spacing w:line="600" w:lineRule="exact"/>
        <w:ind w:firstLine="640"/>
        <w:rPr>
          <w:rFonts w:hint="default"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10.2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%，较上年减少</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下</w:t>
      </w:r>
      <w:r>
        <w:rPr>
          <w:rFonts w:hint="eastAsia" w:ascii="Times New Roman" w:hAnsi="Times New Roman" w:eastAsia="仿宋_GB2312" w:cs="仿宋_GB2312"/>
          <w:color w:val="auto"/>
          <w:kern w:val="2"/>
          <w:sz w:val="32"/>
          <w:szCs w:val="32"/>
          <w:highlight w:val="none"/>
          <w:lang w:val="en-US" w:eastAsia="zh-CN" w:bidi="ar-SA"/>
        </w:rPr>
        <w:t>降</w:t>
      </w:r>
      <w:r>
        <w:rPr>
          <w:rFonts w:hint="eastAsia" w:eastAsia="仿宋_GB2312" w:cs="仿宋_GB2312"/>
          <w:color w:val="auto"/>
          <w:kern w:val="2"/>
          <w:sz w:val="32"/>
          <w:szCs w:val="32"/>
          <w:highlight w:val="none"/>
          <w:lang w:val="en-US" w:eastAsia="zh-CN" w:bidi="ar-SA"/>
        </w:rPr>
        <w:t>23.99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决算数与预算数比较持平。</w:t>
      </w:r>
    </w:p>
    <w:p w14:paraId="7A353F39">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5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0"/>
    </w:p>
    <w:p w14:paraId="33B94C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6.42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62.94</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3.78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37.06</w:t>
      </w:r>
      <w:r>
        <w:rPr>
          <w:rFonts w:hint="eastAsia" w:ascii="Times New Roman" w:hAnsi="Times New Roman" w:eastAsia="仿宋_GB2312" w:cs="仿宋_GB2312"/>
          <w:color w:val="auto"/>
          <w:kern w:val="2"/>
          <w:sz w:val="32"/>
          <w:szCs w:val="32"/>
          <w:highlight w:val="none"/>
          <w:lang w:val="en-US" w:eastAsia="zh-CN" w:bidi="ar-SA"/>
        </w:rPr>
        <w:t>%。具体情况如下：</w:t>
      </w:r>
    </w:p>
    <w:p w14:paraId="778D9FEC">
      <w:pPr>
        <w:pStyle w:val="2"/>
        <w:rPr>
          <w:rFonts w:hint="eastAsia"/>
          <w:lang w:val="en-US" w:eastAsia="zh-CN"/>
        </w:rPr>
      </w:pPr>
    </w:p>
    <w:p w14:paraId="62D0362A">
      <w:pPr>
        <w:pStyle w:val="2"/>
        <w:jc w:val="center"/>
        <w:rPr>
          <w:rFonts w:hint="eastAsia"/>
          <w:lang w:val="en-US" w:eastAsia="zh-CN"/>
        </w:rPr>
      </w:pPr>
      <w:r>
        <w:rPr>
          <w:rFonts w:hint="eastAsia"/>
          <w:lang w:val="en-US" w:eastAsia="zh-CN"/>
        </w:rPr>
        <w:drawing>
          <wp:inline distT="0" distB="0" distL="114300" distR="114300">
            <wp:extent cx="4838700" cy="2755900"/>
            <wp:effectExtent l="0" t="0" r="0" b="0"/>
            <wp:docPr id="7" name="图片 7" descr="图7：“三公”经费财政拨款支出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7：“三公”经费财政拨款支出结构"/>
                    <pic:cNvPicPr>
                      <a:picLocks noChangeAspect="1"/>
                    </pic:cNvPicPr>
                  </pic:nvPicPr>
                  <pic:blipFill>
                    <a:blip r:embed="rId16"/>
                    <a:stretch>
                      <a:fillRect/>
                    </a:stretch>
                  </pic:blipFill>
                  <pic:spPr>
                    <a:xfrm>
                      <a:off x="0" y="0"/>
                      <a:ext cx="4838700" cy="2755900"/>
                    </a:xfrm>
                    <a:prstGeom prst="rect">
                      <a:avLst/>
                    </a:prstGeom>
                  </pic:spPr>
                </pic:pic>
              </a:graphicData>
            </a:graphic>
          </wp:inline>
        </w:drawing>
      </w:r>
    </w:p>
    <w:p w14:paraId="27CCF0E2">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4446F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w:t>
      </w:r>
      <w:r>
        <w:rPr>
          <w:rFonts w:hint="default" w:ascii="Times New Roman" w:hAnsi="Times New Roman" w:eastAsia="仿宋_GB2312" w:cs="Times New Roman"/>
          <w:b w:val="0"/>
          <w:bCs w:val="0"/>
          <w:i w:val="0"/>
          <w:iCs w:val="0"/>
          <w:color w:val="auto"/>
          <w:sz w:val="32"/>
          <w:szCs w:val="32"/>
          <w:highlight w:val="none"/>
        </w:rPr>
        <w:t>支出决算</w:t>
      </w:r>
      <w:r>
        <w:rPr>
          <w:rFonts w:hint="eastAsia" w:ascii="Times New Roman" w:hAnsi="Times New Roman" w:cs="Times New Roman"/>
          <w:b w:val="0"/>
          <w:bCs w:val="0"/>
          <w:i w:val="0"/>
          <w:iCs w:val="0"/>
          <w:color w:val="auto"/>
          <w:sz w:val="32"/>
          <w:szCs w:val="32"/>
          <w:highlight w:val="none"/>
          <w:lang w:eastAsia="zh-CN"/>
        </w:rPr>
        <w:t>与</w:t>
      </w:r>
      <w:r>
        <w:rPr>
          <w:rFonts w:hint="default" w:ascii="Times New Roman" w:hAnsi="Times New Roman" w:eastAsia="仿宋_GB2312" w:cs="Times New Roman"/>
          <w:b w:val="0"/>
          <w:bCs w:val="0"/>
          <w:i w:val="0"/>
          <w:iCs w:val="0"/>
          <w:color w:val="auto"/>
          <w:sz w:val="32"/>
          <w:szCs w:val="32"/>
          <w:highlight w:val="none"/>
          <w:lang w:eastAsia="zh-CN"/>
        </w:rPr>
        <w:t>202</w:t>
      </w:r>
      <w:r>
        <w:rPr>
          <w:rFonts w:hint="eastAsia" w:eastAsia="仿宋_GB2312"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rPr>
        <w:t>年</w:t>
      </w:r>
      <w:r>
        <w:rPr>
          <w:rFonts w:hint="eastAsia" w:eastAsia="仿宋_GB2312" w:cs="Times New Roman"/>
          <w:b w:val="0"/>
          <w:bCs w:val="0"/>
          <w:i w:val="0"/>
          <w:iCs w:val="0"/>
          <w:color w:val="auto"/>
          <w:sz w:val="32"/>
          <w:szCs w:val="32"/>
          <w:highlight w:val="none"/>
          <w:lang w:eastAsia="zh-CN"/>
        </w:rPr>
        <w:t>持平。</w:t>
      </w:r>
    </w:p>
    <w:p w14:paraId="6B4D685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6.42</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31.85</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是业务量减少，导致车辆运行费减少。</w:t>
      </w:r>
    </w:p>
    <w:p w14:paraId="1E5B04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3C4F2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6.42</w:t>
      </w:r>
      <w:r>
        <w:rPr>
          <w:rFonts w:hint="eastAsia" w:ascii="Times New Roman" w:hAnsi="Times New Roman" w:eastAsia="仿宋_GB2312" w:cs="仿宋_GB2312"/>
          <w:color w:val="auto"/>
          <w:kern w:val="2"/>
          <w:sz w:val="32"/>
          <w:szCs w:val="32"/>
          <w:highlight w:val="none"/>
          <w:lang w:val="en-US" w:eastAsia="zh-CN" w:bidi="ar-SA"/>
        </w:rPr>
        <w:t>万元。主要用于重点工程日常督查等所需的公务用车燃料费、维修费、过路过桥费、保险费等支出。</w:t>
      </w:r>
    </w:p>
    <w:p w14:paraId="2E3AD41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3.78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公务接待费支出决算比2023年度减少0.22万元，下降5.5%。其中：</w:t>
      </w:r>
    </w:p>
    <w:p w14:paraId="33D9B43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国内公务接待支出3.78万元，主要用于执行公务、开展业务活动开支的交通费、住宿费、用餐费等。国内公务接待45批次，447人次（不包括陪同人员），共计支出3.78万元，具体内容包括：迎接遂宁市 2024年一季度经济工作“开门红”专项督查工作方案2640元，国家发展改革委莅安开展“十五五”规划前期研究调研接待建议方案4800元，国家发展改革委综合司莅遂开展调研接待建议方案2780元，省长桥管道安全生产委员会调研用餐2040元，省粮食和物资储备局2024年夏粮收购调研工作方案1632元等。</w:t>
      </w:r>
    </w:p>
    <w:p w14:paraId="21999CD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外事接待支出0万元。外事接待0批次，0人次（不包括陪同人员），共计支出0万元。</w:t>
      </w:r>
      <w:bookmarkStart w:id="51" w:name="_Toc15377218"/>
      <w:bookmarkStart w:id="52" w:name="_Toc15396610"/>
    </w:p>
    <w:p w14:paraId="0E9C8727">
      <w:pPr>
        <w:spacing w:line="600" w:lineRule="exact"/>
        <w:ind w:firstLine="640" w:firstLineChars="0"/>
        <w:outlineLvl w:val="1"/>
        <w:rPr>
          <w:rStyle w:val="34"/>
          <w:rFonts w:ascii="Times New Roman" w:hAnsi="Times New Roman" w:eastAsia="黑体"/>
          <w:color w:val="auto"/>
          <w:highlight w:val="none"/>
        </w:rPr>
      </w:pPr>
      <w:bookmarkStart w:id="53" w:name="_Toc20068"/>
      <w:r>
        <w:rPr>
          <w:rFonts w:hint="eastAsia" w:ascii="Times New Roman" w:hAnsi="Times New Roman" w:eastAsia="黑体"/>
          <w:color w:val="auto"/>
          <w:sz w:val="32"/>
          <w:szCs w:val="32"/>
          <w:highlight w:val="none"/>
        </w:rPr>
        <w:t>八、</w:t>
      </w:r>
      <w:r>
        <w:rPr>
          <w:rStyle w:val="34"/>
          <w:rFonts w:hint="eastAsia" w:ascii="Times New Roman" w:hAnsi="Times New Roman" w:eastAsia="黑体"/>
          <w:b w:val="0"/>
          <w:color w:val="auto"/>
          <w:highlight w:val="none"/>
        </w:rPr>
        <w:t>政府性基金预算支出决算情况说明</w:t>
      </w:r>
      <w:bookmarkEnd w:id="51"/>
      <w:bookmarkEnd w:id="52"/>
      <w:bookmarkEnd w:id="53"/>
    </w:p>
    <w:p w14:paraId="7336D26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2024年度政府性基金预算财政拨款支出32164.23万元，占本年支出合计的88.81%。与2023年度相比，政府性基金预算财政拨款支出增加11366.38万元，增长54.65%。主要变动原因是增加了</w:t>
      </w:r>
      <w:r>
        <w:rPr>
          <w:rFonts w:hint="eastAsia" w:ascii="仿宋_GB2312" w:hAnsi="仿宋_GB2312" w:eastAsia="仿宋_GB2312" w:cs="仿宋_GB2312"/>
          <w:color w:val="auto"/>
          <w:sz w:val="32"/>
          <w:szCs w:val="32"/>
          <w:highlight w:val="none"/>
          <w:lang w:val="en-US" w:eastAsia="zh-CN"/>
        </w:rPr>
        <w:t>2024年新建绵遂内铁路绵阳至遂宁段</w:t>
      </w:r>
      <w:r>
        <w:rPr>
          <w:rFonts w:hint="eastAsia" w:ascii="仿宋_GB2312" w:hAnsi="仿宋_GB2312" w:eastAsia="仿宋_GB2312" w:cs="仿宋_GB2312"/>
          <w:color w:val="auto"/>
          <w:kern w:val="2"/>
          <w:sz w:val="32"/>
          <w:szCs w:val="32"/>
          <w:highlight w:val="none"/>
          <w:lang w:val="en-US" w:eastAsia="zh-CN" w:bidi="ar-SA"/>
        </w:rPr>
        <w:t>项目投入</w:t>
      </w:r>
      <w:r>
        <w:rPr>
          <w:rFonts w:hint="eastAsia" w:ascii="仿宋_GB2312" w:hAnsi="仿宋_GB2312" w:eastAsia="仿宋_GB2312" w:cs="仿宋_GB2312"/>
          <w:color w:val="auto"/>
          <w:sz w:val="32"/>
          <w:szCs w:val="32"/>
          <w:highlight w:val="none"/>
          <w:lang w:val="en-US" w:eastAsia="zh-CN"/>
        </w:rPr>
        <w:t>。</w:t>
      </w:r>
    </w:p>
    <w:p w14:paraId="56E63276">
      <w:pPr>
        <w:numPr>
          <w:ilvl w:val="0"/>
          <w:numId w:val="0"/>
        </w:numPr>
        <w:spacing w:line="600" w:lineRule="exact"/>
        <w:ind w:left="630" w:leftChars="0" w:firstLine="0" w:firstLineChars="0"/>
        <w:outlineLvl w:val="1"/>
        <w:rPr>
          <w:rStyle w:val="34"/>
          <w:rFonts w:ascii="Times New Roman" w:hAnsi="Times New Roman" w:eastAsia="黑体"/>
          <w:b w:val="0"/>
          <w:color w:val="auto"/>
          <w:highlight w:val="none"/>
        </w:rPr>
      </w:pPr>
      <w:bookmarkStart w:id="54" w:name="_Toc15377219"/>
      <w:bookmarkStart w:id="55" w:name="_Toc15396611"/>
      <w:bookmarkStart w:id="56" w:name="_Toc26071"/>
      <w:r>
        <w:rPr>
          <w:rStyle w:val="34"/>
          <w:rFonts w:hint="eastAsia" w:ascii="Times New Roman" w:hAnsi="Times New Roman" w:eastAsia="黑体"/>
          <w:b w:val="0"/>
          <w:color w:val="auto"/>
          <w:highlight w:val="none"/>
          <w:lang w:eastAsia="zh-CN"/>
        </w:rPr>
        <w:t>九、</w:t>
      </w:r>
      <w:r>
        <w:rPr>
          <w:rStyle w:val="34"/>
          <w:rFonts w:hint="eastAsia" w:ascii="Times New Roman" w:hAnsi="Times New Roman" w:eastAsia="黑体"/>
          <w:b w:val="0"/>
          <w:color w:val="auto"/>
          <w:highlight w:val="none"/>
        </w:rPr>
        <w:t>国有资本经营预算支出决算情况说明</w:t>
      </w:r>
      <w:bookmarkEnd w:id="54"/>
      <w:bookmarkEnd w:id="55"/>
      <w:bookmarkEnd w:id="56"/>
    </w:p>
    <w:p w14:paraId="5E803C22">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，与2023年持平。</w:t>
      </w:r>
    </w:p>
    <w:p w14:paraId="6A732C1F">
      <w:pPr>
        <w:numPr>
          <w:ilvl w:val="0"/>
          <w:numId w:val="0"/>
        </w:numPr>
        <w:spacing w:line="600" w:lineRule="exact"/>
        <w:ind w:left="630" w:leftChars="0" w:firstLine="0" w:firstLineChars="0"/>
        <w:outlineLvl w:val="1"/>
        <w:rPr>
          <w:rStyle w:val="34"/>
          <w:rFonts w:hint="eastAsia" w:ascii="Times New Roman" w:hAnsi="Times New Roman" w:eastAsia="黑体"/>
          <w:b w:val="0"/>
          <w:color w:val="auto"/>
          <w:highlight w:val="none"/>
        </w:rPr>
      </w:pPr>
      <w:bookmarkStart w:id="57" w:name="_Toc15377221"/>
      <w:bookmarkStart w:id="58" w:name="_Toc6583"/>
      <w:bookmarkStart w:id="59" w:name="_Toc15396612"/>
      <w:r>
        <w:rPr>
          <w:rStyle w:val="34"/>
          <w:rFonts w:hint="eastAsia" w:ascii="Times New Roman" w:hAnsi="Times New Roman" w:eastAsia="黑体"/>
          <w:b w:val="0"/>
          <w:color w:val="auto"/>
          <w:highlight w:val="none"/>
          <w:lang w:eastAsia="zh-CN"/>
        </w:rPr>
        <w:t>十、</w:t>
      </w:r>
      <w:r>
        <w:rPr>
          <w:rStyle w:val="34"/>
          <w:rFonts w:hint="eastAsia" w:ascii="Times New Roman" w:hAnsi="Times New Roman" w:eastAsia="黑体"/>
          <w:b w:val="0"/>
          <w:color w:val="auto"/>
          <w:highlight w:val="none"/>
        </w:rPr>
        <w:t>其他重要事项的情况说明</w:t>
      </w:r>
      <w:bookmarkEnd w:id="57"/>
      <w:bookmarkEnd w:id="58"/>
      <w:bookmarkEnd w:id="59"/>
    </w:p>
    <w:p w14:paraId="3D3A560D">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0" w:name="_Toc15377222"/>
      <w:r>
        <w:rPr>
          <w:rFonts w:hint="eastAsia" w:ascii="Times New Roman" w:hAnsi="Times New Roman" w:eastAsia="楷体_GB2312" w:cs="楷体_GB2312"/>
          <w:b/>
          <w:color w:val="auto"/>
          <w:sz w:val="32"/>
          <w:szCs w:val="32"/>
          <w:highlight w:val="none"/>
        </w:rPr>
        <w:t>（一）机关运行经费支出情况</w:t>
      </w:r>
      <w:bookmarkEnd w:id="60"/>
    </w:p>
    <w:p w14:paraId="4403B3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2024年度，区发展和改革局机关运行经费支出</w:t>
      </w:r>
      <w:r>
        <w:rPr>
          <w:rFonts w:hint="eastAsia" w:eastAsia="仿宋_GB2312" w:cs="仿宋_GB2312"/>
          <w:color w:val="auto"/>
          <w:kern w:val="2"/>
          <w:sz w:val="32"/>
          <w:szCs w:val="32"/>
          <w:highlight w:val="none"/>
          <w:lang w:val="en-US" w:eastAsia="zh-CN" w:bidi="ar-SA"/>
        </w:rPr>
        <w:t>71.26</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9.81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2024年本单位人数较2023年少，运行经费减少。</w:t>
      </w:r>
    </w:p>
    <w:p w14:paraId="7CDCC504">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1" w:name="_Toc15377223"/>
      <w:r>
        <w:rPr>
          <w:rFonts w:hint="eastAsia" w:ascii="Times New Roman" w:hAnsi="Times New Roman" w:eastAsia="楷体_GB2312" w:cs="楷体_GB2312"/>
          <w:b/>
          <w:color w:val="auto"/>
          <w:sz w:val="32"/>
          <w:szCs w:val="32"/>
          <w:highlight w:val="none"/>
        </w:rPr>
        <w:t>（二）政府采购支出情况</w:t>
      </w:r>
      <w:bookmarkEnd w:id="61"/>
    </w:p>
    <w:p w14:paraId="449D0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2024年度，区发展和改革局政府采购支出总额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万元。授予中小企业合同金额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51E0603">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2" w:name="_Toc15377224"/>
      <w:r>
        <w:rPr>
          <w:rFonts w:hint="eastAsia" w:ascii="Times New Roman" w:hAnsi="Times New Roman" w:eastAsia="楷体_GB2312" w:cs="楷体_GB2312"/>
          <w:b/>
          <w:color w:val="auto"/>
          <w:sz w:val="32"/>
          <w:szCs w:val="32"/>
          <w:highlight w:val="none"/>
        </w:rPr>
        <w:t>（三）国有资产占有使用情况</w:t>
      </w:r>
      <w:bookmarkEnd w:id="62"/>
    </w:p>
    <w:p w14:paraId="4D90D4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年12月31日，区发展和改革局共有车辆</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辆，其他用车主要是用于救灾物资储备库搬运物资及重点工程日常督查工作。单价100万元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647620D2">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A9C71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区发展和改革局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区级粮油储备规模经费”“产油大县项目资金”“重大项目开工仪式相关经费”“以工代赈项目资金”“易地扶贫搬迁项目资金”“2023年第一批项目前期工作经费”“遂财农【2023】103号-2024年中央、省委财政衔接推进乡村振兴补助资金”“区级储备粮轮换经费”“项目争取前期工作经费”“新建绵遂内铁路绵阳至遂宁段”</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825D6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区发展和改革局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中央、省委</w:t>
      </w:r>
      <w:r>
        <w:rPr>
          <w:rFonts w:hint="eastAsia" w:ascii="Times New Roman" w:hAnsi="Times New Roman" w:eastAsia="仿宋_GB2312" w:cs="仿宋_GB2312"/>
          <w:color w:val="auto"/>
          <w:kern w:val="2"/>
          <w:sz w:val="32"/>
          <w:szCs w:val="32"/>
          <w:highlight w:val="none"/>
          <w:lang w:val="en-US" w:eastAsia="zh-CN" w:bidi="ar-SA"/>
        </w:rPr>
        <w:t>财政衔接推进乡村振兴补助资金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“区级储备粮轮换经费”“项目争取前期工作经费”“新建绵遂内铁路绵阳至遂宁段”“以工代赈项目资金”“易地扶贫搬迁项目资金”等专项预算项目绩效自评报告，其中，</w:t>
      </w:r>
    </w:p>
    <w:p w14:paraId="16D0D8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物价定价工作</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针对重要商品实施应急价格调查，以防止价格出现异常波动，并密切监控放开价格后的市场走势，进行深入研判。召开自来水价格听证会，并通过报纸发布公告。对四川遂宁万源天然气有限公司的天然气输配成本进行监督审计；</w:t>
      </w:r>
    </w:p>
    <w:p w14:paraId="7672CF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涉案财物价格认定经费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分，绩效自评综述：完成了本区纪检监察、司法、行政工作所涉及的纪律、案件、税务等方面的财物价格评估工作，成功调解并处理了价格纠纷，同时对存在争议的物业收费调价幅度开展了专业评审；</w:t>
      </w:r>
    </w:p>
    <w:p w14:paraId="1425D5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区级应急救灾物资采购专项资金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 w:hAnsi="仿宋" w:eastAsia="仿宋" w:cs="仿宋"/>
          <w:sz w:val="32"/>
          <w:szCs w:val="32"/>
          <w:highlight w:val="none"/>
          <w:lang w:val="en-US" w:eastAsia="zh-CN"/>
        </w:rPr>
        <w:t>为有效应对遂宁市“3.30”疫情防控工作的需求，进一步加强了核酸检测和返安人员的管控措施。此举导致帐篷、行军床等关键物资出现紧缺状况。为此，我们积极采购相应物资，以确保物资保障工作的顺利进行，2024年，相关尾款将如期拨付</w:t>
      </w:r>
      <w:r>
        <w:rPr>
          <w:rFonts w:hint="eastAsia" w:ascii="Times New Roman" w:hAnsi="Times New Roman" w:eastAsia="仿宋_GB2312" w:cs="仿宋_GB2312"/>
          <w:color w:val="auto"/>
          <w:kern w:val="2"/>
          <w:sz w:val="32"/>
          <w:szCs w:val="32"/>
          <w:highlight w:val="none"/>
          <w:lang w:val="en-US" w:eastAsia="zh-CN" w:bidi="ar-SA"/>
        </w:rPr>
        <w:t>；</w:t>
      </w:r>
    </w:p>
    <w:p w14:paraId="45CAE8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区级粮油储备规模经费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负责1500吨稻谷、1000吨小麦、500吨大米以及60吨小包装菜油的区级储备和日常管理，确保运作顺畅。同时，将地方储备粮规模提升至2000吨，对储备费用及利息补贴进行精确计算和支付</w:t>
      </w:r>
      <w:r>
        <w:rPr>
          <w:rFonts w:hint="eastAsia" w:ascii="Times New Roman" w:hAnsi="Times New Roman" w:eastAsia="仿宋_GB2312" w:cs="仿宋_GB2312"/>
          <w:color w:val="auto"/>
          <w:kern w:val="2"/>
          <w:sz w:val="32"/>
          <w:szCs w:val="32"/>
          <w:highlight w:val="none"/>
          <w:lang w:val="en-US" w:eastAsia="zh-CN" w:bidi="ar-SA"/>
        </w:rPr>
        <w:t>；</w:t>
      </w:r>
    </w:p>
    <w:p w14:paraId="5688ABC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“救灾物资储备库管理与维护经费”</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default" w:eastAsia="仿宋_GB2312" w:cs="仿宋_GB2312"/>
          <w:color w:val="auto"/>
          <w:kern w:val="2"/>
          <w:sz w:val="32"/>
          <w:szCs w:val="32"/>
          <w:highlight w:val="none"/>
          <w:lang w:eastAsia="zh-CN" w:bidi="ar-SA"/>
        </w:rPr>
        <w:t>94.28</w:t>
      </w:r>
      <w:r>
        <w:rPr>
          <w:rFonts w:hint="eastAsia" w:ascii="Times New Roman" w:hAnsi="Times New Roman" w:eastAsia="仿宋_GB2312" w:cs="仿宋_GB2312"/>
          <w:color w:val="auto"/>
          <w:kern w:val="2"/>
          <w:sz w:val="32"/>
          <w:szCs w:val="32"/>
          <w:highlight w:val="none"/>
          <w:lang w:val="en-US" w:eastAsia="zh-CN" w:bidi="ar-SA"/>
        </w:rPr>
        <w:t>分，绩效自评综述确保救灾物资储备仓库在日常运营期间的消防安全、监控网络安全设备、供水供电的稳定性；管理勤务和安保工程项目的相关费用支出；同时，确保救灾物资的接收、搬运、运输和管理工作的顺利进行</w:t>
      </w:r>
      <w:r>
        <w:rPr>
          <w:rFonts w:hint="eastAsia" w:eastAsia="仿宋_GB2312" w:cs="仿宋_GB2312"/>
          <w:color w:val="auto"/>
          <w:kern w:val="2"/>
          <w:sz w:val="32"/>
          <w:szCs w:val="32"/>
          <w:highlight w:val="none"/>
          <w:lang w:val="en-US" w:eastAsia="zh-CN" w:bidi="ar-SA"/>
        </w:rPr>
        <w:t>；</w:t>
      </w:r>
    </w:p>
    <w:p w14:paraId="4717EDB7">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“产油大县项目资金”</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default" w:eastAsia="仿宋_GB2312" w:cs="仿宋_GB2312"/>
          <w:color w:val="auto"/>
          <w:kern w:val="2"/>
          <w:sz w:val="32"/>
          <w:szCs w:val="32"/>
          <w:highlight w:val="none"/>
          <w:lang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分，绩效自评综述新建一个产后服务中心，主要功能包括建设烘干简易罩棚，便于粮食的周转和晾晒，同时购置2辆粮食转运车，以提升粮食产后服务的能力</w:t>
      </w:r>
      <w:r>
        <w:rPr>
          <w:rFonts w:hint="default" w:eastAsia="仿宋_GB2312" w:cs="仿宋_GB2312"/>
          <w:color w:val="auto"/>
          <w:kern w:val="2"/>
          <w:sz w:val="32"/>
          <w:szCs w:val="32"/>
          <w:highlight w:val="none"/>
          <w:lang w:eastAsia="zh-CN" w:bidi="ar-SA"/>
        </w:rPr>
        <w:t>；</w:t>
      </w:r>
    </w:p>
    <w:p w14:paraId="189E0D30">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“粮食应急供应体系建设项目”</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9</w:t>
      </w:r>
      <w:r>
        <w:rPr>
          <w:rFonts w:hint="default" w:eastAsia="仿宋_GB2312" w:cs="仿宋_GB2312"/>
          <w:color w:val="auto"/>
          <w:kern w:val="2"/>
          <w:sz w:val="32"/>
          <w:szCs w:val="32"/>
          <w:highlight w:val="none"/>
          <w:lang w:eastAsia="zh-CN" w:bidi="ar-SA"/>
        </w:rPr>
        <w:t>4</w:t>
      </w:r>
      <w:r>
        <w:rPr>
          <w:rFonts w:hint="eastAsia" w:ascii="Times New Roman" w:hAnsi="Times New Roman" w:eastAsia="仿宋_GB2312" w:cs="仿宋_GB2312"/>
          <w:color w:val="auto"/>
          <w:kern w:val="2"/>
          <w:sz w:val="32"/>
          <w:szCs w:val="32"/>
          <w:highlight w:val="none"/>
          <w:lang w:val="en-US" w:eastAsia="zh-CN" w:bidi="ar-SA"/>
        </w:rPr>
        <w:t>分，绩效自评综述开展遂宁市安居区2024年世界粮食日和全国粮食安全宣传周活动</w:t>
      </w:r>
      <w:r>
        <w:rPr>
          <w:rFonts w:hint="default" w:eastAsia="仿宋_GB2312" w:cs="仿宋_GB2312"/>
          <w:color w:val="auto"/>
          <w:kern w:val="2"/>
          <w:sz w:val="32"/>
          <w:szCs w:val="32"/>
          <w:highlight w:val="none"/>
          <w:lang w:eastAsia="zh-CN" w:bidi="ar-SA"/>
        </w:rPr>
        <w:t>；</w:t>
      </w:r>
      <w:bookmarkStart w:id="100" w:name="_GoBack"/>
      <w:bookmarkEnd w:id="100"/>
      <w:r>
        <w:rPr>
          <w:rFonts w:hint="eastAsia" w:eastAsia="仿宋_GB2312" w:cs="仿宋_GB2312"/>
          <w:color w:val="auto"/>
          <w:kern w:val="2"/>
          <w:sz w:val="32"/>
          <w:szCs w:val="32"/>
          <w:highlight w:val="none"/>
          <w:lang w:val="en-US" w:eastAsia="zh-CN" w:bidi="ar-SA"/>
        </w:rPr>
        <w:t>“十四五”规划编制费用</w:t>
      </w:r>
      <w:r>
        <w:rPr>
          <w:rFonts w:hint="default" w:eastAsia="仿宋_GB2312" w:cs="仿宋_GB2312"/>
          <w:color w:val="auto"/>
          <w:kern w:val="2"/>
          <w:sz w:val="32"/>
          <w:szCs w:val="32"/>
          <w:highlight w:val="none"/>
          <w:lang w:eastAsia="zh-CN" w:bidi="ar-SA"/>
        </w:rPr>
        <w:t>”</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default" w:eastAsia="仿宋_GB2312" w:cs="仿宋_GB2312"/>
          <w:color w:val="auto"/>
          <w:kern w:val="2"/>
          <w:sz w:val="32"/>
          <w:szCs w:val="32"/>
          <w:highlight w:val="none"/>
          <w:lang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eastAsia="仿宋_GB2312" w:cs="仿宋_GB2312"/>
          <w:color w:val="auto"/>
          <w:kern w:val="2"/>
          <w:sz w:val="32"/>
          <w:szCs w:val="32"/>
          <w:highlight w:val="none"/>
          <w:lang w:eastAsia="zh-CN" w:bidi="ar-SA"/>
        </w:rPr>
        <w:t>：</w:t>
      </w:r>
      <w:r>
        <w:rPr>
          <w:rFonts w:hint="eastAsia" w:ascii="Times New Roman" w:hAnsi="Times New Roman" w:eastAsia="仿宋_GB2312" w:cs="仿宋_GB2312"/>
          <w:color w:val="auto"/>
          <w:kern w:val="2"/>
          <w:sz w:val="32"/>
          <w:szCs w:val="32"/>
          <w:highlight w:val="none"/>
          <w:lang w:val="en-US" w:eastAsia="zh-CN" w:bidi="ar-SA"/>
        </w:rPr>
        <w:t>在“十四五”期间，粮食和物资储备工作的规划编制工作已经展开，涵盖了《遂宁市安居区“十四五”时期总体发展思路研究》以及《遂宁市安居区国民经济和社会发展第十四个五年规划纲要》的制定</w:t>
      </w:r>
      <w:r>
        <w:rPr>
          <w:rFonts w:hint="default" w:eastAsia="仿宋_GB2312" w:cs="仿宋_GB2312"/>
          <w:color w:val="auto"/>
          <w:kern w:val="2"/>
          <w:sz w:val="32"/>
          <w:szCs w:val="32"/>
          <w:highlight w:val="none"/>
          <w:lang w:eastAsia="zh-CN" w:bidi="ar-SA"/>
        </w:rPr>
        <w:t>；</w:t>
      </w:r>
    </w:p>
    <w:p w14:paraId="72886CDA">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“县域经济杂志协办费经费”</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：协办《当代县域经济》杂志栏目，深入宣传，为我单位提供舆论支持</w:t>
      </w:r>
      <w:r>
        <w:rPr>
          <w:rFonts w:hint="default" w:eastAsia="仿宋_GB2312" w:cs="仿宋_GB2312"/>
          <w:color w:val="auto"/>
          <w:kern w:val="2"/>
          <w:sz w:val="32"/>
          <w:szCs w:val="32"/>
          <w:highlight w:val="none"/>
          <w:lang w:eastAsia="zh-CN" w:bidi="ar-SA"/>
        </w:rPr>
        <w:t>；</w:t>
      </w:r>
    </w:p>
    <w:p w14:paraId="634B9B5E">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“成渝轴线区（县）协同发展联盟第三届年会资金”</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：成功举办了成渝轴线区（县）协同发展联盟第三届年会，有效推动了本区域与成渝经济圈的融合，促进了本区的经济增长，并助力安居区加快建设成为遂潼川渝毗邻地区一体化发展的示范区域</w:t>
      </w:r>
      <w:r>
        <w:rPr>
          <w:rFonts w:hint="default" w:eastAsia="仿宋_GB2312" w:cs="仿宋_GB2312"/>
          <w:color w:val="auto"/>
          <w:kern w:val="2"/>
          <w:sz w:val="32"/>
          <w:szCs w:val="32"/>
          <w:highlight w:val="none"/>
          <w:lang w:eastAsia="zh-CN" w:bidi="ar-SA"/>
        </w:rPr>
        <w:t>；</w:t>
      </w:r>
    </w:p>
    <w:p w14:paraId="3FF064B3">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“重大项目开工仪式相关经费”</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default" w:eastAsia="仿宋_GB2312" w:cs="仿宋_GB2312"/>
          <w:color w:val="auto"/>
          <w:kern w:val="2"/>
          <w:sz w:val="32"/>
          <w:szCs w:val="32"/>
          <w:highlight w:val="none"/>
          <w:lang w:eastAsia="zh-CN" w:bidi="ar-SA"/>
        </w:rPr>
        <w:t>91</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：2024年我区开展四川能投安居燃气发电项目现场承包了四川省2024年第一季度重大项目开工仪式，该项目实施为后续推进工作奠定了坚实的基础，并增强了所有参与方的信心与动力</w:t>
      </w:r>
      <w:r>
        <w:rPr>
          <w:rFonts w:hint="default" w:eastAsia="仿宋_GB2312" w:cs="仿宋_GB2312"/>
          <w:color w:val="auto"/>
          <w:kern w:val="2"/>
          <w:sz w:val="32"/>
          <w:szCs w:val="32"/>
          <w:highlight w:val="none"/>
          <w:lang w:eastAsia="zh-CN" w:bidi="ar-SA"/>
        </w:rPr>
        <w:t>；</w:t>
      </w:r>
    </w:p>
    <w:p w14:paraId="7B8EA22D">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“2023年物价定价工作”</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default" w:eastAsia="仿宋_GB2312" w:cs="仿宋_GB2312"/>
          <w:color w:val="auto"/>
          <w:kern w:val="2"/>
          <w:sz w:val="32"/>
          <w:szCs w:val="32"/>
          <w:highlight w:val="none"/>
          <w:lang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：针对农产品成本调查工作，支付相关补助经费</w:t>
      </w:r>
      <w:r>
        <w:rPr>
          <w:rFonts w:hint="default" w:eastAsia="仿宋_GB2312" w:cs="仿宋_GB2312"/>
          <w:color w:val="auto"/>
          <w:kern w:val="2"/>
          <w:sz w:val="32"/>
          <w:szCs w:val="32"/>
          <w:highlight w:val="none"/>
          <w:lang w:eastAsia="zh-CN" w:bidi="ar-SA"/>
        </w:rPr>
        <w:t>；</w:t>
      </w:r>
    </w:p>
    <w:p w14:paraId="6D635C46">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“2023年第一批项目前期工作经费”</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default" w:eastAsia="仿宋_GB2312" w:cs="仿宋_GB2312"/>
          <w:color w:val="auto"/>
          <w:kern w:val="2"/>
          <w:sz w:val="32"/>
          <w:szCs w:val="32"/>
          <w:highlight w:val="none"/>
          <w:lang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为</w:t>
      </w:r>
      <w:r>
        <w:rPr>
          <w:rFonts w:hint="eastAsia" w:ascii="Times New Roman" w:hAnsi="Times New Roman" w:eastAsia="仿宋_GB2312" w:cs="仿宋_GB2312"/>
          <w:color w:val="auto"/>
          <w:kern w:val="2"/>
          <w:sz w:val="32"/>
          <w:szCs w:val="32"/>
          <w:highlight w:val="none"/>
          <w:lang w:val="zh-CN" w:eastAsia="zh-CN" w:bidi="ar-SA"/>
        </w:rPr>
        <w:t>推进项目前期及资金争取相关工作，确保全区政府投资项目早开工、早建成、早达效，为争取上级资金打下坚实基础</w:t>
      </w:r>
      <w:r>
        <w:rPr>
          <w:rFonts w:hint="default" w:eastAsia="仿宋_GB2312" w:cs="仿宋_GB2312"/>
          <w:color w:val="auto"/>
          <w:kern w:val="2"/>
          <w:sz w:val="32"/>
          <w:szCs w:val="32"/>
          <w:highlight w:val="none"/>
          <w:lang w:eastAsia="zh-CN" w:bidi="ar-SA"/>
        </w:rPr>
        <w:t>；</w:t>
      </w:r>
    </w:p>
    <w:p w14:paraId="44CDD69C">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“2023年安居区专项决策咨询项目资金”</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2023年标志着“十四五”规划实施的关键时期，同时也是成渝地区城乡融合发展新标杆和“锂电之都”引领区建设的起始之年。为了加速推进区委五届九次全会及区委经济工作会议精神的实施，更好地发挥参谋和助手的作用，支持安居区的高质量发展，区发改局启动了2023年安居区专项决策咨询项目，在2024年支付剩余合同款项的21%</w:t>
      </w:r>
      <w:r>
        <w:rPr>
          <w:rFonts w:hint="default" w:eastAsia="仿宋_GB2312" w:cs="仿宋_GB2312"/>
          <w:color w:val="auto"/>
          <w:kern w:val="2"/>
          <w:sz w:val="32"/>
          <w:szCs w:val="32"/>
          <w:highlight w:val="none"/>
          <w:lang w:eastAsia="zh-CN" w:bidi="ar-SA"/>
        </w:rPr>
        <w:t>；</w:t>
      </w:r>
    </w:p>
    <w:p w14:paraId="00EC0466">
      <w:pPr>
        <w:spacing w:line="600" w:lineRule="exact"/>
        <w:ind w:firstLine="640"/>
        <w:rPr>
          <w:rFonts w:hint="default" w:eastAsia="仿宋_GB2312" w:cs="仿宋_GB2312"/>
          <w:color w:val="auto"/>
          <w:kern w:val="2"/>
          <w:sz w:val="32"/>
          <w:szCs w:val="32"/>
          <w:highlight w:val="none"/>
          <w:lang w:eastAsia="zh-CN" w:bidi="ar-SA"/>
        </w:rPr>
      </w:pPr>
      <w:r>
        <w:rPr>
          <w:rFonts w:hint="default" w:eastAsia="仿宋_GB2312" w:cs="仿宋_GB2312"/>
          <w:color w:val="auto"/>
          <w:kern w:val="2"/>
          <w:sz w:val="32"/>
          <w:szCs w:val="32"/>
          <w:highlight w:val="none"/>
          <w:lang w:eastAsia="zh-CN" w:bidi="ar-SA"/>
        </w:rPr>
        <w:t>“安居化工园区扩区工作经费”</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：完成支付化工园区扩区组卷资料打印费</w:t>
      </w:r>
      <w:r>
        <w:rPr>
          <w:rFonts w:hint="default" w:eastAsia="仿宋_GB2312" w:cs="仿宋_GB2312"/>
          <w:color w:val="auto"/>
          <w:kern w:val="2"/>
          <w:sz w:val="32"/>
          <w:szCs w:val="32"/>
          <w:highlight w:val="none"/>
          <w:lang w:eastAsia="zh-CN" w:bidi="ar-SA"/>
        </w:rPr>
        <w:t>；</w:t>
      </w:r>
    </w:p>
    <w:p w14:paraId="1245858A">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default" w:eastAsia="仿宋_GB2312" w:cs="仿宋_GB2312"/>
          <w:color w:val="auto"/>
          <w:kern w:val="2"/>
          <w:sz w:val="32"/>
          <w:szCs w:val="32"/>
          <w:highlight w:val="none"/>
          <w:lang w:eastAsia="zh-CN" w:bidi="ar-SA"/>
        </w:rPr>
        <w:t>“信创资金”</w:t>
      </w:r>
      <w:r>
        <w:rPr>
          <w:rFonts w:hint="eastAsia" w:ascii="Times New Roman" w:hAnsi="Times New Roman" w:eastAsia="仿宋_GB2312" w:cs="仿宋_GB2312"/>
          <w:color w:val="auto"/>
          <w:kern w:val="2"/>
          <w:sz w:val="32"/>
          <w:szCs w:val="32"/>
          <w:highlight w:val="none"/>
          <w:lang w:val="en-US" w:eastAsia="zh-CN" w:bidi="ar-SA"/>
        </w:rPr>
        <w:t>部门预算项目绩效自评得分为</w:t>
      </w:r>
      <w:r>
        <w:rPr>
          <w:rFonts w:hint="default" w:eastAsia="仿宋_GB2312" w:cs="仿宋_GB2312"/>
          <w:color w:val="auto"/>
          <w:kern w:val="2"/>
          <w:sz w:val="32"/>
          <w:szCs w:val="32"/>
          <w:highlight w:val="none"/>
          <w:lang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：完成2024年信创电脑采购；</w:t>
      </w:r>
    </w:p>
    <w:p w14:paraId="577B53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中央、省委</w:t>
      </w:r>
      <w:r>
        <w:rPr>
          <w:rFonts w:hint="eastAsia" w:ascii="Times New Roman" w:hAnsi="Times New Roman" w:eastAsia="仿宋_GB2312" w:cs="仿宋_GB2312"/>
          <w:color w:val="auto"/>
          <w:kern w:val="2"/>
          <w:sz w:val="32"/>
          <w:szCs w:val="32"/>
          <w:highlight w:val="none"/>
          <w:lang w:val="en-US" w:eastAsia="zh-CN" w:bidi="ar-SA"/>
        </w:rPr>
        <w:t>财政衔接推进乡村振兴补助资金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专项预算项目绩效自评得分为99分，绩效自评综述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该项目的核心目标是为乡村振兴战略的顺利推进提供有力支持，通过加强农村地区的基础设施建设，提升农村居民的生活质量。同时，该项目还致力于推动扶贫开发工作，帮助农村贫困人口脱贫致富，实现全面建成小康社会的目标</w:t>
      </w:r>
      <w:r>
        <w:rPr>
          <w:rFonts w:hint="eastAsia" w:eastAsia="仿宋_GB2312" w:cs="仿宋_GB2312"/>
          <w:color w:val="auto"/>
          <w:kern w:val="2"/>
          <w:sz w:val="32"/>
          <w:szCs w:val="32"/>
          <w:highlight w:val="none"/>
          <w:lang w:val="en-US" w:eastAsia="zh-CN" w:bidi="ar-SA"/>
        </w:rPr>
        <w:t>；</w:t>
      </w:r>
    </w:p>
    <w:p w14:paraId="0469CF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区级储备粮轮换经费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专项预算项目绩效自评得分为98分，绩效自评综述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对本区</w:t>
      </w:r>
      <w:r>
        <w:rPr>
          <w:rFonts w:hint="eastAsia" w:ascii="Times New Roman" w:hAnsi="Times New Roman" w:eastAsia="仿宋_GB2312" w:cs="仿宋_GB2312"/>
          <w:color w:val="auto"/>
          <w:kern w:val="2"/>
          <w:sz w:val="32"/>
          <w:szCs w:val="32"/>
          <w:highlight w:val="none"/>
          <w:lang w:val="zh-CN" w:eastAsia="zh-CN" w:bidi="ar-SA"/>
        </w:rPr>
        <w:t>储存于国丰公司玉丰分库5、6、10号仓</w:t>
      </w:r>
      <w:r>
        <w:rPr>
          <w:rFonts w:hint="default" w:ascii="Times New Roman" w:hAnsi="Times New Roman" w:eastAsia="仿宋_GB2312" w:cs="仿宋_GB2312"/>
          <w:color w:val="auto"/>
          <w:kern w:val="2"/>
          <w:sz w:val="32"/>
          <w:szCs w:val="32"/>
          <w:highlight w:val="none"/>
          <w:lang w:val="en-US" w:eastAsia="zh-CN" w:bidi="ar-SA"/>
        </w:rPr>
        <w:t>储备稻谷1500吨</w:t>
      </w:r>
      <w:r>
        <w:rPr>
          <w:rFonts w:hint="eastAsia" w:ascii="Times New Roman" w:hAnsi="Times New Roman" w:eastAsia="仿宋_GB2312" w:cs="仿宋_GB2312"/>
          <w:color w:val="auto"/>
          <w:kern w:val="2"/>
          <w:sz w:val="32"/>
          <w:szCs w:val="32"/>
          <w:highlight w:val="none"/>
          <w:lang w:val="en-US" w:eastAsia="zh-CN" w:bidi="ar-SA"/>
        </w:rPr>
        <w:t>进行轮换，高质量保障粮油储备安全</w:t>
      </w:r>
      <w:r>
        <w:rPr>
          <w:rFonts w:hint="eastAsia" w:eastAsia="仿宋_GB2312" w:cs="仿宋_GB2312"/>
          <w:color w:val="auto"/>
          <w:kern w:val="2"/>
          <w:sz w:val="32"/>
          <w:szCs w:val="32"/>
          <w:highlight w:val="none"/>
          <w:lang w:val="en-US" w:eastAsia="zh-CN" w:bidi="ar-SA"/>
        </w:rPr>
        <w:t>；</w:t>
      </w:r>
    </w:p>
    <w:p w14:paraId="53AB16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新建绵遂内铁路绵阳至遂宁段</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专项预算项目绩效自评得分为96分，绩效自评综述绵遂内铁路是四川重要城际铁路项目，旨在完善成渝地区双城经济圈多层次轨道交通网络，并填补三台县、射洪市不通铁路的历史空白</w:t>
      </w:r>
      <w:r>
        <w:rPr>
          <w:rFonts w:hint="eastAsia" w:eastAsia="仿宋_GB2312" w:cs="仿宋_GB2312"/>
          <w:color w:val="auto"/>
          <w:kern w:val="2"/>
          <w:sz w:val="32"/>
          <w:szCs w:val="32"/>
          <w:highlight w:val="none"/>
          <w:lang w:val="en-US" w:eastAsia="zh-CN" w:bidi="ar-SA"/>
        </w:rPr>
        <w:t>；</w:t>
      </w:r>
    </w:p>
    <w:p w14:paraId="7C34A1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以工代赈项目资金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专项预算项目绩效自评得分为94.4分，绩效自评综述由</w:t>
      </w:r>
      <w:r>
        <w:rPr>
          <w:rFonts w:hint="eastAsia" w:ascii="Times New Roman" w:hAnsi="Times New Roman" w:eastAsia="仿宋_GB2312" w:cs="仿宋_GB2312"/>
          <w:color w:val="auto"/>
          <w:kern w:val="2"/>
          <w:sz w:val="32"/>
          <w:szCs w:val="32"/>
          <w:highlight w:val="none"/>
          <w:lang w:val="zh-CN" w:eastAsia="zh-CN" w:bidi="ar-SA"/>
        </w:rPr>
        <w:t>村民自建。积极组织当地群众参与工程建设，坚决做到“能用人工的尽量不用机械、能用当地群众的尽量不用专业队伍”的要求，</w:t>
      </w:r>
      <w:r>
        <w:rPr>
          <w:rFonts w:hint="eastAsia" w:ascii="Times New Roman" w:hAnsi="Times New Roman" w:eastAsia="仿宋_GB2312" w:cs="仿宋_GB2312"/>
          <w:color w:val="auto"/>
          <w:kern w:val="2"/>
          <w:sz w:val="32"/>
          <w:szCs w:val="32"/>
          <w:highlight w:val="none"/>
          <w:lang w:val="en-US" w:eastAsia="zh-CN" w:bidi="ar-SA"/>
        </w:rPr>
        <w:t>通过直接发放劳务报酬来提高低收入群体的收入水平，并且改善农村地区的基础设施状况，</w:t>
      </w:r>
      <w:r>
        <w:rPr>
          <w:rFonts w:hint="eastAsia" w:ascii="Times New Roman" w:hAnsi="Times New Roman" w:eastAsia="仿宋_GB2312" w:cs="仿宋_GB2312"/>
          <w:color w:val="auto"/>
          <w:kern w:val="2"/>
          <w:sz w:val="32"/>
          <w:szCs w:val="32"/>
          <w:highlight w:val="none"/>
          <w:lang w:val="zh-CN" w:eastAsia="zh-CN" w:bidi="ar-SA"/>
        </w:rPr>
        <w:t>修建</w:t>
      </w:r>
      <w:r>
        <w:rPr>
          <w:rFonts w:hint="eastAsia" w:ascii="Times New Roman" w:hAnsi="Times New Roman" w:eastAsia="仿宋_GB2312" w:cs="仿宋_GB2312"/>
          <w:color w:val="auto"/>
          <w:kern w:val="2"/>
          <w:sz w:val="32"/>
          <w:szCs w:val="32"/>
          <w:highlight w:val="none"/>
          <w:lang w:val="en-US" w:eastAsia="zh-CN" w:bidi="ar-SA"/>
        </w:rPr>
        <w:t>西眉镇玉石村产业道路总长6.85公里、宽3.5米</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山坪塘整治2座新建蓄水池8口，土地整理200亩</w:t>
      </w:r>
      <w:r>
        <w:rPr>
          <w:rFonts w:hint="eastAsia" w:eastAsia="仿宋_GB2312" w:cs="仿宋_GB2312"/>
          <w:color w:val="auto"/>
          <w:kern w:val="2"/>
          <w:sz w:val="32"/>
          <w:szCs w:val="32"/>
          <w:highlight w:val="none"/>
          <w:lang w:val="en-US" w:eastAsia="zh-CN" w:bidi="ar-SA"/>
        </w:rPr>
        <w:t>；</w:t>
      </w:r>
    </w:p>
    <w:p w14:paraId="2A8FFF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易地扶贫搬迁项目资金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专项预算项目绩效自评得分为97分，绩效自评综述</w:t>
      </w:r>
      <w:r>
        <w:rPr>
          <w:rFonts w:hint="default" w:ascii="Times New Roman" w:hAnsi="Times New Roman" w:eastAsia="仿宋_GB2312" w:cs="仿宋_GB2312"/>
          <w:color w:val="auto"/>
          <w:kern w:val="2"/>
          <w:sz w:val="32"/>
          <w:szCs w:val="32"/>
          <w:highlight w:val="none"/>
          <w:lang w:val="en-US" w:eastAsia="zh-CN" w:bidi="ar-SA"/>
        </w:rPr>
        <w:t>改善易地扶贫搬迁对象生产生活条件和发展环境，建设住房和必要的附属设施，以及水、电、路、气、网等基本生产生活设施，配套建设教育、卫生、文化等公共服务设施等</w:t>
      </w:r>
      <w:r>
        <w:rPr>
          <w:rFonts w:hint="eastAsia" w:eastAsia="仿宋_GB2312" w:cs="仿宋_GB2312"/>
          <w:color w:val="auto"/>
          <w:kern w:val="2"/>
          <w:sz w:val="32"/>
          <w:szCs w:val="32"/>
          <w:highlight w:val="none"/>
          <w:lang w:val="en-US" w:eastAsia="zh-CN" w:bidi="ar-SA"/>
        </w:rPr>
        <w:t>；</w:t>
      </w:r>
    </w:p>
    <w:p w14:paraId="239FBE1A">
      <w:pPr>
        <w:spacing w:line="600" w:lineRule="exact"/>
        <w:ind w:firstLine="640"/>
        <w:rPr>
          <w:rFonts w:hint="default" w:ascii="仿宋_GB2312" w:hAnsi="仿宋_GB2312" w:cs="仿宋_GB2312"/>
          <w:color w:val="auto"/>
          <w:kern w:val="0"/>
          <w:sz w:val="32"/>
          <w:szCs w:val="32"/>
          <w:highlight w:val="none"/>
          <w:u w:val="none"/>
          <w:shd w:val="clear" w:color="auto" w:fill="FFFFFF"/>
          <w:lang w:val="en-US" w:eastAsia="zh-CN"/>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项目争取前期工作经费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专项预算项目绩效自评得分为100分，绩效自评综述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为</w:t>
      </w:r>
      <w:r>
        <w:rPr>
          <w:rFonts w:hint="eastAsia" w:ascii="Times New Roman" w:hAnsi="Times New Roman" w:eastAsia="仿宋_GB2312" w:cs="仿宋_GB2312"/>
          <w:color w:val="auto"/>
          <w:kern w:val="2"/>
          <w:sz w:val="32"/>
          <w:szCs w:val="32"/>
          <w:highlight w:val="none"/>
          <w:lang w:val="zh-CN" w:eastAsia="zh-CN" w:bidi="ar-SA"/>
        </w:rPr>
        <w:t>推进项目前期及资金争取相关工作，确保全区政府投资项目早开工、早建成、早达效，为争取上级资金打下坚实基础。</w:t>
      </w:r>
    </w:p>
    <w:p w14:paraId="0324CB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4CB5C3F3">
      <w:pPr>
        <w:rPr>
          <w:rFonts w:hint="eastAsia" w:ascii="Times New Roman" w:hAnsi="Times New Roman" w:eastAsia="黑体"/>
          <w:color w:val="auto"/>
          <w:sz w:val="44"/>
          <w:szCs w:val="44"/>
          <w:highlight w:val="none"/>
        </w:rPr>
      </w:pPr>
      <w:bookmarkStart w:id="63" w:name="_Toc15377225"/>
      <w:bookmarkStart w:id="64" w:name="_Toc15396613"/>
      <w:r>
        <w:rPr>
          <w:rFonts w:hint="eastAsia" w:ascii="Times New Roman" w:hAnsi="Times New Roman" w:eastAsia="黑体"/>
          <w:color w:val="auto"/>
          <w:sz w:val="44"/>
          <w:szCs w:val="44"/>
          <w:highlight w:val="none"/>
        </w:rPr>
        <w:br w:type="page"/>
      </w:r>
    </w:p>
    <w:p w14:paraId="10783F3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5" w:name="_Toc31899"/>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3"/>
      <w:bookmarkEnd w:id="64"/>
      <w:bookmarkEnd w:id="65"/>
    </w:p>
    <w:p w14:paraId="78189F36">
      <w:pPr>
        <w:spacing w:line="600" w:lineRule="exact"/>
        <w:jc w:val="left"/>
        <w:rPr>
          <w:rFonts w:ascii="Times New Roman" w:hAnsi="Times New Roman"/>
          <w:b/>
          <w:color w:val="auto"/>
          <w:sz w:val="44"/>
          <w:szCs w:val="44"/>
          <w:highlight w:val="none"/>
        </w:rPr>
      </w:pPr>
    </w:p>
    <w:p w14:paraId="1A73EDD9">
      <w:pPr>
        <w:pStyle w:val="31"/>
        <w:spacing w:line="560" w:lineRule="exact"/>
        <w:ind w:firstLine="600" w:firstLineChars="200"/>
        <w:outlineLvl w:val="9"/>
        <w:rPr>
          <w:rFonts w:hint="eastAsia" w:hAnsi="仿宋"/>
          <w:sz w:val="30"/>
          <w:szCs w:val="30"/>
        </w:rPr>
      </w:pPr>
      <w:bookmarkStart w:id="66" w:name="_Toc240"/>
      <w:r>
        <w:rPr>
          <w:rFonts w:hint="eastAsia" w:hAnsi="仿宋"/>
          <w:sz w:val="30"/>
          <w:szCs w:val="30"/>
        </w:rPr>
        <w:t>1.财政拨款收入：指单位从同级财政部门取得的财政预算资金。</w:t>
      </w:r>
      <w:bookmarkEnd w:id="66"/>
    </w:p>
    <w:p w14:paraId="28774CE1">
      <w:pPr>
        <w:pStyle w:val="31"/>
        <w:spacing w:line="560" w:lineRule="exact"/>
        <w:ind w:firstLine="600" w:firstLineChars="200"/>
        <w:rPr>
          <w:rFonts w:hint="eastAsia" w:hAnsi="仿宋"/>
          <w:sz w:val="30"/>
          <w:szCs w:val="30"/>
        </w:rPr>
      </w:pPr>
      <w:r>
        <w:rPr>
          <w:rFonts w:hint="eastAsia" w:hAnsi="仿宋"/>
          <w:sz w:val="30"/>
          <w:szCs w:val="30"/>
        </w:rPr>
        <w:t>2.事业收入：指事业单位开展专业业务活动及辅助活动取得的收入。</w:t>
      </w:r>
    </w:p>
    <w:p w14:paraId="48C4D6BD">
      <w:pPr>
        <w:pStyle w:val="31"/>
        <w:spacing w:line="560" w:lineRule="exact"/>
        <w:ind w:firstLine="600" w:firstLineChars="200"/>
        <w:rPr>
          <w:rFonts w:hint="eastAsia" w:hAnsi="仿宋"/>
          <w:sz w:val="30"/>
          <w:szCs w:val="30"/>
        </w:rPr>
      </w:pPr>
      <w:r>
        <w:rPr>
          <w:rFonts w:hint="eastAsia" w:hAnsi="仿宋"/>
          <w:sz w:val="30"/>
          <w:szCs w:val="30"/>
        </w:rPr>
        <w:t>3.经营收入：指事业单位在专业业务活动及其辅助活动之外开展非独立核算经营活动取得的收入。</w:t>
      </w:r>
    </w:p>
    <w:p w14:paraId="36A9700F">
      <w:pPr>
        <w:pStyle w:val="31"/>
        <w:spacing w:line="560" w:lineRule="exact"/>
        <w:ind w:firstLine="600" w:firstLineChars="200"/>
        <w:outlineLvl w:val="9"/>
        <w:rPr>
          <w:rFonts w:hint="eastAsia" w:hAnsi="仿宋" w:eastAsia="仿宋"/>
          <w:sz w:val="30"/>
          <w:szCs w:val="30"/>
          <w:lang w:eastAsia="zh-CN"/>
        </w:rPr>
      </w:pPr>
      <w:bookmarkStart w:id="67" w:name="_Toc29665"/>
      <w:r>
        <w:rPr>
          <w:rFonts w:hint="eastAsia" w:hAnsi="仿宋"/>
          <w:sz w:val="30"/>
          <w:szCs w:val="30"/>
        </w:rPr>
        <w:t>4.其他收入：指单位取得的除上述收入以外的各项收入。</w:t>
      </w:r>
      <w:bookmarkEnd w:id="67"/>
    </w:p>
    <w:p w14:paraId="7FE3A2F8">
      <w:pPr>
        <w:pStyle w:val="31"/>
        <w:spacing w:line="560" w:lineRule="exact"/>
        <w:ind w:firstLine="600" w:firstLineChars="200"/>
        <w:rPr>
          <w:rFonts w:hint="eastAsia" w:hAnsi="仿宋" w:eastAsia="仿宋"/>
          <w:sz w:val="30"/>
          <w:szCs w:val="30"/>
          <w:lang w:eastAsia="zh-CN"/>
        </w:rPr>
      </w:pPr>
      <w:r>
        <w:rPr>
          <w:rFonts w:hint="eastAsia" w:hAnsi="仿宋"/>
          <w:sz w:val="30"/>
          <w:szCs w:val="30"/>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A91279D">
      <w:pPr>
        <w:pStyle w:val="31"/>
        <w:spacing w:line="560" w:lineRule="exact"/>
        <w:ind w:firstLine="600" w:firstLineChars="200"/>
        <w:rPr>
          <w:rFonts w:hint="eastAsia" w:hAnsi="仿宋" w:eastAsia="仿宋"/>
          <w:sz w:val="30"/>
          <w:szCs w:val="30"/>
          <w:lang w:eastAsia="zh-CN"/>
        </w:rPr>
      </w:pPr>
      <w:r>
        <w:rPr>
          <w:rFonts w:hint="eastAsia" w:hAnsi="仿宋"/>
          <w:sz w:val="30"/>
          <w:szCs w:val="30"/>
        </w:rPr>
        <w:t>6.年初结转和结余：指以前年度尚未完成、结转到本年按有关规定继续使用的资金。</w:t>
      </w:r>
    </w:p>
    <w:p w14:paraId="7A9BA232">
      <w:pPr>
        <w:pStyle w:val="31"/>
        <w:spacing w:line="560" w:lineRule="exact"/>
        <w:ind w:firstLine="600" w:firstLineChars="200"/>
        <w:rPr>
          <w:rFonts w:hint="eastAsia" w:hAnsi="仿宋"/>
          <w:sz w:val="30"/>
          <w:szCs w:val="30"/>
        </w:rPr>
      </w:pPr>
      <w:r>
        <w:rPr>
          <w:rFonts w:hint="eastAsia" w:hAnsi="仿宋"/>
          <w:sz w:val="30"/>
          <w:szCs w:val="30"/>
        </w:rPr>
        <w:t>7.结余分配：指事业单位按照事业单位会计制度的规定从非财政补助结余中分配的事业基金和职工福利基金等。</w:t>
      </w:r>
    </w:p>
    <w:p w14:paraId="0F8AE803">
      <w:pPr>
        <w:pStyle w:val="31"/>
        <w:spacing w:line="560" w:lineRule="exact"/>
        <w:ind w:firstLine="600" w:firstLineChars="200"/>
        <w:rPr>
          <w:rFonts w:hint="eastAsia" w:hAnsi="仿宋"/>
          <w:sz w:val="30"/>
          <w:szCs w:val="30"/>
        </w:rPr>
      </w:pPr>
      <w:r>
        <w:rPr>
          <w:rFonts w:hint="eastAsia" w:hAnsi="仿宋"/>
          <w:sz w:val="30"/>
          <w:szCs w:val="30"/>
          <w:lang w:eastAsia="zh-CN"/>
        </w:rPr>
        <w:t>8.</w:t>
      </w:r>
      <w:r>
        <w:rPr>
          <w:rFonts w:hint="eastAsia" w:hAnsi="仿宋"/>
          <w:sz w:val="30"/>
          <w:szCs w:val="30"/>
        </w:rPr>
        <w:t>年末结转和结余：指单位按有关规定结转到下年或以后年度继续使用的资金。</w:t>
      </w:r>
    </w:p>
    <w:p w14:paraId="211EA91B">
      <w:pPr>
        <w:pStyle w:val="31"/>
        <w:spacing w:line="560" w:lineRule="exact"/>
        <w:ind w:firstLine="600" w:firstLineChars="200"/>
        <w:rPr>
          <w:rFonts w:hint="eastAsia" w:hAnsi="仿宋"/>
          <w:sz w:val="30"/>
          <w:szCs w:val="30"/>
        </w:rPr>
      </w:pPr>
      <w:r>
        <w:rPr>
          <w:rFonts w:hint="eastAsia" w:hAnsi="仿宋"/>
          <w:sz w:val="30"/>
          <w:szCs w:val="30"/>
        </w:rPr>
        <w:t>9.一般公共服务支出(201)发展与改革事务(04)行政运行(01)：指用于机关运行经费。</w:t>
      </w:r>
    </w:p>
    <w:p w14:paraId="03306CED">
      <w:pPr>
        <w:pStyle w:val="31"/>
        <w:spacing w:line="560" w:lineRule="exact"/>
        <w:ind w:firstLine="600" w:firstLineChars="200"/>
        <w:rPr>
          <w:rFonts w:hint="eastAsia" w:hAnsi="仿宋"/>
          <w:sz w:val="30"/>
          <w:szCs w:val="30"/>
        </w:rPr>
      </w:pPr>
      <w:r>
        <w:rPr>
          <w:rFonts w:hint="eastAsia" w:hAnsi="仿宋"/>
          <w:sz w:val="30"/>
          <w:szCs w:val="30"/>
        </w:rPr>
        <w:t>10.一般公共服务支出(201)发展与改革事务(04)战略规划与实施(04)：指用于拟订组织实施国民经济和社会发展战略、中长期规划和年度计划，实施宏观管理与调控等方面的支出。</w:t>
      </w:r>
    </w:p>
    <w:p w14:paraId="3FE55230">
      <w:pPr>
        <w:pStyle w:val="31"/>
        <w:spacing w:line="560" w:lineRule="exact"/>
        <w:ind w:firstLine="600" w:firstLineChars="200"/>
        <w:rPr>
          <w:rFonts w:hint="eastAsia" w:hAnsi="仿宋"/>
          <w:sz w:val="30"/>
          <w:szCs w:val="30"/>
        </w:rPr>
      </w:pPr>
      <w:r>
        <w:rPr>
          <w:rFonts w:hint="eastAsia" w:hAnsi="仿宋"/>
          <w:sz w:val="30"/>
          <w:szCs w:val="30"/>
        </w:rPr>
        <w:t>11.一般公共服务支出(201)发展与改革事务(04)物价管理(08)：指用于物价管理方面的支出。</w:t>
      </w:r>
    </w:p>
    <w:p w14:paraId="2ED25F27">
      <w:pPr>
        <w:pStyle w:val="31"/>
        <w:spacing w:line="560" w:lineRule="exact"/>
        <w:ind w:firstLine="600" w:firstLineChars="200"/>
        <w:rPr>
          <w:rFonts w:hint="eastAsia" w:hAnsi="仿宋"/>
          <w:sz w:val="30"/>
          <w:szCs w:val="30"/>
        </w:rPr>
      </w:pPr>
      <w:r>
        <w:rPr>
          <w:rFonts w:hint="eastAsia" w:hAnsi="仿宋"/>
          <w:sz w:val="30"/>
          <w:szCs w:val="30"/>
        </w:rPr>
        <w:t>12.一般公共服务支出(201)发展与改革事务(04)事业运行(50)：指用于机关运行经费。</w:t>
      </w:r>
    </w:p>
    <w:p w14:paraId="4422C6D7">
      <w:pPr>
        <w:pStyle w:val="31"/>
        <w:spacing w:line="560" w:lineRule="exact"/>
        <w:ind w:firstLine="600" w:firstLineChars="200"/>
        <w:rPr>
          <w:rFonts w:hint="eastAsia" w:hAnsi="仿宋"/>
          <w:sz w:val="30"/>
          <w:szCs w:val="30"/>
        </w:rPr>
      </w:pPr>
      <w:r>
        <w:rPr>
          <w:rFonts w:hint="eastAsia" w:hAnsi="仿宋"/>
          <w:sz w:val="30"/>
          <w:szCs w:val="30"/>
        </w:rPr>
        <w:t>13.一般公共服务支出(201)发展与改革事务(04)其他发展与改革事务支出(99)：指用于其他发展与改革事务支出。</w:t>
      </w:r>
    </w:p>
    <w:p w14:paraId="22752267">
      <w:pPr>
        <w:pStyle w:val="31"/>
        <w:spacing w:line="560" w:lineRule="exact"/>
        <w:ind w:firstLine="600" w:firstLineChars="200"/>
        <w:rPr>
          <w:rFonts w:hint="eastAsia" w:hAnsi="仿宋"/>
          <w:sz w:val="30"/>
          <w:szCs w:val="30"/>
        </w:rPr>
      </w:pPr>
      <w:r>
        <w:rPr>
          <w:rFonts w:hint="eastAsia" w:hAnsi="仿宋"/>
          <w:sz w:val="30"/>
          <w:szCs w:val="30"/>
        </w:rPr>
        <w:t>14.一般公共服务支出(201)商贸事务(13)其他商贸事务支出(99)：指用于其他商贸事务方面的支出。</w:t>
      </w:r>
    </w:p>
    <w:p w14:paraId="3A8D17A9">
      <w:pPr>
        <w:pStyle w:val="31"/>
        <w:spacing w:line="560" w:lineRule="exact"/>
        <w:ind w:firstLine="600" w:firstLineChars="200"/>
        <w:rPr>
          <w:rFonts w:hint="eastAsia" w:hAnsi="仿宋"/>
          <w:sz w:val="30"/>
          <w:szCs w:val="30"/>
        </w:rPr>
      </w:pPr>
      <w:r>
        <w:rPr>
          <w:rFonts w:hint="eastAsia" w:hAnsi="仿宋"/>
          <w:sz w:val="30"/>
          <w:szCs w:val="30"/>
        </w:rPr>
        <w:t>15.社会保障和就业支出(208)行政事业单位养老支出(05)行政单位离退休(01)：指用于行政单位（包括实行公务员管理的事业单位）的离退休经费。。</w:t>
      </w:r>
    </w:p>
    <w:p w14:paraId="66B57825">
      <w:pPr>
        <w:pStyle w:val="31"/>
        <w:spacing w:line="560" w:lineRule="exact"/>
        <w:ind w:firstLine="600" w:firstLineChars="200"/>
        <w:rPr>
          <w:rFonts w:hint="eastAsia" w:hAnsi="仿宋"/>
          <w:sz w:val="30"/>
          <w:szCs w:val="30"/>
        </w:rPr>
      </w:pPr>
      <w:r>
        <w:rPr>
          <w:rFonts w:hint="eastAsia" w:hAnsi="仿宋"/>
          <w:sz w:val="30"/>
          <w:szCs w:val="30"/>
        </w:rPr>
        <w:t>16.社会保障和就业支出(208)行政事业单位养老支出(05)机关事业单位基本养老保险缴费支出(05)：指用于单位缴纳的基本养老保险支出。</w:t>
      </w:r>
    </w:p>
    <w:p w14:paraId="40A27297">
      <w:pPr>
        <w:pStyle w:val="31"/>
        <w:spacing w:line="560" w:lineRule="exact"/>
        <w:ind w:firstLine="600" w:firstLineChars="200"/>
        <w:rPr>
          <w:rFonts w:hint="eastAsia" w:hAnsi="仿宋"/>
          <w:sz w:val="30"/>
          <w:szCs w:val="30"/>
        </w:rPr>
      </w:pPr>
      <w:r>
        <w:rPr>
          <w:rFonts w:hint="eastAsia" w:hAnsi="仿宋"/>
          <w:sz w:val="30"/>
          <w:szCs w:val="30"/>
        </w:rPr>
        <w:t>17.社会保障和就业支出(208)行政事业单位养老支出(05)其他行政事业单位养老支出(99)：指用于其他行政事业单位养老方面的支出。</w:t>
      </w:r>
    </w:p>
    <w:p w14:paraId="618C4E7F">
      <w:pPr>
        <w:pStyle w:val="31"/>
        <w:spacing w:line="560" w:lineRule="exact"/>
        <w:ind w:firstLine="600" w:firstLineChars="200"/>
        <w:rPr>
          <w:rFonts w:hint="eastAsia" w:hAnsi="仿宋"/>
          <w:sz w:val="30"/>
          <w:szCs w:val="30"/>
        </w:rPr>
      </w:pPr>
      <w:r>
        <w:rPr>
          <w:rFonts w:hint="eastAsia" w:hAnsi="仿宋"/>
          <w:sz w:val="30"/>
          <w:szCs w:val="30"/>
        </w:rPr>
        <w:t>18.社会保障和就业支出(208)其他社会保障和就业支出(99)其他社会保障和就业支出(99)：指用于其他社会保障和就业方面的支出。</w:t>
      </w:r>
    </w:p>
    <w:p w14:paraId="1F549F91">
      <w:pPr>
        <w:pStyle w:val="31"/>
        <w:spacing w:line="560" w:lineRule="exact"/>
        <w:ind w:firstLine="600" w:firstLineChars="200"/>
        <w:rPr>
          <w:rFonts w:hint="eastAsia" w:hAnsi="仿宋"/>
          <w:sz w:val="30"/>
          <w:szCs w:val="30"/>
        </w:rPr>
      </w:pPr>
      <w:r>
        <w:rPr>
          <w:rFonts w:hint="eastAsia" w:hAnsi="仿宋"/>
          <w:sz w:val="30"/>
          <w:szCs w:val="30"/>
        </w:rPr>
        <w:t>19.卫生健康支出(210)公共卫生(04)其他公共卫生支出(99)：指用于其他公共卫生方面的支出。</w:t>
      </w:r>
    </w:p>
    <w:p w14:paraId="635669AA">
      <w:pPr>
        <w:pStyle w:val="31"/>
        <w:spacing w:line="560" w:lineRule="exact"/>
        <w:ind w:firstLine="600" w:firstLineChars="200"/>
        <w:rPr>
          <w:rFonts w:hint="eastAsia" w:hAnsi="仿宋"/>
          <w:sz w:val="30"/>
          <w:szCs w:val="30"/>
        </w:rPr>
      </w:pPr>
      <w:r>
        <w:rPr>
          <w:rFonts w:hint="eastAsia" w:hAnsi="仿宋"/>
          <w:sz w:val="30"/>
          <w:szCs w:val="30"/>
        </w:rPr>
        <w:t>20.卫生健康支出(210)行政事业单位医疗(11)行政单位医疗(01)：指用于行政单位（包括实行公务员管理的事业单位）基本医疗保险缴费经费。</w:t>
      </w:r>
    </w:p>
    <w:p w14:paraId="61624438">
      <w:pPr>
        <w:pStyle w:val="31"/>
        <w:spacing w:line="560" w:lineRule="exact"/>
        <w:ind w:firstLine="600" w:firstLineChars="200"/>
        <w:rPr>
          <w:rFonts w:hint="eastAsia" w:hAnsi="仿宋"/>
          <w:sz w:val="30"/>
          <w:szCs w:val="30"/>
        </w:rPr>
      </w:pPr>
      <w:r>
        <w:rPr>
          <w:rFonts w:hint="eastAsia" w:hAnsi="仿宋"/>
          <w:sz w:val="30"/>
          <w:szCs w:val="30"/>
        </w:rPr>
        <w:t>21.卫生健康支出(210)行政事业单位医疗(11)事业单位医疗(02)：指用于事业单位基本医疗保险缴费经费。</w:t>
      </w:r>
    </w:p>
    <w:p w14:paraId="4734A86E">
      <w:pPr>
        <w:pStyle w:val="31"/>
        <w:spacing w:line="560" w:lineRule="exact"/>
        <w:ind w:firstLine="600" w:firstLineChars="200"/>
        <w:rPr>
          <w:rFonts w:hint="eastAsia" w:hAnsi="仿宋"/>
          <w:sz w:val="30"/>
          <w:szCs w:val="30"/>
        </w:rPr>
      </w:pPr>
      <w:r>
        <w:rPr>
          <w:rFonts w:hint="eastAsia" w:hAnsi="仿宋"/>
          <w:sz w:val="30"/>
          <w:szCs w:val="30"/>
        </w:rPr>
        <w:t>22.卫生健康支出(210)行政事业单位医疗(11)公务员医疗补助(03)：指用于公务员医疗补助经费。</w:t>
      </w:r>
    </w:p>
    <w:p w14:paraId="3F72EE31">
      <w:pPr>
        <w:pStyle w:val="31"/>
        <w:spacing w:line="560" w:lineRule="exact"/>
        <w:ind w:firstLine="600" w:firstLineChars="200"/>
        <w:rPr>
          <w:rFonts w:hint="eastAsia" w:hAnsi="仿宋"/>
          <w:sz w:val="30"/>
          <w:szCs w:val="30"/>
        </w:rPr>
      </w:pPr>
      <w:r>
        <w:rPr>
          <w:rFonts w:hint="eastAsia" w:hAnsi="仿宋"/>
          <w:sz w:val="30"/>
          <w:szCs w:val="30"/>
        </w:rPr>
        <w:t>23.农林水支出(213)巩固脱贫攻坚成果衔接乡村振兴(05)农村基础设施建设(04)：指用于农村欠发达地区乡村道路、水利设施等生产生活条件改善方面的支出。</w:t>
      </w:r>
    </w:p>
    <w:p w14:paraId="770DDEB4">
      <w:pPr>
        <w:pStyle w:val="31"/>
        <w:spacing w:line="560" w:lineRule="exact"/>
        <w:ind w:firstLine="600" w:firstLineChars="200"/>
        <w:rPr>
          <w:rFonts w:hint="eastAsia" w:hAnsi="仿宋"/>
          <w:sz w:val="30"/>
          <w:szCs w:val="30"/>
        </w:rPr>
      </w:pPr>
      <w:r>
        <w:rPr>
          <w:rFonts w:hint="eastAsia" w:hAnsi="仿宋"/>
          <w:sz w:val="30"/>
          <w:szCs w:val="30"/>
        </w:rPr>
        <w:t>24.农林水支出(213)巩固脱贫攻坚成果衔接乡村振兴(05)其他巩固脱贫攻坚成果衔接乡村振兴支出(99)：指用于其他巩固拓展脱贫攻坚成果同乡村振兴有效衔接方面的支出。</w:t>
      </w:r>
    </w:p>
    <w:p w14:paraId="02B2A144">
      <w:pPr>
        <w:pStyle w:val="31"/>
        <w:spacing w:line="560" w:lineRule="exact"/>
        <w:ind w:firstLine="600" w:firstLineChars="200"/>
        <w:rPr>
          <w:rFonts w:hint="eastAsia" w:hAnsi="仿宋"/>
          <w:sz w:val="30"/>
          <w:szCs w:val="30"/>
        </w:rPr>
      </w:pPr>
      <w:r>
        <w:rPr>
          <w:rFonts w:hint="eastAsia" w:hAnsi="仿宋"/>
          <w:sz w:val="30"/>
          <w:szCs w:val="30"/>
        </w:rPr>
        <w:t>25.住房保障支出(221)住房改革支出(02)住房公积金(01)：指用于为职工缴纳的住房公积金。</w:t>
      </w:r>
    </w:p>
    <w:p w14:paraId="51E0DBFE">
      <w:pPr>
        <w:pStyle w:val="31"/>
        <w:spacing w:line="560" w:lineRule="exact"/>
        <w:ind w:firstLine="600" w:firstLineChars="200"/>
        <w:rPr>
          <w:rFonts w:hint="eastAsia" w:hAnsi="仿宋"/>
          <w:sz w:val="30"/>
          <w:szCs w:val="30"/>
        </w:rPr>
      </w:pPr>
      <w:r>
        <w:rPr>
          <w:rFonts w:hint="eastAsia" w:hAnsi="仿宋"/>
          <w:sz w:val="30"/>
          <w:szCs w:val="30"/>
        </w:rPr>
        <w:t>26.粮油物资储备支出(222)粮油物资事务(01)粮食风险基金(15)：指用于粮食风险基金安排的支出。</w:t>
      </w:r>
    </w:p>
    <w:p w14:paraId="4AEE37DE">
      <w:pPr>
        <w:pStyle w:val="31"/>
        <w:spacing w:line="560" w:lineRule="exact"/>
        <w:ind w:firstLine="600" w:firstLineChars="200"/>
        <w:rPr>
          <w:rFonts w:hint="eastAsia" w:hAnsi="仿宋"/>
          <w:sz w:val="30"/>
          <w:szCs w:val="30"/>
        </w:rPr>
      </w:pPr>
      <w:r>
        <w:rPr>
          <w:rFonts w:hint="eastAsia" w:hAnsi="仿宋"/>
          <w:sz w:val="30"/>
          <w:szCs w:val="30"/>
        </w:rPr>
        <w:t>27.粮油物资储备支出(222)粮油物资事务(01)其他粮油物资事务支出(99)：指用于其他粮油和物资事务方面的支出。</w:t>
      </w:r>
    </w:p>
    <w:p w14:paraId="0F515C93">
      <w:pPr>
        <w:pStyle w:val="31"/>
        <w:spacing w:line="560" w:lineRule="exact"/>
        <w:ind w:firstLine="600" w:firstLineChars="200"/>
        <w:rPr>
          <w:rFonts w:hint="eastAsia" w:hAnsi="仿宋"/>
          <w:sz w:val="30"/>
          <w:szCs w:val="30"/>
        </w:rPr>
      </w:pPr>
      <w:r>
        <w:rPr>
          <w:rFonts w:hint="eastAsia" w:hAnsi="仿宋"/>
          <w:sz w:val="30"/>
          <w:szCs w:val="30"/>
        </w:rPr>
        <w:t>28.粮油物资储备支出(222)粮油储备(04)其他粮油储备支出(99)：指用于其他国家粮油储备支出。</w:t>
      </w:r>
    </w:p>
    <w:p w14:paraId="3C9942B2">
      <w:pPr>
        <w:pStyle w:val="31"/>
        <w:spacing w:line="560" w:lineRule="exact"/>
        <w:ind w:firstLine="600" w:firstLineChars="200"/>
        <w:rPr>
          <w:rFonts w:hint="eastAsia" w:hAnsi="仿宋"/>
          <w:sz w:val="30"/>
          <w:szCs w:val="30"/>
        </w:rPr>
      </w:pPr>
      <w:r>
        <w:rPr>
          <w:rFonts w:hint="eastAsia" w:hAnsi="仿宋"/>
          <w:sz w:val="30"/>
          <w:szCs w:val="30"/>
        </w:rPr>
        <w:t>29.粮油物资储备支出(222)重要商品储备(05)应急物资储备(11)：指用于救灾物资、防汛抗旱物资等应急物资储备的支出。</w:t>
      </w:r>
    </w:p>
    <w:p w14:paraId="5C2CD4D1">
      <w:pPr>
        <w:pStyle w:val="31"/>
        <w:spacing w:line="560" w:lineRule="exact"/>
        <w:ind w:firstLine="600" w:firstLineChars="200"/>
        <w:rPr>
          <w:rFonts w:hint="eastAsia" w:hAnsi="仿宋"/>
          <w:sz w:val="30"/>
          <w:szCs w:val="30"/>
        </w:rPr>
      </w:pPr>
      <w:r>
        <w:rPr>
          <w:rFonts w:hint="eastAsia" w:hAnsi="仿宋"/>
          <w:sz w:val="30"/>
          <w:szCs w:val="30"/>
        </w:rPr>
        <w:t>30.灾害防治及应急管理支出(224)应急管理事务(01)其他应急管理支出(99)：指用于其他应急管理方面的支出。</w:t>
      </w:r>
    </w:p>
    <w:p w14:paraId="1B6C6572">
      <w:pPr>
        <w:pStyle w:val="31"/>
        <w:spacing w:line="560" w:lineRule="exact"/>
        <w:ind w:firstLine="600" w:firstLineChars="200"/>
        <w:rPr>
          <w:rFonts w:hint="eastAsia" w:hAnsi="仿宋"/>
          <w:sz w:val="30"/>
          <w:szCs w:val="30"/>
        </w:rPr>
      </w:pPr>
      <w:r>
        <w:rPr>
          <w:rFonts w:hint="eastAsia" w:hAnsi="仿宋"/>
          <w:sz w:val="30"/>
          <w:szCs w:val="30"/>
          <w:lang w:val="en-US" w:eastAsia="zh-CN"/>
        </w:rPr>
        <w:t>31</w:t>
      </w:r>
      <w:r>
        <w:rPr>
          <w:rFonts w:hint="eastAsia" w:hAnsi="仿宋"/>
          <w:sz w:val="30"/>
          <w:szCs w:val="30"/>
        </w:rPr>
        <w:t>.基本支出：指为保障机构正常运转、完成日常工作任务而发生的人员支出和公用支出。</w:t>
      </w:r>
    </w:p>
    <w:p w14:paraId="793FCFCB">
      <w:pPr>
        <w:pStyle w:val="31"/>
        <w:spacing w:line="560" w:lineRule="exact"/>
        <w:ind w:firstLine="600" w:firstLineChars="200"/>
        <w:rPr>
          <w:rFonts w:hint="eastAsia" w:hAnsi="仿宋"/>
          <w:sz w:val="30"/>
          <w:szCs w:val="30"/>
        </w:rPr>
      </w:pPr>
      <w:r>
        <w:rPr>
          <w:rFonts w:hint="eastAsia" w:hAnsi="仿宋"/>
          <w:sz w:val="30"/>
          <w:szCs w:val="30"/>
          <w:lang w:val="en-US" w:eastAsia="zh-CN"/>
        </w:rPr>
        <w:t>32</w:t>
      </w:r>
      <w:r>
        <w:rPr>
          <w:rFonts w:hint="eastAsia" w:hAnsi="仿宋"/>
          <w:sz w:val="30"/>
          <w:szCs w:val="30"/>
        </w:rPr>
        <w:t>.项目支出：指在基本支出之外为完成特定行政任务和事业发展目标所发生的支出。</w:t>
      </w:r>
    </w:p>
    <w:p w14:paraId="0845DEB8">
      <w:pPr>
        <w:pStyle w:val="31"/>
        <w:spacing w:line="560" w:lineRule="exact"/>
        <w:ind w:firstLine="600" w:firstLineChars="200"/>
        <w:rPr>
          <w:rFonts w:hint="eastAsia" w:hAnsi="仿宋"/>
          <w:sz w:val="30"/>
          <w:szCs w:val="30"/>
        </w:rPr>
      </w:pPr>
      <w:r>
        <w:rPr>
          <w:rFonts w:hint="eastAsia" w:hAnsi="仿宋"/>
          <w:sz w:val="30"/>
          <w:szCs w:val="30"/>
          <w:lang w:val="en-US" w:eastAsia="zh-CN"/>
        </w:rPr>
        <w:t>33</w:t>
      </w:r>
      <w:r>
        <w:rPr>
          <w:rFonts w:hint="eastAsia" w:hAnsi="仿宋"/>
          <w:sz w:val="30"/>
          <w:szCs w:val="30"/>
        </w:rPr>
        <w:t>.经营支出：指事业单位在专业业务活动及其辅助活动之外开展非独立核算经营活动发生的支出。</w:t>
      </w:r>
    </w:p>
    <w:p w14:paraId="7CC82704">
      <w:pPr>
        <w:pStyle w:val="31"/>
        <w:spacing w:line="560" w:lineRule="exact"/>
        <w:ind w:firstLine="600" w:firstLineChars="200"/>
        <w:rPr>
          <w:rFonts w:hint="eastAsia" w:hAnsi="仿宋"/>
          <w:sz w:val="30"/>
          <w:szCs w:val="30"/>
        </w:rPr>
      </w:pPr>
      <w:r>
        <w:rPr>
          <w:rFonts w:hint="eastAsia" w:hAnsi="仿宋"/>
          <w:sz w:val="30"/>
          <w:szCs w:val="30"/>
          <w:lang w:val="en-US" w:eastAsia="zh-CN"/>
        </w:rPr>
        <w:t>34</w:t>
      </w:r>
      <w:r>
        <w:rPr>
          <w:rFonts w:hint="eastAsia" w:hAnsi="仿宋"/>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5A222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 w:hAnsi="仿宋" w:eastAsia="仿宋" w:cs="仿宋"/>
          <w:sz w:val="30"/>
          <w:szCs w:val="30"/>
          <w:lang w:val="en-US" w:eastAsia="zh-CN"/>
        </w:rPr>
        <w:t>35</w:t>
      </w:r>
      <w:r>
        <w:rPr>
          <w:rFonts w:hint="eastAsia" w:ascii="仿宋" w:hAnsi="仿宋" w:eastAsia="仿宋" w:cs="仿宋"/>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0E776D">
      <w:pPr>
        <w:spacing w:line="600" w:lineRule="exact"/>
        <w:jc w:val="center"/>
        <w:outlineLvl w:val="0"/>
        <w:rPr>
          <w:rStyle w:val="33"/>
          <w:rFonts w:hint="eastAsia" w:ascii="Times New Roman" w:hAnsi="Times New Roman" w:eastAsia="黑体"/>
          <w:b w:val="0"/>
          <w:color w:val="auto"/>
          <w:highlight w:val="none"/>
          <w:lang w:eastAsia="zh-CN"/>
        </w:rPr>
      </w:pPr>
      <w:bookmarkStart w:id="68"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9" w:name="_Toc15396614"/>
      <w:bookmarkStart w:id="70" w:name="_Toc20692"/>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9"/>
      <w:bookmarkEnd w:id="70"/>
    </w:p>
    <w:p w14:paraId="100ED783">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09663543">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CF1E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16CD37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BC3E6F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05C15BC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79E4C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D7022C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 w:eastAsia="仿宋_GB2312" w:cs="Times New Roman"/>
          <w:sz w:val="32"/>
          <w:szCs w:val="32"/>
          <w:lang w:val="en-US" w:eastAsia="zh-CN"/>
        </w:rPr>
        <w:t>区发展改革局下属二级单位</w:t>
      </w:r>
      <w:r>
        <w:rPr>
          <w:rFonts w:hint="eastAsia" w:ascii="仿宋_GB2312" w:hAnsi="仿宋" w:cs="Times New Roman"/>
          <w:sz w:val="32"/>
          <w:szCs w:val="32"/>
          <w:lang w:val="en-US" w:eastAsia="zh-CN"/>
        </w:rPr>
        <w:t>4</w:t>
      </w:r>
      <w:r>
        <w:rPr>
          <w:rFonts w:hint="eastAsia" w:ascii="仿宋_GB2312" w:hAnsi="仿宋" w:eastAsia="仿宋_GB2312" w:cs="Times New Roman"/>
          <w:sz w:val="32"/>
          <w:szCs w:val="32"/>
          <w:lang w:val="en-US" w:eastAsia="zh-CN"/>
        </w:rPr>
        <w:t>个，其中行政单位</w:t>
      </w:r>
      <w:r>
        <w:rPr>
          <w:rFonts w:hint="eastAsia" w:ascii="仿宋_GB2312" w:hAnsi="仿宋" w:cs="Times New Roman"/>
          <w:sz w:val="32"/>
          <w:szCs w:val="32"/>
          <w:lang w:val="en-US" w:eastAsia="zh-CN"/>
        </w:rPr>
        <w:t>0</w:t>
      </w:r>
      <w:r>
        <w:rPr>
          <w:rFonts w:hint="eastAsia" w:ascii="仿宋_GB2312" w:hAnsi="仿宋" w:eastAsia="仿宋_GB2312" w:cs="Times New Roman"/>
          <w:sz w:val="32"/>
          <w:szCs w:val="32"/>
          <w:lang w:val="en-US" w:eastAsia="zh-CN"/>
        </w:rPr>
        <w:t>个，参照公务员法管理的事业单位0个，其他事业单位</w:t>
      </w:r>
      <w:r>
        <w:rPr>
          <w:rFonts w:hint="eastAsia" w:ascii="仿宋_GB2312" w:hAnsi="仿宋" w:cs="Times New Roman"/>
          <w:sz w:val="32"/>
          <w:szCs w:val="32"/>
          <w:lang w:val="en-US" w:eastAsia="zh-CN"/>
        </w:rPr>
        <w:t>4</w:t>
      </w:r>
      <w:r>
        <w:rPr>
          <w:rFonts w:hint="eastAsia" w:ascii="仿宋_GB2312" w:hAnsi="仿宋" w:eastAsia="仿宋_GB2312" w:cs="Times New Roman"/>
          <w:sz w:val="32"/>
          <w:szCs w:val="32"/>
          <w:lang w:val="en-US" w:eastAsia="zh-CN"/>
        </w:rPr>
        <w:t>个，</w:t>
      </w:r>
      <w:r>
        <w:rPr>
          <w:rFonts w:hint="eastAsia" w:ascii="Times New Roman" w:hAnsi="Times New Roman" w:eastAsia="仿宋_GB2312" w:cs="仿宋_GB2312"/>
          <w:color w:val="auto"/>
          <w:sz w:val="32"/>
          <w:szCs w:val="32"/>
          <w:highlight w:val="none"/>
          <w:lang w:eastAsia="zh-CN"/>
        </w:rPr>
        <w:t>项目建设办公室（正科级）、重点工程和铁路建设中心（正科级）、价格认定服务中心（股级）、招标投标服务中心（股级）</w:t>
      </w:r>
      <w:r>
        <w:rPr>
          <w:rFonts w:hint="eastAsia" w:ascii="仿宋_GB2312" w:hAnsi="仿宋" w:eastAsia="仿宋_GB2312" w:cs="Times New Roman"/>
          <w:sz w:val="32"/>
          <w:szCs w:val="32"/>
          <w:lang w:val="en-US" w:eastAsia="zh-CN"/>
        </w:rPr>
        <w:t>。</w:t>
      </w:r>
    </w:p>
    <w:p w14:paraId="10151752">
      <w:pPr>
        <w:numPr>
          <w:ilvl w:val="0"/>
          <w:numId w:val="0"/>
        </w:numPr>
        <w:snapToGrid w:val="0"/>
        <w:spacing w:line="520" w:lineRule="exact"/>
        <w:ind w:leftChars="0" w:firstLine="643" w:firstLineChars="200"/>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46807E1B">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 w:hAnsi="仿宋" w:eastAsia="仿宋" w:cs="仿宋"/>
          <w:i w:val="0"/>
          <w:iCs w:val="0"/>
          <w:caps w:val="0"/>
          <w:color w:val="222222"/>
          <w:spacing w:val="0"/>
          <w:kern w:val="0"/>
          <w:sz w:val="32"/>
          <w:szCs w:val="32"/>
          <w:shd w:val="clear" w:color="auto" w:fill="FFFFFF"/>
          <w:lang w:val="en-US" w:eastAsia="zh-CN" w:bidi="ar"/>
        </w:rPr>
        <w:t>（1）</w:t>
      </w:r>
      <w:r>
        <w:rPr>
          <w:rFonts w:hint="eastAsia" w:ascii="仿宋_GB2312" w:hAnsi="仿宋" w:eastAsia="仿宋_GB2312" w:cs="Times New Roman"/>
          <w:sz w:val="32"/>
          <w:szCs w:val="32"/>
          <w:lang w:val="en-US" w:eastAsia="zh-CN"/>
        </w:rPr>
        <w:t>贯彻执行国家、省、市有关国民经济和社会发展、经济体制改革、粮食流通和物流储备管理的方针政策和法律法规。拟订并组织实施全区国民经济和社会发展战略、中长期规划和年度计划。牵头组织全区统一规划体系建设，负责区级专项规划、区域规划、空间规划与全区发展规划的统筹衔接。拟订并组织实施国民经济和社会发展、经济体制改革、粮食流通和物资储备管理措施。</w:t>
      </w:r>
    </w:p>
    <w:p w14:paraId="78E6A2C8">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2</w:t>
      </w:r>
      <w:r>
        <w:rPr>
          <w:rFonts w:hint="eastAsia" w:ascii="仿宋_GB2312" w:hAnsi="仿宋" w:eastAsia="仿宋_GB2312" w:cs="Times New Roman"/>
          <w:sz w:val="32"/>
          <w:szCs w:val="32"/>
          <w:lang w:val="en-US" w:eastAsia="zh-CN"/>
        </w:rPr>
        <w:t>）统筹提出全区国民经济和社会发展主要目标，提出加快建设现代化经济体系、推动高质量发展的总体目标、重大任务及相关政策，监测预测预警宏观经济和社会发展态势趋势，研究宏观调控重大问题并提出政策建议，协调解决经济运行、总量平衡等重大问题。负责开发区的指导、协调和宏观管理。</w:t>
      </w:r>
    </w:p>
    <w:p w14:paraId="3FD8E6E4">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3</w:t>
      </w:r>
      <w:r>
        <w:rPr>
          <w:rFonts w:hint="eastAsia" w:ascii="仿宋_GB2312" w:hAnsi="仿宋" w:eastAsia="仿宋_GB2312" w:cs="Times New Roman"/>
          <w:sz w:val="32"/>
          <w:szCs w:val="32"/>
          <w:lang w:val="en-US" w:eastAsia="zh-CN"/>
        </w:rPr>
        <w:t>）汇总分析全区财政、金融等方面情况，参与拟订财政、金融、土地政策、综合分析政策执行效果，负责全口径外债的总量控制、结构优化和监测工作，提出多渠道融资的建议，综合协调财政、金融、价格和产业政策等经济杠杆，保证全区国民经济计划和发展规划的实施。</w:t>
      </w:r>
    </w:p>
    <w:p w14:paraId="7E70C3D6">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4</w:t>
      </w:r>
      <w:r>
        <w:rPr>
          <w:rFonts w:hint="eastAsia" w:ascii="仿宋_GB2312" w:hAnsi="仿宋" w:eastAsia="仿宋_GB2312" w:cs="Times New Roman"/>
          <w:sz w:val="32"/>
          <w:szCs w:val="32"/>
          <w:lang w:val="en-US" w:eastAsia="zh-CN"/>
        </w:rPr>
        <w:t>）指导推进和综合协调全区经济体制改革有关工作，提出相关改革建议。牵头推进供给侧结构性改革。协调推进产权制度和要素市场化配置改革。推动完善基本经济制度和现代市场体系建设，会同相关部门组织实施市场准入负面清单制度，牵头推进优化营商环境工作。</w:t>
      </w:r>
    </w:p>
    <w:p w14:paraId="3752365D">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5</w:t>
      </w:r>
      <w:r>
        <w:rPr>
          <w:rFonts w:hint="eastAsia" w:ascii="仿宋_GB2312" w:hAnsi="仿宋" w:eastAsia="仿宋_GB2312" w:cs="Times New Roman"/>
          <w:sz w:val="32"/>
          <w:szCs w:val="32"/>
          <w:lang w:val="en-US" w:eastAsia="zh-CN"/>
        </w:rPr>
        <w:t>）贯彻实施国家、省、市、区有关价格法律法规和方针政策，编制和执行价格调整改革规划，提出年度价格总水平调控目标及价格调控措施并组织实施，管理国家、省、市和区列名管理的除药品和医疗服务价格外的商品和服务价格，承担行政事业性收费管理工作，负责全区价格成本调查监审、价格监测、价格认定等工作。</w:t>
      </w:r>
    </w:p>
    <w:p w14:paraId="193AEE6D">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6</w:t>
      </w:r>
      <w:r>
        <w:rPr>
          <w:rFonts w:hint="eastAsia" w:ascii="仿宋_GB2312" w:hAnsi="仿宋" w:eastAsia="仿宋_GB2312" w:cs="Times New Roman"/>
          <w:sz w:val="32"/>
          <w:szCs w:val="32"/>
          <w:lang w:val="en-US" w:eastAsia="zh-CN"/>
        </w:rPr>
        <w:t>）负责全区投资综合管理和协调推进重大项目建设，拟订全社会固定资产投资总规模、结构调控目标、政策及措施，拟订区级政府投资项目年度计划，安排区级预算内基本建设资金。提出全区重点项目年度投资计划，按规定权限审批除企业技术改造项目外的固定资产投资项目。引导民间投资方向，推动国家、省、市和区民间投资政策措施落实。提出利用外资和境外投资的战略、规划、总量平衡和结构优化政策。指导和协调国外贷款项目实施。指导工程咨询业发展。</w:t>
      </w:r>
    </w:p>
    <w:p w14:paraId="2F5257B4">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7</w:t>
      </w:r>
      <w:r>
        <w:rPr>
          <w:rFonts w:hint="eastAsia" w:ascii="仿宋_GB2312" w:hAnsi="仿宋" w:eastAsia="仿宋_GB2312" w:cs="Times New Roman"/>
          <w:sz w:val="32"/>
          <w:szCs w:val="32"/>
          <w:lang w:val="en-US" w:eastAsia="zh-CN"/>
        </w:rPr>
        <w:t>）组织拟订全区综合性产业政策。协调一二三产业发展重大问题并统筹衔接相关发展规划和重大政策。拟订重大产业发展规划，引导全区重大生产力合理布局，协调推进重大基础设施建设发展，组织拟订并推动实施服务业及现代物流业战略、规划和重大政策。组织拟订并推动实施高技术产业和战略性新兴产业发展规划政策，协调产业升级、重大技术装备推广应用等方面的重大问题。</w:t>
      </w:r>
    </w:p>
    <w:p w14:paraId="25F4F34B">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8</w:t>
      </w:r>
      <w:r>
        <w:rPr>
          <w:rFonts w:hint="eastAsia" w:ascii="仿宋_GB2312" w:hAnsi="仿宋" w:eastAsia="仿宋_GB2312" w:cs="Times New Roman"/>
          <w:sz w:val="32"/>
          <w:szCs w:val="32"/>
          <w:lang w:val="en-US" w:eastAsia="zh-CN"/>
        </w:rPr>
        <w:t>）推动落实区域协调发展战略、新型城镇化战略和重大政策，牵头推进实施“一带一路”建设。统筹推进“一核三片、四区协同”“双联双拓、全域开放”等区域发展和对外开放战略，组织拟订全区区域协调发展战略、规划和政策，负责区域合作的统筹协调工作。组织实施以工代赈等。</w:t>
      </w:r>
    </w:p>
    <w:p w14:paraId="50136CA6">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9</w:t>
      </w:r>
      <w:r>
        <w:rPr>
          <w:rFonts w:hint="eastAsia" w:ascii="仿宋_GB2312" w:hAnsi="仿宋" w:eastAsia="仿宋_GB2312" w:cs="Times New Roman"/>
          <w:sz w:val="32"/>
          <w:szCs w:val="32"/>
          <w:lang w:val="en-US" w:eastAsia="zh-CN"/>
        </w:rPr>
        <w:t>）跟踪研判涉及经济安全、生态安全、资源安全、科技安全、社会安全等各类风险隐患，提出相关工作建议。负责重要商品总量平衡和宏观调控，提出重要工业品、原材料和重要农产品进出口调控意见并协调落实。提出重要商品市场、生产要素市场的总体布局和发展规划。</w:t>
      </w:r>
    </w:p>
    <w:p w14:paraId="1579421F">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10</w:t>
      </w:r>
      <w:r>
        <w:rPr>
          <w:rFonts w:hint="eastAsia" w:ascii="仿宋_GB2312" w:hAnsi="仿宋" w:eastAsia="仿宋_GB2312" w:cs="Times New Roman"/>
          <w:sz w:val="32"/>
          <w:szCs w:val="32"/>
          <w:lang w:val="en-US" w:eastAsia="zh-CN"/>
        </w:rPr>
        <w:t>）承担全区粮食宏观调控、粮食预警监测和应急供应工作。组织实施全区重要物资和应急储备物资的收储、轮换和日常管理，落实有关动用计划和指令，管理全区粮食、棉花、食糖及重要消费品储备，负责全区军粮供应和前运粮相关工作，承担粮食安全行政首长责任制考核具体工作。负责储备基础设施的建设和管理。负责对管理的政府储备、企业储备以及储备政策落实情况进行监督检查。负责粮食流通执法督查。负责粮食收购、储存、运输环节和政策性用粮质量安全和原粮卫生的监督管理，组织实施全区粮食库存检查工作。</w:t>
      </w:r>
    </w:p>
    <w:p w14:paraId="04D16E29">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11</w:t>
      </w:r>
      <w:r>
        <w:rPr>
          <w:rFonts w:hint="eastAsia" w:ascii="仿宋_GB2312" w:hAnsi="仿宋" w:eastAsia="仿宋_GB2312" w:cs="Times New Roman"/>
          <w:sz w:val="32"/>
          <w:szCs w:val="32"/>
          <w:lang w:val="en-US" w:eastAsia="zh-CN"/>
        </w:rPr>
        <w:t>）负责全区社会发展与国民经济发展的政策衔接，协调有关重大问题。组织拟订社会发展战略、总体规划，拟订人口发展战略、规划及人口政策，参与拟订科学技术、教育、文化、卫生健康、民政等发展政策，推进社会事业建设。统筹推进基本公共服务体系建设和收入分配制度改革，提出促进就业、完善社会保障与经济协调发展的政策建议。牵头开展社会信用体系建设。</w:t>
      </w:r>
    </w:p>
    <w:p w14:paraId="7C99A6A6">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12</w:t>
      </w:r>
      <w:r>
        <w:rPr>
          <w:rFonts w:hint="eastAsia" w:ascii="仿宋_GB2312" w:hAnsi="仿宋" w:eastAsia="仿宋_GB2312" w:cs="Times New Roman"/>
          <w:sz w:val="32"/>
          <w:szCs w:val="32"/>
          <w:lang w:val="en-US" w:eastAsia="zh-CN"/>
        </w:rPr>
        <w:t>）推进实施可持续发展战略，推动生态文明建设和改革，协调生态环境保护与修复、能源资源节约和综合利用等工作。组织制定并协调实施全区发展循环经济、能源资源节约和综合利用规划及政策措施，参与编制生态建设、环境保护规划。提出健全生态保护补偿机制的政策措施，综合协调环保产业和清洁生产促进有关工作。</w:t>
      </w:r>
    </w:p>
    <w:p w14:paraId="440B1FE6">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13</w:t>
      </w:r>
      <w:r>
        <w:rPr>
          <w:rFonts w:hint="eastAsia" w:ascii="仿宋_GB2312" w:hAnsi="仿宋" w:eastAsia="仿宋_GB2312" w:cs="Times New Roman"/>
          <w:sz w:val="32"/>
          <w:szCs w:val="32"/>
          <w:lang w:val="en-US" w:eastAsia="zh-CN"/>
        </w:rPr>
        <w:t>）拟订全区能源发展战略、规划和政策，提出能源消费总量控制目标、任务并组织实施，协调能源发展和改革中的重大问题。统筹规划、综合平衡能源建设和重大项目布局，按权限实施对能源项目和计划的管理，监测能源发展情况，跟踪了解能源运行和安全状况，参与能源运行调节和应急保障。指导协调农村能源发展工作。</w:t>
      </w:r>
    </w:p>
    <w:p w14:paraId="69997C1E">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14</w:t>
      </w:r>
      <w:r>
        <w:rPr>
          <w:rFonts w:hint="eastAsia" w:ascii="仿宋_GB2312" w:hAnsi="仿宋" w:eastAsia="仿宋_GB2312" w:cs="Times New Roman"/>
          <w:sz w:val="32"/>
          <w:szCs w:val="32"/>
          <w:lang w:val="en-US" w:eastAsia="zh-CN"/>
        </w:rPr>
        <w:t>）会同有关部门拟订推进经济建设与国防建设协调发展的战略和规划，协调有关重大问题。</w:t>
      </w:r>
    </w:p>
    <w:p w14:paraId="4B21A2CA">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15</w:t>
      </w:r>
      <w:r>
        <w:rPr>
          <w:rFonts w:hint="eastAsia" w:ascii="仿宋_GB2312" w:hAnsi="仿宋" w:eastAsia="仿宋_GB2312" w:cs="Times New Roman"/>
          <w:sz w:val="32"/>
          <w:szCs w:val="32"/>
          <w:lang w:val="en-US" w:eastAsia="zh-CN"/>
        </w:rPr>
        <w:t>）指导、协调并综合管理全区招标投标工作，对国家、省、市、区重大建设项目的工程招标投标活动实施监督检查。</w:t>
      </w:r>
    </w:p>
    <w:p w14:paraId="6169A576">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16</w:t>
      </w:r>
      <w:r>
        <w:rPr>
          <w:rFonts w:hint="eastAsia" w:ascii="仿宋_GB2312" w:hAnsi="仿宋" w:eastAsia="仿宋_GB2312" w:cs="Times New Roman"/>
          <w:sz w:val="32"/>
          <w:szCs w:val="32"/>
          <w:lang w:val="en-US" w:eastAsia="zh-CN"/>
        </w:rPr>
        <w:t>）承担区重点工程建设项目的组织协调工作和组织协调处理全区铁路项目建设过程中涉及的重大问题，协同做好全区铁路建设规划及年度计划编制，征地拆迁相关工作等行政职责。</w:t>
      </w:r>
    </w:p>
    <w:p w14:paraId="61A4A113">
      <w:pPr>
        <w:numPr>
          <w:ilvl w:val="0"/>
          <w:numId w:val="0"/>
        </w:numPr>
        <w:snapToGrid w:val="0"/>
        <w:spacing w:line="520" w:lineRule="exact"/>
        <w:ind w:leftChars="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17</w:t>
      </w:r>
      <w:r>
        <w:rPr>
          <w:rFonts w:hint="eastAsia" w:ascii="仿宋_GB2312" w:hAnsi="仿宋" w:eastAsia="仿宋_GB2312" w:cs="Times New Roman"/>
          <w:sz w:val="32"/>
          <w:szCs w:val="32"/>
          <w:lang w:val="en-US" w:eastAsia="zh-CN"/>
        </w:rPr>
        <w:t>）负责职责范围内的安全生产和职业健康、生态环境保护、审批服务便民化、依法治理等工作。</w:t>
      </w:r>
    </w:p>
    <w:p w14:paraId="4340845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18</w:t>
      </w:r>
      <w:r>
        <w:rPr>
          <w:rFonts w:hint="eastAsia" w:ascii="仿宋_GB2312" w:hAnsi="仿宋" w:eastAsia="仿宋_GB2312" w:cs="Times New Roman"/>
          <w:sz w:val="32"/>
          <w:szCs w:val="32"/>
          <w:lang w:val="en-US" w:eastAsia="zh-CN"/>
        </w:rPr>
        <w:t>）完成区委</w:t>
      </w:r>
      <w:r>
        <w:rPr>
          <w:rFonts w:hint="eastAsia" w:ascii="Times New Roman" w:hAnsi="Times New Roman" w:eastAsia="仿宋_GB2312" w:cs="Times New Roman"/>
          <w:sz w:val="32"/>
          <w:szCs w:val="32"/>
          <w:lang w:val="en-US" w:eastAsia="zh-CN"/>
        </w:rPr>
        <w:t>和区政府交办的其他任务。</w:t>
      </w:r>
    </w:p>
    <w:p w14:paraId="54DA28C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4405213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区发改局在编人员30人，其中：行政编制13人，事业编制15人，工勤编制2人。</w:t>
      </w:r>
    </w:p>
    <w:p w14:paraId="680C02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635DBEC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3C08AB8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区发改局</w:t>
      </w:r>
      <w:r>
        <w:rPr>
          <w:rFonts w:hint="eastAsia" w:ascii="Times New Roman" w:hAnsi="Times New Roman" w:eastAsia="仿宋_GB2312" w:cs="Times New Roman"/>
          <w:sz w:val="32"/>
          <w:szCs w:val="32"/>
          <w:lang w:val="en-US" w:eastAsia="zh-CN"/>
        </w:rPr>
        <w:t>2024年年初预算收入1207</w:t>
      </w:r>
      <w:r>
        <w:rPr>
          <w:rFonts w:hint="eastAsia" w:eastAsia="仿宋_GB2312" w:cs="Times New Roman"/>
          <w:sz w:val="32"/>
          <w:szCs w:val="32"/>
          <w:lang w:val="en-US" w:eastAsia="zh-CN"/>
        </w:rPr>
        <w:t>.8万</w:t>
      </w:r>
      <w:r>
        <w:rPr>
          <w:rFonts w:hint="eastAsia" w:ascii="Times New Roman" w:hAnsi="Times New Roman" w:eastAsia="仿宋_GB2312" w:cs="Times New Roman"/>
          <w:sz w:val="32"/>
          <w:szCs w:val="32"/>
          <w:lang w:val="en-US" w:eastAsia="zh-CN"/>
        </w:rPr>
        <w:t>元、决算报表收入36215</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21</w:t>
      </w:r>
      <w:r>
        <w:rPr>
          <w:rFonts w:hint="eastAsia" w:eastAsia="仿宋_GB2312" w:cs="Times New Roman"/>
          <w:sz w:val="32"/>
          <w:szCs w:val="32"/>
          <w:lang w:val="en-US" w:eastAsia="zh-CN"/>
        </w:rPr>
        <w:t>万</w:t>
      </w:r>
      <w:r>
        <w:rPr>
          <w:rFonts w:hint="eastAsia" w:ascii="Times New Roman" w:hAnsi="Times New Roman" w:eastAsia="仿宋_GB2312" w:cs="Times New Roman"/>
          <w:sz w:val="32"/>
          <w:szCs w:val="32"/>
          <w:lang w:val="en-US" w:eastAsia="zh-CN"/>
        </w:rPr>
        <w:t>元。</w:t>
      </w:r>
    </w:p>
    <w:p w14:paraId="0B307B8C">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338ADD4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区发改局2024年年初预算支出1207</w:t>
      </w:r>
      <w:r>
        <w:rPr>
          <w:rFonts w:hint="eastAsia" w:eastAsia="仿宋_GB2312" w:cs="Times New Roman"/>
          <w:sz w:val="32"/>
          <w:szCs w:val="32"/>
          <w:lang w:val="en-US" w:eastAsia="zh-CN"/>
        </w:rPr>
        <w:t>.8万</w:t>
      </w:r>
      <w:r>
        <w:rPr>
          <w:rFonts w:hint="eastAsia" w:ascii="Times New Roman" w:hAnsi="Times New Roman" w:eastAsia="仿宋_GB2312" w:cs="Times New Roman"/>
          <w:sz w:val="32"/>
          <w:szCs w:val="32"/>
          <w:lang w:val="en-US" w:eastAsia="zh-CN"/>
        </w:rPr>
        <w:t>元、决算报表支出36215</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21</w:t>
      </w:r>
      <w:r>
        <w:rPr>
          <w:rFonts w:hint="eastAsia" w:eastAsia="仿宋_GB2312" w:cs="Times New Roman"/>
          <w:sz w:val="32"/>
          <w:szCs w:val="32"/>
          <w:lang w:val="en-US" w:eastAsia="zh-CN"/>
        </w:rPr>
        <w:t>万</w:t>
      </w:r>
      <w:r>
        <w:rPr>
          <w:rFonts w:hint="eastAsia" w:ascii="Times New Roman" w:hAnsi="Times New Roman" w:eastAsia="仿宋_GB2312" w:cs="Times New Roman"/>
          <w:sz w:val="32"/>
          <w:szCs w:val="32"/>
          <w:lang w:val="en-US" w:eastAsia="zh-CN"/>
        </w:rPr>
        <w:t>元。</w:t>
      </w:r>
    </w:p>
    <w:p w14:paraId="0DE9A49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eastAsia="楷体_GB2312" w:cs="Times New Roman"/>
          <w:b/>
          <w:bCs/>
          <w:color w:val="000000"/>
          <w:kern w:val="0"/>
          <w:sz w:val="32"/>
          <w:szCs w:val="32"/>
          <w:highlight w:val="none"/>
          <w:shd w:val="clear" w:color="auto" w:fill="FFFFFF"/>
          <w:lang w:val="zh-CN"/>
        </w:rPr>
        <w:t>。</w:t>
      </w:r>
    </w:p>
    <w:p w14:paraId="1597AE4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区发改局2024年决算报表无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6678CA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E7795F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Times New Roman"/>
          <w:sz w:val="32"/>
          <w:szCs w:val="32"/>
          <w:lang w:val="zh-CN" w:eastAsia="zh-CN"/>
        </w:rPr>
        <w:t>根据部门预算绩效评价指标体系</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总体绩效</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涉及</w:t>
      </w:r>
      <w:r>
        <w:rPr>
          <w:rFonts w:hint="eastAsia" w:ascii="Times New Roman" w:hAnsi="Times New Roman" w:eastAsia="仿宋_GB2312" w:cs="Times New Roman"/>
          <w:sz w:val="32"/>
          <w:szCs w:val="32"/>
          <w:lang w:val="zh-CN" w:eastAsia="zh-CN"/>
        </w:rPr>
        <w:t>二、三级</w:t>
      </w:r>
      <w:r>
        <w:rPr>
          <w:rFonts w:hint="default" w:ascii="Times New Roman" w:hAnsi="Times New Roman" w:eastAsia="仿宋_GB2312" w:cs="Times New Roman"/>
          <w:sz w:val="32"/>
          <w:szCs w:val="32"/>
          <w:lang w:val="zh-CN" w:eastAsia="zh-CN"/>
        </w:rPr>
        <w:t>指标进行</w:t>
      </w:r>
      <w:r>
        <w:rPr>
          <w:rFonts w:hint="eastAsia" w:ascii="Times New Roman" w:hAnsi="Times New Roman" w:eastAsia="仿宋_GB2312" w:cs="Times New Roman"/>
          <w:sz w:val="32"/>
          <w:szCs w:val="32"/>
          <w:lang w:val="zh-CN" w:eastAsia="zh-CN"/>
        </w:rPr>
        <w:t>逐项</w:t>
      </w:r>
      <w:r>
        <w:rPr>
          <w:rFonts w:hint="default" w:ascii="Times New Roman" w:hAnsi="Times New Roman" w:eastAsia="仿宋_GB2312" w:cs="Times New Roman"/>
          <w:sz w:val="32"/>
          <w:szCs w:val="32"/>
          <w:lang w:val="zh-CN" w:eastAsia="zh-CN"/>
        </w:rPr>
        <w:t>绩效分析</w:t>
      </w:r>
      <w:r>
        <w:rPr>
          <w:rFonts w:hint="eastAsia" w:ascii="Times New Roman" w:hAnsi="Times New Roman" w:eastAsia="仿宋_GB2312" w:cs="Times New Roman"/>
          <w:sz w:val="32"/>
          <w:szCs w:val="32"/>
          <w:lang w:val="zh-CN" w:eastAsia="zh-CN"/>
        </w:rPr>
        <w:t>并评分</w:t>
      </w:r>
      <w:r>
        <w:rPr>
          <w:rFonts w:hint="default" w:ascii="Times New Roman" w:hAnsi="Times New Roman" w:eastAsia="仿宋_GB2312" w:cs="Times New Roman"/>
          <w:sz w:val="32"/>
          <w:szCs w:val="32"/>
          <w:lang w:val="zh-CN" w:eastAsia="zh-CN"/>
        </w:rPr>
        <w:t>，依次包括履职效能、预算管理、财务管理、资产管理、采购管理等情况。</w:t>
      </w:r>
    </w:p>
    <w:p w14:paraId="01EB38A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履职效能。</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度共实施3个以工代赈专项资金项目，争取上级资金共计1270万元。截至目前，已吸纳务工群众790余人，发放劳务报酬260万余元。积极谋划7个农业农村基础设施领域采取以工代赈方式实施项目，撬动财政资金9928万元，预计发放劳务报酬1015余万元。截至目前，已带动项目周边438名群众就近就业，发放劳务报酬270余万元。3个重点项目推广以工代赈方式，已带动项目周边150余名群众就近就业，发放劳务报酬510余万元。</w:t>
      </w:r>
    </w:p>
    <w:p w14:paraId="29F8B46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增加地方储备粮规模2000吨，轮换区级储备稻谷1500吨，截至目前，区级储备粮油原粮4500吨，小包装大米500吨，小包装成品油60吨，储备冻猪肉106吨。全面完成2024年全省政策性粮油库存检查工作，辖区内市、区级政策性储备粮油数量真实、质量宜存。协助市粮监站完成小春、大春新收获粮食检测工作，我区粮食检测样品达到120余份。开展2024年救灾物资储备清查工作，对现存价值约189万余元的31类救灾物资进行全面清查，确保粮食及应急物资储备平时备得足、管得住、储得好，关键时刻拿得出、调得快、用得上</w:t>
      </w:r>
      <w:r>
        <w:rPr>
          <w:rFonts w:hint="eastAsia" w:ascii="Times New Roman" w:hAnsi="Times New Roman" w:eastAsia="仿宋_GB2312" w:cs="Times New Roman"/>
          <w:sz w:val="32"/>
          <w:szCs w:val="32"/>
          <w:lang w:val="en-US" w:eastAsia="zh-CN"/>
        </w:rPr>
        <w:t>。</w:t>
      </w:r>
    </w:p>
    <w:p w14:paraId="6B8E512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预算管理</w:t>
      </w:r>
      <w:r>
        <w:rPr>
          <w:rFonts w:hint="eastAsia" w:ascii="Times New Roman" w:hAnsi="Times New Roman" w:eastAsia="仿宋_GB2312" w:cs="Times New Roman"/>
          <w:sz w:val="32"/>
          <w:szCs w:val="32"/>
          <w:lang w:val="zh-CN" w:eastAsia="zh-CN"/>
        </w:rPr>
        <w:t>。我局按照单位实际情况和年度工作计划，科学合理编制部门预算。在预算执行过程中，加强预算执行管理，及时跟踪资金支出进度，加快推进项目实施进度，确保财政资金规范、安全、高效运行。</w:t>
      </w:r>
    </w:p>
    <w:p w14:paraId="28E055C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资产管理</w:t>
      </w:r>
      <w:r>
        <w:rPr>
          <w:rFonts w:hint="eastAsia" w:ascii="Times New Roman" w:hAnsi="Times New Roman" w:eastAsia="仿宋_GB2312" w:cs="Times New Roman"/>
          <w:sz w:val="32"/>
          <w:szCs w:val="32"/>
          <w:lang w:val="zh-CN" w:eastAsia="zh-CN"/>
        </w:rPr>
        <w:t>。我局通过不断建立健全资产管理相关制度，合理配备资产，同时对下属单位资产管理进行指导和监督，资产的使用效率得到提高，资产的安全性和完整性得到保障。</w:t>
      </w:r>
    </w:p>
    <w:p w14:paraId="0CC5E0F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采购管理</w:t>
      </w:r>
      <w:r>
        <w:rPr>
          <w:rFonts w:hint="eastAsia" w:ascii="Times New Roman" w:hAnsi="Times New Roman" w:eastAsia="仿宋_GB2312" w:cs="Times New Roman"/>
          <w:sz w:val="32"/>
          <w:szCs w:val="32"/>
          <w:lang w:val="zh-CN" w:eastAsia="zh-CN"/>
        </w:rPr>
        <w:t>。我局严格按照《四川省政府采购面向中小企业采购品目指导目录》进行政府采购，加大政府采购支持中小企业力度，进一步帮助中小企业纾困解难，优化政府采购营商环境</w:t>
      </w:r>
    </w:p>
    <w:p w14:paraId="395B685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财务管理</w:t>
      </w:r>
      <w:r>
        <w:rPr>
          <w:rFonts w:hint="eastAsia" w:ascii="Times New Roman" w:hAnsi="Times New Roman" w:eastAsia="仿宋_GB2312" w:cs="Times New Roman"/>
          <w:sz w:val="32"/>
          <w:szCs w:val="32"/>
          <w:lang w:val="zh-CN" w:eastAsia="zh-CN"/>
        </w:rPr>
        <w:t>。我局严格按照</w:t>
      </w:r>
      <w:r>
        <w:rPr>
          <w:rFonts w:hint="eastAsia" w:eastAsia="仿宋_GB2312" w:cs="Times New Roman"/>
          <w:sz w:val="32"/>
          <w:szCs w:val="32"/>
          <w:lang w:val="zh-CN" w:eastAsia="zh-CN"/>
        </w:rPr>
        <w:t>《中华人民共和国会计法》</w:t>
      </w:r>
      <w:r>
        <w:rPr>
          <w:rFonts w:hint="eastAsia" w:ascii="Times New Roman" w:hAnsi="Times New Roman" w:eastAsia="仿宋_GB2312" w:cs="Times New Roman"/>
          <w:sz w:val="32"/>
          <w:szCs w:val="32"/>
          <w:lang w:val="zh-CN" w:eastAsia="zh-CN"/>
        </w:rPr>
        <w:t>和《会计基础工作规范》等财经制度进行账务处理。在日常工作中认真审核原始凭证，定期对账务进行自查和核对，确保会计信息的真实、完整、准确，不断提高财务工作管理能力和服务水平。</w:t>
      </w:r>
    </w:p>
    <w:p w14:paraId="7AF331B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w:t>
      </w:r>
      <w:r>
        <w:rPr>
          <w:rFonts w:hint="default" w:ascii="Times New Roman" w:hAnsi="Times New Roman" w:eastAsia="仿宋_GB2312" w:cs="Times New Roman"/>
          <w:sz w:val="32"/>
          <w:szCs w:val="32"/>
          <w:lang w:val="en-US" w:eastAsia="zh-CN"/>
        </w:rPr>
        <w:t>实现等情况</w:t>
      </w:r>
      <w:r>
        <w:rPr>
          <w:rFonts w:hint="eastAsia" w:ascii="Times New Roman" w:hAnsi="Times New Roman" w:eastAsia="仿宋_GB2312" w:cs="Times New Roman"/>
          <w:sz w:val="32"/>
          <w:szCs w:val="32"/>
          <w:lang w:val="en-US" w:eastAsia="zh-CN"/>
        </w:rPr>
        <w:t>。</w:t>
      </w:r>
    </w:p>
    <w:p w14:paraId="7B49740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34414.08</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63CAD31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645.6</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72BD607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项目决策。我局项目实施严格按照内控制度决策程序执行，目标设置明确、合理。对入库项目进行定期跟踪和评估，及时调整项目库，以确保项目的质量和效益。</w:t>
      </w:r>
    </w:p>
    <w:p w14:paraId="325F74D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2.项目执行</w:t>
      </w:r>
      <w:r>
        <w:rPr>
          <w:rFonts w:hint="eastAsia" w:ascii="Times New Roman" w:hAnsi="Times New Roman" w:eastAsia="仿宋_GB2312" w:cs="Times New Roman"/>
          <w:sz w:val="32"/>
          <w:szCs w:val="32"/>
          <w:lang w:val="zh-CN" w:eastAsia="zh-CN"/>
        </w:rPr>
        <w:t>。我局资金的实际使用与预算保持一致，在项目实施过程中，加强项目监控，及时调整资金执行计划，确保最大限度地发挥资金的使用效益。</w:t>
      </w:r>
    </w:p>
    <w:p w14:paraId="5F4B24F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目标实现。我局的项目绩效评价自查自评结果显示，项目支出确保了重点工作的顺利进行，并成功实现了预期的绩效目标。</w:t>
      </w:r>
    </w:p>
    <w:p w14:paraId="734FB8C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eastAsia="楷体_GB2312" w:cs="Times New Roman"/>
          <w:b/>
          <w:bCs/>
          <w:color w:val="000000"/>
          <w:kern w:val="0"/>
          <w:sz w:val="32"/>
          <w:szCs w:val="32"/>
          <w:highlight w:val="none"/>
          <w:shd w:val="clear" w:color="auto" w:fill="FFFFFF"/>
          <w:lang w:val="zh-CN"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5D1EE33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bidi="ar"/>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年区发改局（含下属）对预算绩效管理工作开展情况认真进行了自查自评，绩效自评开展覆盖下属单位及重点支出，将评价结果作为预算安排的重要依据，调整支出结果，优化财政资金配置，不断强化绩效理念，推动我部门整体绩效水平不断提升。</w:t>
      </w:r>
    </w:p>
    <w:p w14:paraId="7B779F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050555F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5A681E4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总体看</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全年支出运行和绩效评价情况良好，各项目标达到了相应时期执行进度，基本符合单位实际情况和行业发展需要，使预算执行得到了良好的实施效果。绩效自评得分99.3分。</w:t>
      </w:r>
    </w:p>
    <w:p w14:paraId="19D28CD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029AF29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w w:val="95"/>
          <w:kern w:val="0"/>
          <w:position w:val="0"/>
          <w:sz w:val="33"/>
          <w:szCs w:val="33"/>
          <w:highlight w:val="none"/>
          <w:lang w:val="en-US" w:eastAsia="zh-CN" w:bidi="ar-SA"/>
        </w:rPr>
      </w:pPr>
      <w:r>
        <w:rPr>
          <w:rFonts w:hint="eastAsia" w:ascii="Times New Roman" w:hAnsi="Times New Roman" w:eastAsia="仿宋_GB2312" w:cs="Times New Roman"/>
          <w:sz w:val="32"/>
          <w:szCs w:val="32"/>
          <w:lang w:val="en-US" w:eastAsia="zh-CN"/>
        </w:rPr>
        <w:t>一是还需进一步加强预算编制的准确性，项目预算及专项经费执行情况受政策性影响较大，提升预算编制质量和水平。二是项目绩效目标设置有待进一步细化，提高各项指标的合理性，可量化性，进一步提高资金使用效益最大化。</w:t>
      </w:r>
    </w:p>
    <w:p w14:paraId="485B737B">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71" w:name="_Hlk110546638"/>
    </w:p>
    <w:p w14:paraId="74CFBAF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zh-CN" w:eastAsia="zh-CN"/>
        </w:rPr>
        <w:t>一是规范预算绩效管理</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细化绩效管理措施，加强项目经费支出管理，加强预算调整的应用，提高预算的执行效率。二是加强项目执行过程中的管理与监督，强化绩效目标应用，将绩效管理深度融入预算编制、执行和监督全过程。三是规范财务管理，不断提高部门预算绩效管理的整体水平。</w:t>
      </w:r>
    </w:p>
    <w:bookmarkEnd w:id="71"/>
    <w:p w14:paraId="002CE97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5046ED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w:t>
      </w:r>
      <w:r>
        <w:rPr>
          <w:rFonts w:hint="eastAsia" w:ascii="Times New Roman" w:hAnsi="Times New Roman" w:eastAsia="仿宋_GB2312" w:cs="Times New Roman"/>
          <w:kern w:val="2"/>
          <w:sz w:val="32"/>
          <w:szCs w:val="32"/>
          <w:highlight w:val="none"/>
          <w:u w:val="none"/>
          <w:lang w:val="en-US" w:eastAsia="zh-CN" w:bidi="ar"/>
        </w:rPr>
        <w:t>表</w:t>
      </w:r>
      <w:r>
        <w:rPr>
          <w:rFonts w:hint="eastAsia" w:ascii="Times New Roman" w:hAnsi="Times New Roman" w:eastAsia="仿宋_GB2312" w:cs="Times New Roman"/>
          <w:kern w:val="2"/>
          <w:sz w:val="32"/>
          <w:szCs w:val="32"/>
          <w:highlight w:val="none"/>
          <w:u w:val="none"/>
          <w:lang w:val="zh-CN" w:eastAsia="zh-CN" w:bidi="ar"/>
        </w:rPr>
        <w:t>：</w:t>
      </w:r>
      <w:r>
        <w:rPr>
          <w:rFonts w:hint="eastAsia" w:ascii="Times New Roman" w:hAnsi="Times New Roman" w:eastAsia="仿宋_GB2312" w:cs="Times New Roman"/>
          <w:kern w:val="2"/>
          <w:sz w:val="32"/>
          <w:szCs w:val="32"/>
          <w:highlight w:val="none"/>
          <w:u w:val="none"/>
          <w:lang w:val="en-US" w:eastAsia="zh-CN" w:bidi="ar"/>
        </w:rPr>
        <w:t>1.</w:t>
      </w:r>
      <w:r>
        <w:rPr>
          <w:rFonts w:hint="default" w:ascii="Times New Roman" w:hAnsi="Times New Roman" w:eastAsia="仿宋_GB2312" w:cs="Times New Roman"/>
          <w:kern w:val="2"/>
          <w:sz w:val="32"/>
          <w:szCs w:val="32"/>
          <w:highlight w:val="none"/>
          <w:u w:val="none"/>
          <w:lang w:val="en-US" w:eastAsia="zh-CN" w:bidi="ar"/>
        </w:rPr>
        <w:t>部门整体支出绩效自评表</w:t>
      </w:r>
    </w:p>
    <w:p w14:paraId="1F228CC5">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highlight w:val="none"/>
          <w:lang w:val="zh-CN" w:eastAsia="zh-CN" w:bidi="ar"/>
        </w:rPr>
      </w:pPr>
      <w:r>
        <w:rPr>
          <w:rFonts w:hint="eastAsia" w:ascii="Times New Roman" w:hAnsi="Times New Roman" w:eastAsia="仿宋_GB2312" w:cs="Times New Roman"/>
          <w:kern w:val="2"/>
          <w:sz w:val="32"/>
          <w:szCs w:val="32"/>
          <w:highlight w:val="none"/>
          <w:u w:val="none"/>
          <w:lang w:val="en-US" w:eastAsia="zh-CN" w:bidi="ar"/>
        </w:rPr>
        <w:t>2.部门预算项目支出绩效自评表（2024年度）</w:t>
      </w:r>
    </w:p>
    <w:p w14:paraId="36D73C9E">
      <w:pPr>
        <w:pStyle w:val="3"/>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14:paraId="3E7D9E0D">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723"/>
        <w:gridCol w:w="1650"/>
        <w:gridCol w:w="1145"/>
        <w:gridCol w:w="1289"/>
        <w:gridCol w:w="1058"/>
        <w:gridCol w:w="926"/>
        <w:gridCol w:w="1114"/>
      </w:tblGrid>
      <w:tr w14:paraId="5AA6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762" w:hRule="exact"/>
          <w:jc w:val="center"/>
        </w:trPr>
        <w:tc>
          <w:tcPr>
            <w:tcW w:w="10561" w:type="dxa"/>
            <w:gridSpan w:val="9"/>
            <w:shd w:val="clear" w:color="auto" w:fill="auto"/>
            <w:vAlign w:val="center"/>
          </w:tcPr>
          <w:p w14:paraId="3D7AC9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部门整体支出绩效自评表</w:t>
            </w:r>
          </w:p>
        </w:tc>
      </w:tr>
      <w:tr w14:paraId="07C3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0561" w:type="dxa"/>
            <w:gridSpan w:val="9"/>
            <w:shd w:val="clear" w:color="auto" w:fill="auto"/>
            <w:vAlign w:val="center"/>
          </w:tcPr>
          <w:p w14:paraId="25924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2C8D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0561" w:type="dxa"/>
            <w:gridSpan w:val="9"/>
            <w:tcBorders>
              <w:bottom w:val="single" w:color="000000" w:sz="4" w:space="0"/>
            </w:tcBorders>
            <w:shd w:val="clear" w:color="auto" w:fill="auto"/>
            <w:vAlign w:val="center"/>
          </w:tcPr>
          <w:p w14:paraId="11E4EC5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11B7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3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FE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546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遂宁市安居区发展和改革局部门</w:t>
            </w:r>
          </w:p>
        </w:tc>
      </w:tr>
      <w:tr w14:paraId="33CA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EA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5C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C66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29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7458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D8E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28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1,536.80</w:t>
            </w: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72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1,536.80</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CE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r>
      <w:tr w14:paraId="0A30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F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26956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1277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目标1：强化经济运动态监测和预研预判，做好指标分解细化、支撑分析和综合测算，保证2024年经济运行延续稳中有升、向好的趋势。</w:t>
            </w:r>
          </w:p>
          <w:p w14:paraId="308027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目标2：抓好重点项目建设，确保省市重点项目投资完成率走在全市前列。</w:t>
            </w:r>
          </w:p>
          <w:p w14:paraId="1CB39B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目标3：确保动态谋划项目总投资长期保持在3500</w:t>
            </w:r>
            <w:r>
              <w:rPr>
                <w:rFonts w:hint="eastAsia" w:eastAsia="宋体" w:cs="Times New Roman"/>
                <w:i w:val="0"/>
                <w:color w:val="000000"/>
                <w:kern w:val="0"/>
                <w:sz w:val="24"/>
                <w:szCs w:val="24"/>
                <w:u w:val="none"/>
                <w:lang w:val="en-US" w:eastAsia="zh-CN" w:bidi="ar"/>
              </w:rPr>
              <w:t>亿元以上</w:t>
            </w:r>
            <w:r>
              <w:rPr>
                <w:rFonts w:hint="default" w:ascii="Times New Roman" w:hAnsi="Times New Roman" w:eastAsia="宋体" w:cs="Times New Roman"/>
                <w:i w:val="0"/>
                <w:color w:val="000000"/>
                <w:kern w:val="0"/>
                <w:sz w:val="24"/>
                <w:szCs w:val="24"/>
                <w:u w:val="none"/>
                <w:lang w:val="en-US" w:eastAsia="zh-CN" w:bidi="ar"/>
              </w:rPr>
              <w:t>，做实2024年拟开工项目前期工作，推动项目落实情况。</w:t>
            </w:r>
          </w:p>
          <w:p w14:paraId="3008DD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目标4：统筹保供稳价工作，稳定价格，完成污水处理费、农村自来水价格监审工作。</w:t>
            </w:r>
          </w:p>
          <w:p w14:paraId="09049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目标5：做好区级粮食和救灾物资的储备和管理，确保应激状态下救济物资调得出，用得上。</w:t>
            </w:r>
          </w:p>
          <w:p w14:paraId="288771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目标6：督促粮食企业和油气管道企业履行安全</w:t>
            </w:r>
            <w:r>
              <w:rPr>
                <w:rFonts w:hint="eastAsia" w:eastAsia="宋体" w:cs="Times New Roman"/>
                <w:i w:val="0"/>
                <w:color w:val="000000"/>
                <w:kern w:val="0"/>
                <w:sz w:val="24"/>
                <w:szCs w:val="24"/>
                <w:u w:val="none"/>
                <w:lang w:val="en-US" w:eastAsia="zh-CN" w:bidi="ar"/>
              </w:rPr>
              <w:t>主体责任</w:t>
            </w:r>
            <w:r>
              <w:rPr>
                <w:rFonts w:hint="default" w:ascii="Times New Roman" w:hAnsi="Times New Roman" w:eastAsia="宋体" w:cs="Times New Roman"/>
                <w:i w:val="0"/>
                <w:color w:val="000000"/>
                <w:kern w:val="0"/>
                <w:sz w:val="24"/>
                <w:szCs w:val="24"/>
                <w:u w:val="none"/>
                <w:lang w:val="en-US" w:eastAsia="zh-CN" w:bidi="ar"/>
              </w:rPr>
              <w:t>，坚守安全生产底线。</w:t>
            </w:r>
          </w:p>
          <w:p w14:paraId="6D82B2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目标7：争取项目资金支持，确保拟争取的资金“颗粒归仓”</w:t>
            </w:r>
          </w:p>
        </w:tc>
      </w:tr>
      <w:tr w14:paraId="46AB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E2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62DE4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0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963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381E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6BA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2D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粮油应急供应体系建设</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CA7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完善应急粮油应急供应体系，确保有效应对特大自然灾害和突发事件</w:t>
            </w:r>
          </w:p>
        </w:tc>
      </w:tr>
      <w:tr w14:paraId="1774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702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26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粮食储备</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CF24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区级粮食储备规模</w:t>
            </w:r>
          </w:p>
        </w:tc>
      </w:tr>
      <w:tr w14:paraId="6D26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336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8E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促进经济发展</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894D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促进安居经济社会发展</w:t>
            </w:r>
          </w:p>
        </w:tc>
      </w:tr>
      <w:tr w14:paraId="3D93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E83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F3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人员经费</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049E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保障机关人员工资、津补贴、奖金</w:t>
            </w:r>
          </w:p>
        </w:tc>
      </w:tr>
      <w:tr w14:paraId="2AD3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790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B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公用经费</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FA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保障机关工作正常运转办公费、水费、电费、邮电费、公务接待费、工会经费、公务用车运行费和其他交通费用</w:t>
            </w:r>
          </w:p>
        </w:tc>
      </w:tr>
      <w:tr w14:paraId="0E02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9B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DF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救灾物资储备库管理与维护经费</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B0E1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储备必要的救灾物资，确保救灾工作正常运行，提高救灾能力</w:t>
            </w:r>
          </w:p>
        </w:tc>
      </w:tr>
      <w:tr w14:paraId="373E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75F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146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推进项目建设</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B57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推进省市区重点工程建设</w:t>
            </w:r>
          </w:p>
        </w:tc>
      </w:tr>
      <w:tr w14:paraId="4087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815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F3E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物价定价工作</w:t>
            </w:r>
          </w:p>
        </w:tc>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4DD4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维护社会市场价格的稳定</w:t>
            </w:r>
          </w:p>
        </w:tc>
      </w:tr>
      <w:tr w14:paraId="1390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E4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9B7A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5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F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6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40AC3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5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5BAC5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0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7E6DB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5569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EBD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2E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8F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731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保障机关人员工资、津补贴、奖金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4F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19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31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FE9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0D7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1114" w:type="dxa"/>
            <w:tcBorders>
              <w:left w:val="single" w:color="000000" w:sz="4" w:space="0"/>
              <w:bottom w:val="single" w:color="000000" w:sz="4" w:space="0"/>
              <w:right w:val="single" w:color="000000" w:sz="4" w:space="0"/>
            </w:tcBorders>
            <w:shd w:val="clear" w:color="auto" w:fill="auto"/>
            <w:vAlign w:val="center"/>
          </w:tcPr>
          <w:p w14:paraId="5AECBB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30</w:t>
            </w:r>
          </w:p>
        </w:tc>
      </w:tr>
      <w:tr w14:paraId="4B47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DA6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9CA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8AA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8E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储备中预项目</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C0A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8CA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E4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1AD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A0A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53</w:t>
            </w:r>
          </w:p>
        </w:tc>
      </w:tr>
      <w:tr w14:paraId="5CA6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BA2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078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457C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96A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争取专债项目</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7CE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992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70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6EB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FD2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4C2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70</w:t>
            </w:r>
          </w:p>
        </w:tc>
      </w:tr>
      <w:tr w14:paraId="6ACF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88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DB0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restart"/>
            <w:tcBorders>
              <w:top w:val="single" w:color="000000" w:sz="4" w:space="0"/>
              <w:left w:val="single" w:color="000000" w:sz="4" w:space="0"/>
              <w:right w:val="single" w:color="000000" w:sz="4" w:space="0"/>
            </w:tcBorders>
            <w:shd w:val="clear" w:color="auto" w:fill="auto"/>
            <w:vAlign w:val="center"/>
          </w:tcPr>
          <w:p w14:paraId="73004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E7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固定资产利用率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35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45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85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9F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CC7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35F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14:paraId="2A86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90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E30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continue"/>
            <w:tcBorders>
              <w:left w:val="single" w:color="000000" w:sz="4" w:space="0"/>
              <w:right w:val="single" w:color="000000" w:sz="4" w:space="0"/>
            </w:tcBorders>
            <w:shd w:val="clear" w:color="auto" w:fill="auto"/>
            <w:vAlign w:val="center"/>
          </w:tcPr>
          <w:p w14:paraId="1AA1D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7E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年初预期与实际完成项目数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F6A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7AC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C47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671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C2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r>
      <w:tr w14:paraId="4A88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0E3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D1E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continue"/>
            <w:tcBorders>
              <w:left w:val="single" w:color="000000" w:sz="4" w:space="0"/>
              <w:right w:val="single" w:color="000000" w:sz="4" w:space="0"/>
            </w:tcBorders>
            <w:shd w:val="clear" w:color="auto" w:fill="auto"/>
            <w:vAlign w:val="center"/>
          </w:tcPr>
          <w:p w14:paraId="770B6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E6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年终监控取消额度及年末结余注销额度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281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72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EAB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BB1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6EB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512C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5EC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267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continue"/>
            <w:tcBorders>
              <w:left w:val="single" w:color="000000" w:sz="4" w:space="0"/>
              <w:bottom w:val="single" w:color="000000" w:sz="4" w:space="0"/>
              <w:right w:val="single" w:color="000000" w:sz="4" w:space="0"/>
            </w:tcBorders>
            <w:shd w:val="clear" w:color="auto" w:fill="auto"/>
            <w:vAlign w:val="center"/>
          </w:tcPr>
          <w:p w14:paraId="15931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D7A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全年调剂金额年初预算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F0A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08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065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A3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712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0005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99B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21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558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各项工作完成及时率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C9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90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8FE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D00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77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629D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0D4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6D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723" w:type="dxa"/>
            <w:vMerge w:val="restart"/>
            <w:tcBorders>
              <w:top w:val="single" w:color="000000" w:sz="4" w:space="0"/>
              <w:left w:val="single" w:color="000000" w:sz="4" w:space="0"/>
              <w:right w:val="single" w:color="000000" w:sz="4" w:space="0"/>
            </w:tcBorders>
            <w:shd w:val="clear" w:color="auto" w:fill="auto"/>
            <w:vAlign w:val="center"/>
          </w:tcPr>
          <w:p w14:paraId="7CBE8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29B57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4C1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稳定物价，促进经济发展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2A9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91F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AC12">
            <w:pPr>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FAC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0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优</w:t>
            </w:r>
          </w:p>
        </w:tc>
      </w:tr>
      <w:tr w14:paraId="5191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9D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87B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continue"/>
            <w:tcBorders>
              <w:left w:val="single" w:color="000000" w:sz="4" w:space="0"/>
              <w:right w:val="single" w:color="000000" w:sz="4" w:space="0"/>
            </w:tcBorders>
            <w:shd w:val="clear" w:color="auto" w:fill="auto"/>
            <w:vAlign w:val="center"/>
          </w:tcPr>
          <w:p w14:paraId="03530D6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9D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保障粮食储及应急物资储备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93A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341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C67">
            <w:pPr>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B8A">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93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优</w:t>
            </w:r>
          </w:p>
        </w:tc>
      </w:tr>
      <w:tr w14:paraId="2644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7B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208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3" w:type="dxa"/>
            <w:vMerge w:val="continue"/>
            <w:tcBorders>
              <w:left w:val="single" w:color="000000" w:sz="4" w:space="0"/>
              <w:bottom w:val="single" w:color="000000" w:sz="4" w:space="0"/>
              <w:right w:val="single" w:color="000000" w:sz="4" w:space="0"/>
            </w:tcBorders>
            <w:shd w:val="clear" w:color="auto" w:fill="auto"/>
            <w:vAlign w:val="center"/>
          </w:tcPr>
          <w:p w14:paraId="24B60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BE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推进重点项目工程建设</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36E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AE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7185">
            <w:pPr>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1C2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E2E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优</w:t>
            </w:r>
          </w:p>
        </w:tc>
      </w:tr>
      <w:tr w14:paraId="776F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A48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E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6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F2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服务对象满意度指标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2C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服务企业满意度</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7EB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884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90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2D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17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14:paraId="7768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C2F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2212F">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成本指标</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EA957">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经济成本指标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B4EF">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公用经费平均成本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544">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B927">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2.4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94D6">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0678">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A4F7">
            <w:pPr>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2.37</w:t>
            </w:r>
          </w:p>
        </w:tc>
      </w:tr>
      <w:tr w14:paraId="1B04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365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D585">
            <w:pPr>
              <w:jc w:val="left"/>
              <w:rPr>
                <w:rFonts w:hint="default" w:ascii="Times New Roman" w:hAnsi="Times New Roman" w:eastAsia="宋体" w:cs="Times New Roman"/>
                <w:i w:val="0"/>
                <w:color w:val="000000"/>
                <w:kern w:val="0"/>
                <w:sz w:val="24"/>
                <w:szCs w:val="24"/>
                <w:u w:val="none"/>
                <w:lang w:val="en-US" w:eastAsia="zh-CN" w:bidi="ar"/>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4ED5">
            <w:pPr>
              <w:jc w:val="left"/>
              <w:rPr>
                <w:rFonts w:hint="default" w:ascii="Times New Roman" w:hAnsi="Times New Roman" w:eastAsia="宋体" w:cs="Times New Roman"/>
                <w:i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62E4">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人员、公用经费成本控制率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9B9">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8B20">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80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8087">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5244">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51D">
            <w:pPr>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98.5</w:t>
            </w:r>
          </w:p>
        </w:tc>
      </w:tr>
      <w:tr w14:paraId="7800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346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5CDE">
            <w:pPr>
              <w:jc w:val="left"/>
              <w:rPr>
                <w:rFonts w:hint="default" w:ascii="Times New Roman" w:hAnsi="Times New Roman" w:eastAsia="宋体" w:cs="Times New Roman"/>
                <w:i w:val="0"/>
                <w:color w:val="000000"/>
                <w:kern w:val="0"/>
                <w:sz w:val="24"/>
                <w:szCs w:val="24"/>
                <w:u w:val="none"/>
                <w:lang w:val="en-US" w:eastAsia="zh-CN" w:bidi="ar"/>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DB87">
            <w:pPr>
              <w:jc w:val="left"/>
              <w:rPr>
                <w:rFonts w:hint="default" w:ascii="Times New Roman" w:hAnsi="Times New Roman" w:eastAsia="宋体" w:cs="Times New Roman"/>
                <w:i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79DD">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人员经费平均成本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5096">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EC1">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17.56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55C">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9C23">
            <w:pPr>
              <w:keepNext w:val="0"/>
              <w:keepLines w:val="0"/>
              <w:widowControl/>
              <w:suppressLineNumbers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0452">
            <w:pPr>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18.55</w:t>
            </w:r>
          </w:p>
        </w:tc>
      </w:tr>
    </w:tbl>
    <w:p w14:paraId="08B60008">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0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954"/>
        <w:gridCol w:w="1006"/>
        <w:gridCol w:w="1570"/>
        <w:gridCol w:w="283"/>
        <w:gridCol w:w="393"/>
        <w:gridCol w:w="953"/>
        <w:gridCol w:w="260"/>
        <w:gridCol w:w="412"/>
        <w:gridCol w:w="334"/>
        <w:gridCol w:w="341"/>
        <w:gridCol w:w="24"/>
        <w:gridCol w:w="639"/>
        <w:gridCol w:w="609"/>
        <w:gridCol w:w="1346"/>
      </w:tblGrid>
      <w:tr w14:paraId="6223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00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AC70B3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75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8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6DE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51090422T000000393681-物价定价工作</w:t>
            </w:r>
          </w:p>
        </w:tc>
      </w:tr>
      <w:tr w14:paraId="2C11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E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B45A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1111" w:type="dxa"/>
            <w:gridSpan w:val="4"/>
            <w:tcBorders>
              <w:top w:val="nil"/>
              <w:left w:val="nil"/>
              <w:bottom w:val="nil"/>
              <w:right w:val="nil"/>
            </w:tcBorders>
            <w:shd w:val="clear" w:color="auto" w:fill="auto"/>
            <w:vAlign w:val="center"/>
          </w:tcPr>
          <w:p w14:paraId="1B04200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C7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31CC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750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01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828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4CAEA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CC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C946">
            <w:pPr>
              <w:rPr>
                <w:rFonts w:hint="eastAsia" w:ascii="宋体" w:hAnsi="宋体" w:eastAsia="宋体" w:cs="宋体"/>
                <w:i w:val="0"/>
                <w:iCs w:val="0"/>
                <w:color w:val="000000"/>
                <w:sz w:val="18"/>
                <w:szCs w:val="1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AECF">
            <w:pPr>
              <w:rPr>
                <w:rFonts w:hint="eastAsia" w:ascii="宋体" w:hAnsi="宋体" w:eastAsia="宋体" w:cs="宋体"/>
                <w:i w:val="0"/>
                <w:iCs w:val="0"/>
                <w:color w:val="000000"/>
                <w:sz w:val="18"/>
                <w:szCs w:val="18"/>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DED2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完成本区水价、污水处理费成本、配气价格监审及价格监测工作，组织召开乡镇自来水价格、天然气阶梯气价调整听证会</w:t>
            </w:r>
          </w:p>
        </w:tc>
        <w:tc>
          <w:tcPr>
            <w:tcW w:w="3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E90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对四川遂宁万源天然气有限公司天燃气输配成本进行监督审计，自来水听证会正常召开，调查重要商品应急价格。</w:t>
            </w:r>
          </w:p>
        </w:tc>
      </w:tr>
      <w:tr w14:paraId="2463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DDF0">
            <w:pP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9B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0E85B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完成本区水价、污水处理费成本、配气价格监审及价格监测工作，组织召开乡镇自来水价格、天然气阶梯气价调整听证会</w:t>
            </w:r>
          </w:p>
        </w:tc>
      </w:tr>
      <w:tr w14:paraId="142A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EE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D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2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B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B6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86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A9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9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7A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2125">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9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C7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D9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DA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8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E1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年中追加预算，根据遂财建[2024]135号一次性追加2024年农产品成本调查补助资金</w:t>
            </w:r>
          </w:p>
        </w:tc>
      </w:tr>
      <w:tr w14:paraId="7F2D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8DFA">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8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7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92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CF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3F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5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C459">
            <w:pPr>
              <w:jc w:val="center"/>
              <w:rPr>
                <w:rFonts w:hint="eastAsia" w:ascii="宋体" w:hAnsi="宋体" w:eastAsia="宋体" w:cs="宋体"/>
                <w:i w:val="0"/>
                <w:iCs w:val="0"/>
                <w:color w:val="000000"/>
                <w:sz w:val="18"/>
                <w:szCs w:val="18"/>
                <w:u w:val="none"/>
              </w:rPr>
            </w:pPr>
          </w:p>
        </w:tc>
      </w:tr>
      <w:tr w14:paraId="7CAB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78D8">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1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0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B0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7A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D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D096">
            <w:pPr>
              <w:jc w:val="center"/>
              <w:rPr>
                <w:rFonts w:hint="eastAsia" w:ascii="宋体" w:hAnsi="宋体" w:eastAsia="宋体" w:cs="宋体"/>
                <w:i w:val="0"/>
                <w:iCs w:val="0"/>
                <w:color w:val="000000"/>
                <w:sz w:val="18"/>
                <w:szCs w:val="18"/>
                <w:u w:val="none"/>
              </w:rPr>
            </w:pPr>
          </w:p>
        </w:tc>
      </w:tr>
      <w:tr w14:paraId="21AF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7E68">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7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2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C4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BA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DC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9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9577">
            <w:pPr>
              <w:jc w:val="center"/>
              <w:rPr>
                <w:rFonts w:hint="eastAsia" w:ascii="宋体" w:hAnsi="宋体" w:eastAsia="宋体" w:cs="宋体"/>
                <w:i w:val="0"/>
                <w:iCs w:val="0"/>
                <w:color w:val="000000"/>
                <w:sz w:val="18"/>
                <w:szCs w:val="18"/>
                <w:u w:val="none"/>
              </w:rPr>
            </w:pPr>
          </w:p>
        </w:tc>
      </w:tr>
      <w:tr w14:paraId="4287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EDC2">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55F7">
            <w:pPr>
              <w:jc w:val="center"/>
              <w:rPr>
                <w:rFonts w:hint="eastAsia" w:ascii="微软雅黑" w:hAnsi="微软雅黑" w:eastAsia="微软雅黑" w:cs="微软雅黑"/>
                <w:i/>
                <w:iCs/>
                <w:color w:val="000000"/>
                <w:sz w:val="16"/>
                <w:szCs w:val="16"/>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D85A">
            <w:pPr>
              <w:jc w:val="center"/>
              <w:rPr>
                <w:rFonts w:hint="eastAsia" w:ascii="微软雅黑" w:hAnsi="微软雅黑" w:eastAsia="微软雅黑" w:cs="微软雅黑"/>
                <w:i/>
                <w:iCs/>
                <w:color w:val="000000"/>
                <w:sz w:val="16"/>
                <w:szCs w:val="16"/>
                <w:u w:val="none"/>
              </w:rPr>
            </w:pPr>
          </w:p>
        </w:tc>
        <w:tc>
          <w:tcPr>
            <w:tcW w:w="2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64FC6">
            <w:pPr>
              <w:jc w:val="center"/>
              <w:rPr>
                <w:rFonts w:hint="eastAsia" w:ascii="微软雅黑" w:hAnsi="微软雅黑" w:eastAsia="微软雅黑" w:cs="微软雅黑"/>
                <w:i/>
                <w:iCs/>
                <w:color w:val="000000"/>
                <w:sz w:val="16"/>
                <w:szCs w:val="16"/>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DF4CA">
            <w:pPr>
              <w:jc w:val="center"/>
              <w:rPr>
                <w:rFonts w:hint="eastAsia" w:ascii="微软雅黑" w:hAnsi="微软雅黑" w:eastAsia="微软雅黑" w:cs="微软雅黑"/>
                <w:i/>
                <w:iCs/>
                <w:color w:val="000000"/>
                <w:sz w:val="16"/>
                <w:szCs w:val="16"/>
                <w:u w:val="none"/>
              </w:rPr>
            </w:pP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A4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4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9F48">
            <w:pPr>
              <w:jc w:val="center"/>
              <w:rPr>
                <w:rFonts w:hint="eastAsia" w:ascii="宋体" w:hAnsi="宋体" w:eastAsia="宋体" w:cs="宋体"/>
                <w:i w:val="0"/>
                <w:iCs w:val="0"/>
                <w:color w:val="000000"/>
                <w:sz w:val="18"/>
                <w:szCs w:val="18"/>
                <w:u w:val="none"/>
              </w:rPr>
            </w:pPr>
          </w:p>
        </w:tc>
      </w:tr>
      <w:tr w14:paraId="01F0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EB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6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1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E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DD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7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F4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4E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FA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C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D0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3A50">
            <w:pPr>
              <w:jc w:val="center"/>
              <w:rPr>
                <w:rFonts w:hint="eastAsia" w:ascii="宋体" w:hAnsi="宋体" w:eastAsia="宋体" w:cs="宋体"/>
                <w:i w:val="0"/>
                <w:iCs w:val="0"/>
                <w:color w:val="000000"/>
                <w:sz w:val="18"/>
                <w:szCs w:val="18"/>
                <w:u w:val="none"/>
              </w:rPr>
            </w:pP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EC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9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7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价格检测工作完成率</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C7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A6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23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0A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5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ECE9">
            <w:pPr>
              <w:jc w:val="center"/>
              <w:rPr>
                <w:rFonts w:hint="eastAsia" w:ascii="微软雅黑" w:hAnsi="微软雅黑" w:eastAsia="微软雅黑" w:cs="微软雅黑"/>
                <w:i/>
                <w:iCs/>
                <w:color w:val="000000"/>
                <w:sz w:val="16"/>
                <w:szCs w:val="16"/>
                <w:u w:val="none"/>
              </w:rPr>
            </w:pPr>
          </w:p>
        </w:tc>
      </w:tr>
      <w:tr w14:paraId="1426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6C5C">
            <w:pPr>
              <w:jc w:val="center"/>
              <w:rPr>
                <w:rFonts w:hint="eastAsia" w:ascii="宋体" w:hAnsi="宋体" w:eastAsia="宋体" w:cs="宋体"/>
                <w:i w:val="0"/>
                <w:iCs w:val="0"/>
                <w:color w:val="000000"/>
                <w:sz w:val="18"/>
                <w:szCs w:val="1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BDD4">
            <w:pPr>
              <w:jc w:val="center"/>
              <w:rPr>
                <w:rFonts w:hint="eastAsia" w:ascii="宋体" w:hAnsi="宋体" w:eastAsia="宋体" w:cs="宋体"/>
                <w:i w:val="0"/>
                <w:iCs w:val="0"/>
                <w:color w:val="000000"/>
                <w:sz w:val="18"/>
                <w:szCs w:val="18"/>
                <w:u w:val="none"/>
              </w:rPr>
            </w:pP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1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1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组织召开乡镇自来水价格、天然气阶梯气价调整听证会</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1C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1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优良低中差</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31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5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D8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1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9176">
            <w:pPr>
              <w:jc w:val="center"/>
              <w:rPr>
                <w:rFonts w:hint="eastAsia" w:ascii="微软雅黑" w:hAnsi="微软雅黑" w:eastAsia="微软雅黑" w:cs="微软雅黑"/>
                <w:i/>
                <w:iCs/>
                <w:color w:val="000000"/>
                <w:sz w:val="16"/>
                <w:szCs w:val="16"/>
                <w:u w:val="none"/>
              </w:rPr>
            </w:pPr>
          </w:p>
        </w:tc>
      </w:tr>
      <w:tr w14:paraId="5E33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898C">
            <w:pPr>
              <w:jc w:val="center"/>
              <w:rPr>
                <w:rFonts w:hint="eastAsia" w:ascii="宋体" w:hAnsi="宋体" w:eastAsia="宋体" w:cs="宋体"/>
                <w:i w:val="0"/>
                <w:iCs w:val="0"/>
                <w:color w:val="000000"/>
                <w:sz w:val="18"/>
                <w:szCs w:val="1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DCB9">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F2CD">
            <w:pPr>
              <w:jc w:val="center"/>
              <w:rPr>
                <w:rFonts w:hint="eastAsia" w:ascii="宋体" w:hAnsi="宋体" w:eastAsia="宋体" w:cs="宋体"/>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A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完成本区水价、污水处理费成本、配气价格监审及价格监测工作完成</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8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优良低中差</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17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2D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6A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59ED">
            <w:pPr>
              <w:jc w:val="center"/>
              <w:rPr>
                <w:rFonts w:hint="eastAsia" w:ascii="微软雅黑" w:hAnsi="微软雅黑" w:eastAsia="微软雅黑" w:cs="微软雅黑"/>
                <w:i/>
                <w:iCs/>
                <w:color w:val="000000"/>
                <w:sz w:val="16"/>
                <w:szCs w:val="16"/>
                <w:u w:val="none"/>
              </w:rPr>
            </w:pPr>
          </w:p>
        </w:tc>
      </w:tr>
      <w:tr w14:paraId="3CA9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015C">
            <w:pPr>
              <w:jc w:val="center"/>
              <w:rPr>
                <w:rFonts w:hint="eastAsia" w:ascii="宋体" w:hAnsi="宋体" w:eastAsia="宋体" w:cs="宋体"/>
                <w:i w:val="0"/>
                <w:iCs w:val="0"/>
                <w:color w:val="000000"/>
                <w:sz w:val="18"/>
                <w:szCs w:val="1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BF4D">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6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D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及时完成项目资金支付</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1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优良低中差</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A8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0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A5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7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CFBF">
            <w:pPr>
              <w:jc w:val="center"/>
              <w:rPr>
                <w:rFonts w:hint="eastAsia" w:ascii="微软雅黑" w:hAnsi="微软雅黑" w:eastAsia="微软雅黑" w:cs="微软雅黑"/>
                <w:i/>
                <w:iCs/>
                <w:color w:val="000000"/>
                <w:sz w:val="16"/>
                <w:szCs w:val="16"/>
                <w:u w:val="none"/>
              </w:rPr>
            </w:pPr>
          </w:p>
        </w:tc>
      </w:tr>
      <w:tr w14:paraId="0670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79E2">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5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融入成渝地区双域经济建设，推进经济发展</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8E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优良低中差</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B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5F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B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F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9D1">
            <w:pPr>
              <w:jc w:val="center"/>
              <w:rPr>
                <w:rFonts w:hint="eastAsia" w:ascii="微软雅黑" w:hAnsi="微软雅黑" w:eastAsia="微软雅黑" w:cs="微软雅黑"/>
                <w:i/>
                <w:iCs/>
                <w:color w:val="000000"/>
                <w:sz w:val="16"/>
                <w:szCs w:val="16"/>
                <w:u w:val="none"/>
              </w:rPr>
            </w:pPr>
          </w:p>
        </w:tc>
      </w:tr>
      <w:tr w14:paraId="3A63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4062F">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B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0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人民对水电气价格满意</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80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4D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1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1D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F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1A5">
            <w:pPr>
              <w:jc w:val="center"/>
              <w:rPr>
                <w:rFonts w:hint="eastAsia" w:ascii="微软雅黑" w:hAnsi="微软雅黑" w:eastAsia="微软雅黑" w:cs="微软雅黑"/>
                <w:i/>
                <w:iCs/>
                <w:color w:val="000000"/>
                <w:sz w:val="16"/>
                <w:szCs w:val="16"/>
                <w:u w:val="none"/>
              </w:rPr>
            </w:pPr>
          </w:p>
        </w:tc>
      </w:tr>
      <w:tr w14:paraId="6C51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68333">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7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C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06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D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F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1C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68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A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BC37">
            <w:pPr>
              <w:jc w:val="center"/>
              <w:rPr>
                <w:rFonts w:hint="eastAsia" w:ascii="微软雅黑" w:hAnsi="微软雅黑" w:eastAsia="微软雅黑" w:cs="微软雅黑"/>
                <w:i/>
                <w:iCs/>
                <w:color w:val="000000"/>
                <w:sz w:val="16"/>
                <w:szCs w:val="16"/>
                <w:u w:val="none"/>
              </w:rPr>
            </w:pPr>
          </w:p>
        </w:tc>
      </w:tr>
      <w:tr w14:paraId="4A53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CD3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73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3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8750">
            <w:pPr>
              <w:rPr>
                <w:rFonts w:hint="eastAsia" w:ascii="宋体" w:hAnsi="宋体" w:eastAsia="宋体" w:cs="宋体"/>
                <w:i w:val="0"/>
                <w:iCs w:val="0"/>
                <w:color w:val="000000"/>
                <w:sz w:val="18"/>
                <w:szCs w:val="18"/>
                <w:u w:val="none"/>
              </w:rPr>
            </w:pPr>
          </w:p>
        </w:tc>
      </w:tr>
      <w:tr w14:paraId="0B1D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1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E9F0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重要商品实施应急价格调查，以防止价格出现异常波动，并密切监控放开价格后的市场走势，进行深入研判。召开自来水价格听证会，并通过报纸发布公告。对四川遂宁万源天然气有限公司的天然气输配成本进行监督审计。项目自评得分100分。</w:t>
            </w:r>
          </w:p>
        </w:tc>
      </w:tr>
      <w:tr w14:paraId="0A2D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E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4FAE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首先，价格调控的手段尚显单一。其次，对于重要商品价格的调整，部门间的协调机制尚需进一步完善。</w:t>
            </w:r>
          </w:p>
        </w:tc>
      </w:tr>
      <w:tr w14:paraId="2812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E173D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一是丰富价格调控手段，二是完善重要商品价格调整部门协调机制。</w:t>
            </w:r>
          </w:p>
        </w:tc>
      </w:tr>
      <w:tr w14:paraId="6338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C55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项目负责人：朱莉</w:t>
            </w:r>
          </w:p>
        </w:tc>
        <w:tc>
          <w:tcPr>
            <w:tcW w:w="53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869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2403162A">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1193"/>
        <w:gridCol w:w="1200"/>
        <w:gridCol w:w="487"/>
        <w:gridCol w:w="133"/>
        <w:gridCol w:w="960"/>
        <w:gridCol w:w="827"/>
        <w:gridCol w:w="133"/>
        <w:gridCol w:w="960"/>
        <w:gridCol w:w="960"/>
        <w:gridCol w:w="960"/>
        <w:gridCol w:w="960"/>
      </w:tblGrid>
      <w:tr w14:paraId="6204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0" w:hRule="atLeast"/>
          <w:jc w:val="center"/>
        </w:trPr>
        <w:tc>
          <w:tcPr>
            <w:tcW w:w="1069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8E0F3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F6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3B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FED2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51090422T000000393692-涉案财物价格认定经费</w:t>
            </w:r>
          </w:p>
        </w:tc>
      </w:tr>
      <w:tr w14:paraId="5052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72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700D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1093" w:type="dxa"/>
            <w:gridSpan w:val="2"/>
            <w:tcBorders>
              <w:top w:val="nil"/>
              <w:left w:val="nil"/>
              <w:bottom w:val="nil"/>
              <w:right w:val="nil"/>
            </w:tcBorders>
            <w:shd w:val="clear" w:color="auto" w:fill="auto"/>
            <w:vAlign w:val="center"/>
          </w:tcPr>
          <w:p w14:paraId="1774E37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94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3C0F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91F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9C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955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EC14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4A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5F4C">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FFAE">
            <w:pPr>
              <w:rPr>
                <w:rFonts w:hint="eastAsia" w:ascii="宋体" w:hAnsi="宋体" w:eastAsia="宋体" w:cs="宋体"/>
                <w:i w:val="0"/>
                <w:iCs w:val="0"/>
                <w:color w:val="000000"/>
                <w:sz w:val="18"/>
                <w:szCs w:val="18"/>
                <w:u w:val="none"/>
              </w:rPr>
            </w:pP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D3D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完成本区纪检监察、司法、行政工作中涉纪、涉案、涉税等财物价格认定，调解处理价格纠纷,对物业收费调价幅度有争议的进行评审</w:t>
            </w: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B5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完成本区纪检监察、司法、行政工作中涉纪、涉案、涉税等财物价格认定，调解处理价格纠纷,对物业收费调价幅度有争议的进行评审</w:t>
            </w:r>
          </w:p>
        </w:tc>
      </w:tr>
      <w:tr w14:paraId="597E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7616">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C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EE5C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完成本区纪检监察、司法、行政工作中涉纪、涉案、涉税等财物价格认定，调解处理价格纠纷,对物业收费调价幅度有争议的进行评审</w:t>
            </w:r>
          </w:p>
        </w:tc>
      </w:tr>
      <w:tr w14:paraId="02F8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E1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6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BB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3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E0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DA4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A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F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AB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9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F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2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1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中期评估后调整预算，追减收回部分资金。</w:t>
            </w:r>
          </w:p>
        </w:tc>
      </w:tr>
      <w:tr w14:paraId="0575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7EA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D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8E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1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A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817D">
            <w:pPr>
              <w:jc w:val="center"/>
              <w:rPr>
                <w:rFonts w:hint="eastAsia" w:ascii="宋体" w:hAnsi="宋体" w:eastAsia="宋体" w:cs="宋体"/>
                <w:i w:val="0"/>
                <w:iCs w:val="0"/>
                <w:color w:val="000000"/>
                <w:sz w:val="18"/>
                <w:szCs w:val="18"/>
                <w:u w:val="none"/>
              </w:rPr>
            </w:pPr>
          </w:p>
        </w:tc>
      </w:tr>
      <w:tr w14:paraId="4E8E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22C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6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9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7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3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E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93DB3">
            <w:pPr>
              <w:jc w:val="center"/>
              <w:rPr>
                <w:rFonts w:hint="eastAsia" w:ascii="宋体" w:hAnsi="宋体" w:eastAsia="宋体" w:cs="宋体"/>
                <w:i w:val="0"/>
                <w:iCs w:val="0"/>
                <w:color w:val="000000"/>
                <w:sz w:val="18"/>
                <w:szCs w:val="18"/>
                <w:u w:val="none"/>
              </w:rPr>
            </w:pPr>
          </w:p>
        </w:tc>
      </w:tr>
      <w:tr w14:paraId="142E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780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8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D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07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6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1997">
            <w:pPr>
              <w:jc w:val="center"/>
              <w:rPr>
                <w:rFonts w:hint="eastAsia" w:ascii="宋体" w:hAnsi="宋体" w:eastAsia="宋体" w:cs="宋体"/>
                <w:i w:val="0"/>
                <w:iCs w:val="0"/>
                <w:color w:val="000000"/>
                <w:sz w:val="18"/>
                <w:szCs w:val="18"/>
                <w:u w:val="none"/>
              </w:rPr>
            </w:pPr>
          </w:p>
        </w:tc>
      </w:tr>
      <w:tr w14:paraId="2BC1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7E4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F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DFED">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8382">
            <w:pPr>
              <w:jc w:val="center"/>
              <w:rPr>
                <w:rFonts w:hint="eastAsia" w:ascii="微软雅黑" w:hAnsi="微软雅黑" w:eastAsia="微软雅黑" w:cs="微软雅黑"/>
                <w:i/>
                <w:iCs/>
                <w:color w:val="000000"/>
                <w:sz w:val="16"/>
                <w:szCs w:val="16"/>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168F2">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003">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0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9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7390">
            <w:pPr>
              <w:jc w:val="center"/>
              <w:rPr>
                <w:rFonts w:hint="eastAsia" w:ascii="宋体" w:hAnsi="宋体" w:eastAsia="宋体" w:cs="宋体"/>
                <w:i w:val="0"/>
                <w:iCs w:val="0"/>
                <w:color w:val="000000"/>
                <w:sz w:val="18"/>
                <w:szCs w:val="18"/>
                <w:u w:val="none"/>
              </w:rPr>
            </w:pPr>
          </w:p>
        </w:tc>
      </w:tr>
      <w:tr w14:paraId="2156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49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0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23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8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8E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F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F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8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3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C5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7135">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65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7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9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价格认定工作完成率</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69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71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B0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3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F826">
            <w:pPr>
              <w:jc w:val="center"/>
              <w:rPr>
                <w:rFonts w:hint="eastAsia" w:ascii="微软雅黑" w:hAnsi="微软雅黑" w:eastAsia="微软雅黑" w:cs="微软雅黑"/>
                <w:i/>
                <w:iCs/>
                <w:color w:val="000000"/>
                <w:sz w:val="16"/>
                <w:szCs w:val="16"/>
                <w:u w:val="none"/>
              </w:rPr>
            </w:pPr>
          </w:p>
        </w:tc>
      </w:tr>
      <w:tr w14:paraId="0623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ED3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F6C3">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0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高质量价格认定</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55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7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2F8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3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4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179">
            <w:pPr>
              <w:jc w:val="center"/>
              <w:rPr>
                <w:rFonts w:hint="eastAsia" w:ascii="微软雅黑" w:hAnsi="微软雅黑" w:eastAsia="微软雅黑" w:cs="微软雅黑"/>
                <w:i/>
                <w:iCs/>
                <w:color w:val="000000"/>
                <w:sz w:val="16"/>
                <w:szCs w:val="16"/>
                <w:u w:val="none"/>
              </w:rPr>
            </w:pPr>
          </w:p>
        </w:tc>
      </w:tr>
      <w:tr w14:paraId="58EB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829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FC75">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B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6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及时完成价格认定与纠纷调解、评审工作</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73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E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68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D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F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0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38E2">
            <w:pPr>
              <w:jc w:val="center"/>
              <w:rPr>
                <w:rFonts w:hint="eastAsia" w:ascii="微软雅黑" w:hAnsi="微软雅黑" w:eastAsia="微软雅黑" w:cs="微软雅黑"/>
                <w:i/>
                <w:iCs/>
                <w:color w:val="000000"/>
                <w:sz w:val="16"/>
                <w:szCs w:val="16"/>
                <w:u w:val="none"/>
              </w:rPr>
            </w:pPr>
          </w:p>
        </w:tc>
      </w:tr>
      <w:tr w14:paraId="1EA6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5EA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7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4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8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保持物价稳定</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90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4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DF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C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6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E79C">
            <w:pPr>
              <w:jc w:val="center"/>
              <w:rPr>
                <w:rFonts w:hint="eastAsia" w:ascii="微软雅黑" w:hAnsi="微软雅黑" w:eastAsia="微软雅黑" w:cs="微软雅黑"/>
                <w:i/>
                <w:iCs/>
                <w:color w:val="000000"/>
                <w:sz w:val="16"/>
                <w:szCs w:val="16"/>
                <w:u w:val="none"/>
              </w:rPr>
            </w:pPr>
          </w:p>
        </w:tc>
      </w:tr>
      <w:tr w14:paraId="6559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3AF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4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C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纠纷各方满意</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A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5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6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6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D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A76">
            <w:pPr>
              <w:jc w:val="center"/>
              <w:rPr>
                <w:rFonts w:hint="eastAsia" w:ascii="微软雅黑" w:hAnsi="微软雅黑" w:eastAsia="微软雅黑" w:cs="微软雅黑"/>
                <w:i/>
                <w:iCs/>
                <w:color w:val="000000"/>
                <w:sz w:val="16"/>
                <w:szCs w:val="16"/>
                <w:u w:val="none"/>
              </w:rPr>
            </w:pPr>
          </w:p>
        </w:tc>
      </w:tr>
      <w:tr w14:paraId="2FBB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A66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A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4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E3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0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9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0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798B">
            <w:pPr>
              <w:jc w:val="center"/>
              <w:rPr>
                <w:rFonts w:hint="eastAsia" w:ascii="微软雅黑" w:hAnsi="微软雅黑" w:eastAsia="微软雅黑" w:cs="微软雅黑"/>
                <w:i/>
                <w:iCs/>
                <w:color w:val="000000"/>
                <w:sz w:val="16"/>
                <w:szCs w:val="16"/>
                <w:u w:val="none"/>
              </w:rPr>
            </w:pPr>
          </w:p>
        </w:tc>
      </w:tr>
      <w:tr w14:paraId="1563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96B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6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9DEB">
            <w:pPr>
              <w:rPr>
                <w:rFonts w:hint="eastAsia" w:ascii="宋体" w:hAnsi="宋体" w:eastAsia="宋体" w:cs="宋体"/>
                <w:i w:val="0"/>
                <w:iCs w:val="0"/>
                <w:color w:val="000000"/>
                <w:sz w:val="18"/>
                <w:szCs w:val="18"/>
                <w:u w:val="none"/>
              </w:rPr>
            </w:pPr>
          </w:p>
        </w:tc>
      </w:tr>
      <w:tr w14:paraId="3943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F3FD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完成本区纪检监察、司法、行政工作涉及的纪律、案件、税务等财物价格评估工作，成功调解处理了价格纠纷，并对存在争议的物业收费调价幅度进行了专业评审。项目自评得分100分。</w:t>
            </w:r>
          </w:p>
        </w:tc>
      </w:tr>
      <w:tr w14:paraId="7A8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F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D290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36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48D1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57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AA0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项目负责人：曾勇</w:t>
            </w:r>
          </w:p>
        </w:tc>
        <w:tc>
          <w:tcPr>
            <w:tcW w:w="58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9110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6350DFBD">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512"/>
        <w:gridCol w:w="424"/>
        <w:gridCol w:w="827"/>
        <w:gridCol w:w="957"/>
        <w:gridCol w:w="140"/>
        <w:gridCol w:w="704"/>
        <w:gridCol w:w="786"/>
        <w:gridCol w:w="10"/>
        <w:gridCol w:w="424"/>
        <w:gridCol w:w="270"/>
        <w:gridCol w:w="214"/>
        <w:gridCol w:w="694"/>
        <w:gridCol w:w="745"/>
        <w:gridCol w:w="745"/>
        <w:gridCol w:w="1211"/>
      </w:tblGrid>
      <w:tr w14:paraId="313B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987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8672C7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92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D3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5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DB50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51090422T000000393699-区级应急救灾物资采购专项资金</w:t>
            </w:r>
          </w:p>
        </w:tc>
      </w:tr>
      <w:tr w14:paraId="21CD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0B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9D67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08" w:type="dxa"/>
            <w:gridSpan w:val="3"/>
            <w:tcBorders>
              <w:top w:val="nil"/>
              <w:left w:val="nil"/>
              <w:bottom w:val="nil"/>
              <w:right w:val="nil"/>
            </w:tcBorders>
            <w:shd w:val="clear" w:color="auto" w:fill="auto"/>
            <w:vAlign w:val="center"/>
          </w:tcPr>
          <w:p w14:paraId="1834334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EA7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149E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8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F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565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EE12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10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3A90">
            <w:pPr>
              <w:rPr>
                <w:rFonts w:hint="eastAsia" w:ascii="宋体" w:hAnsi="宋体" w:eastAsia="宋体" w:cs="宋体"/>
                <w:i w:val="0"/>
                <w:iCs w:val="0"/>
                <w:color w:val="000000"/>
                <w:sz w:val="18"/>
                <w:szCs w:val="18"/>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5ED9">
            <w:pPr>
              <w:rPr>
                <w:rFonts w:hint="eastAsia" w:ascii="宋体" w:hAnsi="宋体" w:eastAsia="宋体" w:cs="宋体"/>
                <w:i w:val="0"/>
                <w:iCs w:val="0"/>
                <w:color w:val="000000"/>
                <w:sz w:val="18"/>
                <w:szCs w:val="18"/>
                <w:u w:val="none"/>
              </w:rPr>
            </w:pPr>
          </w:p>
        </w:tc>
        <w:tc>
          <w:tcPr>
            <w:tcW w:w="38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D8F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完成区应急局采购物资需求，采购物资。</w:t>
            </w:r>
          </w:p>
        </w:tc>
        <w:tc>
          <w:tcPr>
            <w:tcW w:w="3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860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2022年救灾物资库扩充采购，采购一批帐篷、行军床、手套等救灾物资，拨付尾款。</w:t>
            </w:r>
          </w:p>
        </w:tc>
      </w:tr>
      <w:tr w14:paraId="06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267E">
            <w:pP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24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3C8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拨付2022年救灾物资采购费</w:t>
            </w:r>
          </w:p>
        </w:tc>
      </w:tr>
      <w:tr w14:paraId="3E70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DB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99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C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A6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34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75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C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2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F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F2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A91B">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71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9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01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23.66</w:t>
            </w:r>
          </w:p>
        </w:tc>
        <w:tc>
          <w:tcPr>
            <w:tcW w:w="2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8E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23.66</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5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0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7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7C9D2">
            <w:pPr>
              <w:rPr>
                <w:rFonts w:hint="eastAsia" w:ascii="黑体" w:hAnsi="黑体" w:eastAsia="黑体" w:cs="黑体"/>
                <w:i/>
                <w:iCs/>
                <w:color w:val="000000"/>
                <w:sz w:val="18"/>
                <w:szCs w:val="18"/>
                <w:u w:val="none"/>
              </w:rPr>
            </w:pPr>
          </w:p>
        </w:tc>
      </w:tr>
      <w:tr w14:paraId="06E2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69DD">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FD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6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13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23.66</w:t>
            </w:r>
          </w:p>
        </w:tc>
        <w:tc>
          <w:tcPr>
            <w:tcW w:w="2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96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23.66</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CA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3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7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6D9C">
            <w:pPr>
              <w:rPr>
                <w:rFonts w:hint="eastAsia" w:ascii="黑体" w:hAnsi="黑体" w:eastAsia="黑体" w:cs="黑体"/>
                <w:i/>
                <w:iCs/>
                <w:color w:val="000000"/>
                <w:sz w:val="18"/>
                <w:szCs w:val="18"/>
                <w:u w:val="none"/>
              </w:rPr>
            </w:pPr>
          </w:p>
        </w:tc>
      </w:tr>
      <w:tr w14:paraId="3514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15C4">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F5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0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6F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1A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8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F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8C32">
            <w:pPr>
              <w:rPr>
                <w:rFonts w:hint="eastAsia" w:ascii="黑体" w:hAnsi="黑体" w:eastAsia="黑体" w:cs="黑体"/>
                <w:i/>
                <w:iCs/>
                <w:color w:val="000000"/>
                <w:sz w:val="18"/>
                <w:szCs w:val="18"/>
                <w:u w:val="none"/>
              </w:rPr>
            </w:pPr>
          </w:p>
        </w:tc>
      </w:tr>
      <w:tr w14:paraId="6D70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912C">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A4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83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44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BB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2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6B46">
            <w:pPr>
              <w:rPr>
                <w:rFonts w:hint="eastAsia" w:ascii="黑体" w:hAnsi="黑体" w:eastAsia="黑体" w:cs="黑体"/>
                <w:i/>
                <w:iCs/>
                <w:color w:val="000000"/>
                <w:sz w:val="18"/>
                <w:szCs w:val="18"/>
                <w:u w:val="none"/>
              </w:rPr>
            </w:pPr>
          </w:p>
        </w:tc>
      </w:tr>
      <w:tr w14:paraId="04DA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DC2A">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19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229E">
            <w:pPr>
              <w:jc w:val="center"/>
              <w:rPr>
                <w:rFonts w:hint="eastAsia" w:ascii="微软雅黑" w:hAnsi="微软雅黑" w:eastAsia="微软雅黑" w:cs="微软雅黑"/>
                <w:i/>
                <w:iCs/>
                <w:color w:val="000000"/>
                <w:sz w:val="16"/>
                <w:szCs w:val="16"/>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01E7">
            <w:pPr>
              <w:jc w:val="center"/>
              <w:rPr>
                <w:rFonts w:hint="eastAsia" w:ascii="微软雅黑" w:hAnsi="微软雅黑" w:eastAsia="微软雅黑" w:cs="微软雅黑"/>
                <w:i/>
                <w:iCs/>
                <w:color w:val="000000"/>
                <w:sz w:val="16"/>
                <w:szCs w:val="16"/>
                <w:u w:val="none"/>
              </w:rPr>
            </w:pPr>
          </w:p>
        </w:tc>
        <w:tc>
          <w:tcPr>
            <w:tcW w:w="2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3B5BB">
            <w:pPr>
              <w:jc w:val="center"/>
              <w:rPr>
                <w:rFonts w:hint="eastAsia" w:ascii="微软雅黑" w:hAnsi="微软雅黑" w:eastAsia="微软雅黑" w:cs="微软雅黑"/>
                <w:i/>
                <w:iCs/>
                <w:color w:val="000000"/>
                <w:sz w:val="16"/>
                <w:szCs w:val="16"/>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F51B">
            <w:pPr>
              <w:jc w:val="center"/>
              <w:rPr>
                <w:rFonts w:hint="eastAsia" w:ascii="微软雅黑" w:hAnsi="微软雅黑" w:eastAsia="微软雅黑" w:cs="微软雅黑"/>
                <w:i/>
                <w:iCs/>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C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0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F521">
            <w:pPr>
              <w:rPr>
                <w:rFonts w:hint="eastAsia" w:ascii="黑体" w:hAnsi="黑体" w:eastAsia="黑体" w:cs="黑体"/>
                <w:i/>
                <w:iCs/>
                <w:color w:val="000000"/>
                <w:sz w:val="18"/>
                <w:szCs w:val="18"/>
                <w:u w:val="none"/>
              </w:rPr>
            </w:pPr>
          </w:p>
        </w:tc>
      </w:tr>
      <w:tr w14:paraId="4DBD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A8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96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48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2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EF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9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E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0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7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75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0BD9">
            <w:pPr>
              <w:jc w:val="center"/>
              <w:rPr>
                <w:rFonts w:hint="eastAsia" w:ascii="宋体" w:hAnsi="宋体" w:eastAsia="宋体" w:cs="宋体"/>
                <w:i w:val="0"/>
                <w:iCs w:val="0"/>
                <w:color w:val="000000"/>
                <w:sz w:val="18"/>
                <w:szCs w:val="18"/>
                <w:u w:val="none"/>
              </w:rPr>
            </w:pP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00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C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6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采购物资完成率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E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B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8D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0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6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1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770">
            <w:pPr>
              <w:jc w:val="center"/>
              <w:rPr>
                <w:rFonts w:hint="eastAsia" w:ascii="微软雅黑" w:hAnsi="微软雅黑" w:eastAsia="微软雅黑" w:cs="微软雅黑"/>
                <w:i/>
                <w:iCs/>
                <w:color w:val="000000"/>
                <w:sz w:val="16"/>
                <w:szCs w:val="16"/>
                <w:u w:val="none"/>
              </w:rPr>
            </w:pPr>
          </w:p>
        </w:tc>
      </w:tr>
      <w:tr w14:paraId="04F6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5853">
            <w:pPr>
              <w:jc w:val="center"/>
              <w:rPr>
                <w:rFonts w:hint="eastAsia" w:ascii="宋体" w:hAnsi="宋体" w:eastAsia="宋体" w:cs="宋体"/>
                <w:i w:val="0"/>
                <w:iCs w:val="0"/>
                <w:color w:val="000000"/>
                <w:sz w:val="18"/>
                <w:szCs w:val="18"/>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A96D">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A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98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采购物资验收合格率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7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1E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F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9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9612">
            <w:pPr>
              <w:jc w:val="center"/>
              <w:rPr>
                <w:rFonts w:hint="eastAsia" w:ascii="微软雅黑" w:hAnsi="微软雅黑" w:eastAsia="微软雅黑" w:cs="微软雅黑"/>
                <w:i/>
                <w:iCs/>
                <w:color w:val="000000"/>
                <w:sz w:val="16"/>
                <w:szCs w:val="16"/>
                <w:u w:val="none"/>
              </w:rPr>
            </w:pPr>
          </w:p>
        </w:tc>
      </w:tr>
      <w:tr w14:paraId="1E0F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4A83">
            <w:pPr>
              <w:jc w:val="center"/>
              <w:rPr>
                <w:rFonts w:hint="eastAsia" w:ascii="宋体" w:hAnsi="宋体" w:eastAsia="宋体" w:cs="宋体"/>
                <w:i w:val="0"/>
                <w:iCs w:val="0"/>
                <w:color w:val="000000"/>
                <w:sz w:val="18"/>
                <w:szCs w:val="18"/>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0F4D">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F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80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采购完成时间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9F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BF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7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6D41">
            <w:pPr>
              <w:jc w:val="center"/>
              <w:rPr>
                <w:rFonts w:hint="eastAsia" w:ascii="微软雅黑" w:hAnsi="微软雅黑" w:eastAsia="微软雅黑" w:cs="微软雅黑"/>
                <w:i/>
                <w:iCs/>
                <w:color w:val="000000"/>
                <w:sz w:val="16"/>
                <w:szCs w:val="16"/>
                <w:u w:val="none"/>
              </w:rPr>
            </w:pPr>
          </w:p>
        </w:tc>
      </w:tr>
      <w:tr w14:paraId="6E5A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5CC4">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AA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62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满足应急事件需求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F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26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82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9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A90">
            <w:pPr>
              <w:jc w:val="center"/>
              <w:rPr>
                <w:rFonts w:hint="eastAsia" w:ascii="微软雅黑" w:hAnsi="微软雅黑" w:eastAsia="微软雅黑" w:cs="微软雅黑"/>
                <w:i/>
                <w:iCs/>
                <w:color w:val="000000"/>
                <w:sz w:val="16"/>
                <w:szCs w:val="16"/>
                <w:u w:val="none"/>
              </w:rPr>
            </w:pPr>
          </w:p>
        </w:tc>
      </w:tr>
      <w:tr w14:paraId="4ED6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E3A2">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7E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1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35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3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9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0C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BF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F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1119">
            <w:pPr>
              <w:jc w:val="center"/>
              <w:rPr>
                <w:rFonts w:hint="eastAsia" w:ascii="微软雅黑" w:hAnsi="微软雅黑" w:eastAsia="微软雅黑" w:cs="微软雅黑"/>
                <w:i/>
                <w:iCs/>
                <w:color w:val="000000"/>
                <w:sz w:val="16"/>
                <w:szCs w:val="16"/>
                <w:u w:val="none"/>
              </w:rPr>
            </w:pPr>
          </w:p>
        </w:tc>
      </w:tr>
      <w:tr w14:paraId="32B5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78A4">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E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C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50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采购成本</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0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14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EA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1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5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AAE">
            <w:pPr>
              <w:jc w:val="center"/>
              <w:rPr>
                <w:rFonts w:hint="eastAsia" w:ascii="微软雅黑" w:hAnsi="微软雅黑" w:eastAsia="微软雅黑" w:cs="微软雅黑"/>
                <w:i/>
                <w:iCs/>
                <w:color w:val="000000"/>
                <w:sz w:val="16"/>
                <w:szCs w:val="16"/>
                <w:u w:val="none"/>
              </w:rPr>
            </w:pPr>
          </w:p>
        </w:tc>
      </w:tr>
      <w:tr w14:paraId="06E4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7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C8A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E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1338">
            <w:pPr>
              <w:rPr>
                <w:rFonts w:hint="eastAsia" w:ascii="宋体" w:hAnsi="宋体" w:eastAsia="宋体" w:cs="宋体"/>
                <w:i w:val="0"/>
                <w:iCs w:val="0"/>
                <w:color w:val="000000"/>
                <w:sz w:val="18"/>
                <w:szCs w:val="18"/>
                <w:u w:val="none"/>
              </w:rPr>
            </w:pPr>
          </w:p>
        </w:tc>
      </w:tr>
      <w:tr w14:paraId="4A5B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9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FC5E1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针对2022年的救灾物资库扩充采购一批包括帐篷、行军床、手套等在内的救灾物资拨付尾款。项目自评得分100分。</w:t>
            </w:r>
          </w:p>
        </w:tc>
      </w:tr>
      <w:tr w14:paraId="0E92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FC2B4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B8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A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04570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48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220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项目负责人：张翼</w:t>
            </w:r>
          </w:p>
        </w:tc>
        <w:tc>
          <w:tcPr>
            <w:tcW w:w="59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949E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4F68051C">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005"/>
        <w:gridCol w:w="1403"/>
        <w:gridCol w:w="1431"/>
        <w:gridCol w:w="1"/>
        <w:gridCol w:w="608"/>
        <w:gridCol w:w="988"/>
        <w:gridCol w:w="369"/>
        <w:gridCol w:w="242"/>
        <w:gridCol w:w="323"/>
        <w:gridCol w:w="395"/>
        <w:gridCol w:w="242"/>
        <w:gridCol w:w="960"/>
        <w:gridCol w:w="960"/>
        <w:gridCol w:w="936"/>
        <w:gridCol w:w="24"/>
      </w:tblGrid>
      <w:tr w14:paraId="14C2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370" w:hRule="atLeast"/>
          <w:jc w:val="center"/>
        </w:trPr>
        <w:tc>
          <w:tcPr>
            <w:tcW w:w="1082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8F88C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2F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08E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8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A9BD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51090422T000000393900-区级粮油储备规模经费</w:t>
            </w:r>
          </w:p>
        </w:tc>
      </w:tr>
      <w:tr w14:paraId="630D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480" w:hRule="atLeast"/>
          <w:jc w:val="center"/>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DA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1A9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gridSpan w:val="3"/>
            <w:tcBorders>
              <w:top w:val="nil"/>
              <w:left w:val="nil"/>
              <w:bottom w:val="nil"/>
              <w:right w:val="nil"/>
            </w:tcBorders>
            <w:shd w:val="clear" w:color="auto" w:fill="auto"/>
            <w:vAlign w:val="center"/>
          </w:tcPr>
          <w:p w14:paraId="54A86B7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40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1153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C5B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73D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78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3EE7A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1F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2D16">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0F41">
            <w:pPr>
              <w:rPr>
                <w:rFonts w:hint="eastAsia" w:ascii="宋体" w:hAnsi="宋体" w:eastAsia="宋体" w:cs="宋体"/>
                <w:i w:val="0"/>
                <w:iCs w:val="0"/>
                <w:color w:val="000000"/>
                <w:sz w:val="18"/>
                <w:szCs w:val="18"/>
                <w:u w:val="none"/>
              </w:rPr>
            </w:pP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12C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对稻谷1500吨、小麦1000吨、大米500吨、小包装菜油60吨进行区级储备和日常管理工作正常运行</w:t>
            </w:r>
          </w:p>
        </w:tc>
        <w:tc>
          <w:tcPr>
            <w:tcW w:w="4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9B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对2023年7月-2024年6月的区级储备粮油费用、利息补贴计算支付。另追加2024年4-9月小麦2000吨费用、利息补贴计算支付。</w:t>
            </w:r>
          </w:p>
        </w:tc>
      </w:tr>
      <w:tr w14:paraId="656D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1F18">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8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F82F5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完成区级储备粮油费用、利息补贴计算支付。</w:t>
            </w:r>
          </w:p>
        </w:tc>
      </w:tr>
      <w:tr w14:paraId="7E89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4A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5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8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F45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18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7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67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E3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A5F47">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9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9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2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114.83</w:t>
            </w:r>
          </w:p>
        </w:tc>
        <w:tc>
          <w:tcPr>
            <w:tcW w:w="2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3EF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4E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4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A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7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年中一次性追加2024年区级粮油储备规模专项经费</w:t>
            </w:r>
          </w:p>
        </w:tc>
      </w:tr>
      <w:tr w14:paraId="385E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2155">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2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0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6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114.83</w:t>
            </w:r>
          </w:p>
        </w:tc>
        <w:tc>
          <w:tcPr>
            <w:tcW w:w="2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D76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3D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3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3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5DCE">
            <w:pPr>
              <w:jc w:val="center"/>
              <w:rPr>
                <w:rFonts w:hint="eastAsia" w:ascii="宋体" w:hAnsi="宋体" w:eastAsia="宋体" w:cs="宋体"/>
                <w:i w:val="0"/>
                <w:iCs w:val="0"/>
                <w:color w:val="000000"/>
                <w:sz w:val="18"/>
                <w:szCs w:val="18"/>
                <w:u w:val="none"/>
              </w:rPr>
            </w:pPr>
          </w:p>
        </w:tc>
      </w:tr>
      <w:tr w14:paraId="5731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CBDE">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2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3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BB4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7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2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F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4B438">
            <w:pPr>
              <w:jc w:val="center"/>
              <w:rPr>
                <w:rFonts w:hint="eastAsia" w:ascii="宋体" w:hAnsi="宋体" w:eastAsia="宋体" w:cs="宋体"/>
                <w:i w:val="0"/>
                <w:iCs w:val="0"/>
                <w:color w:val="000000"/>
                <w:sz w:val="18"/>
                <w:szCs w:val="18"/>
                <w:u w:val="none"/>
              </w:rPr>
            </w:pPr>
          </w:p>
        </w:tc>
      </w:tr>
      <w:tr w14:paraId="4BB9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07AE">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C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A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549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5E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F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A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C234">
            <w:pPr>
              <w:jc w:val="center"/>
              <w:rPr>
                <w:rFonts w:hint="eastAsia" w:ascii="宋体" w:hAnsi="宋体" w:eastAsia="宋体" w:cs="宋体"/>
                <w:i w:val="0"/>
                <w:iCs w:val="0"/>
                <w:color w:val="000000"/>
                <w:sz w:val="18"/>
                <w:szCs w:val="18"/>
                <w:u w:val="none"/>
              </w:rPr>
            </w:pPr>
          </w:p>
        </w:tc>
      </w:tr>
      <w:tr w14:paraId="11D4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C476">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E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0051">
            <w:pPr>
              <w:jc w:val="center"/>
              <w:rPr>
                <w:rFonts w:hint="eastAsia" w:ascii="微软雅黑" w:hAnsi="微软雅黑" w:eastAsia="微软雅黑" w:cs="微软雅黑"/>
                <w:i/>
                <w:iCs/>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F86C">
            <w:pPr>
              <w:jc w:val="center"/>
              <w:rPr>
                <w:rFonts w:hint="eastAsia" w:ascii="微软雅黑" w:hAnsi="微软雅黑" w:eastAsia="微软雅黑" w:cs="微软雅黑"/>
                <w:i/>
                <w:iCs/>
                <w:color w:val="000000"/>
                <w:sz w:val="16"/>
                <w:szCs w:val="16"/>
                <w:u w:val="none"/>
              </w:rPr>
            </w:pPr>
          </w:p>
        </w:tc>
        <w:tc>
          <w:tcPr>
            <w:tcW w:w="2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2F146">
            <w:pPr>
              <w:jc w:val="center"/>
              <w:rPr>
                <w:rFonts w:hint="eastAsia" w:ascii="微软雅黑" w:hAnsi="微软雅黑" w:eastAsia="微软雅黑" w:cs="微软雅黑"/>
                <w:i/>
                <w:iCs/>
                <w:color w:val="000000"/>
                <w:sz w:val="16"/>
                <w:szCs w:val="16"/>
                <w:u w:val="none"/>
              </w:rPr>
            </w:pP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FAE69">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E335C">
            <w:pPr>
              <w:jc w:val="center"/>
              <w:rPr>
                <w:rFonts w:hint="eastAsia" w:ascii="宋体" w:hAnsi="宋体" w:eastAsia="宋体" w:cs="宋体"/>
                <w:i w:val="0"/>
                <w:iCs w:val="0"/>
                <w:color w:val="000000"/>
                <w:sz w:val="18"/>
                <w:szCs w:val="18"/>
                <w:u w:val="none"/>
              </w:rPr>
            </w:pPr>
          </w:p>
        </w:tc>
      </w:tr>
      <w:tr w14:paraId="2B0E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25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F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9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34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F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8D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63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B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BC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90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5F6A">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B2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D9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8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储存稻谷</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AF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8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01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B7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9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28110">
            <w:pPr>
              <w:jc w:val="center"/>
              <w:rPr>
                <w:rFonts w:hint="eastAsia" w:ascii="微软雅黑" w:hAnsi="微软雅黑" w:eastAsia="微软雅黑" w:cs="微软雅黑"/>
                <w:i/>
                <w:iCs/>
                <w:color w:val="000000"/>
                <w:sz w:val="16"/>
                <w:szCs w:val="16"/>
                <w:u w:val="none"/>
              </w:rPr>
            </w:pPr>
          </w:p>
        </w:tc>
      </w:tr>
      <w:tr w14:paraId="1738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28B9">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98A2">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AA1D">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储存小麦</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20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E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D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14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C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7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910F5">
            <w:pPr>
              <w:jc w:val="center"/>
              <w:rPr>
                <w:rFonts w:hint="eastAsia" w:ascii="微软雅黑" w:hAnsi="微软雅黑" w:eastAsia="微软雅黑" w:cs="微软雅黑"/>
                <w:i/>
                <w:iCs/>
                <w:color w:val="000000"/>
                <w:sz w:val="16"/>
                <w:szCs w:val="16"/>
                <w:u w:val="none"/>
              </w:rPr>
            </w:pPr>
          </w:p>
        </w:tc>
      </w:tr>
      <w:tr w14:paraId="679C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D348">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719E">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1DA2">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储存小包装菜油</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46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4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88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FB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0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0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FB43A">
            <w:pPr>
              <w:jc w:val="center"/>
              <w:rPr>
                <w:rFonts w:hint="eastAsia" w:ascii="微软雅黑" w:hAnsi="微软雅黑" w:eastAsia="微软雅黑" w:cs="微软雅黑"/>
                <w:i/>
                <w:iCs/>
                <w:color w:val="000000"/>
                <w:sz w:val="16"/>
                <w:szCs w:val="16"/>
                <w:u w:val="none"/>
              </w:rPr>
            </w:pPr>
          </w:p>
        </w:tc>
      </w:tr>
      <w:tr w14:paraId="303F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6DAB">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F15E3">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DE15">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1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储存大米</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E6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C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F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35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E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8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37F8">
            <w:pPr>
              <w:jc w:val="center"/>
              <w:rPr>
                <w:rFonts w:hint="eastAsia" w:ascii="微软雅黑" w:hAnsi="微软雅黑" w:eastAsia="微软雅黑" w:cs="微软雅黑"/>
                <w:i/>
                <w:iCs/>
                <w:color w:val="000000"/>
                <w:sz w:val="16"/>
                <w:szCs w:val="16"/>
                <w:u w:val="none"/>
              </w:rPr>
            </w:pPr>
          </w:p>
        </w:tc>
      </w:tr>
      <w:tr w14:paraId="4B81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9FAC">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1710">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3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F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高质量完成区级粮油储备</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06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B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9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DE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E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4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4BD46">
            <w:pPr>
              <w:jc w:val="center"/>
              <w:rPr>
                <w:rFonts w:hint="eastAsia" w:ascii="微软雅黑" w:hAnsi="微软雅黑" w:eastAsia="微软雅黑" w:cs="微软雅黑"/>
                <w:i/>
                <w:iCs/>
                <w:color w:val="000000"/>
                <w:sz w:val="16"/>
                <w:szCs w:val="16"/>
                <w:u w:val="none"/>
              </w:rPr>
            </w:pPr>
          </w:p>
        </w:tc>
      </w:tr>
      <w:tr w14:paraId="259C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0CF1">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7D36">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储存年限</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B9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3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81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2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C7263">
            <w:pPr>
              <w:jc w:val="center"/>
              <w:rPr>
                <w:rFonts w:hint="eastAsia" w:ascii="微软雅黑" w:hAnsi="微软雅黑" w:eastAsia="微软雅黑" w:cs="微软雅黑"/>
                <w:i/>
                <w:iCs/>
                <w:color w:val="000000"/>
                <w:sz w:val="16"/>
                <w:szCs w:val="16"/>
                <w:u w:val="none"/>
              </w:rPr>
            </w:pPr>
          </w:p>
        </w:tc>
      </w:tr>
      <w:tr w14:paraId="06C9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F138">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D8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10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缓减特殊情况粮油供应紧张</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3B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9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DD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C3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C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DD523">
            <w:pPr>
              <w:jc w:val="center"/>
              <w:rPr>
                <w:rFonts w:hint="eastAsia" w:ascii="微软雅黑" w:hAnsi="微软雅黑" w:eastAsia="微软雅黑" w:cs="微软雅黑"/>
                <w:i/>
                <w:iCs/>
                <w:color w:val="000000"/>
                <w:sz w:val="16"/>
                <w:szCs w:val="16"/>
                <w:u w:val="none"/>
              </w:rPr>
            </w:pPr>
          </w:p>
        </w:tc>
      </w:tr>
      <w:tr w14:paraId="7AA6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093E">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BADC">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A733">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F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保障储备库日常管理工作正常运行</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D4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2C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24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2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E724E">
            <w:pPr>
              <w:jc w:val="center"/>
              <w:rPr>
                <w:rFonts w:hint="eastAsia" w:ascii="微软雅黑" w:hAnsi="微软雅黑" w:eastAsia="微软雅黑" w:cs="微软雅黑"/>
                <w:i/>
                <w:iCs/>
                <w:color w:val="000000"/>
                <w:sz w:val="16"/>
                <w:szCs w:val="16"/>
                <w:u w:val="none"/>
              </w:rPr>
            </w:pPr>
          </w:p>
        </w:tc>
      </w:tr>
      <w:tr w14:paraId="40EC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CF19">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A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5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47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8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CE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E6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2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C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5E0DD">
            <w:pPr>
              <w:jc w:val="center"/>
              <w:rPr>
                <w:rFonts w:hint="eastAsia" w:ascii="微软雅黑" w:hAnsi="微软雅黑" w:eastAsia="微软雅黑" w:cs="微软雅黑"/>
                <w:i/>
                <w:iCs/>
                <w:color w:val="000000"/>
                <w:sz w:val="16"/>
                <w:szCs w:val="16"/>
                <w:u w:val="none"/>
              </w:rPr>
            </w:pPr>
          </w:p>
        </w:tc>
      </w:tr>
      <w:tr w14:paraId="72E9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C38A">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D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8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7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D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D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55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D5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6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D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FCBCF">
            <w:pPr>
              <w:jc w:val="center"/>
              <w:rPr>
                <w:rFonts w:hint="eastAsia" w:ascii="微软雅黑" w:hAnsi="微软雅黑" w:eastAsia="微软雅黑" w:cs="微软雅黑"/>
                <w:i/>
                <w:iCs/>
                <w:color w:val="000000"/>
                <w:sz w:val="16"/>
                <w:szCs w:val="16"/>
                <w:u w:val="none"/>
              </w:rPr>
            </w:pPr>
          </w:p>
        </w:tc>
      </w:tr>
      <w:tr w14:paraId="59A7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79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2B3F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E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B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241">
            <w:pPr>
              <w:rPr>
                <w:rFonts w:hint="eastAsia" w:ascii="宋体" w:hAnsi="宋体" w:eastAsia="宋体" w:cs="宋体"/>
                <w:i w:val="0"/>
                <w:iCs w:val="0"/>
                <w:color w:val="000000"/>
                <w:sz w:val="18"/>
                <w:szCs w:val="18"/>
                <w:u w:val="none"/>
              </w:rPr>
            </w:pPr>
          </w:p>
        </w:tc>
      </w:tr>
      <w:tr w14:paraId="21A8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A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B449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负责1500吨稻谷、1000吨小麦、500吨大米以及60吨小包装菜油的区级储备和日常管理，确保运作顺畅。同时，将地方储备粮规模提升至2000吨，对储备费用及利息补贴进行精确计算和支付。项目自评得分97分。</w:t>
            </w:r>
          </w:p>
        </w:tc>
      </w:tr>
      <w:tr w14:paraId="566A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2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77E83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E6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F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5D6DD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D0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280" w:hRule="atLeast"/>
          <w:jc w:val="center"/>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038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项目负责人：张翼</w:t>
            </w:r>
          </w:p>
        </w:tc>
        <w:tc>
          <w:tcPr>
            <w:tcW w:w="60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3B75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19E7D7DD">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367" w:type="dxa"/>
        <w:tblInd w:w="-8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660"/>
        <w:gridCol w:w="817"/>
        <w:gridCol w:w="667"/>
        <w:gridCol w:w="1066"/>
        <w:gridCol w:w="854"/>
        <w:gridCol w:w="960"/>
        <w:gridCol w:w="1503"/>
      </w:tblGrid>
      <w:tr w14:paraId="288E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3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8B1C1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5A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67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BC10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51090422T000000393934-救灾物资储备库管理与维护经费</w:t>
            </w:r>
          </w:p>
        </w:tc>
      </w:tr>
      <w:tr w14:paraId="11B0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0CA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15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1066" w:type="dxa"/>
            <w:tcBorders>
              <w:top w:val="nil"/>
              <w:left w:val="nil"/>
              <w:bottom w:val="nil"/>
              <w:right w:val="nil"/>
            </w:tcBorders>
            <w:shd w:val="clear" w:color="auto" w:fill="auto"/>
            <w:vAlign w:val="center"/>
          </w:tcPr>
          <w:p w14:paraId="63E501C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1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3029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86F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9CD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62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7224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57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3828">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77E2D">
            <w:pPr>
              <w:rPr>
                <w:rFonts w:hint="eastAsia" w:ascii="宋体" w:hAnsi="宋体" w:eastAsia="宋体" w:cs="宋体"/>
                <w:i w:val="0"/>
                <w:iCs w:val="0"/>
                <w:color w:val="000000"/>
                <w:sz w:val="18"/>
                <w:szCs w:val="18"/>
                <w:u w:val="none"/>
              </w:rPr>
            </w:pPr>
          </w:p>
        </w:tc>
        <w:tc>
          <w:tcPr>
            <w:tcW w:w="4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DF8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做好储备库的日常运行和建设</w:t>
            </w: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1E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保证救灾物资储备仓库正常运行</w:t>
            </w:r>
          </w:p>
        </w:tc>
      </w:tr>
      <w:tr w14:paraId="7E3F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E905">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3D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A8BA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确保救灾物资储备仓库日常运行期间的消防、监控网络安全设备、用水、用电保障；勤务、安保工程项目等费用支出；确保救灾物资的收发、搬运、运输、管理等。</w:t>
            </w:r>
          </w:p>
        </w:tc>
      </w:tr>
      <w:tr w14:paraId="3BB6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05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B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7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A0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B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B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B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A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FE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8D8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A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E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4A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0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8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7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0F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2022年-2023年，对救灾物资储备库进行地面硬化、安装路灯等，导致该项目预算增加。2024年整修已完成，只进行日常维护，故预算调整较大。</w:t>
            </w:r>
          </w:p>
        </w:tc>
      </w:tr>
      <w:tr w14:paraId="7F9E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ACD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3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5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F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AA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8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6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D944">
            <w:pPr>
              <w:jc w:val="center"/>
              <w:rPr>
                <w:rFonts w:hint="eastAsia" w:ascii="宋体" w:hAnsi="宋体" w:eastAsia="宋体" w:cs="宋体"/>
                <w:i w:val="0"/>
                <w:iCs w:val="0"/>
                <w:color w:val="000000"/>
                <w:sz w:val="18"/>
                <w:szCs w:val="18"/>
                <w:u w:val="none"/>
              </w:rPr>
            </w:pPr>
          </w:p>
        </w:tc>
      </w:tr>
      <w:tr w14:paraId="3D8F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48E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8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E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20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C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9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8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92DF">
            <w:pPr>
              <w:jc w:val="center"/>
              <w:rPr>
                <w:rFonts w:hint="eastAsia" w:ascii="宋体" w:hAnsi="宋体" w:eastAsia="宋体" w:cs="宋体"/>
                <w:i w:val="0"/>
                <w:iCs w:val="0"/>
                <w:color w:val="000000"/>
                <w:sz w:val="18"/>
                <w:szCs w:val="18"/>
                <w:u w:val="none"/>
              </w:rPr>
            </w:pPr>
          </w:p>
        </w:tc>
      </w:tr>
      <w:tr w14:paraId="66C2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06E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F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7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3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84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F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6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1540">
            <w:pPr>
              <w:jc w:val="center"/>
              <w:rPr>
                <w:rFonts w:hint="eastAsia" w:ascii="宋体" w:hAnsi="宋体" w:eastAsia="宋体" w:cs="宋体"/>
                <w:i w:val="0"/>
                <w:iCs w:val="0"/>
                <w:color w:val="000000"/>
                <w:sz w:val="18"/>
                <w:szCs w:val="18"/>
                <w:u w:val="none"/>
              </w:rPr>
            </w:pPr>
          </w:p>
        </w:tc>
      </w:tr>
      <w:tr w14:paraId="0C5C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C3A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B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7454">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35A4">
            <w:pPr>
              <w:jc w:val="center"/>
              <w:rPr>
                <w:rFonts w:hint="eastAsia" w:ascii="微软雅黑" w:hAnsi="微软雅黑" w:eastAsia="微软雅黑" w:cs="微软雅黑"/>
                <w:i/>
                <w:iCs/>
                <w:color w:val="000000"/>
                <w:sz w:val="16"/>
                <w:szCs w:val="16"/>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128F4">
            <w:pPr>
              <w:jc w:val="center"/>
              <w:rPr>
                <w:rFonts w:hint="eastAsia" w:ascii="微软雅黑" w:hAnsi="微软雅黑" w:eastAsia="微软雅黑" w:cs="微软雅黑"/>
                <w:i/>
                <w:iCs/>
                <w:color w:val="000000"/>
                <w:sz w:val="16"/>
                <w:szCs w:val="16"/>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3D63">
            <w:pPr>
              <w:jc w:val="center"/>
              <w:rPr>
                <w:rFonts w:hint="eastAsia" w:ascii="微软雅黑" w:hAnsi="微软雅黑" w:eastAsia="微软雅黑" w:cs="微软雅黑"/>
                <w:i/>
                <w:iCs/>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5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31DB">
            <w:pPr>
              <w:jc w:val="center"/>
              <w:rPr>
                <w:rFonts w:hint="eastAsia" w:ascii="宋体" w:hAnsi="宋体" w:eastAsia="宋体" w:cs="宋体"/>
                <w:i w:val="0"/>
                <w:iCs w:val="0"/>
                <w:color w:val="000000"/>
                <w:sz w:val="18"/>
                <w:szCs w:val="18"/>
                <w:u w:val="none"/>
              </w:rPr>
            </w:pPr>
          </w:p>
        </w:tc>
      </w:tr>
      <w:tr w14:paraId="7901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4F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8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1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9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C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0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E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F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EE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C65F">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9F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C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E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保障储备库数量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1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B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9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4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2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1B1">
            <w:pPr>
              <w:jc w:val="center"/>
              <w:rPr>
                <w:rFonts w:hint="eastAsia" w:ascii="微软雅黑" w:hAnsi="微软雅黑" w:eastAsia="微软雅黑" w:cs="微软雅黑"/>
                <w:i/>
                <w:iCs/>
                <w:color w:val="000000"/>
                <w:sz w:val="16"/>
                <w:szCs w:val="16"/>
                <w:u w:val="none"/>
              </w:rPr>
            </w:pPr>
          </w:p>
        </w:tc>
      </w:tr>
      <w:tr w14:paraId="0BED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905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8A11">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DF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5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保持储备库运行有序状态良好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F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C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1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B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F48D">
            <w:pPr>
              <w:jc w:val="center"/>
              <w:rPr>
                <w:rFonts w:hint="eastAsia" w:ascii="微软雅黑" w:hAnsi="微软雅黑" w:eastAsia="微软雅黑" w:cs="微软雅黑"/>
                <w:i/>
                <w:iCs/>
                <w:color w:val="000000"/>
                <w:sz w:val="16"/>
                <w:szCs w:val="16"/>
                <w:u w:val="none"/>
              </w:rPr>
            </w:pPr>
          </w:p>
        </w:tc>
      </w:tr>
      <w:tr w14:paraId="77B9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B30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041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59B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6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高质量完成储备库建设和运行管理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1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D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6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9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7AB6">
            <w:pPr>
              <w:jc w:val="center"/>
              <w:rPr>
                <w:rFonts w:hint="eastAsia" w:ascii="微软雅黑" w:hAnsi="微软雅黑" w:eastAsia="微软雅黑" w:cs="微软雅黑"/>
                <w:i/>
                <w:iCs/>
                <w:color w:val="000000"/>
                <w:sz w:val="16"/>
                <w:szCs w:val="16"/>
                <w:u w:val="none"/>
              </w:rPr>
            </w:pPr>
          </w:p>
        </w:tc>
      </w:tr>
      <w:tr w14:paraId="6EEB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433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DCC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4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F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0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F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D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2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492">
            <w:pPr>
              <w:jc w:val="center"/>
              <w:rPr>
                <w:rFonts w:hint="eastAsia" w:ascii="微软雅黑" w:hAnsi="微软雅黑" w:eastAsia="微软雅黑" w:cs="微软雅黑"/>
                <w:i/>
                <w:iCs/>
                <w:color w:val="000000"/>
                <w:sz w:val="16"/>
                <w:szCs w:val="16"/>
                <w:u w:val="none"/>
              </w:rPr>
            </w:pPr>
          </w:p>
        </w:tc>
      </w:tr>
      <w:tr w14:paraId="0084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78F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2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8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保障储备库运行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5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F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8953">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B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1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6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3B4">
            <w:pPr>
              <w:jc w:val="center"/>
              <w:rPr>
                <w:rFonts w:hint="eastAsia" w:ascii="微软雅黑" w:hAnsi="微软雅黑" w:eastAsia="微软雅黑" w:cs="微软雅黑"/>
                <w:i/>
                <w:iCs/>
                <w:color w:val="000000"/>
                <w:sz w:val="16"/>
                <w:szCs w:val="16"/>
                <w:u w:val="none"/>
              </w:rPr>
            </w:pPr>
          </w:p>
        </w:tc>
      </w:tr>
      <w:tr w14:paraId="55D1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8B1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3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4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满意救灾对物资需求</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C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4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B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1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9C08">
            <w:pPr>
              <w:jc w:val="center"/>
              <w:rPr>
                <w:rFonts w:hint="eastAsia" w:ascii="微软雅黑" w:hAnsi="微软雅黑" w:eastAsia="微软雅黑" w:cs="微软雅黑"/>
                <w:i/>
                <w:iCs/>
                <w:color w:val="000000"/>
                <w:sz w:val="16"/>
                <w:szCs w:val="16"/>
                <w:u w:val="none"/>
              </w:rPr>
            </w:pPr>
          </w:p>
        </w:tc>
      </w:tr>
      <w:tr w14:paraId="1CD3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18D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0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6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3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7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0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0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E76">
            <w:pPr>
              <w:jc w:val="center"/>
              <w:rPr>
                <w:rFonts w:hint="eastAsia" w:ascii="微软雅黑" w:hAnsi="微软雅黑" w:eastAsia="微软雅黑" w:cs="微软雅黑"/>
                <w:i/>
                <w:iCs/>
                <w:color w:val="000000"/>
                <w:sz w:val="16"/>
                <w:szCs w:val="16"/>
                <w:u w:val="none"/>
              </w:rPr>
            </w:pPr>
          </w:p>
        </w:tc>
      </w:tr>
      <w:tr w14:paraId="4215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170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9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3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4FC0">
            <w:pPr>
              <w:rPr>
                <w:rFonts w:hint="eastAsia" w:ascii="宋体" w:hAnsi="宋体" w:eastAsia="宋体" w:cs="宋体"/>
                <w:i w:val="0"/>
                <w:iCs w:val="0"/>
                <w:color w:val="000000"/>
                <w:sz w:val="18"/>
                <w:szCs w:val="18"/>
                <w:u w:val="none"/>
              </w:rPr>
            </w:pPr>
          </w:p>
        </w:tc>
      </w:tr>
      <w:tr w14:paraId="3DB6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3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D7C2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救灾物资储备仓库在日常运营期间的消防安全、监控网络安全设备、供水供电的稳定性；管理勤务和安保工程项目的相关费用支出；同时，确保救灾物资的接收、搬运、运输和管理工作的顺利进行。项目自评得分94.28分。</w:t>
            </w:r>
          </w:p>
        </w:tc>
      </w:tr>
      <w:tr w14:paraId="3AE0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F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7E66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救灾物资储备仓库部分设施设备老化。仓库信息化管理有待提升，管理人员业务素质有待提高。</w:t>
            </w:r>
          </w:p>
        </w:tc>
      </w:tr>
      <w:tr w14:paraId="5635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0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3EC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加强物资仓库设施设备更新改造，提高信息化管理水平，提高管理人员业务知识培训。</w:t>
            </w:r>
          </w:p>
        </w:tc>
      </w:tr>
      <w:tr w14:paraId="7028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BE9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项目负责人：张翼</w:t>
            </w:r>
          </w:p>
        </w:tc>
        <w:tc>
          <w:tcPr>
            <w:tcW w:w="5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649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1DAABFA2">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0"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tblGrid>
      <w:tr w14:paraId="245F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B5645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B9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004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41AA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51090422T000000393980-产油大县项目资金</w:t>
            </w:r>
          </w:p>
        </w:tc>
      </w:tr>
      <w:tr w14:paraId="3CFD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FB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250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tcBorders>
              <w:top w:val="nil"/>
              <w:left w:val="nil"/>
              <w:bottom w:val="nil"/>
              <w:right w:val="nil"/>
            </w:tcBorders>
            <w:shd w:val="clear" w:color="auto" w:fill="auto"/>
            <w:vAlign w:val="center"/>
          </w:tcPr>
          <w:p w14:paraId="52059DF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51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75DF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C1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27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0F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5AE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9D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9F1B">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477E1">
            <w:pPr>
              <w:rPr>
                <w:rFonts w:hint="eastAsia" w:ascii="宋体" w:hAnsi="宋体" w:eastAsia="宋体" w:cs="宋体"/>
                <w:i w:val="0"/>
                <w:iCs w:val="0"/>
                <w:color w:val="000000"/>
                <w:sz w:val="18"/>
                <w:szCs w:val="18"/>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F5F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保石镇清泉村2023年粮食产后服务提升(县域整体)项目(第二批)已完工并通过验收,拨付项目补助。</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BD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该项目占地7亩，4666平方米，新建产后服务中心1个，主要建设烘干简易罩棚600m、粮食周转及晾晒场 4000m，购置循环式烘干设备6台，吸尘降尘设备1套，水分检测仪、重金属检测仪各1套，购置粮食转运车2辆。项目建成后年服务能力达 4.6万吨，服务覆盖半径50 公里。</w:t>
            </w:r>
          </w:p>
        </w:tc>
      </w:tr>
      <w:tr w14:paraId="2C09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6704">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07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7B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该项目占地7亩，4666平方米，新建产后服务中心1个，主要建设烘干简易罩棚600m、粮食周转及晾晒场 4000m，购置循环式烘干设备6台，吸尘降尘设备1套，水分检测仪、重金属检测仪各1套，购置粮食转运车2辆。项目建成后年服务能力达 4.6万吨，服务覆盖半径50 公里。</w:t>
            </w:r>
          </w:p>
        </w:tc>
      </w:tr>
      <w:tr w14:paraId="7DC7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7E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9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0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E3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A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8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5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1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CA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30B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7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B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F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D6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C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4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6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47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年中调减预算100万，将于2025年支付。</w:t>
            </w:r>
          </w:p>
        </w:tc>
      </w:tr>
      <w:tr w14:paraId="43F6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18A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7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E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A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6A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9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C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D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C999">
            <w:pPr>
              <w:jc w:val="center"/>
              <w:rPr>
                <w:rFonts w:hint="eastAsia" w:ascii="宋体" w:hAnsi="宋体" w:eastAsia="宋体" w:cs="宋体"/>
                <w:i w:val="0"/>
                <w:iCs w:val="0"/>
                <w:color w:val="000000"/>
                <w:sz w:val="18"/>
                <w:szCs w:val="18"/>
                <w:u w:val="none"/>
              </w:rPr>
            </w:pPr>
          </w:p>
        </w:tc>
      </w:tr>
      <w:tr w14:paraId="12D4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A9D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E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6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7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31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4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C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0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206F">
            <w:pPr>
              <w:jc w:val="center"/>
              <w:rPr>
                <w:rFonts w:hint="eastAsia" w:ascii="宋体" w:hAnsi="宋体" w:eastAsia="宋体" w:cs="宋体"/>
                <w:i w:val="0"/>
                <w:iCs w:val="0"/>
                <w:color w:val="000000"/>
                <w:sz w:val="18"/>
                <w:szCs w:val="18"/>
                <w:u w:val="none"/>
              </w:rPr>
            </w:pPr>
          </w:p>
        </w:tc>
      </w:tr>
      <w:tr w14:paraId="1E72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5F9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3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5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B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8C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5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9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4B20">
            <w:pPr>
              <w:jc w:val="center"/>
              <w:rPr>
                <w:rFonts w:hint="eastAsia" w:ascii="宋体" w:hAnsi="宋体" w:eastAsia="宋体" w:cs="宋体"/>
                <w:i w:val="0"/>
                <w:iCs w:val="0"/>
                <w:color w:val="000000"/>
                <w:sz w:val="18"/>
                <w:szCs w:val="18"/>
                <w:u w:val="none"/>
              </w:rPr>
            </w:pPr>
          </w:p>
        </w:tc>
      </w:tr>
      <w:tr w14:paraId="3B59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9A0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D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C051">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8879">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E7BF1">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E44">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0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5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DA70">
            <w:pPr>
              <w:jc w:val="center"/>
              <w:rPr>
                <w:rFonts w:hint="eastAsia" w:ascii="宋体" w:hAnsi="宋体" w:eastAsia="宋体" w:cs="宋体"/>
                <w:i w:val="0"/>
                <w:iCs w:val="0"/>
                <w:color w:val="000000"/>
                <w:sz w:val="18"/>
                <w:szCs w:val="18"/>
                <w:u w:val="none"/>
              </w:rPr>
            </w:pPr>
          </w:p>
        </w:tc>
      </w:tr>
      <w:tr w14:paraId="6DC0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3E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D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E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8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B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7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7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AD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C882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6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3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及时完成资金拨付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0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5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7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0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E91">
            <w:pPr>
              <w:jc w:val="center"/>
              <w:rPr>
                <w:rFonts w:hint="eastAsia" w:ascii="微软雅黑" w:hAnsi="微软雅黑" w:eastAsia="微软雅黑" w:cs="微软雅黑"/>
                <w:i/>
                <w:iCs/>
                <w:color w:val="000000"/>
                <w:sz w:val="16"/>
                <w:szCs w:val="16"/>
                <w:u w:val="none"/>
              </w:rPr>
            </w:pPr>
          </w:p>
        </w:tc>
      </w:tr>
      <w:tr w14:paraId="509C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53C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A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D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有效完成储备、实现对粮油价格的调节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4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D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9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7C2A">
            <w:pPr>
              <w:jc w:val="center"/>
              <w:rPr>
                <w:rFonts w:hint="eastAsia" w:ascii="微软雅黑" w:hAnsi="微软雅黑" w:eastAsia="微软雅黑" w:cs="微软雅黑"/>
                <w:i/>
                <w:iCs/>
                <w:color w:val="000000"/>
                <w:sz w:val="16"/>
                <w:szCs w:val="16"/>
                <w:u w:val="none"/>
              </w:rPr>
            </w:pPr>
          </w:p>
        </w:tc>
      </w:tr>
      <w:tr w14:paraId="6D06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4A7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C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9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F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建设方满意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1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F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4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F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66EB">
            <w:pPr>
              <w:jc w:val="center"/>
              <w:rPr>
                <w:rFonts w:hint="eastAsia" w:ascii="微软雅黑" w:hAnsi="微软雅黑" w:eastAsia="微软雅黑" w:cs="微软雅黑"/>
                <w:i/>
                <w:iCs/>
                <w:color w:val="000000"/>
                <w:sz w:val="16"/>
                <w:szCs w:val="16"/>
                <w:u w:val="none"/>
              </w:rPr>
            </w:pPr>
          </w:p>
        </w:tc>
      </w:tr>
      <w:tr w14:paraId="4826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989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A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3D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B8C4">
            <w:pPr>
              <w:rPr>
                <w:rFonts w:hint="eastAsia" w:ascii="宋体" w:hAnsi="宋体" w:eastAsia="宋体" w:cs="宋体"/>
                <w:i w:val="0"/>
                <w:iCs w:val="0"/>
                <w:color w:val="000000"/>
                <w:sz w:val="18"/>
                <w:szCs w:val="18"/>
                <w:u w:val="none"/>
              </w:rPr>
            </w:pPr>
          </w:p>
        </w:tc>
      </w:tr>
      <w:tr w14:paraId="35A0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97454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新建一个产后服务中心，主要功能包括建设烘干简易罩棚，便于粮食的周转和晾晒，同时购置2辆粮食转运车，以提升粮食产后服务的能力。项目自评得分95分。</w:t>
            </w:r>
          </w:p>
        </w:tc>
      </w:tr>
      <w:tr w14:paraId="3073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3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3FC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AF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F21C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E6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9DD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项目负责人：张翼</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5FC6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25036747">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317" w:type="dxa"/>
        <w:tblInd w:w="-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960"/>
        <w:gridCol w:w="1047"/>
        <w:gridCol w:w="1300"/>
        <w:gridCol w:w="533"/>
        <w:gridCol w:w="100"/>
        <w:gridCol w:w="717"/>
        <w:gridCol w:w="673"/>
        <w:gridCol w:w="960"/>
        <w:gridCol w:w="960"/>
        <w:gridCol w:w="960"/>
        <w:gridCol w:w="1147"/>
      </w:tblGrid>
      <w:tr w14:paraId="751B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31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2A1D19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EE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14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61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51090422T000000393994-粮食应急供应体系建设项目</w:t>
            </w:r>
          </w:p>
        </w:tc>
      </w:tr>
      <w:tr w14:paraId="04AA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BC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E1F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tcBorders>
              <w:top w:val="nil"/>
              <w:left w:val="nil"/>
              <w:bottom w:val="nil"/>
              <w:right w:val="nil"/>
            </w:tcBorders>
            <w:shd w:val="clear" w:color="auto" w:fill="auto"/>
            <w:vAlign w:val="center"/>
          </w:tcPr>
          <w:p w14:paraId="5F814C9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F5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7D07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7AB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9D2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CCF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10BA9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4D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BF04">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8FEB">
            <w:pPr>
              <w:rPr>
                <w:rFonts w:hint="eastAsia" w:ascii="宋体" w:hAnsi="宋体" w:eastAsia="宋体" w:cs="宋体"/>
                <w:i w:val="0"/>
                <w:iCs w:val="0"/>
                <w:color w:val="000000"/>
                <w:sz w:val="18"/>
                <w:szCs w:val="18"/>
                <w:u w:val="none"/>
              </w:rPr>
            </w:pPr>
          </w:p>
        </w:tc>
        <w:tc>
          <w:tcPr>
            <w:tcW w:w="4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C17F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推进安居区粮食应急供应体系建设</w:t>
            </w:r>
          </w:p>
        </w:tc>
        <w:tc>
          <w:tcPr>
            <w:tcW w:w="4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6DF9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开展遂宁市安居区2024年世界粮食日和全国粮食安全宣传周活动</w:t>
            </w:r>
          </w:p>
        </w:tc>
      </w:tr>
      <w:tr w14:paraId="7A03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6A3C">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3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832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开展遂宁市安居区2024年世界粮食日和全国粮食安全宣传周活动</w:t>
            </w:r>
          </w:p>
        </w:tc>
      </w:tr>
      <w:tr w14:paraId="3109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42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3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7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B7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2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9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E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9E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4CA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5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0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0.98</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0F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5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4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9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8D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中期评估后调整预算，追减收回部分资金。</w:t>
            </w:r>
          </w:p>
        </w:tc>
      </w:tr>
      <w:tr w14:paraId="70E1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D6B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9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9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0.98</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A6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B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1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303A">
            <w:pPr>
              <w:jc w:val="center"/>
              <w:rPr>
                <w:rFonts w:hint="eastAsia" w:ascii="宋体" w:hAnsi="宋体" w:eastAsia="宋体" w:cs="宋体"/>
                <w:i w:val="0"/>
                <w:iCs w:val="0"/>
                <w:color w:val="000000"/>
                <w:sz w:val="18"/>
                <w:szCs w:val="18"/>
                <w:u w:val="none"/>
              </w:rPr>
            </w:pPr>
          </w:p>
        </w:tc>
      </w:tr>
      <w:tr w14:paraId="079A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305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B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2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E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CF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A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6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563D">
            <w:pPr>
              <w:jc w:val="center"/>
              <w:rPr>
                <w:rFonts w:hint="eastAsia" w:ascii="宋体" w:hAnsi="宋体" w:eastAsia="宋体" w:cs="宋体"/>
                <w:i w:val="0"/>
                <w:iCs w:val="0"/>
                <w:color w:val="000000"/>
                <w:sz w:val="18"/>
                <w:szCs w:val="18"/>
                <w:u w:val="none"/>
              </w:rPr>
            </w:pPr>
          </w:p>
        </w:tc>
      </w:tr>
      <w:tr w14:paraId="5D83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EC0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2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A2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8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4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1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1754">
            <w:pPr>
              <w:jc w:val="center"/>
              <w:rPr>
                <w:rFonts w:hint="eastAsia" w:ascii="宋体" w:hAnsi="宋体" w:eastAsia="宋体" w:cs="宋体"/>
                <w:i w:val="0"/>
                <w:iCs w:val="0"/>
                <w:color w:val="000000"/>
                <w:sz w:val="18"/>
                <w:szCs w:val="18"/>
                <w:u w:val="none"/>
              </w:rPr>
            </w:pPr>
          </w:p>
        </w:tc>
      </w:tr>
      <w:tr w14:paraId="6E3F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3FD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F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6284">
            <w:pPr>
              <w:jc w:val="center"/>
              <w:rPr>
                <w:rFonts w:hint="eastAsia" w:ascii="微软雅黑" w:hAnsi="微软雅黑" w:eastAsia="微软雅黑" w:cs="微软雅黑"/>
                <w:i/>
                <w:iCs/>
                <w:color w:val="000000"/>
                <w:sz w:val="16"/>
                <w:szCs w:val="16"/>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C73F">
            <w:pPr>
              <w:jc w:val="center"/>
              <w:rPr>
                <w:rFonts w:hint="eastAsia" w:ascii="微软雅黑" w:hAnsi="微软雅黑" w:eastAsia="微软雅黑" w:cs="微软雅黑"/>
                <w:i/>
                <w:iCs/>
                <w:color w:val="000000"/>
                <w:sz w:val="16"/>
                <w:szCs w:val="16"/>
                <w:u w:val="none"/>
              </w:rPr>
            </w:pP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1515C">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056D">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B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B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2143">
            <w:pPr>
              <w:jc w:val="center"/>
              <w:rPr>
                <w:rFonts w:hint="eastAsia" w:ascii="宋体" w:hAnsi="宋体" w:eastAsia="宋体" w:cs="宋体"/>
                <w:i w:val="0"/>
                <w:iCs w:val="0"/>
                <w:color w:val="000000"/>
                <w:sz w:val="18"/>
                <w:szCs w:val="18"/>
                <w:u w:val="none"/>
              </w:rPr>
            </w:pPr>
          </w:p>
        </w:tc>
      </w:tr>
      <w:tr w14:paraId="556D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B2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4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2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1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F3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B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A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7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00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503B">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5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0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A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供应体系建设完成率</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65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3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3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C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7F3B">
            <w:pPr>
              <w:jc w:val="center"/>
              <w:rPr>
                <w:rFonts w:hint="eastAsia" w:ascii="微软雅黑" w:hAnsi="微软雅黑" w:eastAsia="微软雅黑" w:cs="微软雅黑"/>
                <w:i/>
                <w:iCs/>
                <w:color w:val="000000"/>
                <w:sz w:val="16"/>
                <w:szCs w:val="16"/>
                <w:u w:val="none"/>
              </w:rPr>
            </w:pPr>
          </w:p>
        </w:tc>
      </w:tr>
      <w:tr w14:paraId="4337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CAC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1708">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8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0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稳步推进应急供应体系建设</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6E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B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8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F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3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2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79C6">
            <w:pPr>
              <w:jc w:val="center"/>
              <w:rPr>
                <w:rFonts w:hint="eastAsia" w:ascii="微软雅黑" w:hAnsi="微软雅黑" w:eastAsia="微软雅黑" w:cs="微软雅黑"/>
                <w:i/>
                <w:iCs/>
                <w:color w:val="000000"/>
                <w:sz w:val="16"/>
                <w:szCs w:val="16"/>
                <w:u w:val="none"/>
              </w:rPr>
            </w:pPr>
          </w:p>
        </w:tc>
      </w:tr>
      <w:tr w14:paraId="2F74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DF7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6CDB">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7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项目完成期限</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10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E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4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32E3">
            <w:pPr>
              <w:jc w:val="center"/>
              <w:rPr>
                <w:rFonts w:hint="eastAsia" w:ascii="微软雅黑" w:hAnsi="微软雅黑" w:eastAsia="微软雅黑" w:cs="微软雅黑"/>
                <w:i/>
                <w:iCs/>
                <w:color w:val="000000"/>
                <w:sz w:val="16"/>
                <w:szCs w:val="16"/>
                <w:u w:val="none"/>
              </w:rPr>
            </w:pPr>
          </w:p>
        </w:tc>
      </w:tr>
      <w:tr w14:paraId="2DFB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76E6">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73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4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增强社会对粮油供应信心</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81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C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0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9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425E">
            <w:pPr>
              <w:jc w:val="center"/>
              <w:rPr>
                <w:rFonts w:hint="eastAsia" w:ascii="微软雅黑" w:hAnsi="微软雅黑" w:eastAsia="微软雅黑" w:cs="微软雅黑"/>
                <w:i/>
                <w:iCs/>
                <w:color w:val="000000"/>
                <w:sz w:val="16"/>
                <w:szCs w:val="16"/>
                <w:u w:val="none"/>
              </w:rPr>
            </w:pPr>
          </w:p>
        </w:tc>
      </w:tr>
      <w:tr w14:paraId="4399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B9F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C5C4">
            <w:pPr>
              <w:jc w:val="center"/>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1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保持粮油供应稳定</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EF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9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E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0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0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741A">
            <w:pPr>
              <w:jc w:val="center"/>
              <w:rPr>
                <w:rFonts w:hint="eastAsia" w:ascii="微软雅黑" w:hAnsi="微软雅黑" w:eastAsia="微软雅黑" w:cs="微软雅黑"/>
                <w:i/>
                <w:iCs/>
                <w:color w:val="000000"/>
                <w:sz w:val="16"/>
                <w:szCs w:val="16"/>
                <w:u w:val="none"/>
              </w:rPr>
            </w:pPr>
          </w:p>
        </w:tc>
      </w:tr>
      <w:tr w14:paraId="4E78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C9B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E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0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F5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0D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E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E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534C">
            <w:pPr>
              <w:jc w:val="center"/>
              <w:rPr>
                <w:rFonts w:hint="eastAsia" w:ascii="微软雅黑" w:hAnsi="微软雅黑" w:eastAsia="微软雅黑" w:cs="微软雅黑"/>
                <w:i/>
                <w:iCs/>
                <w:color w:val="000000"/>
                <w:sz w:val="16"/>
                <w:szCs w:val="16"/>
                <w:u w:val="none"/>
              </w:rPr>
            </w:pPr>
          </w:p>
        </w:tc>
      </w:tr>
      <w:tr w14:paraId="42B2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EE4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2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1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1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7D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A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F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7D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1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B4FC">
            <w:pPr>
              <w:jc w:val="center"/>
              <w:rPr>
                <w:rFonts w:hint="eastAsia" w:ascii="微软雅黑" w:hAnsi="微软雅黑" w:eastAsia="微软雅黑" w:cs="微软雅黑"/>
                <w:i/>
                <w:iCs/>
                <w:color w:val="000000"/>
                <w:sz w:val="16"/>
                <w:szCs w:val="16"/>
                <w:u w:val="none"/>
              </w:rPr>
            </w:pPr>
          </w:p>
        </w:tc>
      </w:tr>
      <w:tr w14:paraId="406C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2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E15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2B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E329">
            <w:pPr>
              <w:rPr>
                <w:rFonts w:hint="eastAsia" w:ascii="宋体" w:hAnsi="宋体" w:eastAsia="宋体" w:cs="宋体"/>
                <w:i w:val="0"/>
                <w:iCs w:val="0"/>
                <w:color w:val="000000"/>
                <w:sz w:val="18"/>
                <w:szCs w:val="18"/>
                <w:u w:val="none"/>
              </w:rPr>
            </w:pPr>
          </w:p>
        </w:tc>
      </w:tr>
      <w:tr w14:paraId="0DCC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C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3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154F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举办遂宁市安居区2024年世界粮食日及全国粮食安全宣传周活动，项目自评得分94分。</w:t>
            </w:r>
          </w:p>
        </w:tc>
      </w:tr>
      <w:tr w14:paraId="66A6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3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BFB3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04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0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3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D243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32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2C0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项目负责人：张翼</w:t>
            </w:r>
          </w:p>
        </w:tc>
        <w:tc>
          <w:tcPr>
            <w:tcW w:w="55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01BD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4E9AF3B6">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0" w:type="dxa"/>
        <w:tblInd w:w="-7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tblGrid>
      <w:tr w14:paraId="78AB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FAD0E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D7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73F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2235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51090422T000000394066-</w:t>
            </w:r>
            <w:r>
              <w:rPr>
                <w:rFonts w:hint="eastAsia" w:ascii="宋体" w:hAnsi="宋体" w:eastAsia="宋体" w:cs="宋体"/>
                <w:i w:val="0"/>
                <w:iCs w:val="0"/>
                <w:color w:val="000000"/>
                <w:kern w:val="0"/>
                <w:sz w:val="18"/>
                <w:szCs w:val="18"/>
                <w:u w:val="none"/>
                <w:lang w:val="en-US" w:eastAsia="zh-CN" w:bidi="ar"/>
              </w:rPr>
              <w:t>“十四五”规划</w:t>
            </w:r>
            <w:r>
              <w:rPr>
                <w:rFonts w:ascii="宋体" w:hAnsi="宋体" w:eastAsia="宋体" w:cs="宋体"/>
                <w:i w:val="0"/>
                <w:iCs w:val="0"/>
                <w:color w:val="000000"/>
                <w:kern w:val="0"/>
                <w:sz w:val="18"/>
                <w:szCs w:val="18"/>
                <w:u w:val="none"/>
                <w:lang w:val="en-US" w:eastAsia="zh-CN" w:bidi="ar"/>
              </w:rPr>
              <w:t>编制费用</w:t>
            </w:r>
          </w:p>
        </w:tc>
      </w:tr>
      <w:tr w14:paraId="0F20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D2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1CB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tcBorders>
              <w:top w:val="nil"/>
              <w:left w:val="nil"/>
              <w:bottom w:val="nil"/>
              <w:right w:val="nil"/>
            </w:tcBorders>
            <w:shd w:val="clear" w:color="auto" w:fill="auto"/>
            <w:vAlign w:val="center"/>
          </w:tcPr>
          <w:p w14:paraId="3D7A4F3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3E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483C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16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BA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9C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6E7E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F4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32B7">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C14F">
            <w:pPr>
              <w:rPr>
                <w:rFonts w:hint="eastAsia" w:ascii="宋体" w:hAnsi="宋体" w:eastAsia="宋体" w:cs="宋体"/>
                <w:i w:val="0"/>
                <w:iCs w:val="0"/>
                <w:color w:val="000000"/>
                <w:sz w:val="18"/>
                <w:szCs w:val="18"/>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BD5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完成《遂宁市安居区“十四五”时期总体发展思路研究》和《遂宁市安居区国民经济和社会发展第十四个五年规划和二〇三五年远景目标纲要草案》编制</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C8C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拨付“十四五”期间粮食和物资储备工作的规划编制，对相关的文件材料印刷费用尾款。</w:t>
            </w:r>
          </w:p>
        </w:tc>
      </w:tr>
      <w:tr w14:paraId="6AF2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A89E">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5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A9DB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“十四五”期间粮食和物资储备工作的规划编制，对相关的文件材料印刷费用</w:t>
            </w:r>
          </w:p>
        </w:tc>
      </w:tr>
      <w:tr w14:paraId="7373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5D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E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8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41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1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9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F6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C66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B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35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E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0D92C">
            <w:pPr>
              <w:rPr>
                <w:rFonts w:hint="eastAsia" w:ascii="黑体" w:hAnsi="黑体" w:eastAsia="黑体" w:cs="黑体"/>
                <w:i/>
                <w:iCs/>
                <w:color w:val="000000"/>
                <w:sz w:val="18"/>
                <w:szCs w:val="18"/>
                <w:u w:val="none"/>
              </w:rPr>
            </w:pPr>
          </w:p>
        </w:tc>
      </w:tr>
      <w:tr w14:paraId="4B6A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5602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D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8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A4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D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D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DF58">
            <w:pPr>
              <w:rPr>
                <w:rFonts w:hint="eastAsia" w:ascii="黑体" w:hAnsi="黑体" w:eastAsia="黑体" w:cs="黑体"/>
                <w:i/>
                <w:iCs/>
                <w:color w:val="000000"/>
                <w:sz w:val="18"/>
                <w:szCs w:val="18"/>
                <w:u w:val="none"/>
              </w:rPr>
            </w:pPr>
          </w:p>
        </w:tc>
      </w:tr>
      <w:tr w14:paraId="2BE6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923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E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6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5C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C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A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5175">
            <w:pPr>
              <w:rPr>
                <w:rFonts w:hint="eastAsia" w:ascii="黑体" w:hAnsi="黑体" w:eastAsia="黑体" w:cs="黑体"/>
                <w:i/>
                <w:iCs/>
                <w:color w:val="000000"/>
                <w:sz w:val="18"/>
                <w:szCs w:val="18"/>
                <w:u w:val="none"/>
              </w:rPr>
            </w:pPr>
          </w:p>
        </w:tc>
      </w:tr>
      <w:tr w14:paraId="3D8D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E8E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0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D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9B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3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362D">
            <w:pPr>
              <w:rPr>
                <w:rFonts w:hint="eastAsia" w:ascii="黑体" w:hAnsi="黑体" w:eastAsia="黑体" w:cs="黑体"/>
                <w:i/>
                <w:iCs/>
                <w:color w:val="000000"/>
                <w:sz w:val="18"/>
                <w:szCs w:val="18"/>
                <w:u w:val="none"/>
              </w:rPr>
            </w:pPr>
          </w:p>
        </w:tc>
      </w:tr>
      <w:tr w14:paraId="6EAA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727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9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D717">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BAC">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268F7">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6D58">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1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5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C0D">
            <w:pPr>
              <w:rPr>
                <w:rFonts w:hint="eastAsia" w:ascii="黑体" w:hAnsi="黑体" w:eastAsia="黑体" w:cs="黑体"/>
                <w:i/>
                <w:iCs/>
                <w:color w:val="000000"/>
                <w:sz w:val="18"/>
                <w:szCs w:val="18"/>
                <w:u w:val="none"/>
              </w:rPr>
            </w:pPr>
          </w:p>
        </w:tc>
      </w:tr>
      <w:tr w14:paraId="4F9E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0C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7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7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2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2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0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8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B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F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7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93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EA21">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85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A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完成规划编制数量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5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4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E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6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D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6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D03">
            <w:pPr>
              <w:jc w:val="center"/>
              <w:rPr>
                <w:rFonts w:hint="eastAsia" w:ascii="微软雅黑" w:hAnsi="微软雅黑" w:eastAsia="微软雅黑" w:cs="微软雅黑"/>
                <w:i/>
                <w:iCs/>
                <w:color w:val="000000"/>
                <w:sz w:val="16"/>
                <w:szCs w:val="16"/>
                <w:u w:val="none"/>
              </w:rPr>
            </w:pPr>
          </w:p>
        </w:tc>
      </w:tr>
      <w:tr w14:paraId="459F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20A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09F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A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高质量完成规划编制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B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34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D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1BFE">
            <w:pPr>
              <w:jc w:val="center"/>
              <w:rPr>
                <w:rFonts w:hint="eastAsia" w:ascii="微软雅黑" w:hAnsi="微软雅黑" w:eastAsia="微软雅黑" w:cs="微软雅黑"/>
                <w:i/>
                <w:iCs/>
                <w:color w:val="000000"/>
                <w:sz w:val="16"/>
                <w:szCs w:val="16"/>
                <w:u w:val="none"/>
              </w:rPr>
            </w:pPr>
          </w:p>
        </w:tc>
      </w:tr>
      <w:tr w14:paraId="28FB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34A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41E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2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2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及时完成规划编制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5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0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06C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A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8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E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4FB6">
            <w:pPr>
              <w:jc w:val="center"/>
              <w:rPr>
                <w:rFonts w:hint="eastAsia" w:ascii="微软雅黑" w:hAnsi="微软雅黑" w:eastAsia="微软雅黑" w:cs="微软雅黑"/>
                <w:i/>
                <w:iCs/>
                <w:color w:val="000000"/>
                <w:sz w:val="16"/>
                <w:szCs w:val="16"/>
                <w:u w:val="none"/>
              </w:rPr>
            </w:pPr>
          </w:p>
        </w:tc>
      </w:tr>
      <w:tr w14:paraId="58FE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9BF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A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2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指导社会经济发展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C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9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A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2706">
            <w:pPr>
              <w:jc w:val="center"/>
              <w:rPr>
                <w:rFonts w:hint="eastAsia" w:ascii="微软雅黑" w:hAnsi="微软雅黑" w:eastAsia="微软雅黑" w:cs="微软雅黑"/>
                <w:i/>
                <w:iCs/>
                <w:color w:val="000000"/>
                <w:sz w:val="16"/>
                <w:szCs w:val="16"/>
                <w:u w:val="none"/>
              </w:rPr>
            </w:pPr>
          </w:p>
        </w:tc>
      </w:tr>
      <w:tr w14:paraId="4627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346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E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5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6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A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4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7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D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8946">
            <w:pPr>
              <w:jc w:val="center"/>
              <w:rPr>
                <w:rFonts w:hint="eastAsia" w:ascii="微软雅黑" w:hAnsi="微软雅黑" w:eastAsia="微软雅黑" w:cs="微软雅黑"/>
                <w:i/>
                <w:iCs/>
                <w:color w:val="000000"/>
                <w:sz w:val="16"/>
                <w:szCs w:val="16"/>
                <w:u w:val="none"/>
              </w:rPr>
            </w:pPr>
          </w:p>
        </w:tc>
      </w:tr>
      <w:tr w14:paraId="51E7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F73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6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7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B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7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FF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384000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6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A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AB79">
            <w:pPr>
              <w:jc w:val="center"/>
              <w:rPr>
                <w:rFonts w:hint="eastAsia" w:ascii="微软雅黑" w:hAnsi="微软雅黑" w:eastAsia="微软雅黑" w:cs="微软雅黑"/>
                <w:i/>
                <w:iCs/>
                <w:color w:val="000000"/>
                <w:sz w:val="16"/>
                <w:szCs w:val="16"/>
                <w:u w:val="none"/>
              </w:rPr>
            </w:pPr>
          </w:p>
        </w:tc>
      </w:tr>
      <w:tr w14:paraId="5AB1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7EE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C653">
            <w:pPr>
              <w:rPr>
                <w:rFonts w:hint="eastAsia" w:ascii="宋体" w:hAnsi="宋体" w:eastAsia="宋体" w:cs="宋体"/>
                <w:i w:val="0"/>
                <w:iCs w:val="0"/>
                <w:color w:val="000000"/>
                <w:sz w:val="18"/>
                <w:szCs w:val="18"/>
                <w:u w:val="none"/>
              </w:rPr>
            </w:pPr>
          </w:p>
        </w:tc>
      </w:tr>
      <w:tr w14:paraId="1DA4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A9A1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十四五”期间，粮食和物资储备工作的规划编制工作已经展开，涵盖了《遂宁市安居区“十四五”时期总体发展思路研究》以及《遂宁市安居区国民经济和社会发展第十四个五年规划纲要》的制定。项目自评得分100分。</w:t>
            </w:r>
          </w:p>
        </w:tc>
      </w:tr>
      <w:tr w14:paraId="483A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A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B3B1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A1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1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33B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A86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BD2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项目负责人：鲁传超</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06A3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7517E4A9">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0" w:type="dxa"/>
        <w:tblInd w:w="-8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tblGrid>
      <w:tr w14:paraId="5293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7826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B2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A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F7B9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51090422T000000394080-县域经济杂志协办费经费</w:t>
            </w:r>
          </w:p>
        </w:tc>
      </w:tr>
      <w:tr w14:paraId="128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9D7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DE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tcBorders>
              <w:top w:val="nil"/>
              <w:left w:val="nil"/>
              <w:bottom w:val="nil"/>
              <w:right w:val="nil"/>
            </w:tcBorders>
            <w:shd w:val="clear" w:color="auto" w:fill="auto"/>
            <w:vAlign w:val="center"/>
          </w:tcPr>
          <w:p w14:paraId="1722DC3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C1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792E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61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C0B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C0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BB30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39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68A0">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8D4E">
            <w:pPr>
              <w:rPr>
                <w:rFonts w:hint="eastAsia" w:ascii="宋体" w:hAnsi="宋体" w:eastAsia="宋体" w:cs="宋体"/>
                <w:i w:val="0"/>
                <w:iCs w:val="0"/>
                <w:color w:val="000000"/>
                <w:sz w:val="18"/>
                <w:szCs w:val="18"/>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E7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《当代县域经济》杂志每期固定刊发协办单位名称，深度宣传、提供舆论支持等</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EB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订阅《当代县域经济》杂志</w:t>
            </w:r>
          </w:p>
        </w:tc>
      </w:tr>
      <w:tr w14:paraId="406A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52C2">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F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65A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拨付2022年《当代县域经济》杂志经费</w:t>
            </w:r>
          </w:p>
        </w:tc>
      </w:tr>
      <w:tr w14:paraId="45C6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0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F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1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1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EF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7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0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3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0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27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48F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8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AE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D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B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9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3677">
            <w:pPr>
              <w:rPr>
                <w:rFonts w:hint="eastAsia" w:ascii="黑体" w:hAnsi="黑体" w:eastAsia="黑体" w:cs="黑体"/>
                <w:i/>
                <w:iCs/>
                <w:color w:val="000000"/>
                <w:sz w:val="18"/>
                <w:szCs w:val="18"/>
                <w:u w:val="none"/>
              </w:rPr>
            </w:pPr>
          </w:p>
        </w:tc>
      </w:tr>
      <w:tr w14:paraId="261A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E1B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9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D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6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6C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2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C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4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20FD">
            <w:pPr>
              <w:rPr>
                <w:rFonts w:hint="eastAsia" w:ascii="黑体" w:hAnsi="黑体" w:eastAsia="黑体" w:cs="黑体"/>
                <w:i/>
                <w:iCs/>
                <w:color w:val="000000"/>
                <w:sz w:val="18"/>
                <w:szCs w:val="18"/>
                <w:u w:val="none"/>
              </w:rPr>
            </w:pPr>
          </w:p>
        </w:tc>
      </w:tr>
      <w:tr w14:paraId="4F80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27E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A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3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E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27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8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3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94AE">
            <w:pPr>
              <w:rPr>
                <w:rFonts w:hint="eastAsia" w:ascii="黑体" w:hAnsi="黑体" w:eastAsia="黑体" w:cs="黑体"/>
                <w:i/>
                <w:iCs/>
                <w:color w:val="000000"/>
                <w:sz w:val="18"/>
                <w:szCs w:val="18"/>
                <w:u w:val="none"/>
              </w:rPr>
            </w:pPr>
          </w:p>
        </w:tc>
      </w:tr>
      <w:tr w14:paraId="483B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BA4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8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DA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5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1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FA2D">
            <w:pPr>
              <w:rPr>
                <w:rFonts w:hint="eastAsia" w:ascii="黑体" w:hAnsi="黑体" w:eastAsia="黑体" w:cs="黑体"/>
                <w:i/>
                <w:iCs/>
                <w:color w:val="000000"/>
                <w:sz w:val="18"/>
                <w:szCs w:val="18"/>
                <w:u w:val="none"/>
              </w:rPr>
            </w:pPr>
          </w:p>
        </w:tc>
      </w:tr>
      <w:tr w14:paraId="0776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676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171E">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30C9">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19F51">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2242">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9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7B72">
            <w:pPr>
              <w:rPr>
                <w:rFonts w:hint="eastAsia" w:ascii="黑体" w:hAnsi="黑体" w:eastAsia="黑体" w:cs="黑体"/>
                <w:i/>
                <w:iCs/>
                <w:color w:val="000000"/>
                <w:sz w:val="18"/>
                <w:szCs w:val="18"/>
                <w:u w:val="none"/>
              </w:rPr>
            </w:pPr>
          </w:p>
        </w:tc>
      </w:tr>
      <w:tr w14:paraId="3A4C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66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1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5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1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B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E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8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F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7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07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18E8">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7C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B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2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报刊期数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1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3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E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B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59BB">
            <w:pPr>
              <w:jc w:val="center"/>
              <w:rPr>
                <w:rFonts w:hint="eastAsia" w:ascii="微软雅黑" w:hAnsi="微软雅黑" w:eastAsia="微软雅黑" w:cs="微软雅黑"/>
                <w:i/>
                <w:iCs/>
                <w:color w:val="000000"/>
                <w:sz w:val="16"/>
                <w:szCs w:val="16"/>
                <w:u w:val="none"/>
              </w:rPr>
            </w:pPr>
          </w:p>
        </w:tc>
      </w:tr>
      <w:tr w14:paraId="2ECB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EBB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D1D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9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2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高质量完成宣传工作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B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4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4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2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D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5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8569">
            <w:pPr>
              <w:jc w:val="center"/>
              <w:rPr>
                <w:rFonts w:hint="eastAsia" w:ascii="微软雅黑" w:hAnsi="微软雅黑" w:eastAsia="微软雅黑" w:cs="微软雅黑"/>
                <w:i/>
                <w:iCs/>
                <w:color w:val="000000"/>
                <w:sz w:val="16"/>
                <w:szCs w:val="16"/>
                <w:u w:val="none"/>
              </w:rPr>
            </w:pPr>
          </w:p>
        </w:tc>
      </w:tr>
      <w:tr w14:paraId="2837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4D2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A8E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1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完成期限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6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9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0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B757">
            <w:pPr>
              <w:jc w:val="center"/>
              <w:rPr>
                <w:rFonts w:hint="eastAsia" w:ascii="微软雅黑" w:hAnsi="微软雅黑" w:eastAsia="微软雅黑" w:cs="微软雅黑"/>
                <w:i/>
                <w:iCs/>
                <w:color w:val="000000"/>
                <w:sz w:val="16"/>
                <w:szCs w:val="16"/>
                <w:u w:val="none"/>
              </w:rPr>
            </w:pPr>
          </w:p>
        </w:tc>
      </w:tr>
      <w:tr w14:paraId="3409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BD9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E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7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E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促进本区舆论积极向上发展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8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D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1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0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A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DEA4">
            <w:pPr>
              <w:jc w:val="center"/>
              <w:rPr>
                <w:rFonts w:hint="eastAsia" w:ascii="微软雅黑" w:hAnsi="微软雅黑" w:eastAsia="微软雅黑" w:cs="微软雅黑"/>
                <w:i/>
                <w:iCs/>
                <w:color w:val="000000"/>
                <w:sz w:val="16"/>
                <w:szCs w:val="16"/>
                <w:u w:val="none"/>
              </w:rPr>
            </w:pPr>
          </w:p>
        </w:tc>
      </w:tr>
      <w:tr w14:paraId="03FD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360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7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0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承办单位满意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0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F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0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F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CFE6">
            <w:pPr>
              <w:jc w:val="center"/>
              <w:rPr>
                <w:rFonts w:hint="eastAsia" w:ascii="微软雅黑" w:hAnsi="微软雅黑" w:eastAsia="微软雅黑" w:cs="微软雅黑"/>
                <w:i/>
                <w:iCs/>
                <w:color w:val="000000"/>
                <w:sz w:val="16"/>
                <w:szCs w:val="16"/>
                <w:u w:val="none"/>
              </w:rPr>
            </w:pPr>
          </w:p>
        </w:tc>
      </w:tr>
      <w:tr w14:paraId="40F4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7D62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7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6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6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整年共用费用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A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5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E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A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18C">
            <w:pPr>
              <w:jc w:val="center"/>
              <w:rPr>
                <w:rFonts w:hint="eastAsia" w:ascii="微软雅黑" w:hAnsi="微软雅黑" w:eastAsia="微软雅黑" w:cs="微软雅黑"/>
                <w:i/>
                <w:iCs/>
                <w:color w:val="000000"/>
                <w:sz w:val="16"/>
                <w:szCs w:val="16"/>
                <w:u w:val="none"/>
              </w:rPr>
            </w:pPr>
          </w:p>
        </w:tc>
      </w:tr>
      <w:tr w14:paraId="0897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373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2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D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85C">
            <w:pPr>
              <w:rPr>
                <w:rFonts w:hint="eastAsia" w:ascii="宋体" w:hAnsi="宋体" w:eastAsia="宋体" w:cs="宋体"/>
                <w:i w:val="0"/>
                <w:iCs w:val="0"/>
                <w:color w:val="000000"/>
                <w:sz w:val="18"/>
                <w:szCs w:val="18"/>
                <w:u w:val="none"/>
              </w:rPr>
            </w:pPr>
          </w:p>
        </w:tc>
      </w:tr>
      <w:tr w14:paraId="682B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1537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协办《当代县域经济》杂志栏目，深入宣传，为我单位提供舆论支持。项目自评得分100分。</w:t>
            </w:r>
          </w:p>
        </w:tc>
      </w:tr>
      <w:tr w14:paraId="71D3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D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46E3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C8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9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CBD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05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343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项目负责人：鲁传超</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9560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2B5EC6CE">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0" w:type="dxa"/>
        <w:tblInd w:w="-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tblGrid>
      <w:tr w14:paraId="3093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76DE1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8E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E0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7B27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51090422T000000394257-成渝轴线区（县）协同发展联盟第三届年会资金</w:t>
            </w:r>
          </w:p>
        </w:tc>
      </w:tr>
      <w:tr w14:paraId="6E13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24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7F3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tcBorders>
              <w:top w:val="nil"/>
              <w:left w:val="nil"/>
              <w:bottom w:val="nil"/>
              <w:right w:val="nil"/>
            </w:tcBorders>
            <w:shd w:val="clear" w:color="auto" w:fill="auto"/>
            <w:vAlign w:val="center"/>
          </w:tcPr>
          <w:p w14:paraId="3B01E3D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36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287D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5E7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0AB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DB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D6B9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48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65FD">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9EC0">
            <w:pPr>
              <w:rPr>
                <w:rFonts w:hint="eastAsia" w:ascii="宋体" w:hAnsi="宋体" w:eastAsia="宋体" w:cs="宋体"/>
                <w:i w:val="0"/>
                <w:iCs w:val="0"/>
                <w:color w:val="000000"/>
                <w:sz w:val="18"/>
                <w:szCs w:val="18"/>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139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成功举办第三届成渝轴线区（县）协同发展联盟会议</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FBB5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拨付第三届成渝轴线区（县）协同发展联盟会议剩余款项5.4万元。</w:t>
            </w:r>
          </w:p>
        </w:tc>
      </w:tr>
      <w:tr w14:paraId="57B3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E6843">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E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E1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举办成渝轴线区（县）协同发展联盟第三届年会，拨付剩余款项</w:t>
            </w:r>
          </w:p>
        </w:tc>
      </w:tr>
      <w:tr w14:paraId="38F1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F4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8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E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C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D6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3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3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AF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9D0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F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1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80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E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2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05AEC">
            <w:pPr>
              <w:rPr>
                <w:rFonts w:hint="eastAsia" w:ascii="黑体" w:hAnsi="黑体" w:eastAsia="黑体" w:cs="黑体"/>
                <w:i/>
                <w:iCs/>
                <w:color w:val="000000"/>
                <w:sz w:val="18"/>
                <w:szCs w:val="18"/>
                <w:u w:val="none"/>
              </w:rPr>
            </w:pPr>
          </w:p>
        </w:tc>
      </w:tr>
      <w:tr w14:paraId="4546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A28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0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F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A1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F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2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D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9FA2">
            <w:pPr>
              <w:rPr>
                <w:rFonts w:hint="eastAsia" w:ascii="黑体" w:hAnsi="黑体" w:eastAsia="黑体" w:cs="黑体"/>
                <w:i/>
                <w:iCs/>
                <w:color w:val="000000"/>
                <w:sz w:val="18"/>
                <w:szCs w:val="18"/>
                <w:u w:val="none"/>
              </w:rPr>
            </w:pPr>
          </w:p>
        </w:tc>
      </w:tr>
      <w:tr w14:paraId="65FD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307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2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2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7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89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1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E7B9">
            <w:pPr>
              <w:rPr>
                <w:rFonts w:hint="eastAsia" w:ascii="黑体" w:hAnsi="黑体" w:eastAsia="黑体" w:cs="黑体"/>
                <w:i/>
                <w:iCs/>
                <w:color w:val="000000"/>
                <w:sz w:val="18"/>
                <w:szCs w:val="18"/>
                <w:u w:val="none"/>
              </w:rPr>
            </w:pPr>
          </w:p>
        </w:tc>
      </w:tr>
      <w:tr w14:paraId="47D3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F28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4E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2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C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7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3E44">
            <w:pPr>
              <w:rPr>
                <w:rFonts w:hint="eastAsia" w:ascii="黑体" w:hAnsi="黑体" w:eastAsia="黑体" w:cs="黑体"/>
                <w:i/>
                <w:iCs/>
                <w:color w:val="000000"/>
                <w:sz w:val="18"/>
                <w:szCs w:val="18"/>
                <w:u w:val="none"/>
              </w:rPr>
            </w:pPr>
          </w:p>
        </w:tc>
      </w:tr>
      <w:tr w14:paraId="6E4D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1BD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811B">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210F">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577F0">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14BE">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B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A59F">
            <w:pPr>
              <w:rPr>
                <w:rFonts w:hint="eastAsia" w:ascii="黑体" w:hAnsi="黑体" w:eastAsia="黑体" w:cs="黑体"/>
                <w:i/>
                <w:iCs/>
                <w:color w:val="000000"/>
                <w:sz w:val="18"/>
                <w:szCs w:val="18"/>
                <w:u w:val="none"/>
              </w:rPr>
            </w:pPr>
          </w:p>
        </w:tc>
      </w:tr>
      <w:tr w14:paraId="7C01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29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A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5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A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7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6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D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A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0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6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7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85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9CD3">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53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9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9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开展会议次数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B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4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085E">
            <w:pPr>
              <w:jc w:val="center"/>
              <w:rPr>
                <w:rFonts w:hint="eastAsia" w:ascii="微软雅黑" w:hAnsi="微软雅黑" w:eastAsia="微软雅黑" w:cs="微软雅黑"/>
                <w:i/>
                <w:iCs/>
                <w:color w:val="000000"/>
                <w:sz w:val="16"/>
                <w:szCs w:val="16"/>
                <w:u w:val="none"/>
              </w:rPr>
            </w:pPr>
          </w:p>
        </w:tc>
      </w:tr>
      <w:tr w14:paraId="74BD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745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DA2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1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1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会议完成率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6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9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7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6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B2B6">
            <w:pPr>
              <w:jc w:val="center"/>
              <w:rPr>
                <w:rFonts w:hint="eastAsia" w:ascii="微软雅黑" w:hAnsi="微软雅黑" w:eastAsia="微软雅黑" w:cs="微软雅黑"/>
                <w:i/>
                <w:iCs/>
                <w:color w:val="000000"/>
                <w:sz w:val="16"/>
                <w:szCs w:val="16"/>
                <w:u w:val="none"/>
              </w:rPr>
            </w:pPr>
          </w:p>
        </w:tc>
      </w:tr>
      <w:tr w14:paraId="44ED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625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A46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F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会议进度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3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F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4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0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F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56F3">
            <w:pPr>
              <w:jc w:val="center"/>
              <w:rPr>
                <w:rFonts w:hint="eastAsia" w:ascii="微软雅黑" w:hAnsi="微软雅黑" w:eastAsia="微软雅黑" w:cs="微软雅黑"/>
                <w:i/>
                <w:iCs/>
                <w:color w:val="000000"/>
                <w:sz w:val="16"/>
                <w:szCs w:val="16"/>
                <w:u w:val="none"/>
              </w:rPr>
            </w:pPr>
          </w:p>
        </w:tc>
      </w:tr>
      <w:tr w14:paraId="13D6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A723">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29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C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7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促进本区融入成渝经济圈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E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E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F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2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E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6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4AB3">
            <w:pPr>
              <w:jc w:val="center"/>
              <w:rPr>
                <w:rFonts w:hint="eastAsia" w:ascii="微软雅黑" w:hAnsi="微软雅黑" w:eastAsia="微软雅黑" w:cs="微软雅黑"/>
                <w:i/>
                <w:iCs/>
                <w:color w:val="000000"/>
                <w:sz w:val="16"/>
                <w:szCs w:val="16"/>
                <w:u w:val="none"/>
              </w:rPr>
            </w:pPr>
          </w:p>
        </w:tc>
      </w:tr>
      <w:tr w14:paraId="496F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FFF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028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1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C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促进本区经济发展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E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E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7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C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6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C158">
            <w:pPr>
              <w:jc w:val="center"/>
              <w:rPr>
                <w:rFonts w:hint="eastAsia" w:ascii="微软雅黑" w:hAnsi="微软雅黑" w:eastAsia="微软雅黑" w:cs="微软雅黑"/>
                <w:i/>
                <w:iCs/>
                <w:color w:val="000000"/>
                <w:sz w:val="16"/>
                <w:szCs w:val="16"/>
                <w:u w:val="none"/>
              </w:rPr>
            </w:pPr>
          </w:p>
        </w:tc>
      </w:tr>
      <w:tr w14:paraId="7A5A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CC0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0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C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参加会议人员满意度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4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0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E95">
            <w:pPr>
              <w:jc w:val="center"/>
              <w:rPr>
                <w:rFonts w:hint="eastAsia" w:ascii="微软雅黑" w:hAnsi="微软雅黑" w:eastAsia="微软雅黑" w:cs="微软雅黑"/>
                <w:i/>
                <w:iCs/>
                <w:color w:val="000000"/>
                <w:sz w:val="16"/>
                <w:szCs w:val="16"/>
                <w:u w:val="none"/>
              </w:rPr>
            </w:pPr>
          </w:p>
        </w:tc>
      </w:tr>
      <w:tr w14:paraId="0004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2BF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0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7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9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0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F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0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DB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F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1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55D">
            <w:pPr>
              <w:jc w:val="center"/>
              <w:rPr>
                <w:rFonts w:hint="eastAsia" w:ascii="微软雅黑" w:hAnsi="微软雅黑" w:eastAsia="微软雅黑" w:cs="微软雅黑"/>
                <w:i/>
                <w:iCs/>
                <w:color w:val="000000"/>
                <w:sz w:val="16"/>
                <w:szCs w:val="16"/>
                <w:u w:val="none"/>
              </w:rPr>
            </w:pPr>
          </w:p>
        </w:tc>
      </w:tr>
      <w:tr w14:paraId="72CE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4EB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2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C8D3">
            <w:pPr>
              <w:rPr>
                <w:rFonts w:hint="eastAsia" w:ascii="宋体" w:hAnsi="宋体" w:eastAsia="宋体" w:cs="宋体"/>
                <w:i w:val="0"/>
                <w:iCs w:val="0"/>
                <w:color w:val="000000"/>
                <w:sz w:val="18"/>
                <w:szCs w:val="18"/>
                <w:u w:val="none"/>
              </w:rPr>
            </w:pPr>
          </w:p>
        </w:tc>
      </w:tr>
      <w:tr w14:paraId="31C2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8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78F0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成功举办了成渝轴线区（县）协同发展联盟第三届年会，有效推动了本区域与成渝经济圈的融合，促进了本区的经济增长，并助力安居区加快建设成为遂潼川渝毗邻地区一体化发展的示范区域，项目自评得分100分。</w:t>
            </w:r>
          </w:p>
        </w:tc>
      </w:tr>
      <w:tr w14:paraId="498D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6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8140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BD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6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3430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A8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6E0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项目负责人：卢佳艺</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2484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107A0974">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6" w:type="dxa"/>
        <w:tblInd w:w="-9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953"/>
        <w:gridCol w:w="860"/>
        <w:gridCol w:w="1234"/>
        <w:gridCol w:w="733"/>
        <w:gridCol w:w="35"/>
        <w:gridCol w:w="648"/>
        <w:gridCol w:w="650"/>
        <w:gridCol w:w="34"/>
        <w:gridCol w:w="858"/>
        <w:gridCol w:w="66"/>
        <w:gridCol w:w="34"/>
        <w:gridCol w:w="852"/>
        <w:gridCol w:w="100"/>
        <w:gridCol w:w="851"/>
        <w:gridCol w:w="100"/>
        <w:gridCol w:w="1605"/>
      </w:tblGrid>
      <w:tr w14:paraId="3F13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6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1FF759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F7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2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F0F8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51090422T000000394294-重大项目开工仪式相关经费</w:t>
            </w:r>
          </w:p>
        </w:tc>
      </w:tr>
      <w:tr w14:paraId="1E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B0D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37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58" w:type="dxa"/>
            <w:gridSpan w:val="3"/>
            <w:tcBorders>
              <w:top w:val="nil"/>
              <w:left w:val="nil"/>
              <w:bottom w:val="nil"/>
              <w:right w:val="nil"/>
            </w:tcBorders>
            <w:shd w:val="clear" w:color="auto" w:fill="auto"/>
            <w:vAlign w:val="center"/>
          </w:tcPr>
          <w:p w14:paraId="01A0157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41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23D7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12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F1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C1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B2093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41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EDA6">
            <w:pP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08F1">
            <w:pPr>
              <w:rPr>
                <w:rFonts w:hint="eastAsia" w:ascii="宋体" w:hAnsi="宋体" w:eastAsia="宋体" w:cs="宋体"/>
                <w:i w:val="0"/>
                <w:iCs w:val="0"/>
                <w:color w:val="000000"/>
                <w:sz w:val="18"/>
                <w:szCs w:val="18"/>
                <w:u w:val="none"/>
              </w:rPr>
            </w:pPr>
          </w:p>
        </w:tc>
        <w:tc>
          <w:tcPr>
            <w:tcW w:w="4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9C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举办市区重大项目开工仪式</w:t>
            </w:r>
          </w:p>
        </w:tc>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C2CF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本年开展重大项目开工仪式仅一次。</w:t>
            </w:r>
          </w:p>
        </w:tc>
      </w:tr>
      <w:tr w14:paraId="131B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BF31">
            <w:pP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EF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8102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我区于2024年1月11日上午在四川能投安居燃气发电项目现场承包了四川省2024年第一季度重大项目现场推进活动遂宁分会场的相关工作。</w:t>
            </w:r>
          </w:p>
        </w:tc>
      </w:tr>
      <w:tr w14:paraId="4072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B3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D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2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9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66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7A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26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39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F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B8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34AE">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C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3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w:t>
            </w:r>
          </w:p>
        </w:tc>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43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A3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5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6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F7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重点项目开工仪式相关经费调整232346.79元到安居经开区，以前年度通过一体化支付给经开区，2024年项目预算调整到经开区。剩余未使用预算收回。</w:t>
            </w:r>
          </w:p>
        </w:tc>
      </w:tr>
      <w:tr w14:paraId="6CD4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02491">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E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2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w:t>
            </w:r>
          </w:p>
        </w:tc>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1F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6D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8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E4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9CA4">
            <w:pPr>
              <w:jc w:val="center"/>
              <w:rPr>
                <w:rFonts w:hint="eastAsia" w:ascii="宋体" w:hAnsi="宋体" w:eastAsia="宋体" w:cs="宋体"/>
                <w:i w:val="0"/>
                <w:iCs w:val="0"/>
                <w:color w:val="000000"/>
                <w:sz w:val="18"/>
                <w:szCs w:val="18"/>
                <w:u w:val="none"/>
              </w:rPr>
            </w:pPr>
          </w:p>
        </w:tc>
      </w:tr>
      <w:tr w14:paraId="53EF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960E">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2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9B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78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98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F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1D90">
            <w:pPr>
              <w:jc w:val="center"/>
              <w:rPr>
                <w:rFonts w:hint="eastAsia" w:ascii="宋体" w:hAnsi="宋体" w:eastAsia="宋体" w:cs="宋体"/>
                <w:i w:val="0"/>
                <w:iCs w:val="0"/>
                <w:color w:val="000000"/>
                <w:sz w:val="18"/>
                <w:szCs w:val="18"/>
                <w:u w:val="none"/>
              </w:rPr>
            </w:pPr>
          </w:p>
        </w:tc>
      </w:tr>
      <w:tr w14:paraId="10F6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B0259">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9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0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4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44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46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DC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F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248D">
            <w:pPr>
              <w:jc w:val="center"/>
              <w:rPr>
                <w:rFonts w:hint="eastAsia" w:ascii="宋体" w:hAnsi="宋体" w:eastAsia="宋体" w:cs="宋体"/>
                <w:i w:val="0"/>
                <w:iCs w:val="0"/>
                <w:color w:val="000000"/>
                <w:sz w:val="18"/>
                <w:szCs w:val="18"/>
                <w:u w:val="none"/>
              </w:rPr>
            </w:pPr>
          </w:p>
        </w:tc>
      </w:tr>
      <w:tr w14:paraId="1B91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F4E9">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5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816">
            <w:pPr>
              <w:jc w:val="center"/>
              <w:rPr>
                <w:rFonts w:hint="eastAsia" w:ascii="微软雅黑" w:hAnsi="微软雅黑" w:eastAsia="微软雅黑" w:cs="微软雅黑"/>
                <w:i/>
                <w:iCs/>
                <w:color w:val="000000"/>
                <w:sz w:val="16"/>
                <w:szCs w:val="16"/>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253C">
            <w:pPr>
              <w:jc w:val="center"/>
              <w:rPr>
                <w:rFonts w:hint="eastAsia" w:ascii="微软雅黑" w:hAnsi="微软雅黑" w:eastAsia="微软雅黑" w:cs="微软雅黑"/>
                <w:i/>
                <w:iCs/>
                <w:color w:val="000000"/>
                <w:sz w:val="16"/>
                <w:szCs w:val="16"/>
                <w:u w:val="none"/>
              </w:rPr>
            </w:pPr>
          </w:p>
        </w:tc>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35CB3">
            <w:pPr>
              <w:jc w:val="center"/>
              <w:rPr>
                <w:rFonts w:hint="eastAsia" w:ascii="微软雅黑" w:hAnsi="微软雅黑" w:eastAsia="微软雅黑" w:cs="微软雅黑"/>
                <w:i/>
                <w:iCs/>
                <w:color w:val="000000"/>
                <w:sz w:val="16"/>
                <w:szCs w:val="16"/>
                <w:u w:val="none"/>
              </w:rPr>
            </w:pP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4C3DE">
            <w:pPr>
              <w:jc w:val="center"/>
              <w:rPr>
                <w:rFonts w:hint="eastAsia" w:ascii="微软雅黑" w:hAnsi="微软雅黑" w:eastAsia="微软雅黑" w:cs="微软雅黑"/>
                <w:i/>
                <w:iCs/>
                <w:color w:val="000000"/>
                <w:sz w:val="16"/>
                <w:szCs w:val="16"/>
                <w:u w:val="none"/>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F9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E0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54AB">
            <w:pPr>
              <w:jc w:val="center"/>
              <w:rPr>
                <w:rFonts w:hint="eastAsia" w:ascii="宋体" w:hAnsi="宋体" w:eastAsia="宋体" w:cs="宋体"/>
                <w:i w:val="0"/>
                <w:iCs w:val="0"/>
                <w:color w:val="000000"/>
                <w:sz w:val="18"/>
                <w:szCs w:val="18"/>
                <w:u w:val="none"/>
              </w:rPr>
            </w:pPr>
          </w:p>
        </w:tc>
      </w:tr>
      <w:tr w14:paraId="7CDC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06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0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2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9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48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5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E7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5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91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6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A2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F03E">
            <w:pPr>
              <w:jc w:val="center"/>
              <w:rPr>
                <w:rFonts w:hint="eastAsia" w:ascii="宋体" w:hAnsi="宋体" w:eastAsia="宋体" w:cs="宋体"/>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E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9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1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第季度举行一次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2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A6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6D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D1F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22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4E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02DC">
            <w:pPr>
              <w:jc w:val="center"/>
              <w:rPr>
                <w:rFonts w:hint="eastAsia" w:ascii="微软雅黑" w:hAnsi="微软雅黑" w:eastAsia="微软雅黑" w:cs="微软雅黑"/>
                <w:i/>
                <w:iCs/>
                <w:color w:val="000000"/>
                <w:sz w:val="16"/>
                <w:szCs w:val="16"/>
                <w:u w:val="none"/>
              </w:rPr>
            </w:pPr>
          </w:p>
        </w:tc>
      </w:tr>
      <w:tr w14:paraId="6F2A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960B">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C92C">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D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3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增强经济发展影响力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97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DB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46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59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45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DFD1">
            <w:pPr>
              <w:jc w:val="center"/>
              <w:rPr>
                <w:rFonts w:hint="eastAsia" w:ascii="微软雅黑" w:hAnsi="微软雅黑" w:eastAsia="微软雅黑" w:cs="微软雅黑"/>
                <w:i/>
                <w:iCs/>
                <w:color w:val="000000"/>
                <w:sz w:val="16"/>
                <w:szCs w:val="16"/>
                <w:u w:val="none"/>
              </w:rPr>
            </w:pPr>
          </w:p>
        </w:tc>
      </w:tr>
      <w:tr w14:paraId="1F9A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BCC6">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C5C4">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项目完成期限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F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C5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91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5C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B3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9950">
            <w:pPr>
              <w:jc w:val="center"/>
              <w:rPr>
                <w:rFonts w:hint="eastAsia" w:ascii="微软雅黑" w:hAnsi="微软雅黑" w:eastAsia="微软雅黑" w:cs="微软雅黑"/>
                <w:i/>
                <w:iCs/>
                <w:color w:val="000000"/>
                <w:sz w:val="16"/>
                <w:szCs w:val="16"/>
                <w:u w:val="none"/>
              </w:rPr>
            </w:pPr>
          </w:p>
        </w:tc>
      </w:tr>
      <w:tr w14:paraId="09EA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8A7A">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A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E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扩大本区经济影响力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B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B2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F5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56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95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6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008B">
            <w:pPr>
              <w:jc w:val="center"/>
              <w:rPr>
                <w:rFonts w:hint="eastAsia" w:ascii="微软雅黑" w:hAnsi="微软雅黑" w:eastAsia="微软雅黑" w:cs="微软雅黑"/>
                <w:i/>
                <w:iCs/>
                <w:color w:val="000000"/>
                <w:sz w:val="16"/>
                <w:szCs w:val="16"/>
                <w:u w:val="none"/>
              </w:rPr>
            </w:pPr>
          </w:p>
        </w:tc>
      </w:tr>
      <w:tr w14:paraId="4CCC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335BF">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D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D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0B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32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B0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4C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B2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D9C2">
            <w:pPr>
              <w:jc w:val="center"/>
              <w:rPr>
                <w:rFonts w:hint="eastAsia" w:ascii="微软雅黑" w:hAnsi="微软雅黑" w:eastAsia="微软雅黑" w:cs="微软雅黑"/>
                <w:i/>
                <w:iCs/>
                <w:color w:val="000000"/>
                <w:sz w:val="16"/>
                <w:szCs w:val="16"/>
                <w:u w:val="none"/>
              </w:rPr>
            </w:pPr>
          </w:p>
        </w:tc>
      </w:tr>
      <w:tr w14:paraId="447A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1533">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F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A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25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5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33E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23.11</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1F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9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920D">
            <w:pPr>
              <w:jc w:val="center"/>
              <w:rPr>
                <w:rFonts w:hint="eastAsia" w:ascii="微软雅黑" w:hAnsi="微软雅黑" w:eastAsia="微软雅黑" w:cs="微软雅黑"/>
                <w:i/>
                <w:iCs/>
                <w:color w:val="000000"/>
                <w:sz w:val="16"/>
                <w:szCs w:val="16"/>
                <w:u w:val="none"/>
              </w:rPr>
            </w:pPr>
          </w:p>
        </w:tc>
      </w:tr>
      <w:tr w14:paraId="405F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776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F1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885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D7D63">
            <w:pPr>
              <w:rPr>
                <w:rFonts w:hint="eastAsia" w:ascii="宋体" w:hAnsi="宋体" w:eastAsia="宋体" w:cs="宋体"/>
                <w:i w:val="0"/>
                <w:iCs w:val="0"/>
                <w:color w:val="000000"/>
                <w:sz w:val="18"/>
                <w:szCs w:val="18"/>
                <w:u w:val="none"/>
              </w:rPr>
            </w:pPr>
          </w:p>
        </w:tc>
      </w:tr>
      <w:tr w14:paraId="1160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C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162C3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2024年我区开展四川能投安居燃气发电项目现场承包了四川省 2024 年第一季度重大项目开工仪式，该项目实施为后续推进工作奠定了坚实的基础，并增强了所有参与方的信心与动力。项目自评得分91分。</w:t>
            </w:r>
          </w:p>
        </w:tc>
      </w:tr>
      <w:tr w14:paraId="0C73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7A70F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7C2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9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3CF54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4D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5D8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项目负责人：蒋开玺</w:t>
            </w:r>
          </w:p>
        </w:tc>
        <w:tc>
          <w:tcPr>
            <w:tcW w:w="57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1285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6427B135">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0" w:type="dxa"/>
        <w:tblInd w:w="-9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tblGrid>
      <w:tr w14:paraId="0337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7144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0A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8C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3D4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51090423T000007853532-2023年物价定价工作</w:t>
            </w:r>
          </w:p>
        </w:tc>
      </w:tr>
      <w:tr w14:paraId="2925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820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7B1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tcBorders>
              <w:top w:val="nil"/>
              <w:left w:val="nil"/>
              <w:bottom w:val="nil"/>
              <w:right w:val="nil"/>
            </w:tcBorders>
            <w:shd w:val="clear" w:color="auto" w:fill="auto"/>
            <w:vAlign w:val="center"/>
          </w:tcPr>
          <w:p w14:paraId="43B4227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7A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1C6A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D5B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E8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496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0CBD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46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BD1E">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51C5">
            <w:pPr>
              <w:rPr>
                <w:rFonts w:hint="eastAsia" w:ascii="宋体" w:hAnsi="宋体" w:eastAsia="宋体" w:cs="宋体"/>
                <w:i w:val="0"/>
                <w:iCs w:val="0"/>
                <w:color w:val="000000"/>
                <w:sz w:val="18"/>
                <w:szCs w:val="18"/>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07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农产品</w:t>
            </w:r>
            <w:r>
              <w:rPr>
                <w:rFonts w:ascii="宋体" w:hAnsi="宋体" w:eastAsia="宋体" w:cs="宋体"/>
                <w:i w:val="0"/>
                <w:iCs w:val="0"/>
                <w:color w:val="000000"/>
                <w:kern w:val="0"/>
                <w:sz w:val="18"/>
                <w:szCs w:val="18"/>
                <w:u w:val="none"/>
                <w:lang w:val="en-US" w:eastAsia="zh-CN" w:bidi="ar"/>
              </w:rPr>
              <w:t>成本调查补助资金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69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农产品</w:t>
            </w:r>
            <w:r>
              <w:rPr>
                <w:rFonts w:ascii="宋体" w:hAnsi="宋体" w:eastAsia="宋体" w:cs="宋体"/>
                <w:i w:val="0"/>
                <w:iCs w:val="0"/>
                <w:color w:val="000000"/>
                <w:kern w:val="0"/>
                <w:sz w:val="18"/>
                <w:szCs w:val="18"/>
                <w:u w:val="none"/>
                <w:lang w:val="en-US" w:eastAsia="zh-CN" w:bidi="ar"/>
              </w:rPr>
              <w:t>成本调查补助资金</w:t>
            </w:r>
          </w:p>
        </w:tc>
      </w:tr>
      <w:tr w14:paraId="26C8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64A6">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7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C8D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农产品</w:t>
            </w:r>
            <w:r>
              <w:rPr>
                <w:rFonts w:ascii="宋体" w:hAnsi="宋体" w:eastAsia="宋体" w:cs="宋体"/>
                <w:i w:val="0"/>
                <w:iCs w:val="0"/>
                <w:color w:val="000000"/>
                <w:kern w:val="0"/>
                <w:sz w:val="18"/>
                <w:szCs w:val="18"/>
                <w:u w:val="none"/>
                <w:lang w:val="en-US" w:eastAsia="zh-CN" w:bidi="ar"/>
              </w:rPr>
              <w:t>成本调查补助资金</w:t>
            </w:r>
          </w:p>
        </w:tc>
      </w:tr>
      <w:tr w14:paraId="3889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9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6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5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2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0B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2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E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C8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178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2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07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4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A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BF17F">
            <w:pPr>
              <w:rPr>
                <w:rFonts w:hint="eastAsia" w:ascii="黑体" w:hAnsi="黑体" w:eastAsia="黑体" w:cs="黑体"/>
                <w:i/>
                <w:iCs/>
                <w:color w:val="000000"/>
                <w:sz w:val="18"/>
                <w:szCs w:val="18"/>
                <w:u w:val="none"/>
              </w:rPr>
            </w:pPr>
          </w:p>
        </w:tc>
      </w:tr>
      <w:tr w14:paraId="151F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354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F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5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7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93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5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C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0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9D56">
            <w:pPr>
              <w:rPr>
                <w:rFonts w:hint="eastAsia" w:ascii="黑体" w:hAnsi="黑体" w:eastAsia="黑体" w:cs="黑体"/>
                <w:i/>
                <w:iCs/>
                <w:color w:val="000000"/>
                <w:sz w:val="18"/>
                <w:szCs w:val="18"/>
                <w:u w:val="none"/>
              </w:rPr>
            </w:pPr>
          </w:p>
        </w:tc>
      </w:tr>
      <w:tr w14:paraId="0EE0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EB1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1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72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8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8830">
            <w:pPr>
              <w:rPr>
                <w:rFonts w:hint="eastAsia" w:ascii="黑体" w:hAnsi="黑体" w:eastAsia="黑体" w:cs="黑体"/>
                <w:i/>
                <w:iCs/>
                <w:color w:val="000000"/>
                <w:sz w:val="18"/>
                <w:szCs w:val="18"/>
                <w:u w:val="none"/>
              </w:rPr>
            </w:pPr>
          </w:p>
        </w:tc>
      </w:tr>
      <w:tr w14:paraId="210E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096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8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D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7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70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6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D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D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94688">
            <w:pPr>
              <w:rPr>
                <w:rFonts w:hint="eastAsia" w:ascii="黑体" w:hAnsi="黑体" w:eastAsia="黑体" w:cs="黑体"/>
                <w:i/>
                <w:iCs/>
                <w:color w:val="000000"/>
                <w:sz w:val="18"/>
                <w:szCs w:val="18"/>
                <w:u w:val="none"/>
              </w:rPr>
            </w:pPr>
          </w:p>
        </w:tc>
      </w:tr>
      <w:tr w14:paraId="134E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22E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E68E">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2B1">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C0B2C">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5BD">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4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9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4187">
            <w:pPr>
              <w:rPr>
                <w:rFonts w:hint="eastAsia" w:ascii="黑体" w:hAnsi="黑体" w:eastAsia="黑体" w:cs="黑体"/>
                <w:i/>
                <w:iCs/>
                <w:color w:val="000000"/>
                <w:sz w:val="18"/>
                <w:szCs w:val="18"/>
                <w:u w:val="none"/>
              </w:rPr>
            </w:pPr>
          </w:p>
        </w:tc>
      </w:tr>
      <w:tr w14:paraId="0760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1A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2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1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6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0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4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5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4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C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2D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B11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E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0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D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及时完成价格监测与价格调整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5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9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5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A5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1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8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CBB">
            <w:pPr>
              <w:jc w:val="center"/>
              <w:rPr>
                <w:rFonts w:hint="eastAsia" w:ascii="微软雅黑" w:hAnsi="微软雅黑" w:eastAsia="微软雅黑" w:cs="微软雅黑"/>
                <w:i/>
                <w:iCs/>
                <w:color w:val="000000"/>
                <w:sz w:val="16"/>
                <w:szCs w:val="16"/>
                <w:u w:val="none"/>
              </w:rPr>
            </w:pPr>
          </w:p>
        </w:tc>
      </w:tr>
      <w:tr w14:paraId="0EBD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C9A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A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D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B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维持社会公共必须的水，电，天然气供应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0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E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C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D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E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C5EA">
            <w:pPr>
              <w:jc w:val="center"/>
              <w:rPr>
                <w:rFonts w:hint="eastAsia" w:ascii="微软雅黑" w:hAnsi="微软雅黑" w:eastAsia="微软雅黑" w:cs="微软雅黑"/>
                <w:i/>
                <w:iCs/>
                <w:color w:val="000000"/>
                <w:sz w:val="16"/>
                <w:szCs w:val="16"/>
                <w:u w:val="none"/>
              </w:rPr>
            </w:pPr>
          </w:p>
        </w:tc>
      </w:tr>
      <w:tr w14:paraId="362E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54F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C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3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C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人民对水，电，气价格满意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A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9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9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7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340F">
            <w:pPr>
              <w:jc w:val="center"/>
              <w:rPr>
                <w:rFonts w:hint="eastAsia" w:ascii="微软雅黑" w:hAnsi="微软雅黑" w:eastAsia="微软雅黑" w:cs="微软雅黑"/>
                <w:i/>
                <w:iCs/>
                <w:color w:val="000000"/>
                <w:sz w:val="16"/>
                <w:szCs w:val="16"/>
                <w:u w:val="none"/>
              </w:rPr>
            </w:pPr>
          </w:p>
        </w:tc>
      </w:tr>
      <w:tr w14:paraId="44E9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A20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2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D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A651">
            <w:pPr>
              <w:rPr>
                <w:rFonts w:hint="eastAsia" w:ascii="宋体" w:hAnsi="宋体" w:eastAsia="宋体" w:cs="宋体"/>
                <w:i w:val="0"/>
                <w:iCs w:val="0"/>
                <w:color w:val="000000"/>
                <w:sz w:val="18"/>
                <w:szCs w:val="18"/>
                <w:u w:val="none"/>
              </w:rPr>
            </w:pPr>
          </w:p>
        </w:tc>
      </w:tr>
      <w:tr w14:paraId="4346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1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74E4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针对农产品成本调查工作，支付相关补助经费。项目自评得分100分。</w:t>
            </w:r>
          </w:p>
        </w:tc>
      </w:tr>
      <w:tr w14:paraId="4CF6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0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26CA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FB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E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6A53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9E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3D1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项目负责人：朱莉</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EF1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56330EF3">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560" w:type="dxa"/>
        <w:tblInd w:w="-9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tblGrid>
      <w:tr w14:paraId="4790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D443D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6B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8B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EC16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51090423T000009164321-2023年第一批项目前期工作经费</w:t>
            </w:r>
          </w:p>
        </w:tc>
      </w:tr>
      <w:tr w14:paraId="6AA9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EF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C1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60" w:type="dxa"/>
            <w:tcBorders>
              <w:top w:val="nil"/>
              <w:left w:val="nil"/>
              <w:bottom w:val="nil"/>
              <w:right w:val="nil"/>
            </w:tcBorders>
            <w:shd w:val="clear" w:color="auto" w:fill="auto"/>
            <w:vAlign w:val="center"/>
          </w:tcPr>
          <w:p w14:paraId="28D465C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11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6A7E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47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71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46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3FB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9D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755C">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2B58">
            <w:pPr>
              <w:rPr>
                <w:rFonts w:hint="eastAsia" w:ascii="宋体" w:hAnsi="宋体" w:eastAsia="宋体" w:cs="宋体"/>
                <w:i w:val="0"/>
                <w:iCs w:val="0"/>
                <w:color w:val="000000"/>
                <w:sz w:val="18"/>
                <w:szCs w:val="18"/>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EAC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七大中预投向、十一个专债领域、增发国债方向，动态储备2024年拟争取专债项目共计70个，2024年拟申报提前批专债项目23个，其中8个项目具备发债资格；动态储备2024年中预项目共计53个。严格落实“每周到市、隔周到省”，确保拟争取的资金“颗粒归仓”</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50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备2025年重点项目122个，总投资793亿元，年度投资155亿元。其中，政府投资项目63个，总投资317.2亿元，年度计划投资62亿元；社会投资项目52个，总投资436.2亿元，年度计划投资85.3亿元；既有社会投资又有政府投资项目7个，总投资39.7亿元，年度计划投资7.8亿元。</w:t>
            </w:r>
          </w:p>
        </w:tc>
      </w:tr>
      <w:tr w14:paraId="0469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1908">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03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D7F9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备2025年重点项目122个，总投资793亿元，年度投资155亿元。其中，政府投资项目63个，总投资317.2亿元，年度计划投资62亿元；社会投资项目52个，总投资436.2亿元，年度计划投资85.3亿元；既有社会投资又有政府投资项目7个，总投资39.7亿元，年度计划投资7.8亿元。</w:t>
            </w:r>
          </w:p>
        </w:tc>
      </w:tr>
      <w:tr w14:paraId="75DC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F0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4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C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9D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F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B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55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E7EF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C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B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7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149.81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65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149.81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1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7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50197">
            <w:pPr>
              <w:rPr>
                <w:rFonts w:hint="eastAsia" w:ascii="黑体" w:hAnsi="黑体" w:eastAsia="黑体" w:cs="黑体"/>
                <w:i/>
                <w:iCs/>
                <w:color w:val="000000"/>
                <w:sz w:val="18"/>
                <w:szCs w:val="18"/>
                <w:u w:val="none"/>
              </w:rPr>
            </w:pPr>
          </w:p>
        </w:tc>
      </w:tr>
      <w:tr w14:paraId="199E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E14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2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5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149.81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29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149.81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2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4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8B5CE">
            <w:pPr>
              <w:rPr>
                <w:rFonts w:hint="eastAsia" w:ascii="黑体" w:hAnsi="黑体" w:eastAsia="黑体" w:cs="黑体"/>
                <w:i/>
                <w:iCs/>
                <w:color w:val="000000"/>
                <w:sz w:val="18"/>
                <w:szCs w:val="18"/>
                <w:u w:val="none"/>
              </w:rPr>
            </w:pPr>
          </w:p>
        </w:tc>
      </w:tr>
      <w:tr w14:paraId="40E1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75A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3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5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C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FC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1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6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9BF8">
            <w:pPr>
              <w:rPr>
                <w:rFonts w:hint="eastAsia" w:ascii="黑体" w:hAnsi="黑体" w:eastAsia="黑体" w:cs="黑体"/>
                <w:i/>
                <w:iCs/>
                <w:color w:val="000000"/>
                <w:sz w:val="18"/>
                <w:szCs w:val="18"/>
                <w:u w:val="none"/>
              </w:rPr>
            </w:pPr>
          </w:p>
        </w:tc>
      </w:tr>
      <w:tr w14:paraId="3E46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539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6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4C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F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DAD1">
            <w:pPr>
              <w:rPr>
                <w:rFonts w:hint="eastAsia" w:ascii="黑体" w:hAnsi="黑体" w:eastAsia="黑体" w:cs="黑体"/>
                <w:i/>
                <w:iCs/>
                <w:color w:val="000000"/>
                <w:sz w:val="18"/>
                <w:szCs w:val="18"/>
                <w:u w:val="none"/>
              </w:rPr>
            </w:pPr>
          </w:p>
        </w:tc>
      </w:tr>
      <w:tr w14:paraId="6509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C01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6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50C5">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7482">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A5504">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A0BA">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4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643B">
            <w:pPr>
              <w:rPr>
                <w:rFonts w:hint="eastAsia" w:ascii="黑体" w:hAnsi="黑体" w:eastAsia="黑体" w:cs="黑体"/>
                <w:i/>
                <w:iCs/>
                <w:color w:val="000000"/>
                <w:sz w:val="18"/>
                <w:szCs w:val="18"/>
                <w:u w:val="none"/>
              </w:rPr>
            </w:pPr>
          </w:p>
        </w:tc>
      </w:tr>
      <w:tr w14:paraId="2D55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2A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4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B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F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6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D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2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3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8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0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6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4A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EEA6">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3C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A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4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预计争取专债项目、中预项目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A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6C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C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2F14">
            <w:pPr>
              <w:jc w:val="center"/>
              <w:rPr>
                <w:rFonts w:hint="eastAsia" w:ascii="微软雅黑" w:hAnsi="微软雅黑" w:eastAsia="微软雅黑" w:cs="微软雅黑"/>
                <w:i/>
                <w:iCs/>
                <w:color w:val="000000"/>
                <w:sz w:val="16"/>
                <w:szCs w:val="16"/>
                <w:u w:val="none"/>
              </w:rPr>
            </w:pPr>
          </w:p>
        </w:tc>
      </w:tr>
      <w:tr w14:paraId="1ACC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58C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B62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C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A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高质量完成项目争取工作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5D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5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3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676">
            <w:pPr>
              <w:jc w:val="center"/>
              <w:rPr>
                <w:rFonts w:hint="eastAsia" w:ascii="微软雅黑" w:hAnsi="微软雅黑" w:eastAsia="微软雅黑" w:cs="微软雅黑"/>
                <w:i/>
                <w:iCs/>
                <w:color w:val="000000"/>
                <w:sz w:val="16"/>
                <w:szCs w:val="16"/>
                <w:u w:val="none"/>
              </w:rPr>
            </w:pPr>
          </w:p>
        </w:tc>
      </w:tr>
      <w:tr w14:paraId="65B1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5BA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FB1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6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F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A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6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F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0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EE6">
            <w:pPr>
              <w:jc w:val="center"/>
              <w:rPr>
                <w:rFonts w:hint="eastAsia" w:ascii="微软雅黑" w:hAnsi="微软雅黑" w:eastAsia="微软雅黑" w:cs="微软雅黑"/>
                <w:i/>
                <w:iCs/>
                <w:color w:val="000000"/>
                <w:sz w:val="16"/>
                <w:szCs w:val="16"/>
                <w:u w:val="none"/>
              </w:rPr>
            </w:pPr>
          </w:p>
        </w:tc>
      </w:tr>
      <w:tr w14:paraId="5D5B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6D4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A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C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为经济发展争取更优化项目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A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8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A2F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2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1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5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3DBD">
            <w:pPr>
              <w:jc w:val="center"/>
              <w:rPr>
                <w:rFonts w:hint="eastAsia" w:ascii="微软雅黑" w:hAnsi="微软雅黑" w:eastAsia="微软雅黑" w:cs="微软雅黑"/>
                <w:i/>
                <w:iCs/>
                <w:color w:val="000000"/>
                <w:sz w:val="16"/>
                <w:szCs w:val="16"/>
                <w:u w:val="none"/>
              </w:rPr>
            </w:pPr>
          </w:p>
        </w:tc>
      </w:tr>
      <w:tr w14:paraId="198C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471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F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8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受益人群满意度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A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0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5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3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A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F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6334">
            <w:pPr>
              <w:jc w:val="center"/>
              <w:rPr>
                <w:rFonts w:hint="eastAsia" w:ascii="微软雅黑" w:hAnsi="微软雅黑" w:eastAsia="微软雅黑" w:cs="微软雅黑"/>
                <w:i/>
                <w:iCs/>
                <w:color w:val="000000"/>
                <w:sz w:val="16"/>
                <w:szCs w:val="16"/>
                <w:u w:val="none"/>
              </w:rPr>
            </w:pPr>
          </w:p>
        </w:tc>
      </w:tr>
      <w:tr w14:paraId="7829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03E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C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6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5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8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A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8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C4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149.81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3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D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FBD">
            <w:pPr>
              <w:jc w:val="center"/>
              <w:rPr>
                <w:rFonts w:hint="eastAsia" w:ascii="微软雅黑" w:hAnsi="微软雅黑" w:eastAsia="微软雅黑" w:cs="微软雅黑"/>
                <w:i/>
                <w:iCs/>
                <w:color w:val="000000"/>
                <w:sz w:val="16"/>
                <w:szCs w:val="16"/>
                <w:u w:val="none"/>
              </w:rPr>
            </w:pPr>
          </w:p>
        </w:tc>
      </w:tr>
      <w:tr w14:paraId="79FF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495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C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9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4EA9">
            <w:pPr>
              <w:rPr>
                <w:rFonts w:hint="eastAsia" w:ascii="宋体" w:hAnsi="宋体" w:eastAsia="宋体" w:cs="宋体"/>
                <w:i w:val="0"/>
                <w:iCs w:val="0"/>
                <w:color w:val="000000"/>
                <w:sz w:val="18"/>
                <w:szCs w:val="18"/>
                <w:u w:val="none"/>
              </w:rPr>
            </w:pPr>
          </w:p>
        </w:tc>
      </w:tr>
      <w:tr w14:paraId="1A2A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C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783A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争取中央、省委预算内项目8个，争取资金1.2亿元，全市排名第二，争取地方政府专项债券项目10个，发行专项债券金额13.05亿元，争取超长期特别国债项目3个，争取资金0.6685亿元。争取2025年提前批中预资金860万元，目前，所有项目资金已全部下达。项目自评得分99分。</w:t>
            </w:r>
          </w:p>
        </w:tc>
      </w:tr>
      <w:tr w14:paraId="04D0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4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AF2E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1A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4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D4E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98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034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项目负责人：陈婷婷</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BC0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61E55F11">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753" w:type="dxa"/>
        <w:tblInd w:w="-9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1153"/>
        <w:gridCol w:w="767"/>
        <w:gridCol w:w="193"/>
        <w:gridCol w:w="960"/>
        <w:gridCol w:w="767"/>
        <w:gridCol w:w="193"/>
        <w:gridCol w:w="960"/>
        <w:gridCol w:w="960"/>
        <w:gridCol w:w="960"/>
        <w:gridCol w:w="960"/>
      </w:tblGrid>
      <w:tr w14:paraId="388F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75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FDEE2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EE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F4D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8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DFD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51090423T000009472727-2023年安居区专项决策咨询项目资金</w:t>
            </w:r>
          </w:p>
        </w:tc>
      </w:tr>
      <w:tr w14:paraId="623B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541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B1F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1153" w:type="dxa"/>
            <w:gridSpan w:val="2"/>
            <w:tcBorders>
              <w:top w:val="nil"/>
              <w:left w:val="nil"/>
              <w:bottom w:val="nil"/>
              <w:right w:val="nil"/>
            </w:tcBorders>
            <w:shd w:val="clear" w:color="auto" w:fill="auto"/>
            <w:vAlign w:val="center"/>
          </w:tcPr>
          <w:p w14:paraId="2A7E9DD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FF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2916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54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B1B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172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7B4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B2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7BC9">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4129">
            <w:pPr>
              <w:rPr>
                <w:rFonts w:hint="eastAsia" w:ascii="宋体" w:hAnsi="宋体" w:eastAsia="宋体" w:cs="宋体"/>
                <w:i w:val="0"/>
                <w:iCs w:val="0"/>
                <w:color w:val="000000"/>
                <w:sz w:val="18"/>
                <w:szCs w:val="18"/>
                <w:u w:val="none"/>
              </w:rPr>
            </w:pP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BDD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2023年安居区专项决策咨询项目，项目共分为《安居打造琼江乡村振兴走廊对策建议》《安居锂电及新材料产业发展方向和天齐绿色低碳产业园产业布局研究》《安居城乡融合发展对策研究》《推动城市人气商气加快聚集对策建议》4个专项经济课题研究。</w:t>
            </w:r>
          </w:p>
        </w:tc>
        <w:tc>
          <w:tcPr>
            <w:tcW w:w="4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A00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支付安居区专项决策咨询项目合同尾款的21%。</w:t>
            </w:r>
          </w:p>
        </w:tc>
      </w:tr>
      <w:tr w14:paraId="2EFF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9EFD">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CD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8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7DB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支付安居区专项决策咨询项目合同尾款的21%。</w:t>
            </w:r>
          </w:p>
        </w:tc>
      </w:tr>
      <w:tr w14:paraId="2FAF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B4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2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E4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3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D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DB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D54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E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F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4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24.58</w:t>
            </w: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73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F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6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2E475">
            <w:pPr>
              <w:rPr>
                <w:rFonts w:hint="eastAsia" w:ascii="黑体" w:hAnsi="黑体" w:eastAsia="黑体" w:cs="黑体"/>
                <w:i/>
                <w:iCs/>
                <w:color w:val="000000"/>
                <w:sz w:val="18"/>
                <w:szCs w:val="18"/>
                <w:u w:val="none"/>
              </w:rPr>
            </w:pPr>
          </w:p>
        </w:tc>
      </w:tr>
      <w:tr w14:paraId="0803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1C0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7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24.58</w:t>
            </w: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826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3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2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7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E06F">
            <w:pPr>
              <w:rPr>
                <w:rFonts w:hint="eastAsia" w:ascii="黑体" w:hAnsi="黑体" w:eastAsia="黑体" w:cs="黑体"/>
                <w:i/>
                <w:iCs/>
                <w:color w:val="000000"/>
                <w:sz w:val="18"/>
                <w:szCs w:val="18"/>
                <w:u w:val="none"/>
              </w:rPr>
            </w:pPr>
          </w:p>
        </w:tc>
      </w:tr>
      <w:tr w14:paraId="31D8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770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3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F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7C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F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F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0DF2">
            <w:pPr>
              <w:rPr>
                <w:rFonts w:hint="eastAsia" w:ascii="黑体" w:hAnsi="黑体" w:eastAsia="黑体" w:cs="黑体"/>
                <w:i/>
                <w:iCs/>
                <w:color w:val="000000"/>
                <w:sz w:val="18"/>
                <w:szCs w:val="18"/>
                <w:u w:val="none"/>
              </w:rPr>
            </w:pPr>
          </w:p>
        </w:tc>
      </w:tr>
      <w:tr w14:paraId="693D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093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D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B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7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98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7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2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8842">
            <w:pPr>
              <w:rPr>
                <w:rFonts w:hint="eastAsia" w:ascii="黑体" w:hAnsi="黑体" w:eastAsia="黑体" w:cs="黑体"/>
                <w:i/>
                <w:iCs/>
                <w:color w:val="000000"/>
                <w:sz w:val="18"/>
                <w:szCs w:val="18"/>
                <w:u w:val="none"/>
              </w:rPr>
            </w:pPr>
          </w:p>
        </w:tc>
      </w:tr>
      <w:tr w14:paraId="7E96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5A7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9885">
            <w:pPr>
              <w:jc w:val="center"/>
              <w:rPr>
                <w:rFonts w:hint="eastAsia" w:ascii="微软雅黑" w:hAnsi="微软雅黑" w:eastAsia="微软雅黑" w:cs="微软雅黑"/>
                <w:i/>
                <w:iCs/>
                <w:color w:val="000000"/>
                <w:sz w:val="16"/>
                <w:szCs w:val="16"/>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D62E">
            <w:pPr>
              <w:jc w:val="center"/>
              <w:rPr>
                <w:rFonts w:hint="eastAsia" w:ascii="微软雅黑" w:hAnsi="微软雅黑" w:eastAsia="微软雅黑" w:cs="微软雅黑"/>
                <w:i/>
                <w:iCs/>
                <w:color w:val="000000"/>
                <w:sz w:val="16"/>
                <w:szCs w:val="16"/>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167C9">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215F">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B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CC0E">
            <w:pPr>
              <w:rPr>
                <w:rFonts w:hint="eastAsia" w:ascii="黑体" w:hAnsi="黑体" w:eastAsia="黑体" w:cs="黑体"/>
                <w:i/>
                <w:iCs/>
                <w:color w:val="000000"/>
                <w:sz w:val="18"/>
                <w:szCs w:val="18"/>
                <w:u w:val="none"/>
              </w:rPr>
            </w:pPr>
          </w:p>
        </w:tc>
      </w:tr>
      <w:tr w14:paraId="2BFF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BC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A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9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C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7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F0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E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E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BE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50B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E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A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E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完成4个专项经济课题研究</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7C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9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3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FC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0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7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528">
            <w:pPr>
              <w:jc w:val="center"/>
              <w:rPr>
                <w:rFonts w:hint="eastAsia" w:ascii="微软雅黑" w:hAnsi="微软雅黑" w:eastAsia="微软雅黑" w:cs="微软雅黑"/>
                <w:i/>
                <w:iCs/>
                <w:color w:val="000000"/>
                <w:sz w:val="16"/>
                <w:szCs w:val="16"/>
                <w:u w:val="none"/>
              </w:rPr>
            </w:pPr>
          </w:p>
        </w:tc>
      </w:tr>
      <w:tr w14:paraId="537B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413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E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2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建设成渝地区城乡融合发展新标杆和“锂电之都”引领区，助力安居高质量发展</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DD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2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6B84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01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D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D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8A26">
            <w:pPr>
              <w:jc w:val="center"/>
              <w:rPr>
                <w:rFonts w:hint="eastAsia" w:ascii="微软雅黑" w:hAnsi="微软雅黑" w:eastAsia="微软雅黑" w:cs="微软雅黑"/>
                <w:i/>
                <w:iCs/>
                <w:color w:val="000000"/>
                <w:sz w:val="16"/>
                <w:szCs w:val="16"/>
                <w:u w:val="none"/>
              </w:rPr>
            </w:pPr>
          </w:p>
        </w:tc>
      </w:tr>
      <w:tr w14:paraId="1C28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C1B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7A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D418">
            <w:pPr>
              <w:rPr>
                <w:rFonts w:hint="eastAsia" w:ascii="宋体" w:hAnsi="宋体" w:eastAsia="宋体" w:cs="宋体"/>
                <w:i w:val="0"/>
                <w:iCs w:val="0"/>
                <w:color w:val="000000"/>
                <w:sz w:val="18"/>
                <w:szCs w:val="18"/>
                <w:u w:val="none"/>
              </w:rPr>
            </w:pPr>
          </w:p>
        </w:tc>
      </w:tr>
      <w:tr w14:paraId="776D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9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ECE3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标志着“十四五”规划实施的关键时期，同时也是成渝地区城乡融合发展新标杆和“锂电之都”引领区建设的起始之年。为了加速推进区委五届九次全会及区委经济工作会议精神的实施，更好地发挥参谋和助手的作用，支持安居区的高质量发展，区发改局启动了2023年安居区专项决策咨询项目。在2024年支付剩余合同款项的21%。项目自评得分达到了满分100分。</w:t>
            </w:r>
          </w:p>
        </w:tc>
      </w:tr>
      <w:tr w14:paraId="6D3A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9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8661D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4C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C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9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69AE8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BF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0D4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项目负责人：袁林</w:t>
            </w:r>
          </w:p>
        </w:tc>
        <w:tc>
          <w:tcPr>
            <w:tcW w:w="59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BDC5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79483C2C">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9850" w:type="dxa"/>
        <w:tblInd w:w="-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157"/>
        <w:gridCol w:w="1836"/>
        <w:gridCol w:w="1348"/>
        <w:gridCol w:w="576"/>
        <w:gridCol w:w="674"/>
        <w:gridCol w:w="32"/>
        <w:gridCol w:w="551"/>
        <w:gridCol w:w="956"/>
        <w:gridCol w:w="486"/>
        <w:gridCol w:w="541"/>
        <w:gridCol w:w="1117"/>
      </w:tblGrid>
      <w:tr w14:paraId="308D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85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6370C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BD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535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04BD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51090424T000011974298-安居化工园区扩区工作经费</w:t>
            </w:r>
          </w:p>
        </w:tc>
      </w:tr>
      <w:tr w14:paraId="08CF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6A8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AC2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56" w:type="dxa"/>
            <w:tcBorders>
              <w:top w:val="nil"/>
              <w:left w:val="nil"/>
              <w:bottom w:val="nil"/>
              <w:right w:val="nil"/>
            </w:tcBorders>
            <w:shd w:val="clear" w:color="auto" w:fill="auto"/>
            <w:vAlign w:val="center"/>
          </w:tcPr>
          <w:p w14:paraId="5476293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E6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0FFC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FC6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CB8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3D1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3ABB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CC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EBAB">
            <w:pP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4DFA">
            <w:pPr>
              <w:rPr>
                <w:rFonts w:hint="eastAsia" w:ascii="宋体" w:hAnsi="宋体" w:eastAsia="宋体" w:cs="宋体"/>
                <w:i w:val="0"/>
                <w:iCs w:val="0"/>
                <w:color w:val="000000"/>
                <w:sz w:val="18"/>
                <w:szCs w:val="18"/>
                <w:u w:val="none"/>
              </w:rPr>
            </w:pPr>
          </w:p>
        </w:tc>
        <w:tc>
          <w:tcPr>
            <w:tcW w:w="5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0216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完成化工园区扩建工作</w:t>
            </w:r>
          </w:p>
        </w:tc>
        <w:tc>
          <w:tcPr>
            <w:tcW w:w="3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053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完成化工园区扩建工作</w:t>
            </w:r>
          </w:p>
        </w:tc>
      </w:tr>
      <w:tr w14:paraId="63E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CDDC">
            <w:pP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36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E72C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化工园区扩区组卷资料打印费</w:t>
            </w:r>
          </w:p>
        </w:tc>
      </w:tr>
      <w:tr w14:paraId="1AD5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7F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7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D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1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6E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1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E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0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7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77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A19C">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F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B1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C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D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C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0BB66">
            <w:pPr>
              <w:rPr>
                <w:rFonts w:hint="eastAsia" w:ascii="黑体" w:hAnsi="黑体" w:eastAsia="黑体" w:cs="黑体"/>
                <w:i/>
                <w:iCs/>
                <w:color w:val="000000"/>
                <w:sz w:val="18"/>
                <w:szCs w:val="18"/>
                <w:u w:val="none"/>
              </w:rPr>
            </w:pPr>
          </w:p>
        </w:tc>
      </w:tr>
      <w:tr w14:paraId="6BA9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6CBC">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1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E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2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C7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2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3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C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9020">
            <w:pPr>
              <w:rPr>
                <w:rFonts w:hint="eastAsia" w:ascii="黑体" w:hAnsi="黑体" w:eastAsia="黑体" w:cs="黑体"/>
                <w:i/>
                <w:iCs/>
                <w:color w:val="000000"/>
                <w:sz w:val="18"/>
                <w:szCs w:val="18"/>
                <w:u w:val="none"/>
              </w:rPr>
            </w:pPr>
          </w:p>
        </w:tc>
      </w:tr>
      <w:tr w14:paraId="6518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882C">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A6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7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4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4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0CD0">
            <w:pPr>
              <w:rPr>
                <w:rFonts w:hint="eastAsia" w:ascii="黑体" w:hAnsi="黑体" w:eastAsia="黑体" w:cs="黑体"/>
                <w:i/>
                <w:iCs/>
                <w:color w:val="000000"/>
                <w:sz w:val="18"/>
                <w:szCs w:val="18"/>
                <w:u w:val="none"/>
              </w:rPr>
            </w:pPr>
          </w:p>
        </w:tc>
      </w:tr>
      <w:tr w14:paraId="5A00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434C">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F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D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C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D3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4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1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F161">
            <w:pPr>
              <w:rPr>
                <w:rFonts w:hint="eastAsia" w:ascii="黑体" w:hAnsi="黑体" w:eastAsia="黑体" w:cs="黑体"/>
                <w:i/>
                <w:iCs/>
                <w:color w:val="000000"/>
                <w:sz w:val="18"/>
                <w:szCs w:val="18"/>
                <w:u w:val="none"/>
              </w:rPr>
            </w:pPr>
          </w:p>
        </w:tc>
      </w:tr>
      <w:tr w14:paraId="169E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215B">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3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C15">
            <w:pPr>
              <w:jc w:val="center"/>
              <w:rPr>
                <w:rFonts w:hint="eastAsia" w:ascii="微软雅黑" w:hAnsi="微软雅黑" w:eastAsia="微软雅黑" w:cs="微软雅黑"/>
                <w:i/>
                <w:iCs/>
                <w:color w:val="000000"/>
                <w:sz w:val="16"/>
                <w:szCs w:val="16"/>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0C7">
            <w:pPr>
              <w:jc w:val="center"/>
              <w:rPr>
                <w:rFonts w:hint="eastAsia" w:ascii="微软雅黑" w:hAnsi="微软雅黑" w:eastAsia="微软雅黑" w:cs="微软雅黑"/>
                <w:i/>
                <w:iCs/>
                <w:color w:val="000000"/>
                <w:sz w:val="16"/>
                <w:szCs w:val="16"/>
                <w:u w:val="none"/>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BC79C">
            <w:pPr>
              <w:jc w:val="center"/>
              <w:rPr>
                <w:rFonts w:hint="eastAsia" w:ascii="微软雅黑" w:hAnsi="微软雅黑" w:eastAsia="微软雅黑" w:cs="微软雅黑"/>
                <w:i/>
                <w:iCs/>
                <w:color w:val="000000"/>
                <w:sz w:val="16"/>
                <w:szCs w:val="16"/>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7D8">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F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3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2E83">
            <w:pPr>
              <w:rPr>
                <w:rFonts w:hint="eastAsia" w:ascii="黑体" w:hAnsi="黑体" w:eastAsia="黑体" w:cs="黑体"/>
                <w:i/>
                <w:iCs/>
                <w:color w:val="000000"/>
                <w:sz w:val="18"/>
                <w:szCs w:val="18"/>
                <w:u w:val="none"/>
              </w:rPr>
            </w:pPr>
          </w:p>
        </w:tc>
      </w:tr>
      <w:tr w14:paraId="4AB2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30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6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9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40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5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D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AB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AD991">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9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C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8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项目数量</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7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6D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B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D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D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0A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4C7C">
            <w:pPr>
              <w:jc w:val="center"/>
              <w:rPr>
                <w:rFonts w:hint="eastAsia" w:ascii="微软雅黑" w:hAnsi="微软雅黑" w:eastAsia="微软雅黑" w:cs="微软雅黑"/>
                <w:i/>
                <w:iCs/>
                <w:color w:val="000000"/>
                <w:sz w:val="16"/>
                <w:szCs w:val="16"/>
                <w:u w:val="none"/>
              </w:rPr>
            </w:pPr>
          </w:p>
        </w:tc>
      </w:tr>
      <w:tr w14:paraId="0F70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E8C9">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8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C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高质量化工园区扩区</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D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8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2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0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A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EB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0D8C">
            <w:pPr>
              <w:rPr>
                <w:rFonts w:hint="eastAsia" w:ascii="宋体" w:hAnsi="宋体" w:eastAsia="宋体" w:cs="宋体"/>
                <w:i w:val="0"/>
                <w:iCs w:val="0"/>
                <w:color w:val="000000"/>
                <w:sz w:val="18"/>
                <w:szCs w:val="18"/>
                <w:u w:val="none"/>
              </w:rPr>
            </w:pPr>
          </w:p>
        </w:tc>
      </w:tr>
      <w:tr w14:paraId="3B5A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0014">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8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及时完成资金拨付</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E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5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2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A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6F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36B9">
            <w:pPr>
              <w:rPr>
                <w:rFonts w:hint="eastAsia" w:ascii="宋体" w:hAnsi="宋体" w:eastAsia="宋体" w:cs="宋体"/>
                <w:i w:val="0"/>
                <w:iCs w:val="0"/>
                <w:color w:val="000000"/>
                <w:sz w:val="18"/>
                <w:szCs w:val="18"/>
                <w:u w:val="none"/>
              </w:rPr>
            </w:pPr>
          </w:p>
        </w:tc>
      </w:tr>
      <w:tr w14:paraId="7588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CAA5">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0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E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5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化工园区扩区</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3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9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0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A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E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06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9F75">
            <w:pPr>
              <w:rPr>
                <w:rFonts w:hint="eastAsia" w:ascii="宋体" w:hAnsi="宋体" w:eastAsia="宋体" w:cs="宋体"/>
                <w:i w:val="0"/>
                <w:iCs w:val="0"/>
                <w:color w:val="000000"/>
                <w:sz w:val="18"/>
                <w:szCs w:val="18"/>
                <w:u w:val="none"/>
              </w:rPr>
            </w:pPr>
          </w:p>
        </w:tc>
      </w:tr>
      <w:tr w14:paraId="427A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2E61">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0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F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3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1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3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E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F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4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A5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D11">
            <w:pPr>
              <w:rPr>
                <w:rFonts w:hint="eastAsia" w:ascii="宋体" w:hAnsi="宋体" w:eastAsia="宋体" w:cs="宋体"/>
                <w:i w:val="0"/>
                <w:iCs w:val="0"/>
                <w:color w:val="000000"/>
                <w:sz w:val="18"/>
                <w:szCs w:val="18"/>
                <w:u w:val="none"/>
              </w:rPr>
            </w:pPr>
          </w:p>
        </w:tc>
      </w:tr>
      <w:tr w14:paraId="1F2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6985D">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D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F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F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分配局内工作经费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C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F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D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1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0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B9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61EE">
            <w:pPr>
              <w:rPr>
                <w:rFonts w:hint="eastAsia" w:ascii="宋体" w:hAnsi="宋体" w:eastAsia="宋体" w:cs="宋体"/>
                <w:i w:val="0"/>
                <w:iCs w:val="0"/>
                <w:color w:val="000000"/>
                <w:sz w:val="18"/>
                <w:szCs w:val="18"/>
                <w:u w:val="none"/>
              </w:rPr>
            </w:pPr>
          </w:p>
        </w:tc>
      </w:tr>
      <w:tr w14:paraId="46F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F7F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4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98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7486">
            <w:pPr>
              <w:rPr>
                <w:rFonts w:hint="eastAsia" w:ascii="宋体" w:hAnsi="宋体" w:eastAsia="宋体" w:cs="宋体"/>
                <w:i w:val="0"/>
                <w:iCs w:val="0"/>
                <w:color w:val="000000"/>
                <w:sz w:val="18"/>
                <w:szCs w:val="18"/>
                <w:u w:val="none"/>
              </w:rPr>
            </w:pPr>
          </w:p>
        </w:tc>
      </w:tr>
      <w:tr w14:paraId="00F2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D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3BA8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完成支付化工园区扩区组卷资料打印费，项目自评得分100分。</w:t>
            </w:r>
          </w:p>
        </w:tc>
      </w:tr>
      <w:tr w14:paraId="645C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EDD3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49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1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3593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35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1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8206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项目负责人：曾勇</w:t>
            </w:r>
          </w:p>
        </w:tc>
        <w:tc>
          <w:tcPr>
            <w:tcW w:w="3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165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688139C6">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8"/>
        <w:tblW w:w="10170" w:type="dxa"/>
        <w:tblInd w:w="-9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58"/>
        <w:gridCol w:w="1166"/>
        <w:gridCol w:w="1600"/>
        <w:gridCol w:w="576"/>
        <w:gridCol w:w="624"/>
        <w:gridCol w:w="435"/>
        <w:gridCol w:w="141"/>
        <w:gridCol w:w="977"/>
        <w:gridCol w:w="614"/>
        <w:gridCol w:w="895"/>
        <w:gridCol w:w="1608"/>
      </w:tblGrid>
      <w:tr w14:paraId="0EEF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1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33E2D3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44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DD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F59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51090424T000011814086-信创资金</w:t>
            </w:r>
          </w:p>
        </w:tc>
      </w:tr>
      <w:tr w14:paraId="58BF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38C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B1A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遂宁市安居区发展和改革局部门</w:t>
            </w:r>
          </w:p>
        </w:tc>
        <w:tc>
          <w:tcPr>
            <w:tcW w:w="977" w:type="dxa"/>
            <w:tcBorders>
              <w:top w:val="nil"/>
              <w:left w:val="nil"/>
              <w:bottom w:val="nil"/>
              <w:right w:val="nil"/>
            </w:tcBorders>
            <w:shd w:val="clear" w:color="auto" w:fill="auto"/>
            <w:vAlign w:val="center"/>
          </w:tcPr>
          <w:p w14:paraId="5137563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D8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遂宁市安居区发展和改革局</w:t>
            </w:r>
          </w:p>
        </w:tc>
      </w:tr>
      <w:tr w14:paraId="34BE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509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46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530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72C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27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D94E">
            <w:pPr>
              <w:rPr>
                <w:rFonts w:hint="eastAsia" w:ascii="宋体" w:hAnsi="宋体" w:eastAsia="宋体" w:cs="宋体"/>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B687">
            <w:pPr>
              <w:rPr>
                <w:rFonts w:hint="eastAsia" w:ascii="宋体" w:hAnsi="宋体" w:eastAsia="宋体" w:cs="宋体"/>
                <w:i w:val="0"/>
                <w:iCs w:val="0"/>
                <w:color w:val="000000"/>
                <w:sz w:val="18"/>
                <w:szCs w:val="18"/>
                <w:u w:val="none"/>
              </w:rPr>
            </w:pPr>
          </w:p>
        </w:tc>
        <w:tc>
          <w:tcPr>
            <w:tcW w:w="4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9906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完成2024年信创电脑采购</w:t>
            </w:r>
          </w:p>
        </w:tc>
        <w:tc>
          <w:tcPr>
            <w:tcW w:w="4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961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完成2024年信创电脑采购</w:t>
            </w:r>
          </w:p>
        </w:tc>
      </w:tr>
      <w:tr w14:paraId="6D2B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02A8">
            <w:pP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620E2E">
            <w:pPr>
              <w:rPr>
                <w:rFonts w:hint="eastAsia" w:ascii="宋体" w:hAnsi="宋体" w:eastAsia="宋体" w:cs="宋体"/>
                <w:i w:val="0"/>
                <w:iCs w:val="0"/>
                <w:color w:val="000000"/>
                <w:sz w:val="18"/>
                <w:szCs w:val="18"/>
                <w:u w:val="none"/>
              </w:rPr>
            </w:pPr>
          </w:p>
        </w:tc>
      </w:tr>
      <w:tr w14:paraId="0BE9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BB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8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7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9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FD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6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7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79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18EA">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5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1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DC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6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0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CCA51">
            <w:pPr>
              <w:rPr>
                <w:rFonts w:hint="eastAsia" w:ascii="黑体" w:hAnsi="黑体" w:eastAsia="黑体" w:cs="黑体"/>
                <w:i/>
                <w:iCs/>
                <w:color w:val="000000"/>
                <w:sz w:val="18"/>
                <w:szCs w:val="18"/>
                <w:u w:val="none"/>
              </w:rPr>
            </w:pPr>
          </w:p>
        </w:tc>
      </w:tr>
      <w:tr w14:paraId="73BE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AFC1">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F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6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1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6FD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8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E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5778">
            <w:pPr>
              <w:rPr>
                <w:rFonts w:hint="eastAsia" w:ascii="黑体" w:hAnsi="黑体" w:eastAsia="黑体" w:cs="黑体"/>
                <w:i/>
                <w:iCs/>
                <w:color w:val="000000"/>
                <w:sz w:val="18"/>
                <w:szCs w:val="18"/>
                <w:u w:val="none"/>
              </w:rPr>
            </w:pPr>
          </w:p>
        </w:tc>
      </w:tr>
      <w:tr w14:paraId="5AA8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E3B7">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3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9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B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011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E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1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E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9177">
            <w:pPr>
              <w:rPr>
                <w:rFonts w:hint="eastAsia" w:ascii="黑体" w:hAnsi="黑体" w:eastAsia="黑体" w:cs="黑体"/>
                <w:i/>
                <w:iCs/>
                <w:color w:val="000000"/>
                <w:sz w:val="18"/>
                <w:szCs w:val="18"/>
                <w:u w:val="none"/>
              </w:rPr>
            </w:pPr>
          </w:p>
        </w:tc>
      </w:tr>
      <w:tr w14:paraId="5A30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A30A8">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A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6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B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F3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3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5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A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6750">
            <w:pPr>
              <w:rPr>
                <w:rFonts w:hint="eastAsia" w:ascii="黑体" w:hAnsi="黑体" w:eastAsia="黑体" w:cs="黑体"/>
                <w:i/>
                <w:iCs/>
                <w:color w:val="000000"/>
                <w:sz w:val="18"/>
                <w:szCs w:val="18"/>
                <w:u w:val="none"/>
              </w:rPr>
            </w:pPr>
          </w:p>
        </w:tc>
      </w:tr>
      <w:tr w14:paraId="487F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2CBD">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F42B">
            <w:pPr>
              <w:jc w:val="center"/>
              <w:rPr>
                <w:rFonts w:hint="eastAsia" w:ascii="微软雅黑" w:hAnsi="微软雅黑" w:eastAsia="微软雅黑" w:cs="微软雅黑"/>
                <w:i/>
                <w:iCs/>
                <w:color w:val="000000"/>
                <w:sz w:val="16"/>
                <w:szCs w:val="16"/>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982D">
            <w:pPr>
              <w:jc w:val="center"/>
              <w:rPr>
                <w:rFonts w:hint="eastAsia" w:ascii="微软雅黑" w:hAnsi="微软雅黑" w:eastAsia="微软雅黑" w:cs="微软雅黑"/>
                <w:i/>
                <w:iCs/>
                <w:color w:val="000000"/>
                <w:sz w:val="16"/>
                <w:szCs w:val="16"/>
                <w:u w:val="none"/>
              </w:rPr>
            </w:pPr>
          </w:p>
        </w:tc>
        <w:tc>
          <w:tcPr>
            <w:tcW w:w="1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8AA7A">
            <w:pPr>
              <w:jc w:val="center"/>
              <w:rPr>
                <w:rFonts w:hint="eastAsia" w:ascii="微软雅黑" w:hAnsi="微软雅黑" w:eastAsia="微软雅黑" w:cs="微软雅黑"/>
                <w:i/>
                <w:iCs/>
                <w:color w:val="000000"/>
                <w:sz w:val="16"/>
                <w:szCs w:val="16"/>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E143">
            <w:pPr>
              <w:jc w:val="center"/>
              <w:rPr>
                <w:rFonts w:hint="eastAsia" w:ascii="微软雅黑" w:hAnsi="微软雅黑" w:eastAsia="微软雅黑" w:cs="微软雅黑"/>
                <w:i/>
                <w:iCs/>
                <w:color w:val="000000"/>
                <w:sz w:val="16"/>
                <w:szCs w:val="16"/>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0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0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80D1">
            <w:pPr>
              <w:rPr>
                <w:rFonts w:hint="eastAsia" w:ascii="黑体" w:hAnsi="黑体" w:eastAsia="黑体" w:cs="黑体"/>
                <w:i/>
                <w:iCs/>
                <w:color w:val="000000"/>
                <w:sz w:val="18"/>
                <w:szCs w:val="18"/>
                <w:u w:val="none"/>
              </w:rPr>
            </w:pPr>
          </w:p>
        </w:tc>
      </w:tr>
      <w:tr w14:paraId="6F9E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7A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9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1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4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5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7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15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3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4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87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E175">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B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8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8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2023年采购电脑终端</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A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7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0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D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F454">
            <w:pPr>
              <w:jc w:val="center"/>
              <w:rPr>
                <w:rFonts w:hint="eastAsia" w:ascii="微软雅黑" w:hAnsi="微软雅黑" w:eastAsia="微软雅黑" w:cs="微软雅黑"/>
                <w:i/>
                <w:iCs/>
                <w:color w:val="000000"/>
                <w:sz w:val="16"/>
                <w:szCs w:val="16"/>
                <w:u w:val="none"/>
              </w:rPr>
            </w:pPr>
          </w:p>
        </w:tc>
      </w:tr>
      <w:tr w14:paraId="137B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4F05">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B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B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A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及时拨付资金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4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B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0413">
            <w:pPr>
              <w:rPr>
                <w:rFonts w:hint="eastAsia" w:ascii="宋体" w:hAnsi="宋体" w:eastAsia="宋体" w:cs="宋体"/>
                <w:i w:val="0"/>
                <w:iCs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5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D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3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D683">
            <w:pPr>
              <w:rPr>
                <w:rFonts w:hint="eastAsia" w:ascii="宋体" w:hAnsi="宋体" w:eastAsia="宋体" w:cs="宋体"/>
                <w:i w:val="0"/>
                <w:iCs w:val="0"/>
                <w:color w:val="000000"/>
                <w:sz w:val="18"/>
                <w:szCs w:val="18"/>
                <w:u w:val="none"/>
              </w:rPr>
            </w:pPr>
          </w:p>
        </w:tc>
      </w:tr>
      <w:tr w14:paraId="3473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42F7">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F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6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F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项目起始时间</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7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A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8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4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4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0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A51B">
            <w:pPr>
              <w:rPr>
                <w:rFonts w:hint="eastAsia" w:ascii="宋体" w:hAnsi="宋体" w:eastAsia="宋体" w:cs="宋体"/>
                <w:i w:val="0"/>
                <w:iCs w:val="0"/>
                <w:color w:val="000000"/>
                <w:sz w:val="18"/>
                <w:szCs w:val="18"/>
                <w:u w:val="none"/>
              </w:rPr>
            </w:pPr>
          </w:p>
        </w:tc>
      </w:tr>
      <w:tr w14:paraId="33EC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BC05">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F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0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5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办公环境更加安全</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C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9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129F">
            <w:pPr>
              <w:rPr>
                <w:rFonts w:hint="eastAsia" w:ascii="宋体" w:hAnsi="宋体" w:eastAsia="宋体" w:cs="宋体"/>
                <w:i w:val="0"/>
                <w:iCs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2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4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A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AC52">
            <w:pPr>
              <w:rPr>
                <w:rFonts w:hint="eastAsia" w:ascii="宋体" w:hAnsi="宋体" w:eastAsia="宋体" w:cs="宋体"/>
                <w:i w:val="0"/>
                <w:iCs w:val="0"/>
                <w:color w:val="000000"/>
                <w:sz w:val="18"/>
                <w:szCs w:val="18"/>
                <w:u w:val="none"/>
              </w:rPr>
            </w:pPr>
          </w:p>
        </w:tc>
      </w:tr>
      <w:tr w14:paraId="303B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4F18">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5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B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8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A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D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B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C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E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EC7">
            <w:pPr>
              <w:rPr>
                <w:rFonts w:hint="eastAsia" w:ascii="宋体" w:hAnsi="宋体" w:eastAsia="宋体" w:cs="宋体"/>
                <w:i w:val="0"/>
                <w:iCs w:val="0"/>
                <w:color w:val="000000"/>
                <w:sz w:val="18"/>
                <w:szCs w:val="18"/>
                <w:u w:val="none"/>
              </w:rPr>
            </w:pPr>
          </w:p>
        </w:tc>
      </w:tr>
      <w:tr w14:paraId="4B72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49E2">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A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5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D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采购金额</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0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B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1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4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F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5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D491">
            <w:pPr>
              <w:rPr>
                <w:rFonts w:hint="eastAsia" w:ascii="宋体" w:hAnsi="宋体" w:eastAsia="宋体" w:cs="宋体"/>
                <w:i w:val="0"/>
                <w:iCs w:val="0"/>
                <w:color w:val="000000"/>
                <w:sz w:val="18"/>
                <w:szCs w:val="18"/>
                <w:u w:val="none"/>
              </w:rPr>
            </w:pPr>
          </w:p>
        </w:tc>
      </w:tr>
      <w:tr w14:paraId="38C0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777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D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99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5B7A">
            <w:pPr>
              <w:rPr>
                <w:rFonts w:hint="eastAsia" w:ascii="宋体" w:hAnsi="宋体" w:eastAsia="宋体" w:cs="宋体"/>
                <w:i w:val="0"/>
                <w:iCs w:val="0"/>
                <w:color w:val="000000"/>
                <w:sz w:val="18"/>
                <w:szCs w:val="18"/>
                <w:u w:val="none"/>
              </w:rPr>
            </w:pPr>
          </w:p>
        </w:tc>
      </w:tr>
      <w:tr w14:paraId="66EC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3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D1A7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完成2024年信创电脑采购，项目自评得分97分。</w:t>
            </w:r>
          </w:p>
        </w:tc>
      </w:tr>
      <w:tr w14:paraId="74B5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6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A083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5B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6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8FC5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32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9AB0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项目负责人：蒋泓权</w:t>
            </w:r>
          </w:p>
        </w:tc>
        <w:tc>
          <w:tcPr>
            <w:tcW w:w="4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8BD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财务负责人：陈长春</w:t>
            </w:r>
          </w:p>
        </w:tc>
      </w:tr>
    </w:tbl>
    <w:p w14:paraId="540EED67">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p w14:paraId="7D1D114E">
      <w:pPr>
        <w:pStyle w:val="10"/>
        <w:outlineLvl w:val="9"/>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r>
        <w:rPr>
          <w:rFonts w:hint="eastAsia" w:ascii="Times New Roman" w:eastAsia="黑体" w:cs="黑体"/>
          <w:color w:val="auto"/>
          <w:kern w:val="0"/>
          <w:sz w:val="32"/>
          <w:szCs w:val="32"/>
          <w:highlight w:val="none"/>
          <w:shd w:val="clear" w:color="auto" w:fill="FFFFFF"/>
          <w:lang w:val="en-US" w:eastAsia="zh-CN"/>
        </w:rPr>
        <w:t>-1</w:t>
      </w:r>
    </w:p>
    <w:p w14:paraId="56DE748E">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83A6520">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专项资金绩效自评报告</w:t>
      </w:r>
    </w:p>
    <w:p w14:paraId="2B61DC1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w:t>
      </w:r>
      <w:r>
        <w:rPr>
          <w:rFonts w:hint="eastAsia" w:eastAsia="仿宋_GB2312" w:cs="仿宋_GB2312"/>
          <w:b w:val="0"/>
          <w:bCs w:val="0"/>
          <w:kern w:val="0"/>
          <w:position w:val="0"/>
          <w:sz w:val="32"/>
          <w:szCs w:val="32"/>
          <w:highlight w:val="none"/>
          <w:lang w:val="en-US" w:eastAsia="zh-CN" w:bidi="ar-SA"/>
        </w:rPr>
        <w:t>中央、省委</w:t>
      </w:r>
      <w:r>
        <w:rPr>
          <w:rFonts w:hint="eastAsia" w:ascii="Times New Roman" w:hAnsi="Times New Roman" w:eastAsia="仿宋_GB2312" w:cs="仿宋_GB2312"/>
          <w:b w:val="0"/>
          <w:bCs w:val="0"/>
          <w:kern w:val="0"/>
          <w:position w:val="0"/>
          <w:sz w:val="32"/>
          <w:szCs w:val="32"/>
          <w:highlight w:val="none"/>
          <w:lang w:val="en-US" w:eastAsia="zh-CN" w:bidi="ar-SA"/>
        </w:rPr>
        <w:t>财政衔接推进乡村振兴补助资金)</w:t>
      </w:r>
    </w:p>
    <w:p w14:paraId="396E4160">
      <w:pPr>
        <w:pStyle w:val="10"/>
        <w:rPr>
          <w:rFonts w:hint="default"/>
          <w:lang w:val="en-US" w:eastAsia="zh-CN"/>
        </w:rPr>
      </w:pPr>
    </w:p>
    <w:p w14:paraId="533B94B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1AC2DC4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1DC77A2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省发展改革委《关于提前下达2024年部分中央财政以工代赈任务计划的通知》(川发改振〔2023〕622号)提前下达我市2024年中央财政衔接推进乡村振兴补助资金以工代赈任务计划。新建保石镇清泉村道路长1.99公里，改扩建道路6.18公里；整治山坪塘3口。新建石洞镇大水井村产业道路长4.1公里；新建提灌站2座，整治水渠0.8千米，新建水渠1.5千米。</w:t>
      </w:r>
    </w:p>
    <w:p w14:paraId="130F7B4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另为</w:t>
      </w:r>
      <w:r>
        <w:rPr>
          <w:rFonts w:hint="eastAsia" w:ascii="Times New Roman" w:hAnsi="Times New Roman" w:eastAsia="仿宋_GB2312" w:cs="仿宋_GB2312"/>
          <w:b w:val="0"/>
          <w:bCs w:val="0"/>
          <w:kern w:val="0"/>
          <w:position w:val="0"/>
          <w:sz w:val="32"/>
          <w:szCs w:val="32"/>
          <w:highlight w:val="none"/>
          <w:lang w:val="zh-CN" w:eastAsia="zh-CN" w:bidi="ar-SA"/>
        </w:rPr>
        <w:t>安居区易地扶贫搬迁各项资金承接主体，2016-2017年共承接各项长期贷款资金18770.50万元，根据《四川省易地扶贫搬迁项目政府购买服务协议》和《四川省易地扶贫搬迁项目资金使用协议》,遂宁发展投资集团有限公司与区政府、</w:t>
      </w:r>
      <w:r>
        <w:rPr>
          <w:rFonts w:hint="eastAsia" w:ascii="Times New Roman" w:hAnsi="Times New Roman" w:eastAsia="仿宋_GB2312" w:cs="仿宋_GB2312"/>
          <w:b w:val="0"/>
          <w:bCs w:val="0"/>
          <w:kern w:val="0"/>
          <w:position w:val="0"/>
          <w:sz w:val="32"/>
          <w:szCs w:val="32"/>
          <w:highlight w:val="none"/>
          <w:lang w:val="en-US" w:eastAsia="zh-CN" w:bidi="ar-SA"/>
        </w:rPr>
        <w:t>遂宁投资集团有限</w:t>
      </w:r>
      <w:r>
        <w:rPr>
          <w:rFonts w:hint="eastAsia" w:ascii="Times New Roman" w:hAnsi="Times New Roman" w:eastAsia="仿宋_GB2312" w:cs="仿宋_GB2312"/>
          <w:b w:val="0"/>
          <w:bCs w:val="0"/>
          <w:kern w:val="0"/>
          <w:position w:val="0"/>
          <w:sz w:val="32"/>
          <w:szCs w:val="32"/>
          <w:highlight w:val="none"/>
          <w:lang w:val="zh-CN" w:eastAsia="zh-CN" w:bidi="ar-SA"/>
        </w:rPr>
        <w:t>公司签订的《政府购买服务协议》和《项目资金使用协议》支付贷款资金利息。</w:t>
      </w:r>
    </w:p>
    <w:p w14:paraId="2A5B4394">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13E3908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通过工程手段实现赈济目的，项目建设为平台，就业增收为根本目标。坚持多劳多得，鼓励勤劳致富，精准选择并认真实施项目，确保以工代赈资金有效促进农村群众就业增收。</w:t>
      </w:r>
    </w:p>
    <w:p w14:paraId="5996E734">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799B27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项目预算安排情况，项目资金分配原则及考虑因素，项目资金分配情况。2024年</w:t>
      </w:r>
      <w:r>
        <w:rPr>
          <w:rFonts w:hint="eastAsia" w:eastAsia="仿宋_GB2312" w:cs="仿宋_GB2312"/>
          <w:b w:val="0"/>
          <w:bCs w:val="0"/>
          <w:kern w:val="0"/>
          <w:position w:val="0"/>
          <w:sz w:val="32"/>
          <w:szCs w:val="32"/>
          <w:highlight w:val="none"/>
          <w:lang w:val="zh-CN" w:eastAsia="zh-CN" w:bidi="ar-SA"/>
        </w:rPr>
        <w:t>中央、省委</w:t>
      </w:r>
      <w:r>
        <w:rPr>
          <w:rFonts w:hint="eastAsia" w:ascii="Times New Roman" w:hAnsi="Times New Roman" w:eastAsia="仿宋_GB2312" w:cs="仿宋_GB2312"/>
          <w:b w:val="0"/>
          <w:bCs w:val="0"/>
          <w:kern w:val="0"/>
          <w:position w:val="0"/>
          <w:sz w:val="32"/>
          <w:szCs w:val="32"/>
          <w:highlight w:val="none"/>
          <w:lang w:val="zh-CN" w:eastAsia="zh-CN" w:bidi="ar-SA"/>
        </w:rPr>
        <w:t>财政衔接推进乡村振兴补助资金财政下达预算</w:t>
      </w:r>
      <w:r>
        <w:rPr>
          <w:rFonts w:hint="eastAsia" w:ascii="Times New Roman" w:hAnsi="Times New Roman" w:eastAsia="仿宋_GB2312" w:cs="仿宋_GB2312"/>
          <w:b w:val="0"/>
          <w:bCs w:val="0"/>
          <w:kern w:val="0"/>
          <w:position w:val="0"/>
          <w:sz w:val="32"/>
          <w:szCs w:val="32"/>
          <w:highlight w:val="none"/>
          <w:lang w:val="en-US" w:eastAsia="zh-CN" w:bidi="ar-SA"/>
        </w:rPr>
        <w:t>2460万元，其中支持规划内易地扶贫搬迁贴息补贴1690万元，以工代赈任务保石镇清泉村385万元，以工代赈任务石洞镇大水井村385万元。</w:t>
      </w:r>
    </w:p>
    <w:p w14:paraId="3F678D38">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仿宋_GB2312" w:hAnsi="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3597647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数量指标：新建、整改水渠</w:t>
      </w:r>
      <w:r>
        <w:rPr>
          <w:rFonts w:hint="eastAsia" w:ascii="Times New Roman" w:hAnsi="Times New Roman" w:eastAsia="仿宋_GB2312" w:cs="仿宋_GB2312"/>
          <w:b w:val="0"/>
          <w:bCs w:val="0"/>
          <w:kern w:val="0"/>
          <w:position w:val="0"/>
          <w:sz w:val="32"/>
          <w:szCs w:val="32"/>
          <w:highlight w:val="none"/>
          <w:lang w:val="en-US" w:eastAsia="zh-CN" w:bidi="ar-SA"/>
        </w:rPr>
        <w:t>2.3km，整治山坪口3处，新建、改扩建道路长12.27公里，新建提灌站1处。</w:t>
      </w:r>
    </w:p>
    <w:p w14:paraId="1AE6BB1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质量指标</w:t>
      </w:r>
      <w:r>
        <w:rPr>
          <w:rFonts w:hint="eastAsia" w:ascii="Times New Roman" w:hAnsi="Times New Roman" w:eastAsia="仿宋_GB2312" w:cs="仿宋_GB2312"/>
          <w:b w:val="0"/>
          <w:bCs w:val="0"/>
          <w:kern w:val="0"/>
          <w:position w:val="0"/>
          <w:sz w:val="32"/>
          <w:szCs w:val="32"/>
          <w:highlight w:val="none"/>
          <w:lang w:val="en-US" w:eastAsia="zh-CN" w:bidi="ar-SA"/>
        </w:rPr>
        <w:t>：高质量完成完善基础设施建设</w:t>
      </w:r>
    </w:p>
    <w:p w14:paraId="5232475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时效指标：相关</w:t>
      </w:r>
      <w:r>
        <w:rPr>
          <w:rFonts w:hint="eastAsia" w:eastAsia="仿宋_GB2312" w:cs="仿宋_GB2312"/>
          <w:b w:val="0"/>
          <w:bCs w:val="0"/>
          <w:kern w:val="0"/>
          <w:position w:val="0"/>
          <w:sz w:val="32"/>
          <w:szCs w:val="32"/>
          <w:highlight w:val="none"/>
          <w:lang w:val="en-US"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于2024年全部完成</w:t>
      </w:r>
    </w:p>
    <w:p w14:paraId="637823C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经济效益指标：促进当地经济发展</w:t>
      </w:r>
    </w:p>
    <w:p w14:paraId="2E73B17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满意度指标：服务对象满意度指标≥90%</w:t>
      </w:r>
    </w:p>
    <w:p w14:paraId="1EC0566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成本指标：易地扶贫搬迁贷款贴息资金1690万元，保石镇清泉村以工代赈资金385万元，石洞镇大水井村以工代赈资金385万元</w:t>
      </w:r>
    </w:p>
    <w:p w14:paraId="662720B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p>
    <w:p w14:paraId="119469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45DFD1F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2D5303D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通过系统化的自我评估，确保项目目标的有效达成并持续改进。</w:t>
      </w:r>
    </w:p>
    <w:p w14:paraId="736EDE84">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7E0701D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资金管理：在评价拨付进度时，特别关注其支出的合规性以及劳务报酬的合理比例；在项目执行层面，应密切监控工程进度、确保验收合格率，并积极促进群众的参与；至于综合效益评估，则涵盖补助群众人数的统计以及群众满意度的调查。</w:t>
      </w:r>
    </w:p>
    <w:p w14:paraId="557D85A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Times New Roman" w:hAnsi="Times New Roman" w:eastAsia="仿宋_GB2312" w:cs="仿宋_GB2312"/>
          <w:b w:val="0"/>
          <w:bCs w:val="0"/>
          <w:kern w:val="0"/>
          <w:position w:val="0"/>
          <w:sz w:val="32"/>
          <w:szCs w:val="32"/>
          <w:highlight w:val="none"/>
          <w:lang w:val="zh-CN" w:eastAsia="zh-CN" w:bidi="ar-SA"/>
        </w:rPr>
        <w:t>项目绩效自评所抽样点位情况。</w:t>
      </w:r>
    </w:p>
    <w:p w14:paraId="6BA40DD7">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根据项目情况和评价重点，采取单位自评、实地勘察法等多种方法收集相关材料和开展具体评价。</w:t>
      </w:r>
    </w:p>
    <w:p w14:paraId="2784911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60988BB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在</w:t>
      </w:r>
      <w:r>
        <w:rPr>
          <w:rFonts w:hint="default" w:ascii="Times New Roman" w:hAnsi="Times New Roman" w:eastAsia="仿宋_GB2312" w:cs="仿宋_GB2312"/>
          <w:b w:val="0"/>
          <w:bCs w:val="0"/>
          <w:kern w:val="0"/>
          <w:position w:val="0"/>
          <w:sz w:val="32"/>
          <w:szCs w:val="32"/>
          <w:highlight w:val="none"/>
          <w:lang w:val="zh-CN" w:eastAsia="zh-CN" w:bidi="ar-SA"/>
        </w:rPr>
        <w:t>办公室的领导下，业务科室的协助下，对项目进行综合评分，全面评估项目实施程序的规范性、财务管理的合规性，以及项目执行率和目标绩效的完成情况。</w:t>
      </w:r>
    </w:p>
    <w:p w14:paraId="48376A5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p>
    <w:p w14:paraId="6F72CF9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51C140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4D43D7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347004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1.项目决策。加强对项目工作的全面领导，严格执行相关财经法律法规，按照项目管理制度及财务管理制度加强项目管理和监督，确保项目规范顺利实施。</w:t>
      </w:r>
    </w:p>
    <w:p w14:paraId="603A58F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项目管理。项目制度和办法体系健全，要素完备。在分配项目资金时，综合考虑了多种因素，并合理设定了相应的权重，以确保区域间的均衡分布。项目管理和审批流程均遵循既定的管理要求，同时，项目绩效监管也严格按照既定要求执行。</w:t>
      </w:r>
    </w:p>
    <w:p w14:paraId="7BB394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3.项目实施。2024年</w:t>
      </w:r>
      <w:r>
        <w:rPr>
          <w:rFonts w:hint="eastAsia" w:eastAsia="仿宋_GB2312" w:cs="仿宋_GB2312"/>
          <w:b w:val="0"/>
          <w:bCs w:val="0"/>
          <w:kern w:val="0"/>
          <w:position w:val="0"/>
          <w:sz w:val="32"/>
          <w:szCs w:val="32"/>
          <w:highlight w:val="none"/>
          <w:lang w:val="en-US" w:eastAsia="zh-CN" w:bidi="ar-SA"/>
        </w:rPr>
        <w:t>中央、省委</w:t>
      </w:r>
      <w:r>
        <w:rPr>
          <w:rFonts w:hint="eastAsia" w:ascii="Times New Roman" w:hAnsi="Times New Roman" w:eastAsia="仿宋_GB2312" w:cs="仿宋_GB2312"/>
          <w:b w:val="0"/>
          <w:bCs w:val="0"/>
          <w:kern w:val="0"/>
          <w:position w:val="0"/>
          <w:sz w:val="32"/>
          <w:szCs w:val="32"/>
          <w:highlight w:val="none"/>
          <w:lang w:val="en-US" w:eastAsia="zh-CN" w:bidi="ar-SA"/>
        </w:rPr>
        <w:t>财政衔接推进乡村振兴补助资金财政拨款预算2460万元，其中770万用于以工代赈项目，发放劳务报酬276.03万元，占2024年以工代赈任务中央补助资金35.84%</w:t>
      </w:r>
    </w:p>
    <w:p w14:paraId="3D751E1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4.项目结果。完成安居区2024年中央财政以工代赈项目保石镇清泉村、石洞镇大水井村；拨付安居区2024年易地扶贫搬迁贷款贴息资金。</w:t>
      </w:r>
    </w:p>
    <w:p w14:paraId="2C7E84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FB0DC6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依据省发展改革委发布的全市中央财政以工代赈任务计划，我局负责执行保石镇清泉村和石洞镇大水井村的项目。这些项目已在2024年成功完成，并且所有资金已经完全结清。在保石镇清泉村，财政拨款总额为385万元，其中用于支付劳务报酬的金额为137.57万元，占拨款总额的35.73%；在西眉镇大水井村，财政拨款总额同样为385万元，其中劳务报酬支付金额为138.46万元，占拨款总额的35.96%。这有效地展示了中央以工代赈资金在促进农村居民本地就业和提高收入方面所发挥的关键作用。</w:t>
      </w:r>
    </w:p>
    <w:p w14:paraId="4D17C60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另为</w:t>
      </w:r>
      <w:r>
        <w:rPr>
          <w:rFonts w:hint="eastAsia" w:ascii="Times New Roman" w:hAnsi="Times New Roman" w:eastAsia="仿宋_GB2312" w:cs="仿宋_GB2312"/>
          <w:b w:val="0"/>
          <w:bCs w:val="0"/>
          <w:kern w:val="0"/>
          <w:position w:val="0"/>
          <w:sz w:val="32"/>
          <w:szCs w:val="32"/>
          <w:highlight w:val="none"/>
          <w:lang w:val="zh-CN" w:eastAsia="zh-CN" w:bidi="ar-SA"/>
        </w:rPr>
        <w:t>安居区易地扶贫搬迁各项资金承接主体</w:t>
      </w:r>
      <w:r>
        <w:rPr>
          <w:rFonts w:hint="eastAsia" w:ascii="Times New Roman" w:hAnsi="Times New Roman" w:eastAsia="仿宋_GB2312" w:cs="仿宋_GB2312"/>
          <w:b w:val="0"/>
          <w:bCs w:val="0"/>
          <w:kern w:val="0"/>
          <w:position w:val="0"/>
          <w:sz w:val="32"/>
          <w:szCs w:val="32"/>
          <w:highlight w:val="none"/>
          <w:lang w:val="en-US" w:eastAsia="zh-CN" w:bidi="ar-SA"/>
        </w:rPr>
        <w:t>遂宁投资集团有限</w:t>
      </w:r>
      <w:r>
        <w:rPr>
          <w:rFonts w:hint="eastAsia" w:ascii="Times New Roman" w:hAnsi="Times New Roman" w:eastAsia="仿宋_GB2312" w:cs="仿宋_GB2312"/>
          <w:b w:val="0"/>
          <w:bCs w:val="0"/>
          <w:kern w:val="0"/>
          <w:position w:val="0"/>
          <w:sz w:val="32"/>
          <w:szCs w:val="32"/>
          <w:highlight w:val="none"/>
          <w:lang w:val="zh-CN" w:eastAsia="zh-CN" w:bidi="ar-SA"/>
        </w:rPr>
        <w:t>公司支付贷款资金利息</w:t>
      </w:r>
      <w:r>
        <w:rPr>
          <w:rFonts w:hint="eastAsia" w:ascii="Times New Roman" w:hAnsi="Times New Roman" w:eastAsia="仿宋_GB2312" w:cs="仿宋_GB2312"/>
          <w:b w:val="0"/>
          <w:bCs w:val="0"/>
          <w:kern w:val="0"/>
          <w:position w:val="0"/>
          <w:sz w:val="32"/>
          <w:szCs w:val="32"/>
          <w:highlight w:val="none"/>
          <w:lang w:val="en-US" w:eastAsia="zh-CN" w:bidi="ar-SA"/>
        </w:rPr>
        <w:t>1690万元。</w:t>
      </w:r>
    </w:p>
    <w:p w14:paraId="11AC9FEC">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640" w:firstLineChars="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DABE73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无</w:t>
      </w:r>
    </w:p>
    <w:p w14:paraId="16FCD03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5422E82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按照绩效评价批标体系，2024年</w:t>
      </w:r>
      <w:r>
        <w:rPr>
          <w:rFonts w:hint="eastAsia" w:eastAsia="仿宋_GB2312" w:cs="仿宋_GB2312"/>
          <w:b w:val="0"/>
          <w:bCs w:val="0"/>
          <w:kern w:val="0"/>
          <w:position w:val="0"/>
          <w:sz w:val="32"/>
          <w:szCs w:val="32"/>
          <w:highlight w:val="none"/>
          <w:lang w:val="en-US" w:eastAsia="zh-CN" w:bidi="ar-SA"/>
        </w:rPr>
        <w:t>中央、省委</w:t>
      </w:r>
      <w:r>
        <w:rPr>
          <w:rFonts w:hint="eastAsia" w:ascii="Times New Roman" w:hAnsi="Times New Roman" w:eastAsia="仿宋_GB2312" w:cs="仿宋_GB2312"/>
          <w:b w:val="0"/>
          <w:bCs w:val="0"/>
          <w:kern w:val="0"/>
          <w:position w:val="0"/>
          <w:sz w:val="32"/>
          <w:szCs w:val="32"/>
          <w:highlight w:val="none"/>
          <w:lang w:val="en-US" w:eastAsia="zh-CN" w:bidi="ar-SA"/>
        </w:rPr>
        <w:t>财政衔接推进乡村振兴补助资金项目自评得分99分。自评结果说明“2024年</w:t>
      </w:r>
      <w:r>
        <w:rPr>
          <w:rFonts w:hint="eastAsia" w:eastAsia="仿宋_GB2312" w:cs="仿宋_GB2312"/>
          <w:b w:val="0"/>
          <w:bCs w:val="0"/>
          <w:kern w:val="0"/>
          <w:position w:val="0"/>
          <w:sz w:val="32"/>
          <w:szCs w:val="32"/>
          <w:highlight w:val="none"/>
          <w:lang w:val="en-US" w:eastAsia="zh-CN" w:bidi="ar-SA"/>
        </w:rPr>
        <w:t>中央、省委</w:t>
      </w:r>
      <w:r>
        <w:rPr>
          <w:rFonts w:hint="eastAsia" w:ascii="Times New Roman" w:hAnsi="Times New Roman" w:eastAsia="仿宋_GB2312" w:cs="仿宋_GB2312"/>
          <w:b w:val="0"/>
          <w:bCs w:val="0"/>
          <w:kern w:val="0"/>
          <w:position w:val="0"/>
          <w:sz w:val="32"/>
          <w:szCs w:val="32"/>
          <w:highlight w:val="none"/>
          <w:lang w:val="en-US" w:eastAsia="zh-CN" w:bidi="ar-SA"/>
        </w:rPr>
        <w:t>财政衔接推进乡村振兴补助资金”项目为常年项目，项目决策、项目管理、项目实施和项目结果情况总体良好。</w:t>
      </w:r>
    </w:p>
    <w:p w14:paraId="2B1683A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61B4C7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无</w:t>
      </w:r>
    </w:p>
    <w:p w14:paraId="218D0D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679AB7A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无</w:t>
      </w:r>
    </w:p>
    <w:p w14:paraId="008A90EC">
      <w:pPr>
        <w:keepNext w:val="0"/>
        <w:keepLines w:val="0"/>
        <w:pageBreakBefore w:val="0"/>
        <w:widowControl/>
        <w:kinsoku/>
        <w:wordWrap/>
        <w:overflowPunct/>
        <w:topLinePunct w:val="0"/>
        <w:autoSpaceDE/>
        <w:autoSpaceDN/>
        <w:bidi w:val="0"/>
        <w:spacing w:line="240" w:lineRule="auto"/>
        <w:ind w:firstLine="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980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76" w:hRule="atLeast"/>
          <w:jc w:val="center"/>
        </w:trPr>
        <w:tc>
          <w:tcPr>
            <w:tcW w:w="10233" w:type="dxa"/>
            <w:gridSpan w:val="9"/>
            <w:shd w:val="clear" w:color="auto" w:fill="auto"/>
            <w:vAlign w:val="center"/>
          </w:tcPr>
          <w:p w14:paraId="461EE2F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926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4E4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4953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遂财农【2023】103号-2024年</w:t>
            </w:r>
            <w:r>
              <w:rPr>
                <w:rFonts w:hint="eastAsia" w:ascii="宋体" w:hAnsi="宋体" w:eastAsia="宋体" w:cs="宋体"/>
                <w:i w:val="0"/>
                <w:color w:val="000000"/>
                <w:sz w:val="24"/>
                <w:szCs w:val="24"/>
                <w:u w:val="none"/>
                <w:lang w:eastAsia="zh-CN"/>
              </w:rPr>
              <w:t>中央、省委</w:t>
            </w:r>
            <w:r>
              <w:rPr>
                <w:rFonts w:hint="eastAsia" w:ascii="宋体" w:hAnsi="宋体" w:eastAsia="宋体" w:cs="宋体"/>
                <w:i w:val="0"/>
                <w:color w:val="000000"/>
                <w:sz w:val="24"/>
                <w:szCs w:val="24"/>
                <w:u w:val="none"/>
              </w:rPr>
              <w:t>财政衔接推进乡村振兴补助资金</w:t>
            </w:r>
          </w:p>
        </w:tc>
      </w:tr>
      <w:tr w14:paraId="5ECD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ECD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2F13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遂宁市安居区发展和改革局</w:t>
            </w:r>
          </w:p>
        </w:tc>
      </w:tr>
      <w:tr w14:paraId="5E62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0DC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DA80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经常性项目</w:t>
            </w:r>
          </w:p>
        </w:tc>
      </w:tr>
      <w:tr w14:paraId="4BE2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315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F8F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3BAF33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CC0D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1D8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FA0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6EB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4A35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21A3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DE6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986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0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000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C9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87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0479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45A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96A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EC3E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2E9E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E07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ACF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CE6F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2024年</w:t>
            </w:r>
            <w:r>
              <w:rPr>
                <w:rFonts w:hint="eastAsia" w:ascii="宋体" w:hAnsi="宋体" w:eastAsia="宋体" w:cs="宋体"/>
                <w:i w:val="0"/>
                <w:color w:val="000000"/>
                <w:sz w:val="24"/>
                <w:szCs w:val="24"/>
                <w:u w:val="none"/>
                <w:lang w:eastAsia="zh-CN"/>
              </w:rPr>
              <w:t>中央、省委</w:t>
            </w:r>
            <w:r>
              <w:rPr>
                <w:rFonts w:hint="eastAsia" w:ascii="宋体" w:hAnsi="宋体" w:eastAsia="宋体" w:cs="宋体"/>
                <w:i w:val="0"/>
                <w:color w:val="000000"/>
                <w:sz w:val="24"/>
                <w:szCs w:val="24"/>
                <w:u w:val="none"/>
              </w:rPr>
              <w:t>衔接资金</w:t>
            </w:r>
          </w:p>
        </w:tc>
      </w:tr>
      <w:tr w14:paraId="4931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DA1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311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A131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A46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3D4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739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D809F">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2024年度</w:t>
            </w:r>
          </w:p>
        </w:tc>
      </w:tr>
      <w:tr w14:paraId="0D3C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5A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1C0D64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81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C188A">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24600000</w:t>
            </w:r>
          </w:p>
        </w:tc>
      </w:tr>
      <w:tr w14:paraId="09A9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CA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38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5DB44">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24600000</w:t>
            </w:r>
          </w:p>
        </w:tc>
      </w:tr>
      <w:tr w14:paraId="2B20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951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2BD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E744B">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45B4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7D8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49B0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1DF2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EB8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8CC08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2024年</w:t>
            </w:r>
            <w:r>
              <w:rPr>
                <w:rFonts w:hint="eastAsia" w:ascii="宋体" w:hAnsi="宋体" w:eastAsia="宋体" w:cs="宋体"/>
                <w:i w:val="0"/>
                <w:color w:val="000000"/>
                <w:sz w:val="24"/>
                <w:szCs w:val="24"/>
                <w:u w:val="none"/>
                <w:lang w:eastAsia="zh-CN"/>
              </w:rPr>
              <w:t>中央、省委</w:t>
            </w:r>
            <w:r>
              <w:rPr>
                <w:rFonts w:hint="eastAsia" w:ascii="宋体" w:hAnsi="宋体" w:eastAsia="宋体" w:cs="宋体"/>
                <w:i w:val="0"/>
                <w:color w:val="000000"/>
                <w:sz w:val="24"/>
                <w:szCs w:val="24"/>
                <w:u w:val="none"/>
              </w:rPr>
              <w:t>提前批衔接资金分配方案（第一批）：</w:t>
            </w:r>
          </w:p>
          <w:p w14:paraId="5311232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项目一：安居区保石镇2024年中央财政以工代赈项目（清泉村），以工代赈戴帽资金570万；</w:t>
            </w:r>
          </w:p>
          <w:p w14:paraId="328EA45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项目二：安居区石洞镇2024年中央财政以工代赈项目（大水井村），以工代赈戴帽资金480万；</w:t>
            </w:r>
          </w:p>
          <w:p w14:paraId="036D721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项目三：安居区2024年易地扶贫搬迁贷款贴息资金1690万</w:t>
            </w:r>
          </w:p>
          <w:p w14:paraId="01BE53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r>
      <w:tr w14:paraId="7B4E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189807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9A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0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C2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27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25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BC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AC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CC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实际完成指标值</w:t>
            </w:r>
          </w:p>
        </w:tc>
      </w:tr>
      <w:tr w14:paraId="2A4F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0B5BD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14:paraId="675A320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7C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43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新建、整改水渠</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19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82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20C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千米</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EA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34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r>
      <w:tr w14:paraId="4A9F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A3132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14:paraId="65A4093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CF5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6D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整治山坪口</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421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66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2C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23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166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612E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41341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14:paraId="0CA23F6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44B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DA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完善基础设施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EEE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D3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B739">
            <w:pPr>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BEC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8C7C">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高</w:t>
            </w:r>
          </w:p>
        </w:tc>
      </w:tr>
      <w:tr w14:paraId="335C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10DD5B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14:paraId="4AC2454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126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04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完成时间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2D5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E4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06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442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A1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7BCB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2368A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14:paraId="7EE0F62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EB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2AE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新建、改扩建道路长</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5B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195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12.27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B0D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公里</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9D5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97D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12.27</w:t>
            </w:r>
          </w:p>
        </w:tc>
      </w:tr>
      <w:tr w14:paraId="7AFA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2093A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14:paraId="52CACF3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9BD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EA6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新建提灌站</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521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CD5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BC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35D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00E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14:paraId="512B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6F5A60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B76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090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经济效益指标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A9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促进当地经济发展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DA4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61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9B51">
            <w:pPr>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75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C2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高</w:t>
            </w:r>
          </w:p>
        </w:tc>
      </w:tr>
      <w:tr w14:paraId="045C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07E03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F8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0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23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服务对象满意度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5F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10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C6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FE8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25B">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r>
      <w:tr w14:paraId="4F7A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31828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14:paraId="0587D9B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F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CF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易地扶贫搬迁贷款贴息资金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E32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5C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3BE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1B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BAB0">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1690</w:t>
            </w:r>
          </w:p>
        </w:tc>
      </w:tr>
      <w:tr w14:paraId="3AA4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F3233E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14:paraId="253227C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right w:val="single" w:color="000000" w:sz="4" w:space="0"/>
            </w:tcBorders>
            <w:shd w:val="clear" w:color="auto" w:fill="auto"/>
            <w:vAlign w:val="center"/>
          </w:tcPr>
          <w:p w14:paraId="5C53C96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BB2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保石镇清泉村以工代赈戴帽资金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AB9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95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38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184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42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385</w:t>
            </w:r>
          </w:p>
        </w:tc>
      </w:tr>
      <w:tr w14:paraId="49A8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5C4E17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14:paraId="1A615A0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DC88B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经济成本指标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1A2D1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石洞镇大水井村以工代赈戴帽资金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D62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1A7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25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7E1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D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385</w:t>
            </w:r>
          </w:p>
        </w:tc>
      </w:tr>
    </w:tbl>
    <w:p w14:paraId="7F29AAC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3D283CD">
      <w:pPr>
        <w:pStyle w:val="22"/>
        <w:jc w:val="both"/>
        <w:rPr>
          <w:rFonts w:hint="eastAsia"/>
          <w:lang w:val="zh-CN"/>
        </w:rPr>
      </w:pPr>
      <w:bookmarkStart w:id="72"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AA8D090">
      <w:pPr>
        <w:pStyle w:val="10"/>
        <w:outlineLvl w:val="9"/>
        <w:rPr>
          <w:rFonts w:hint="default"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2-2</w:t>
      </w:r>
    </w:p>
    <w:p w14:paraId="24F53797">
      <w:pPr>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F3A884F">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61F54BE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jc w:val="center"/>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（区级储备粮轮换经费）</w:t>
      </w:r>
    </w:p>
    <w:p w14:paraId="76B1B434">
      <w:pPr>
        <w:pStyle w:val="10"/>
        <w:rPr>
          <w:rFonts w:hint="eastAsia"/>
          <w:lang w:val="en-US" w:eastAsia="zh-CN"/>
        </w:rPr>
      </w:pPr>
    </w:p>
    <w:p w14:paraId="54016C2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6BBE01D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（一）设立背景及基本情况。</w:t>
      </w:r>
    </w:p>
    <w:p w14:paraId="634DF38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en-US" w:bidi="ar-SA"/>
        </w:rPr>
      </w:pPr>
      <w:r>
        <w:rPr>
          <w:rFonts w:hint="eastAsia" w:ascii="Times New Roman" w:hAnsi="Times New Roman" w:eastAsia="仿宋_GB2312" w:cs="仿宋_GB2312"/>
          <w:b w:val="0"/>
          <w:bCs w:val="0"/>
          <w:kern w:val="0"/>
          <w:position w:val="0"/>
          <w:sz w:val="32"/>
          <w:szCs w:val="32"/>
          <w:highlight w:val="none"/>
          <w:lang w:val="zh-CN" w:eastAsia="en-US" w:bidi="ar-SA"/>
        </w:rPr>
        <w:t>按照《遂宁市安居区发展和改革局遂宁市安居区财政局国农业发展银行遂宁市分行关于下达区级粮油储备规模承储计划的通知》(遂安发改</w:t>
      </w:r>
      <w:r>
        <w:rPr>
          <w:rFonts w:hint="eastAsia" w:eastAsia="仿宋_GB2312" w:cs="仿宋_GB2312"/>
          <w:b w:val="0"/>
          <w:bCs w:val="0"/>
          <w:kern w:val="0"/>
          <w:position w:val="0"/>
          <w:sz w:val="32"/>
          <w:szCs w:val="32"/>
          <w:highlight w:val="none"/>
          <w:lang w:val="zh-CN" w:eastAsia="en-US" w:bidi="ar-SA"/>
        </w:rPr>
        <w:t>〔2021〕6号</w:t>
      </w:r>
      <w:r>
        <w:rPr>
          <w:rFonts w:hint="eastAsia" w:ascii="Times New Roman" w:hAnsi="Times New Roman" w:eastAsia="仿宋_GB2312" w:cs="仿宋_GB2312"/>
          <w:b w:val="0"/>
          <w:bCs w:val="0"/>
          <w:kern w:val="0"/>
          <w:position w:val="0"/>
          <w:sz w:val="32"/>
          <w:szCs w:val="32"/>
          <w:highlight w:val="none"/>
          <w:lang w:val="zh-CN" w:eastAsia="en-US" w:bidi="ar-SA"/>
        </w:rPr>
        <w:t>)文件要求，区级粮油承储企业遂宁兴业国丰粮油有限责任公司(以下简称国丰公司)储存于国丰公司玉丰分库5、6、10号仓的</w:t>
      </w: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en-US" w:bidi="ar-SA"/>
        </w:rPr>
        <w:t>500吨稻谷于2021年4月入库，应于2024年4月进行轮换。</w:t>
      </w:r>
    </w:p>
    <w:p w14:paraId="6F25DB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AC41AD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en-US"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2024年度计划安排遂宁兴业国丰粮油有限责任公司轮换区</w:t>
      </w:r>
      <w:r>
        <w:rPr>
          <w:rFonts w:hint="default" w:ascii="Times New Roman" w:hAnsi="Times New Roman" w:eastAsia="仿宋_GB2312" w:cs="仿宋_GB2312"/>
          <w:b w:val="0"/>
          <w:bCs w:val="0"/>
          <w:kern w:val="0"/>
          <w:position w:val="0"/>
          <w:sz w:val="32"/>
          <w:szCs w:val="32"/>
          <w:highlight w:val="none"/>
          <w:lang w:val="en-US" w:eastAsia="zh-CN" w:bidi="ar-SA"/>
        </w:rPr>
        <w:t>级储备稻谷1500吨。</w:t>
      </w:r>
    </w:p>
    <w:p w14:paraId="409C93E3">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16ADD86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en-US" w:bidi="ar-SA"/>
        </w:rPr>
      </w:pPr>
      <w:r>
        <w:rPr>
          <w:rFonts w:hint="eastAsia" w:ascii="Times New Roman" w:hAnsi="Times New Roman" w:eastAsia="仿宋_GB2312" w:cs="仿宋_GB2312"/>
          <w:b w:val="0"/>
          <w:bCs w:val="0"/>
          <w:kern w:val="0"/>
          <w:position w:val="0"/>
          <w:sz w:val="32"/>
          <w:szCs w:val="32"/>
          <w:highlight w:val="none"/>
          <w:lang w:val="zh-CN" w:eastAsia="zh-CN" w:bidi="ar-SA"/>
        </w:rPr>
        <w:t>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年，本级预算内安排</w:t>
      </w:r>
      <w:r>
        <w:rPr>
          <w:rFonts w:hint="eastAsia" w:ascii="Times New Roman" w:hAnsi="Times New Roman" w:eastAsia="仿宋_GB2312" w:cs="仿宋_GB2312"/>
          <w:b w:val="0"/>
          <w:bCs w:val="0"/>
          <w:kern w:val="0"/>
          <w:position w:val="0"/>
          <w:sz w:val="32"/>
          <w:szCs w:val="32"/>
          <w:highlight w:val="none"/>
          <w:lang w:val="en-US" w:eastAsia="zh-CN" w:bidi="ar-SA"/>
        </w:rPr>
        <w:t>区级储备粮轮换经费项目预算51.6</w:t>
      </w:r>
      <w:r>
        <w:rPr>
          <w:rFonts w:hint="eastAsia" w:ascii="Times New Roman" w:hAnsi="Times New Roman" w:eastAsia="仿宋_GB2312" w:cs="仿宋_GB2312"/>
          <w:b w:val="0"/>
          <w:bCs w:val="0"/>
          <w:kern w:val="0"/>
          <w:position w:val="0"/>
          <w:sz w:val="32"/>
          <w:szCs w:val="32"/>
          <w:highlight w:val="none"/>
          <w:lang w:val="zh-CN" w:eastAsia="zh-CN" w:bidi="ar-SA"/>
        </w:rPr>
        <w:t>万元，支付合同金额的</w:t>
      </w:r>
      <w:r>
        <w:rPr>
          <w:rFonts w:hint="eastAsia" w:ascii="Times New Roman" w:hAnsi="Times New Roman" w:eastAsia="仿宋_GB2312" w:cs="仿宋_GB2312"/>
          <w:b w:val="0"/>
          <w:bCs w:val="0"/>
          <w:kern w:val="0"/>
          <w:position w:val="0"/>
          <w:sz w:val="32"/>
          <w:szCs w:val="32"/>
          <w:highlight w:val="none"/>
          <w:lang w:val="en-US" w:eastAsia="zh-CN" w:bidi="ar-SA"/>
        </w:rPr>
        <w:t>80%，剩余20%合同款于2025年支付</w:t>
      </w:r>
      <w:r>
        <w:rPr>
          <w:rFonts w:hint="eastAsia" w:ascii="Times New Roman" w:hAnsi="Times New Roman" w:eastAsia="仿宋_GB2312" w:cs="仿宋_GB2312"/>
          <w:b w:val="0"/>
          <w:bCs w:val="0"/>
          <w:kern w:val="0"/>
          <w:position w:val="0"/>
          <w:sz w:val="32"/>
          <w:szCs w:val="32"/>
          <w:highlight w:val="none"/>
          <w:lang w:val="zh-CN" w:eastAsia="zh-CN" w:bidi="ar-SA"/>
        </w:rPr>
        <w:t>。项目实际支出</w:t>
      </w:r>
      <w:r>
        <w:rPr>
          <w:rFonts w:hint="eastAsia" w:ascii="Times New Roman" w:hAnsi="Times New Roman" w:eastAsia="仿宋_GB2312" w:cs="仿宋_GB2312"/>
          <w:b w:val="0"/>
          <w:bCs w:val="0"/>
          <w:kern w:val="0"/>
          <w:position w:val="0"/>
          <w:sz w:val="32"/>
          <w:szCs w:val="32"/>
          <w:highlight w:val="none"/>
          <w:lang w:val="en-US" w:eastAsia="zh-CN" w:bidi="ar-SA"/>
        </w:rPr>
        <w:t>51.6</w:t>
      </w:r>
      <w:r>
        <w:rPr>
          <w:rFonts w:hint="eastAsia" w:ascii="Times New Roman" w:hAnsi="Times New Roman" w:eastAsia="仿宋_GB2312" w:cs="仿宋_GB2312"/>
          <w:b w:val="0"/>
          <w:bCs w:val="0"/>
          <w:kern w:val="0"/>
          <w:position w:val="0"/>
          <w:sz w:val="32"/>
          <w:szCs w:val="32"/>
          <w:highlight w:val="none"/>
          <w:lang w:val="zh-CN" w:eastAsia="zh-CN" w:bidi="ar-SA"/>
        </w:rPr>
        <w:t>万元，预算执行率为100%。</w:t>
      </w:r>
    </w:p>
    <w:p w14:paraId="4FE8F658">
      <w:pPr>
        <w:keepNext w:val="0"/>
        <w:keepLines w:val="0"/>
        <w:pageBreakBefore w:val="0"/>
        <w:numPr>
          <w:ilvl w:val="0"/>
          <w:numId w:val="5"/>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6F456347">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position w:val="3"/>
          <w:sz w:val="32"/>
          <w:szCs w:val="32"/>
          <w:lang w:val="zh-CN" w:eastAsia="zh-CN" w:bidi="ar-SA"/>
        </w:rPr>
      </w:pPr>
      <w:r>
        <w:rPr>
          <w:rFonts w:hint="default" w:ascii="Times New Roman" w:hAnsi="Times New Roman" w:eastAsia="仿宋_GB2312" w:cs="Times New Roman"/>
          <w:kern w:val="2"/>
          <w:position w:val="3"/>
          <w:sz w:val="32"/>
          <w:szCs w:val="32"/>
          <w:lang w:val="zh-CN" w:eastAsia="zh-CN" w:bidi="ar-SA"/>
        </w:rPr>
        <w:t>质量指标：</w:t>
      </w:r>
      <w:r>
        <w:rPr>
          <w:rFonts w:hint="eastAsia" w:ascii="Times New Roman" w:hAnsi="Times New Roman" w:eastAsia="仿宋_GB2312" w:cs="Times New Roman"/>
          <w:kern w:val="2"/>
          <w:position w:val="3"/>
          <w:sz w:val="32"/>
          <w:szCs w:val="32"/>
          <w:lang w:val="zh-CN" w:eastAsia="zh-CN" w:bidi="ar-SA"/>
        </w:rPr>
        <w:t>及时拨付储备轮换经费</w:t>
      </w:r>
    </w:p>
    <w:p w14:paraId="147AF1E5">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position w:val="3"/>
          <w:sz w:val="32"/>
          <w:szCs w:val="32"/>
          <w:lang w:val="en-US" w:eastAsia="zh-CN" w:bidi="ar-SA"/>
        </w:rPr>
      </w:pPr>
      <w:r>
        <w:rPr>
          <w:rFonts w:hint="eastAsia" w:ascii="Times New Roman" w:hAnsi="Times New Roman" w:eastAsia="仿宋_GB2312" w:cs="Times New Roman"/>
          <w:kern w:val="2"/>
          <w:position w:val="3"/>
          <w:sz w:val="32"/>
          <w:szCs w:val="32"/>
          <w:lang w:val="zh-CN" w:eastAsia="zh-CN" w:bidi="ar-SA"/>
        </w:rPr>
        <w:t>数量指标：储备库数量</w:t>
      </w:r>
      <w:r>
        <w:rPr>
          <w:rFonts w:hint="eastAsia" w:ascii="Times New Roman" w:hAnsi="Times New Roman" w:eastAsia="仿宋_GB2312" w:cs="Times New Roman"/>
          <w:kern w:val="2"/>
          <w:position w:val="3"/>
          <w:sz w:val="32"/>
          <w:szCs w:val="32"/>
          <w:lang w:val="en-US" w:eastAsia="zh-CN" w:bidi="ar-SA"/>
        </w:rPr>
        <w:t>1个</w:t>
      </w:r>
    </w:p>
    <w:p w14:paraId="3D53EB8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position w:val="3"/>
          <w:sz w:val="32"/>
          <w:szCs w:val="32"/>
          <w:lang w:val="en-US" w:eastAsia="zh-CN" w:bidi="ar-SA"/>
        </w:rPr>
      </w:pPr>
      <w:r>
        <w:rPr>
          <w:rFonts w:hint="default" w:ascii="Times New Roman" w:hAnsi="Times New Roman" w:eastAsia="仿宋_GB2312" w:cs="Times New Roman"/>
          <w:kern w:val="2"/>
          <w:position w:val="3"/>
          <w:sz w:val="32"/>
          <w:szCs w:val="32"/>
          <w:lang w:val="en-US" w:eastAsia="zh-CN" w:bidi="ar-SA"/>
        </w:rPr>
        <w:t>时效指标</w:t>
      </w:r>
      <w:r>
        <w:rPr>
          <w:rFonts w:hint="eastAsia" w:ascii="Times New Roman" w:hAnsi="Times New Roman" w:eastAsia="仿宋_GB2312" w:cs="Times New Roman"/>
          <w:kern w:val="2"/>
          <w:position w:val="3"/>
          <w:sz w:val="32"/>
          <w:szCs w:val="32"/>
          <w:lang w:val="en-US" w:eastAsia="zh-CN" w:bidi="ar-SA"/>
        </w:rPr>
        <w:t>：储备粮轮换完成时间2024年</w:t>
      </w:r>
    </w:p>
    <w:p w14:paraId="147E24A4">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position w:val="3"/>
          <w:sz w:val="32"/>
          <w:szCs w:val="32"/>
          <w:lang w:val="en-US" w:eastAsia="zh-CN" w:bidi="ar-SA"/>
        </w:rPr>
      </w:pPr>
      <w:r>
        <w:rPr>
          <w:rFonts w:hint="default" w:ascii="Times New Roman" w:hAnsi="Times New Roman" w:eastAsia="仿宋_GB2312" w:cs="Times New Roman"/>
          <w:kern w:val="2"/>
          <w:position w:val="3"/>
          <w:sz w:val="32"/>
          <w:szCs w:val="32"/>
          <w:lang w:val="en-US" w:eastAsia="zh-CN" w:bidi="ar-SA"/>
        </w:rPr>
        <w:t>经济效益指标</w:t>
      </w:r>
      <w:r>
        <w:rPr>
          <w:rFonts w:hint="eastAsia" w:ascii="Times New Roman" w:hAnsi="Times New Roman" w:eastAsia="仿宋_GB2312" w:cs="Times New Roman"/>
          <w:kern w:val="2"/>
          <w:position w:val="3"/>
          <w:sz w:val="32"/>
          <w:szCs w:val="32"/>
          <w:lang w:val="en-US" w:eastAsia="zh-CN" w:bidi="ar-SA"/>
        </w:rPr>
        <w:t>:高质量保障粮油储备安全</w:t>
      </w:r>
    </w:p>
    <w:p w14:paraId="78562C70">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position w:val="3"/>
          <w:sz w:val="32"/>
          <w:szCs w:val="32"/>
          <w:lang w:val="en-US" w:eastAsia="zh-CN" w:bidi="ar-SA"/>
        </w:rPr>
      </w:pPr>
      <w:r>
        <w:rPr>
          <w:rFonts w:hint="default" w:ascii="Times New Roman" w:hAnsi="Times New Roman" w:eastAsia="仿宋_GB2312" w:cs="Times New Roman"/>
          <w:kern w:val="2"/>
          <w:position w:val="3"/>
          <w:sz w:val="32"/>
          <w:szCs w:val="32"/>
          <w:lang w:val="en-US" w:eastAsia="zh-CN" w:bidi="ar-SA"/>
        </w:rPr>
        <w:t>满意度指标</w:t>
      </w:r>
      <w:r>
        <w:rPr>
          <w:rFonts w:hint="eastAsia" w:ascii="Times New Roman" w:hAnsi="Times New Roman" w:eastAsia="仿宋_GB2312" w:cs="Times New Roman"/>
          <w:kern w:val="2"/>
          <w:position w:val="3"/>
          <w:sz w:val="32"/>
          <w:szCs w:val="32"/>
          <w:lang w:val="en-US" w:eastAsia="zh-CN" w:bidi="ar-SA"/>
        </w:rPr>
        <w:t>：服务对象满意度≥90%</w:t>
      </w:r>
    </w:p>
    <w:p w14:paraId="30AE32AD">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position w:val="3"/>
          <w:sz w:val="32"/>
          <w:szCs w:val="32"/>
          <w:lang w:val="en-US" w:eastAsia="zh-CN" w:bidi="ar-SA"/>
        </w:rPr>
      </w:pPr>
      <w:r>
        <w:rPr>
          <w:rFonts w:hint="default" w:ascii="Times New Roman" w:hAnsi="Times New Roman" w:eastAsia="仿宋_GB2312" w:cs="Times New Roman"/>
          <w:kern w:val="2"/>
          <w:position w:val="3"/>
          <w:sz w:val="32"/>
          <w:szCs w:val="32"/>
          <w:lang w:val="en-US" w:eastAsia="zh-CN" w:bidi="ar-SA"/>
        </w:rPr>
        <w:t>成本指标</w:t>
      </w:r>
      <w:r>
        <w:rPr>
          <w:rFonts w:hint="eastAsia" w:ascii="Times New Roman" w:hAnsi="Times New Roman" w:eastAsia="仿宋_GB2312" w:cs="Times New Roman"/>
          <w:kern w:val="2"/>
          <w:position w:val="3"/>
          <w:sz w:val="32"/>
          <w:szCs w:val="32"/>
          <w:lang w:val="en-US" w:eastAsia="zh-CN" w:bidi="ar-SA"/>
        </w:rPr>
        <w:t>：区级储备粮轮换经费645000元</w:t>
      </w:r>
    </w:p>
    <w:p w14:paraId="2A1EDCA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772B0FA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（一）评价目的。</w:t>
      </w:r>
    </w:p>
    <w:p w14:paraId="6FCA300E">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ascii="Times New Roman" w:hAnsi="Times New Roman" w:eastAsia="仿宋_GB2312" w:cs="Times New Roman"/>
          <w:kern w:val="2"/>
          <w:position w:val="3"/>
          <w:sz w:val="32"/>
          <w:szCs w:val="32"/>
          <w:lang w:val="en-US" w:eastAsia="en-US" w:bidi="ar-SA"/>
        </w:rPr>
      </w:pPr>
      <w:r>
        <w:rPr>
          <w:rFonts w:hint="eastAsia" w:ascii="Times New Roman" w:hAnsi="Times New Roman" w:eastAsia="仿宋_GB2312" w:cs="Times New Roman"/>
          <w:kern w:val="2"/>
          <w:position w:val="3"/>
          <w:sz w:val="32"/>
          <w:szCs w:val="32"/>
          <w:lang w:val="en-US" w:eastAsia="en-US" w:bidi="ar-SA"/>
        </w:rPr>
        <w:t>通过系统化的自我评估，确保项目目标的有效达成并持续改进</w:t>
      </w:r>
      <w:r>
        <w:rPr>
          <w:rFonts w:hint="eastAsia" w:ascii="Times New Roman" w:hAnsi="Times New Roman" w:eastAsia="仿宋_GB2312" w:cs="Times New Roman"/>
          <w:kern w:val="2"/>
          <w:position w:val="3"/>
          <w:sz w:val="32"/>
          <w:szCs w:val="32"/>
          <w:lang w:val="en-US" w:eastAsia="zh-CN" w:bidi="ar-SA"/>
        </w:rPr>
        <w:t>。</w:t>
      </w:r>
    </w:p>
    <w:p w14:paraId="1746F3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Times New Roman" w:hAnsi="Times New Roman" w:eastAsia="仿宋_GB2312" w:cs="Times New Roman"/>
          <w:sz w:val="32"/>
          <w:szCs w:val="32"/>
        </w:rPr>
      </w:pPr>
      <w:r>
        <w:rPr>
          <w:rFonts w:hint="eastAsia" w:ascii="楷体_GB2312" w:hAnsi="宋体" w:eastAsia="楷体_GB2312" w:cs="Times New Roman"/>
          <w:b/>
          <w:color w:val="auto"/>
          <w:sz w:val="32"/>
          <w:szCs w:val="32"/>
          <w:highlight w:val="none"/>
          <w:u w:val="none"/>
          <w:lang w:val="en-US" w:eastAsia="zh-CN"/>
        </w:rPr>
        <w:t>（二）</w:t>
      </w:r>
      <w:r>
        <w:rPr>
          <w:rFonts w:hint="eastAsia" w:ascii="楷体_GB2312" w:hAnsi="宋体" w:eastAsia="楷体_GB2312" w:cs="Times New Roman"/>
          <w:b/>
          <w:color w:val="auto"/>
          <w:sz w:val="32"/>
          <w:szCs w:val="32"/>
          <w:highlight w:val="none"/>
          <w:u w:val="none"/>
          <w:lang w:val="zh-CN"/>
        </w:rPr>
        <w:t>预设问题及评价重点。</w:t>
      </w:r>
    </w:p>
    <w:p w14:paraId="763334F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en-US" w:bidi="ar-SA"/>
        </w:rPr>
      </w:pPr>
      <w:r>
        <w:rPr>
          <w:rFonts w:hint="eastAsia" w:ascii="Times New Roman" w:hAnsi="Times New Roman" w:eastAsia="仿宋_GB2312" w:cs="仿宋_GB2312"/>
          <w:b w:val="0"/>
          <w:bCs w:val="0"/>
          <w:kern w:val="0"/>
          <w:position w:val="0"/>
          <w:sz w:val="32"/>
          <w:szCs w:val="32"/>
          <w:highlight w:val="none"/>
          <w:lang w:val="en-US" w:eastAsia="en-US" w:bidi="ar-SA"/>
        </w:rPr>
        <w:t>项目的立项依据是否充分，立项程序是否规范，实施前是否按照财政预算绩效管理要求申报绩效目标并开展事前绩效评估。预算编制是否科学，尤其是预算单价和总量的计算是否合理，数据是否准确。</w:t>
      </w:r>
    </w:p>
    <w:p w14:paraId="278938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right="0" w:rightChars="0"/>
        <w:textAlignment w:val="auto"/>
        <w:outlineLvl w:val="9"/>
        <w:rPr>
          <w:rFonts w:hint="eastAsia" w:ascii="Times New Roman" w:hAnsi="Times New Roman" w:eastAsia="仿宋_GB2312" w:cs="Times New Roman"/>
          <w:sz w:val="32"/>
          <w:szCs w:val="32"/>
          <w:lang w:val="zh-CN" w:eastAsia="zh-CN"/>
        </w:rPr>
      </w:pPr>
      <w:r>
        <w:rPr>
          <w:rFonts w:hint="eastAsia" w:ascii="楷体_GB2312" w:hAnsi="宋体" w:eastAsia="楷体_GB2312" w:cs="Times New Roman"/>
          <w:b/>
          <w:color w:val="auto"/>
          <w:sz w:val="32"/>
          <w:szCs w:val="32"/>
          <w:highlight w:val="none"/>
          <w:u w:val="none"/>
          <w:lang w:val="zh-CN"/>
        </w:rPr>
        <w:t>（三）评价选点。</w:t>
      </w:r>
      <w:r>
        <w:rPr>
          <w:rFonts w:hint="eastAsia" w:ascii="Times New Roman" w:hAnsi="Times New Roman" w:eastAsia="仿宋_GB2312" w:cs="Times New Roman"/>
          <w:kern w:val="2"/>
          <w:position w:val="3"/>
          <w:sz w:val="32"/>
          <w:szCs w:val="32"/>
          <w:lang w:val="zh-CN" w:eastAsia="zh-CN" w:bidi="ar-SA"/>
        </w:rPr>
        <w:t>项目绩效自评所抽样点位情况。</w:t>
      </w:r>
    </w:p>
    <w:p w14:paraId="5109688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eastAsia="zh-CN"/>
        </w:rPr>
      </w:pPr>
      <w:r>
        <w:rPr>
          <w:rFonts w:hint="eastAsia" w:ascii="楷体_GB2312" w:hAnsi="宋体" w:eastAsia="楷体_GB2312" w:cs="Times New Roman"/>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根据项目情况和评价重点，采取单位自评、座谈调研等多种方法收集相关材料和开展具体评价。</w:t>
      </w:r>
    </w:p>
    <w:p w14:paraId="31B8E24B">
      <w:pPr>
        <w:keepNext w:val="0"/>
        <w:keepLines w:val="0"/>
        <w:pageBreakBefore w:val="0"/>
        <w:widowControl w:val="0"/>
        <w:kinsoku/>
        <w:wordWrap/>
        <w:overflowPunct/>
        <w:topLinePunct w:val="0"/>
        <w:autoSpaceDE/>
        <w:autoSpaceDN/>
        <w:bidi w:val="0"/>
        <w:spacing w:beforeAutospacing="0" w:afterAutospacing="0" w:line="578" w:lineRule="exact"/>
        <w:ind w:firstLine="643" w:firstLineChars="200"/>
        <w:jc w:val="both"/>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（五）评价组织。</w:t>
      </w:r>
    </w:p>
    <w:p w14:paraId="5F1BD7B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en-US" w:bidi="ar-SA"/>
        </w:rPr>
        <w:t>在</w:t>
      </w:r>
      <w:r>
        <w:rPr>
          <w:rFonts w:hint="eastAsia" w:ascii="Times New Roman" w:hAnsi="Times New Roman" w:eastAsia="仿宋_GB2312" w:cs="仿宋_GB2312"/>
          <w:b w:val="0"/>
          <w:bCs w:val="0"/>
          <w:kern w:val="0"/>
          <w:position w:val="0"/>
          <w:sz w:val="32"/>
          <w:szCs w:val="32"/>
          <w:highlight w:val="none"/>
          <w:lang w:val="en-US" w:eastAsia="en-US" w:bidi="ar-SA"/>
        </w:rPr>
        <w:t>办公室的领导下，业务科室的协助下，对项目进行综合评分，全面评估项目实施程序的规范性、财务管理的合规性，以及项目执行率和目标绩效的完成情况</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D163937">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6BDAB06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根据</w:t>
      </w:r>
      <w:r>
        <w:rPr>
          <w:rFonts w:hint="eastAsia" w:ascii="Times New Roman" w:hAnsi="Times New Roman" w:eastAsia="仿宋_GB2312" w:cs="Times New Roman"/>
          <w:sz w:val="32"/>
          <w:szCs w:val="32"/>
          <w:lang w:val="zh-CN" w:eastAsia="zh-CN"/>
        </w:rPr>
        <w:t>项目</w:t>
      </w:r>
      <w:r>
        <w:rPr>
          <w:rFonts w:hint="default" w:ascii="Times New Roman" w:hAnsi="Times New Roman" w:eastAsia="仿宋_GB2312" w:cs="Times New Roman"/>
          <w:sz w:val="32"/>
          <w:szCs w:val="32"/>
          <w:lang w:val="zh-CN" w:eastAsia="zh-CN"/>
        </w:rPr>
        <w:t>预算绩效评价指标体系“</w:t>
      </w:r>
      <w:r>
        <w:rPr>
          <w:rFonts w:hint="eastAsia" w:ascii="Times New Roman" w:hAnsi="Times New Roman" w:eastAsia="仿宋_GB2312" w:cs="Times New Roman"/>
          <w:sz w:val="32"/>
          <w:szCs w:val="32"/>
          <w:lang w:val="zh-CN" w:eastAsia="zh-CN"/>
        </w:rPr>
        <w:t>通用指标</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“专用指标”“个性指标”</w:t>
      </w:r>
      <w:r>
        <w:rPr>
          <w:rFonts w:hint="default" w:ascii="Times New Roman" w:hAnsi="Times New Roman" w:eastAsia="仿宋_GB2312" w:cs="Times New Roman"/>
          <w:sz w:val="32"/>
          <w:szCs w:val="32"/>
          <w:lang w:val="zh-CN" w:eastAsia="zh-CN"/>
        </w:rPr>
        <w:t>涉及</w:t>
      </w:r>
      <w:r>
        <w:rPr>
          <w:rFonts w:hint="eastAsia" w:ascii="Times New Roman" w:hAnsi="Times New Roman" w:eastAsia="仿宋_GB2312" w:cs="Times New Roman"/>
          <w:sz w:val="32"/>
          <w:szCs w:val="32"/>
          <w:lang w:val="zh-CN" w:eastAsia="zh-CN"/>
        </w:rPr>
        <w:t>二、三级</w:t>
      </w:r>
      <w:r>
        <w:rPr>
          <w:rFonts w:hint="default" w:ascii="Times New Roman" w:hAnsi="Times New Roman" w:eastAsia="仿宋_GB2312" w:cs="Times New Roman"/>
          <w:sz w:val="32"/>
          <w:szCs w:val="32"/>
          <w:lang w:val="zh-CN" w:eastAsia="zh-CN"/>
        </w:rPr>
        <w:t>指标进行</w:t>
      </w:r>
      <w:r>
        <w:rPr>
          <w:rFonts w:hint="eastAsia" w:ascii="Times New Roman" w:hAnsi="Times New Roman" w:eastAsia="仿宋_GB2312" w:cs="Times New Roman"/>
          <w:sz w:val="32"/>
          <w:szCs w:val="32"/>
          <w:lang w:val="zh-CN" w:eastAsia="zh-CN"/>
        </w:rPr>
        <w:t>逐项</w:t>
      </w:r>
      <w:r>
        <w:rPr>
          <w:rFonts w:hint="default" w:ascii="Times New Roman" w:hAnsi="Times New Roman" w:eastAsia="仿宋_GB2312" w:cs="Times New Roman"/>
          <w:sz w:val="32"/>
          <w:szCs w:val="32"/>
          <w:lang w:val="zh-CN" w:eastAsia="zh-CN"/>
        </w:rPr>
        <w:t>绩效分析</w:t>
      </w:r>
      <w:r>
        <w:rPr>
          <w:rFonts w:hint="eastAsia" w:ascii="Times New Roman" w:hAnsi="Times New Roman" w:eastAsia="仿宋_GB2312" w:cs="Times New Roman"/>
          <w:sz w:val="32"/>
          <w:szCs w:val="32"/>
          <w:lang w:val="zh-CN" w:eastAsia="zh-CN"/>
        </w:rPr>
        <w:t>并评分</w:t>
      </w:r>
      <w:r>
        <w:rPr>
          <w:rFonts w:hint="eastAsia" w:ascii="Times New Roman" w:hAnsi="Times New Roman" w:eastAsia="仿宋_GB2312" w:cs="Times New Roman"/>
          <w:sz w:val="32"/>
          <w:szCs w:val="32"/>
          <w:lang w:val="en-US" w:eastAsia="zh-CN"/>
        </w:rPr>
        <w:t>。</w:t>
      </w:r>
    </w:p>
    <w:p w14:paraId="42D7A5B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7F527E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1.项目决策。</w:t>
      </w:r>
      <w:r>
        <w:rPr>
          <w:rFonts w:hint="eastAsia" w:ascii="Times New Roman" w:hAnsi="Times New Roman" w:eastAsia="仿宋_GB2312" w:cs="仿宋_GB2312"/>
          <w:b w:val="0"/>
          <w:bCs w:val="0"/>
          <w:kern w:val="0"/>
          <w:position w:val="0"/>
          <w:sz w:val="32"/>
          <w:szCs w:val="32"/>
          <w:highlight w:val="none"/>
          <w:lang w:val="en-US" w:eastAsia="en-US" w:bidi="ar-SA"/>
        </w:rPr>
        <w:t>本项目的立项依据充分，程序规范，实施前按财政预算绩效管理要求申报绩效目标并开展事前绩效评估。</w:t>
      </w:r>
    </w:p>
    <w:p w14:paraId="21A7927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2.项目管理。</w:t>
      </w:r>
      <w:r>
        <w:rPr>
          <w:rFonts w:hint="eastAsia" w:ascii="Times New Roman" w:hAnsi="Times New Roman" w:eastAsia="仿宋_GB2312" w:cs="仿宋_GB2312"/>
          <w:b w:val="0"/>
          <w:bCs w:val="0"/>
          <w:kern w:val="0"/>
          <w:position w:val="0"/>
          <w:sz w:val="32"/>
          <w:szCs w:val="32"/>
          <w:highlight w:val="none"/>
          <w:lang w:val="en-US" w:eastAsia="en-US" w:bidi="ar-SA"/>
        </w:rPr>
        <w:t>按照市财政局相关资金管理办法进行项目管理。</w:t>
      </w:r>
    </w:p>
    <w:p w14:paraId="0C28843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en-US" w:eastAsia="en-US" w:bidi="ar-SA"/>
        </w:rPr>
        <w:t>根据市财政局相关资金管理办法按照项目推进进度支付款项。</w:t>
      </w:r>
    </w:p>
    <w:p w14:paraId="1419AC9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4.项目结果。2024年，已轮换区</w:t>
      </w:r>
      <w:r>
        <w:rPr>
          <w:rFonts w:hint="default" w:ascii="Times New Roman" w:hAnsi="Times New Roman" w:eastAsia="仿宋_GB2312" w:cs="仿宋_GB2312"/>
          <w:b w:val="0"/>
          <w:bCs w:val="0"/>
          <w:kern w:val="0"/>
          <w:position w:val="0"/>
          <w:sz w:val="32"/>
          <w:szCs w:val="32"/>
          <w:highlight w:val="none"/>
          <w:lang w:val="en-US" w:eastAsia="zh-CN" w:bidi="ar-SA"/>
        </w:rPr>
        <w:t>级储备稻谷1500吨</w:t>
      </w:r>
      <w:r>
        <w:rPr>
          <w:rFonts w:hint="eastAsia" w:ascii="Times New Roman" w:hAnsi="Times New Roman" w:eastAsia="仿宋_GB2312" w:cs="仿宋_GB2312"/>
          <w:b w:val="0"/>
          <w:bCs w:val="0"/>
          <w:kern w:val="0"/>
          <w:position w:val="0"/>
          <w:sz w:val="32"/>
          <w:szCs w:val="32"/>
          <w:highlight w:val="none"/>
          <w:lang w:val="en-US" w:eastAsia="zh-CN" w:bidi="ar-SA"/>
        </w:rPr>
        <w:t>，支付合同轮换经费的80%。</w:t>
      </w:r>
    </w:p>
    <w:p w14:paraId="4C09C371">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3" w:firstLineChars="200"/>
        <w:jc w:val="left"/>
        <w:textAlignment w:val="auto"/>
        <w:rPr>
          <w:rFonts w:hint="default" w:ascii="Times New Roman" w:hAnsi="Times New Roman" w:eastAsia="楷体_GB2312" w:cs="Times New Roman"/>
          <w:b/>
          <w:bCs/>
          <w:color w:val="000000"/>
          <w:kern w:val="0"/>
          <w:position w:val="3"/>
          <w:sz w:val="20"/>
          <w:szCs w:val="32"/>
          <w:highlight w:val="none"/>
          <w:shd w:val="clear" w:color="auto" w:fill="FFFFFF"/>
          <w:lang w:val="zh-CN" w:eastAsia="en-US" w:bidi="ar-SA"/>
        </w:rPr>
      </w:pPr>
      <w:r>
        <w:rPr>
          <w:rFonts w:hint="eastAsia" w:ascii="Times New Roman" w:hAnsi="Times New Roman" w:eastAsia="楷体_GB2312" w:cs="Times New Roman"/>
          <w:b/>
          <w:bCs/>
          <w:color w:val="000000"/>
          <w:kern w:val="0"/>
          <w:position w:val="0"/>
          <w:sz w:val="32"/>
          <w:szCs w:val="32"/>
          <w:highlight w:val="none"/>
          <w:shd w:val="clear" w:color="auto" w:fill="FFFFFF"/>
          <w:lang w:val="zh-CN" w:eastAsia="zh-CN" w:bidi="ar-SA"/>
        </w:rPr>
        <w:t>（二）</w:t>
      </w:r>
      <w:r>
        <w:rPr>
          <w:rFonts w:hint="eastAsia" w:ascii="Times New Roman" w:hAnsi="Times New Roman" w:eastAsia="楷体_GB2312" w:cs="Times New Roman"/>
          <w:b/>
          <w:bCs/>
          <w:color w:val="000000"/>
          <w:kern w:val="0"/>
          <w:position w:val="0"/>
          <w:sz w:val="32"/>
          <w:szCs w:val="32"/>
          <w:highlight w:val="none"/>
          <w:shd w:val="clear" w:color="auto" w:fill="FFFFFF"/>
          <w:lang w:val="en-US" w:eastAsia="zh-CN" w:bidi="ar-SA"/>
        </w:rPr>
        <w:t>专用指标</w:t>
      </w:r>
      <w:r>
        <w:rPr>
          <w:rFonts w:hint="default" w:ascii="Times New Roman" w:hAnsi="Times New Roman" w:eastAsia="楷体_GB2312" w:cs="Times New Roman"/>
          <w:b/>
          <w:bCs/>
          <w:color w:val="000000"/>
          <w:kern w:val="0"/>
          <w:position w:val="0"/>
          <w:sz w:val="32"/>
          <w:szCs w:val="32"/>
          <w:highlight w:val="none"/>
          <w:shd w:val="clear" w:color="auto" w:fill="FFFFFF"/>
          <w:lang w:val="zh-CN" w:eastAsia="zh-CN" w:bidi="ar-SA"/>
        </w:rPr>
        <w:t>绩效分析</w:t>
      </w:r>
      <w:r>
        <w:rPr>
          <w:rFonts w:hint="default" w:ascii="Times New Roman" w:hAnsi="Times New Roman" w:eastAsia="楷体_GB2312" w:cs="Times New Roman"/>
          <w:b/>
          <w:bCs/>
          <w:color w:val="000000"/>
          <w:kern w:val="0"/>
          <w:position w:val="3"/>
          <w:sz w:val="20"/>
          <w:szCs w:val="32"/>
          <w:highlight w:val="none"/>
          <w:shd w:val="clear" w:color="auto" w:fill="FFFFFF"/>
          <w:lang w:val="zh-CN" w:eastAsia="en-US" w:bidi="ar-SA"/>
        </w:rPr>
        <w:t>。</w:t>
      </w:r>
    </w:p>
    <w:p w14:paraId="3AB29D3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2024年度安排遂宁兴业国丰粮油有限责任公司轮换区</w:t>
      </w:r>
      <w:r>
        <w:rPr>
          <w:rFonts w:hint="default" w:ascii="Times New Roman" w:hAnsi="Times New Roman" w:eastAsia="仿宋_GB2312" w:cs="仿宋_GB2312"/>
          <w:b w:val="0"/>
          <w:bCs w:val="0"/>
          <w:kern w:val="0"/>
          <w:position w:val="0"/>
          <w:sz w:val="32"/>
          <w:szCs w:val="32"/>
          <w:highlight w:val="none"/>
          <w:lang w:val="en-US" w:eastAsia="zh-CN" w:bidi="ar-SA"/>
        </w:rPr>
        <w:t>级储备稻谷1500吨。区级储备粮的轮换原则上采取同品种、同企业轮换。轮换费用标准按照《遂宁市发展和改革委员会关于调整2022年度市级储备轮换费用标准的通知》(遂发改函〔2024〕5号)文件要求执行。在轮换计划下达后，由区财政局按轮换总费用的80%进行预拨，剩余20%轮换费用待验收合格后进行清算。</w:t>
      </w:r>
    </w:p>
    <w:p w14:paraId="54F8992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1A93F0E">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position w:val="3"/>
          <w:sz w:val="32"/>
          <w:szCs w:val="32"/>
          <w:lang w:val="en-US" w:eastAsia="zh-CN" w:bidi="ar-SA"/>
        </w:rPr>
      </w:pPr>
      <w:r>
        <w:rPr>
          <w:rFonts w:hint="eastAsia" w:ascii="Times New Roman" w:hAnsi="Times New Roman" w:eastAsia="仿宋_GB2312" w:cs="Times New Roman"/>
          <w:kern w:val="2"/>
          <w:position w:val="3"/>
          <w:sz w:val="32"/>
          <w:szCs w:val="32"/>
          <w:lang w:val="zh-CN" w:eastAsia="zh-CN" w:bidi="ar-SA"/>
        </w:rPr>
        <w:t>无</w:t>
      </w:r>
    </w:p>
    <w:p w14:paraId="7784227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3B0DEF0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按照绩效评</w:t>
      </w:r>
      <w:r>
        <w:rPr>
          <w:rFonts w:hint="eastAsia" w:eastAsia="仿宋_GB2312" w:cs="仿宋_GB2312"/>
          <w:b w:val="0"/>
          <w:bCs w:val="0"/>
          <w:kern w:val="0"/>
          <w:position w:val="0"/>
          <w:sz w:val="32"/>
          <w:szCs w:val="32"/>
          <w:highlight w:val="none"/>
          <w:lang w:val="en-US" w:eastAsia="zh-CN" w:bidi="ar-SA"/>
        </w:rPr>
        <w:t>价目</w:t>
      </w:r>
      <w:r>
        <w:rPr>
          <w:rFonts w:hint="eastAsia" w:ascii="Times New Roman" w:hAnsi="Times New Roman" w:eastAsia="仿宋_GB2312" w:cs="仿宋_GB2312"/>
          <w:b w:val="0"/>
          <w:bCs w:val="0"/>
          <w:kern w:val="0"/>
          <w:position w:val="0"/>
          <w:sz w:val="32"/>
          <w:szCs w:val="32"/>
          <w:highlight w:val="none"/>
          <w:lang w:val="en-US" w:eastAsia="zh-CN" w:bidi="ar-SA"/>
        </w:rPr>
        <w:t>标体系，区级储备粮轮换经费项目自评得分98分。自评结果说明“区级储备粮轮换经费”项目为常年项目，项目决策、项目管理、项目实施和项目结果情况总体良好。</w:t>
      </w:r>
    </w:p>
    <w:p w14:paraId="1B900E98">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zh-CN" w:eastAsia="zh-CN" w:bidi="ar-SA"/>
        </w:rPr>
        <w:t>五、存在主要问题</w:t>
      </w:r>
    </w:p>
    <w:p w14:paraId="7368294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黑体" w:eastAsia="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001D09B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04F6432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b w:val="0"/>
          <w:bCs w:val="0"/>
          <w:color w:val="000000"/>
          <w:kern w:val="2"/>
          <w:position w:val="3"/>
          <w:sz w:val="32"/>
          <w:szCs w:val="32"/>
          <w:lang w:val="en-US" w:eastAsia="zh-CN" w:bidi="ar"/>
        </w:rPr>
      </w:pPr>
      <w:r>
        <w:rPr>
          <w:rFonts w:hint="eastAsia" w:ascii="Times New Roman" w:hAnsi="Times New Roman" w:eastAsia="仿宋_GB2312" w:cs="Times New Roman"/>
          <w:b w:val="0"/>
          <w:bCs w:val="0"/>
          <w:color w:val="000000"/>
          <w:kern w:val="2"/>
          <w:position w:val="3"/>
          <w:sz w:val="32"/>
          <w:szCs w:val="32"/>
          <w:lang w:val="en-US" w:eastAsia="zh-CN" w:bidi="ar"/>
        </w:rPr>
        <w:t>无</w:t>
      </w:r>
    </w:p>
    <w:p w14:paraId="316C311D">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eastAsia="仿宋_GB2312" w:cs="Times New Roman"/>
          <w:b w:val="0"/>
          <w:bCs w:val="0"/>
          <w:color w:val="000000"/>
          <w:kern w:val="2"/>
          <w:position w:val="3"/>
          <w:sz w:val="32"/>
          <w:szCs w:val="32"/>
          <w:lang w:val="en-US" w:eastAsia="zh-CN" w:bidi="ar"/>
        </w:rPr>
      </w:pPr>
      <w:r>
        <w:rPr>
          <w:rFonts w:hint="eastAsia" w:ascii="Times New Roman" w:hAnsi="Times New Roman" w:eastAsia="仿宋_GB2312" w:cs="Times New Roman"/>
          <w:b w:val="0"/>
          <w:bCs w:val="0"/>
          <w:color w:val="000000"/>
          <w:kern w:val="2"/>
          <w:position w:val="3"/>
          <w:sz w:val="32"/>
          <w:szCs w:val="32"/>
          <w:lang w:val="en-US" w:eastAsia="zh-CN" w:bidi="ar"/>
        </w:rPr>
        <w:br w:type="page"/>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6A5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76" w:hRule="atLeast"/>
          <w:jc w:val="center"/>
        </w:trPr>
        <w:tc>
          <w:tcPr>
            <w:tcW w:w="10233" w:type="dxa"/>
            <w:gridSpan w:val="9"/>
            <w:shd w:val="clear" w:color="auto" w:fill="auto"/>
            <w:vAlign w:val="center"/>
          </w:tcPr>
          <w:p w14:paraId="0A5E9B1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D2A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290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9A86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区级储备粮轮换经费</w:t>
            </w:r>
          </w:p>
        </w:tc>
      </w:tr>
      <w:tr w14:paraId="25EB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7AA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DFE7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遂宁市安居区发展和改革局</w:t>
            </w:r>
          </w:p>
        </w:tc>
      </w:tr>
      <w:tr w14:paraId="5734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3B2E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99CA4C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一次性项目</w:t>
            </w:r>
          </w:p>
        </w:tc>
      </w:tr>
      <w:tr w14:paraId="3752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4B1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76E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12C09D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0E2A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6C48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B8D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1F9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3001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17DB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5E6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BC4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BD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E29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B0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FA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09AD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15F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AD9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80CE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2623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DFD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320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B36B6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5D4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851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AFA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6F48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21A8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2FE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0BD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4C56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2024-2025年度</w:t>
            </w:r>
          </w:p>
        </w:tc>
      </w:tr>
      <w:tr w14:paraId="2D31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B79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4C0847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2D2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B549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645000</w:t>
            </w:r>
          </w:p>
        </w:tc>
      </w:tr>
      <w:tr w14:paraId="789B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228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6EF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F1DB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645000</w:t>
            </w:r>
          </w:p>
        </w:tc>
      </w:tr>
      <w:tr w14:paraId="6B5E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7C3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542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8059C">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3BF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013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041D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0B43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F5B7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2EFA7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一次性追加经济建设股区发展和改革局2024年度区级粮油储备粮轮换费用64.5万元</w:t>
            </w:r>
          </w:p>
          <w:p w14:paraId="5B400EA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r>
      <w:tr w14:paraId="2FAE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330D9B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FD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C8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3A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52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6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7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67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DD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6432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1144F9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14:paraId="6AAEB2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4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D6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储备库数量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7D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E3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BF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F7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E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w:t>
            </w:r>
          </w:p>
        </w:tc>
      </w:tr>
      <w:tr w14:paraId="7A49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0DBA5C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14:paraId="0F06DC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D9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CD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完成时间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66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5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2024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BC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D5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7F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2024</w:t>
            </w:r>
          </w:p>
        </w:tc>
      </w:tr>
      <w:tr w14:paraId="7CB8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24634D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14:paraId="367781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34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AC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及时拨付经费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4B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DD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7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3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06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高</w:t>
            </w:r>
          </w:p>
        </w:tc>
      </w:tr>
      <w:tr w14:paraId="5B50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557F8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D8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0D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经济效益指标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DF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保障粮油储备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8D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1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02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1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9B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高</w:t>
            </w:r>
          </w:p>
        </w:tc>
      </w:tr>
      <w:tr w14:paraId="25EF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BD1AFB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D7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34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D2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服务对象满意度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67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3D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4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2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D8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r>
      <w:tr w14:paraId="1EBE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89ECC4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7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04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F4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项目完成成本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30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62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645000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C6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4D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CD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516000</w:t>
            </w:r>
          </w:p>
        </w:tc>
      </w:tr>
    </w:tbl>
    <w:p w14:paraId="7B2D8D59">
      <w:pPr>
        <w:pStyle w:val="10"/>
        <w:rPr>
          <w:rFonts w:hint="eastAsia"/>
          <w:lang w:val="zh-CN" w:eastAsia="zh-CN"/>
        </w:rPr>
      </w:pPr>
    </w:p>
    <w:p w14:paraId="229B0CE7">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黑体" w:hAnsi="黑体" w:eastAsia="黑体" w:cs="黑体"/>
          <w:kern w:val="2"/>
          <w:sz w:val="24"/>
          <w:szCs w:val="24"/>
          <w:highlight w:val="none"/>
          <w:lang w:val="en-US" w:eastAsia="zh-CN" w:bidi="ar-SA"/>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48CFFBF8">
      <w:pPr>
        <w:pStyle w:val="10"/>
        <w:outlineLvl w:val="9"/>
        <w:rPr>
          <w:rFonts w:hint="default"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2-3</w:t>
      </w:r>
    </w:p>
    <w:p w14:paraId="17ED8DE6">
      <w:pPr>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64D95AD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7480FFC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（新建绵遂内铁路绵阳至遂宁段）</w:t>
      </w:r>
    </w:p>
    <w:p w14:paraId="0DD9D79B">
      <w:pPr>
        <w:pStyle w:val="10"/>
        <w:rPr>
          <w:rFonts w:hint="eastAsia"/>
          <w:lang w:val="zh-CN" w:eastAsia="zh-CN"/>
        </w:rPr>
      </w:pPr>
    </w:p>
    <w:p w14:paraId="10530F9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320EC9D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rPr>
        <w:t>（一）设立背景及基本情况。</w:t>
      </w:r>
    </w:p>
    <w:p w14:paraId="1AF858C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新建的绵阳至遂宁至内江铁路（简称“绵遂内铁路”），作为四川省筹划超过20年的关键城际铁路项目，其目的在于进一步完善成渝地区双城经济圈的交通网络，推动沿线区域的经济发展。该铁路项目设计的最高运行速度为250公里/小时，主线全长约136公里（从绵阳至遂宁段），它将穿越绵阳、遂宁、内江等地区，新建绵阳南、三台、射洪、遂宁高新四座车站，并对现有的绵阳站进行扩建。预计到2028年，这条铁路将完工并投入使用。届时，三台县和射洪市将结束没有铁路的历史，形成绵阳至遂宁半小时的便捷通勤圈。此外，绵遂内铁路还将与成达万高铁、成渝高铁等主要铁路干线相连，构建起从绵阳通往长三角、大湾区的高速铁路通道</w:t>
      </w:r>
      <w:r>
        <w:rPr>
          <w:rFonts w:hint="eastAsia" w:ascii="Times New Roman" w:hAnsi="Times New Roman" w:eastAsia="仿宋_GB2312" w:cs="Times New Roman"/>
          <w:sz w:val="32"/>
          <w:szCs w:val="32"/>
          <w:lang w:val="en-US" w:eastAsia="zh-CN"/>
        </w:rPr>
        <w:t>。</w:t>
      </w:r>
    </w:p>
    <w:p w14:paraId="3934B6D2">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12B6674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ascii="Times New Roman" w:hAnsi="Times New Roman" w:eastAsia="仿宋_GB2312" w:cs="Times New Roman"/>
          <w:sz w:val="32"/>
          <w:szCs w:val="32"/>
          <w:lang w:val="zh-CN"/>
        </w:rPr>
      </w:pPr>
      <w:r>
        <w:rPr>
          <w:rFonts w:hint="eastAsia" w:ascii="宋体" w:hAnsi="宋体" w:eastAsia="仿宋_GB2312" w:cs="Times New Roman"/>
          <w:color w:val="auto"/>
          <w:kern w:val="2"/>
          <w:sz w:val="32"/>
          <w:szCs w:val="32"/>
          <w:highlight w:val="none"/>
          <w:lang w:val="en-US" w:eastAsia="zh-CN"/>
        </w:rPr>
        <w:t>绵遂内铁路是四川重要城际铁路项目，旨在完善成渝地区双城经济圈多层次轨道交通网络，并填补三台县、射洪市不通铁路的历史空白。</w:t>
      </w:r>
    </w:p>
    <w:p w14:paraId="1AE427D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Times New Roman" w:hAnsi="Times New Roman" w:eastAsia="仿宋_GB2312" w:cs="Times New Roman"/>
          <w:sz w:val="32"/>
          <w:szCs w:val="32"/>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CA70CAF">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绵遂内铁路（遂宁段），作为政府专项债券，2024年预算总共安排31720万元，用于征地拆迁工作。</w:t>
      </w:r>
    </w:p>
    <w:p w14:paraId="4CEC59E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四</w:t>
      </w:r>
      <w:r>
        <w:rPr>
          <w:rFonts w:hint="eastAsia" w:ascii="楷体_GB2312" w:hAnsi="宋体" w:eastAsia="楷体_GB2312" w:cs="Times New Roman"/>
          <w:b/>
          <w:color w:val="auto"/>
          <w:sz w:val="32"/>
          <w:szCs w:val="32"/>
          <w:highlight w:val="none"/>
          <w:u w:val="none"/>
          <w:lang w:val="zh-CN" w:eastAsia="zh-CN"/>
        </w:rPr>
        <w:t>）项目绩效目标设置。</w:t>
      </w:r>
    </w:p>
    <w:p w14:paraId="0499D09D">
      <w:pPr>
        <w:keepNext w:val="0"/>
        <w:keepLines w:val="0"/>
        <w:pageBreakBefore w:val="0"/>
        <w:widowControl w:val="0"/>
        <w:kinsoku/>
        <w:wordWrap/>
        <w:overflowPunct/>
        <w:topLinePunct w:val="0"/>
        <w:autoSpaceDE/>
        <w:autoSpaceDN/>
        <w:bidi w:val="0"/>
        <w:adjustRightInd/>
        <w:snapToGrid/>
        <w:spacing w:line="590" w:lineRule="exact"/>
        <w:ind w:right="0" w:rightChars="0" w:firstLine="64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质量指标</w:t>
      </w:r>
      <w:r>
        <w:rPr>
          <w:rFonts w:hint="eastAsia" w:ascii="Times New Roman" w:hAnsi="Times New Roman" w:eastAsia="仿宋_GB2312" w:cs="Times New Roman"/>
          <w:sz w:val="32"/>
          <w:szCs w:val="32"/>
          <w:lang w:val="zh-CN" w:eastAsia="zh-CN"/>
        </w:rPr>
        <w:t>：铁路铺设率</w:t>
      </w:r>
      <w:r>
        <w:rPr>
          <w:rFonts w:hint="eastAsia" w:ascii="Times New Roman" w:hAnsi="Times New Roman" w:eastAsia="仿宋_GB2312" w:cs="Times New Roman"/>
          <w:sz w:val="32"/>
          <w:szCs w:val="32"/>
          <w:lang w:val="en-US" w:eastAsia="zh-CN"/>
        </w:rPr>
        <w:t>=100%</w:t>
      </w:r>
    </w:p>
    <w:p w14:paraId="617BA1D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数量指标：我区新建正线≥5.83km</w:t>
      </w:r>
    </w:p>
    <w:p w14:paraId="35A5687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时效指标：建设工期预计4年</w:t>
      </w:r>
    </w:p>
    <w:p w14:paraId="6EC615D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经济效益指标：完成铁路建设的前期准备工作，确保拆迁户的补偿工作得到妥善处理。</w:t>
      </w:r>
    </w:p>
    <w:p w14:paraId="6355EE2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满意度指标：服务对象满意度 ≥90%</w:t>
      </w:r>
    </w:p>
    <w:p w14:paraId="08EC0A0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41F129C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（一）评价目的。</w:t>
      </w:r>
    </w:p>
    <w:p w14:paraId="52F4FAF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通过系统化的自我评估，确保项目目标的有效达成并持续改进</w:t>
      </w:r>
      <w:r>
        <w:rPr>
          <w:rFonts w:hint="eastAsia" w:ascii="Times New Roman" w:hAnsi="Times New Roman" w:eastAsia="仿宋_GB2312" w:cs="Times New Roman"/>
          <w:sz w:val="32"/>
          <w:szCs w:val="32"/>
          <w:lang w:eastAsia="zh-CN"/>
        </w:rPr>
        <w:t>。</w:t>
      </w:r>
    </w:p>
    <w:p w14:paraId="65BFA41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en-US" w:eastAsia="zh-CN"/>
        </w:rPr>
        <w:t>二</w:t>
      </w:r>
      <w:r>
        <w:rPr>
          <w:rFonts w:hint="eastAsia" w:ascii="楷体_GB2312" w:hAnsi="宋体" w:eastAsia="楷体_GB2312" w:cs="Times New Roman"/>
          <w:b/>
          <w:color w:val="auto"/>
          <w:sz w:val="32"/>
          <w:szCs w:val="32"/>
          <w:highlight w:val="none"/>
          <w:u w:val="none"/>
          <w:lang w:val="zh-CN"/>
        </w:rPr>
        <w:t>）预设问题及评价重点。</w:t>
      </w:r>
    </w:p>
    <w:p w14:paraId="7756BA68">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项目的立项依据是否充分，立项程序是否规范，实施前是否按照财政预算绩效管理要求申报绩效目标并开展事前绩效评估。预算编制是否科学，尤其是预算单价和总量的计算是否合理，数据是否准确。</w:t>
      </w:r>
    </w:p>
    <w:p w14:paraId="060BC17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Times New Roman" w:hAnsi="Times New Roman" w:eastAsia="仿宋_GB2312" w:cs="Times New Roman"/>
          <w:sz w:val="32"/>
          <w:szCs w:val="32"/>
          <w:lang w:val="zh-CN" w:eastAsia="zh-CN"/>
        </w:rPr>
      </w:pPr>
      <w:r>
        <w:rPr>
          <w:rFonts w:hint="eastAsia" w:ascii="楷体_GB2312" w:hAnsi="宋体" w:eastAsia="楷体_GB2312" w:cs="Times New Roman"/>
          <w:b/>
          <w:color w:val="auto"/>
          <w:sz w:val="32"/>
          <w:szCs w:val="32"/>
          <w:highlight w:val="none"/>
          <w:u w:val="none"/>
          <w:lang w:val="zh-CN"/>
        </w:rPr>
        <w:t>（三）评价选点。</w:t>
      </w:r>
      <w:r>
        <w:rPr>
          <w:rFonts w:hint="eastAsia" w:ascii="Times New Roman" w:hAnsi="Times New Roman" w:eastAsia="仿宋_GB2312" w:cs="Times New Roman"/>
          <w:sz w:val="32"/>
          <w:szCs w:val="32"/>
          <w:lang w:val="zh-CN" w:eastAsia="zh-CN"/>
        </w:rPr>
        <w:t>项目绩效自评所抽样点位情况。</w:t>
      </w:r>
    </w:p>
    <w:p w14:paraId="01E3213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（四）评价方法。</w:t>
      </w:r>
      <w:r>
        <w:rPr>
          <w:rFonts w:hint="eastAsia" w:ascii="仿宋_GB2312" w:hAnsi="仿宋_GB2312" w:eastAsia="仿宋_GB2312" w:cs="仿宋_GB2312"/>
          <w:b w:val="0"/>
          <w:bCs w:val="0"/>
          <w:kern w:val="0"/>
          <w:position w:val="0"/>
          <w:sz w:val="32"/>
          <w:szCs w:val="32"/>
          <w:highlight w:val="none"/>
          <w:lang w:val="zh-CN" w:eastAsia="zh-CN" w:bidi="ar-SA"/>
        </w:rPr>
        <w:t>根据项目情况和评价重点，采取单位自评、问卷调查、座谈调研等多种方法收集相关材料和开展具体评价。</w:t>
      </w:r>
    </w:p>
    <w:p w14:paraId="7A23460B">
      <w:pPr>
        <w:keepNext w:val="0"/>
        <w:keepLines w:val="0"/>
        <w:pageBreakBefore w:val="0"/>
        <w:widowControl w:val="0"/>
        <w:kinsoku/>
        <w:wordWrap/>
        <w:overflowPunct/>
        <w:topLinePunct w:val="0"/>
        <w:autoSpaceDE/>
        <w:autoSpaceDN/>
        <w:bidi w:val="0"/>
        <w:spacing w:beforeAutospacing="0" w:afterAutospacing="0" w:line="578" w:lineRule="exact"/>
        <w:ind w:firstLine="643" w:firstLineChars="200"/>
        <w:jc w:val="both"/>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（五）评价组织。</w:t>
      </w:r>
    </w:p>
    <w:p w14:paraId="7603D3D6">
      <w:pPr>
        <w:keepNext w:val="0"/>
        <w:keepLines w:val="0"/>
        <w:pageBreakBefore w:val="0"/>
        <w:widowControl w:val="0"/>
        <w:kinsoku/>
        <w:wordWrap/>
        <w:overflowPunct/>
        <w:topLinePunct w:val="0"/>
        <w:autoSpaceDE/>
        <w:autoSpaceDN/>
        <w:bidi w:val="0"/>
        <w:spacing w:beforeAutospacing="0" w:afterAutospacing="0" w:line="578"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b w:val="0"/>
          <w:bCs w:val="0"/>
          <w:color w:val="000000"/>
          <w:kern w:val="2"/>
          <w:sz w:val="32"/>
          <w:szCs w:val="32"/>
          <w:lang w:bidi="ar-SA"/>
        </w:rPr>
        <w:t>在办公室的领导下，业务科室的协助下，对项目进行综合评分，全面评估项目实施程序的规范性、财务管理的合规性，以及项目执行率和目标绩效的完成情况。</w:t>
      </w:r>
    </w:p>
    <w:p w14:paraId="58E3AB23">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764BAB9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根据</w:t>
      </w:r>
      <w:r>
        <w:rPr>
          <w:rFonts w:hint="eastAsia" w:ascii="Times New Roman" w:hAnsi="Times New Roman" w:eastAsia="仿宋_GB2312" w:cs="Times New Roman"/>
          <w:sz w:val="32"/>
          <w:szCs w:val="32"/>
          <w:lang w:val="zh-CN" w:eastAsia="zh-CN"/>
        </w:rPr>
        <w:t>项目</w:t>
      </w:r>
      <w:r>
        <w:rPr>
          <w:rFonts w:hint="default" w:ascii="Times New Roman" w:hAnsi="Times New Roman" w:eastAsia="仿宋_GB2312" w:cs="Times New Roman"/>
          <w:sz w:val="32"/>
          <w:szCs w:val="32"/>
          <w:lang w:val="zh-CN" w:eastAsia="zh-CN"/>
        </w:rPr>
        <w:t>预算绩效评价指标体系“</w:t>
      </w:r>
      <w:r>
        <w:rPr>
          <w:rFonts w:hint="eastAsia" w:ascii="Times New Roman" w:hAnsi="Times New Roman" w:eastAsia="仿宋_GB2312" w:cs="Times New Roman"/>
          <w:sz w:val="32"/>
          <w:szCs w:val="32"/>
          <w:lang w:val="zh-CN" w:eastAsia="zh-CN"/>
        </w:rPr>
        <w:t>通用指标</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“专用指标”“个性指标”</w:t>
      </w:r>
      <w:r>
        <w:rPr>
          <w:rFonts w:hint="default" w:ascii="Times New Roman" w:hAnsi="Times New Roman" w:eastAsia="仿宋_GB2312" w:cs="Times New Roman"/>
          <w:sz w:val="32"/>
          <w:szCs w:val="32"/>
          <w:lang w:val="zh-CN" w:eastAsia="zh-CN"/>
        </w:rPr>
        <w:t>涉及</w:t>
      </w:r>
      <w:r>
        <w:rPr>
          <w:rFonts w:hint="eastAsia" w:ascii="Times New Roman" w:hAnsi="Times New Roman" w:eastAsia="仿宋_GB2312" w:cs="Times New Roman"/>
          <w:sz w:val="32"/>
          <w:szCs w:val="32"/>
          <w:lang w:val="zh-CN" w:eastAsia="zh-CN"/>
        </w:rPr>
        <w:t>二、三级</w:t>
      </w:r>
      <w:r>
        <w:rPr>
          <w:rFonts w:hint="default" w:ascii="Times New Roman" w:hAnsi="Times New Roman" w:eastAsia="仿宋_GB2312" w:cs="Times New Roman"/>
          <w:sz w:val="32"/>
          <w:szCs w:val="32"/>
          <w:lang w:val="zh-CN" w:eastAsia="zh-CN"/>
        </w:rPr>
        <w:t>指标进行</w:t>
      </w:r>
      <w:r>
        <w:rPr>
          <w:rFonts w:hint="eastAsia" w:ascii="Times New Roman" w:hAnsi="Times New Roman" w:eastAsia="仿宋_GB2312" w:cs="Times New Roman"/>
          <w:sz w:val="32"/>
          <w:szCs w:val="32"/>
          <w:lang w:val="zh-CN" w:eastAsia="zh-CN"/>
        </w:rPr>
        <w:t>逐项</w:t>
      </w:r>
      <w:r>
        <w:rPr>
          <w:rFonts w:hint="default" w:ascii="Times New Roman" w:hAnsi="Times New Roman" w:eastAsia="仿宋_GB2312" w:cs="Times New Roman"/>
          <w:sz w:val="32"/>
          <w:szCs w:val="32"/>
          <w:lang w:val="zh-CN" w:eastAsia="zh-CN"/>
        </w:rPr>
        <w:t>绩效分析</w:t>
      </w:r>
      <w:r>
        <w:rPr>
          <w:rFonts w:hint="eastAsia" w:ascii="Times New Roman" w:hAnsi="Times New Roman" w:eastAsia="仿宋_GB2312" w:cs="Times New Roman"/>
          <w:sz w:val="32"/>
          <w:szCs w:val="32"/>
          <w:lang w:val="zh-CN" w:eastAsia="zh-CN"/>
        </w:rPr>
        <w:t>并评分</w:t>
      </w:r>
      <w:r>
        <w:rPr>
          <w:rFonts w:hint="eastAsia" w:ascii="Times New Roman" w:hAnsi="Times New Roman" w:eastAsia="仿宋_GB2312" w:cs="Times New Roman"/>
          <w:sz w:val="32"/>
          <w:szCs w:val="32"/>
          <w:lang w:val="en-US" w:eastAsia="zh-CN"/>
        </w:rPr>
        <w:t>。</w:t>
      </w:r>
    </w:p>
    <w:p w14:paraId="0D05641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2ADACA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1.项目决策。本项目的立项依据充分，程序规范，实施前按财政预算绩效管理要求申报绩效目标并开展事前绩效评估。</w:t>
      </w:r>
    </w:p>
    <w:p w14:paraId="393B2A2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2.项目管理。按照市财政局相关资金管理办法进行项目管理。</w:t>
      </w:r>
    </w:p>
    <w:p w14:paraId="5FC74B3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3.项目实施。根据市财政局相关资金管理办法按照项目推进进度支付款项。</w:t>
      </w:r>
    </w:p>
    <w:p w14:paraId="4FD6A95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default" w:ascii="Times New Roman" w:hAnsi="Times New Roman" w:eastAsia="仿宋_GB2312" w:cs="仿宋_GB2312"/>
          <w:b w:val="0"/>
          <w:bCs w:val="0"/>
          <w:kern w:val="0"/>
          <w:position w:val="0"/>
          <w:sz w:val="32"/>
          <w:szCs w:val="32"/>
          <w:highlight w:val="none"/>
          <w:lang w:val="en-US" w:eastAsia="zh-CN" w:bidi="ar-SA"/>
        </w:rPr>
        <w:t>新建绵遂内铁路绵阳至遂宁段项目，线路起于绵阳南站，途经绵阳涪城区、三台县，遂宁射洪市、大英县、船山区、安居区，止于遂宁高新站。新建正线136.16公里，新建绵阳南、三台、射洪、遂宁高新4座车站，预留芦溪站，建设工期4年。该项目将经过安居区横山、聚贤2个镇，涉及5个村、12个社，约5.83km。</w:t>
      </w:r>
      <w:r>
        <w:rPr>
          <w:rFonts w:hint="eastAsia" w:ascii="Times New Roman" w:hAnsi="Times New Roman" w:eastAsia="仿宋_GB2312" w:cs="仿宋_GB2312"/>
          <w:b w:val="0"/>
          <w:bCs w:val="0"/>
          <w:kern w:val="0"/>
          <w:position w:val="0"/>
          <w:sz w:val="32"/>
          <w:szCs w:val="32"/>
          <w:highlight w:val="none"/>
          <w:lang w:val="en-US" w:eastAsia="zh-CN" w:bidi="ar-SA"/>
        </w:rPr>
        <w:t>预计建设工期4年。</w:t>
      </w:r>
    </w:p>
    <w:p w14:paraId="6227A58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8B7DC9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截至2024年年末，已</w:t>
      </w:r>
      <w:r>
        <w:rPr>
          <w:rFonts w:hint="default" w:ascii="Times New Roman" w:hAnsi="Times New Roman" w:eastAsia="仿宋_GB2312" w:cs="仿宋_GB2312"/>
          <w:b w:val="0"/>
          <w:bCs w:val="0"/>
          <w:kern w:val="0"/>
          <w:position w:val="0"/>
          <w:sz w:val="32"/>
          <w:szCs w:val="32"/>
          <w:highlight w:val="none"/>
          <w:lang w:val="en-US" w:eastAsia="zh-CN" w:bidi="ar-SA"/>
        </w:rPr>
        <w:t>稳步推进绵遂铁路安居段5.67公里征地拆迁工作，已完成全部172亩先行用地交付工作，完成率100%。</w:t>
      </w:r>
    </w:p>
    <w:p w14:paraId="138875E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A925B5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无</w:t>
      </w:r>
    </w:p>
    <w:p w14:paraId="77D083D8">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619A556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按照绩效评价</w:t>
      </w:r>
      <w:r>
        <w:rPr>
          <w:rFonts w:hint="eastAsia" w:eastAsia="仿宋_GB2312" w:cs="仿宋_GB2312"/>
          <w:b w:val="0"/>
          <w:bCs w:val="0"/>
          <w:kern w:val="0"/>
          <w:position w:val="0"/>
          <w:sz w:val="32"/>
          <w:szCs w:val="32"/>
          <w:highlight w:val="none"/>
          <w:lang w:val="en-US" w:eastAsia="zh-CN" w:bidi="ar-SA"/>
        </w:rPr>
        <w:t>指标体系</w:t>
      </w:r>
      <w:r>
        <w:rPr>
          <w:rFonts w:hint="default" w:ascii="Times New Roman" w:hAnsi="Times New Roman" w:eastAsia="仿宋_GB2312" w:cs="仿宋_GB2312"/>
          <w:b w:val="0"/>
          <w:bCs w:val="0"/>
          <w:kern w:val="0"/>
          <w:position w:val="0"/>
          <w:sz w:val="32"/>
          <w:szCs w:val="32"/>
          <w:highlight w:val="none"/>
          <w:lang w:val="en-US" w:eastAsia="zh-CN" w:bidi="ar-SA"/>
        </w:rPr>
        <w:t>，新建绵遂内铁路绵阳至遂宁段自评得分9</w:t>
      </w:r>
      <w:r>
        <w:rPr>
          <w:rFonts w:hint="eastAsia" w:ascii="Times New Roman" w:hAnsi="Times New Roman" w:eastAsia="仿宋_GB2312" w:cs="仿宋_GB2312"/>
          <w:b w:val="0"/>
          <w:bCs w:val="0"/>
          <w:kern w:val="0"/>
          <w:position w:val="0"/>
          <w:sz w:val="32"/>
          <w:szCs w:val="32"/>
          <w:highlight w:val="none"/>
          <w:lang w:val="en-US" w:eastAsia="zh-CN" w:bidi="ar-SA"/>
        </w:rPr>
        <w:t>6</w:t>
      </w:r>
      <w:r>
        <w:rPr>
          <w:rFonts w:hint="default" w:ascii="Times New Roman" w:hAnsi="Times New Roman" w:eastAsia="仿宋_GB2312" w:cs="仿宋_GB2312"/>
          <w:b w:val="0"/>
          <w:bCs w:val="0"/>
          <w:kern w:val="0"/>
          <w:position w:val="0"/>
          <w:sz w:val="32"/>
          <w:szCs w:val="32"/>
          <w:highlight w:val="none"/>
          <w:lang w:val="en-US" w:eastAsia="zh-CN" w:bidi="ar-SA"/>
        </w:rPr>
        <w:t>分。自评结果说明“新建绵遂内铁路绵阳至遂宁段”项目为常年项目，项目决策、项目管理、项目实施和项目结果情况总体良好。</w:t>
      </w:r>
    </w:p>
    <w:p w14:paraId="574B858F">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20F2E4BB">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position w:val="3"/>
          <w:sz w:val="32"/>
          <w:szCs w:val="32"/>
          <w:lang w:val="en-US" w:eastAsia="zh-CN" w:bidi="ar-SA"/>
        </w:rPr>
      </w:pPr>
      <w:r>
        <w:rPr>
          <w:rFonts w:hint="eastAsia" w:ascii="Times New Roman" w:hAnsi="Times New Roman" w:eastAsia="仿宋_GB2312" w:cs="Times New Roman"/>
          <w:kern w:val="2"/>
          <w:position w:val="3"/>
          <w:sz w:val="32"/>
          <w:szCs w:val="32"/>
          <w:lang w:val="en-US" w:eastAsia="zh-CN" w:bidi="ar-SA"/>
        </w:rPr>
        <w:t>无</w:t>
      </w:r>
    </w:p>
    <w:p w14:paraId="45F0015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3180810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en-US" w:bidi="ar-SA"/>
        </w:rPr>
        <w:t>进一步强化资金使用的管理，严格把关经费支出，确保新建绵遂内铁路绵阳至遂宁段项目工作持续、顺利推进</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D39485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3B9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0E7E3C4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AC4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924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9DD8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新建绵遂内铁路绵阳至遂宁段</w:t>
            </w:r>
          </w:p>
        </w:tc>
      </w:tr>
      <w:tr w14:paraId="0D3D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40F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7A4C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遂宁市安居区发展和改革局</w:t>
            </w:r>
          </w:p>
        </w:tc>
      </w:tr>
      <w:tr w14:paraId="35C2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6C3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34A5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经常性项目</w:t>
            </w:r>
          </w:p>
        </w:tc>
      </w:tr>
      <w:tr w14:paraId="2E38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D45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38C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0DA264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40C5D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3E00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7DA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790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63F5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E5F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8C3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F6E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B6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C9C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D6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C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1B01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FA8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A52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99DA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BD5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51F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B4F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3272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6FD7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6B5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D46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05D0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7352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A85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B45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4DA0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2024-2027年度</w:t>
            </w:r>
          </w:p>
        </w:tc>
      </w:tr>
      <w:tr w14:paraId="3BED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6CC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07F67F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F0C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EA9B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317297900</w:t>
            </w:r>
          </w:p>
        </w:tc>
      </w:tr>
      <w:tr w14:paraId="1C6F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D43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78D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C39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317297900</w:t>
            </w:r>
          </w:p>
        </w:tc>
      </w:tr>
      <w:tr w14:paraId="6C86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1D6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E3D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42DFB">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57E3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325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6704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3338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E6F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BC86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新建绵遂内铁路绵阳至遂宁段项目，线路起于绵阳南站，途经绵阳涪城区、三台县，遂宁射洪市、大英县、船山区、安居区，止于遂宁高新站。新建正线136.16公里，新建绵阳南、三台、射洪、遂宁高新4座车站，预留芦溪站，建设工期4年。该项目将经过安居区横山、聚贤2个镇，涉及5个村、12个社，约5.83km。</w:t>
            </w:r>
          </w:p>
        </w:tc>
      </w:tr>
      <w:tr w14:paraId="092E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661FBF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D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BC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79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0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07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F7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8A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A2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实际完成指标值</w:t>
            </w:r>
          </w:p>
        </w:tc>
      </w:tr>
      <w:tr w14:paraId="3D70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42E1D6B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14:paraId="59CFDA2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47F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数量指标</w:t>
            </w:r>
          </w:p>
        </w:tc>
        <w:tc>
          <w:tcPr>
            <w:tcW w:w="1312" w:type="dxa"/>
            <w:tcBorders>
              <w:top w:val="single" w:color="000000" w:sz="4" w:space="0"/>
              <w:bottom w:val="single" w:color="000000" w:sz="4" w:space="0"/>
              <w:right w:val="single" w:color="000000" w:sz="4" w:space="0"/>
            </w:tcBorders>
            <w:shd w:val="clear" w:color="auto" w:fill="auto"/>
            <w:vAlign w:val="center"/>
          </w:tcPr>
          <w:p w14:paraId="5C8E2D8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我区新建正线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F9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A7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690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km</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460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768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5.67</w:t>
            </w:r>
          </w:p>
        </w:tc>
      </w:tr>
      <w:tr w14:paraId="625E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3CD826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14:paraId="4A3EBE8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BBD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质量指标</w:t>
            </w:r>
          </w:p>
        </w:tc>
        <w:tc>
          <w:tcPr>
            <w:tcW w:w="1312" w:type="dxa"/>
            <w:tcBorders>
              <w:top w:val="single" w:color="000000" w:sz="4" w:space="0"/>
              <w:bottom w:val="single" w:color="000000" w:sz="4" w:space="0"/>
              <w:right w:val="single" w:color="000000" w:sz="4" w:space="0"/>
            </w:tcBorders>
            <w:shd w:val="clear" w:color="auto" w:fill="auto"/>
            <w:vAlign w:val="center"/>
          </w:tcPr>
          <w:p w14:paraId="6C79347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铁路铺设率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704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AAF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98B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9C5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1F2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25</w:t>
            </w:r>
          </w:p>
        </w:tc>
      </w:tr>
      <w:tr w14:paraId="6085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7E4A6E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14:paraId="413663E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B1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时效指标</w:t>
            </w:r>
          </w:p>
        </w:tc>
        <w:tc>
          <w:tcPr>
            <w:tcW w:w="1312" w:type="dxa"/>
            <w:tcBorders>
              <w:top w:val="single" w:color="000000" w:sz="4" w:space="0"/>
              <w:bottom w:val="single" w:color="000000" w:sz="4" w:space="0"/>
              <w:right w:val="single" w:color="000000" w:sz="4" w:space="0"/>
            </w:tcBorders>
            <w:shd w:val="clear" w:color="auto" w:fill="auto"/>
            <w:vAlign w:val="center"/>
          </w:tcPr>
          <w:p w14:paraId="186A57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建设工期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01B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00F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AE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D46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06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w:t>
            </w:r>
          </w:p>
        </w:tc>
      </w:tr>
      <w:tr w14:paraId="559F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5756F8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1EA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4A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经济效益指标</w:t>
            </w:r>
          </w:p>
        </w:tc>
        <w:tc>
          <w:tcPr>
            <w:tcW w:w="1312" w:type="dxa"/>
            <w:tcBorders>
              <w:top w:val="single" w:color="000000" w:sz="4" w:space="0"/>
              <w:bottom w:val="single" w:color="000000" w:sz="4" w:space="0"/>
              <w:right w:val="single" w:color="000000" w:sz="4" w:space="0"/>
            </w:tcBorders>
            <w:shd w:val="clear" w:color="auto" w:fill="auto"/>
            <w:vAlign w:val="center"/>
          </w:tcPr>
          <w:p w14:paraId="2072F44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完成铁路建设前期准备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B2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A5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好坏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05B6">
            <w:pPr>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5EA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CE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好</w:t>
            </w:r>
          </w:p>
        </w:tc>
      </w:tr>
      <w:tr w14:paraId="5063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bottom w:val="single" w:color="000000" w:sz="4" w:space="0"/>
            </w:tcBorders>
            <w:shd w:val="clear" w:color="auto" w:fill="auto"/>
            <w:vAlign w:val="center"/>
          </w:tcPr>
          <w:p w14:paraId="15CAC91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11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4E1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服务对象满意度指标</w:t>
            </w:r>
          </w:p>
        </w:tc>
        <w:tc>
          <w:tcPr>
            <w:tcW w:w="1312" w:type="dxa"/>
            <w:tcBorders>
              <w:top w:val="single" w:color="000000" w:sz="4" w:space="0"/>
              <w:bottom w:val="single" w:color="000000" w:sz="4" w:space="0"/>
              <w:right w:val="single" w:color="000000" w:sz="4" w:space="0"/>
            </w:tcBorders>
            <w:shd w:val="clear" w:color="auto" w:fill="auto"/>
            <w:vAlign w:val="center"/>
          </w:tcPr>
          <w:p w14:paraId="62889DF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082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C86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B5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C16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B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90</w:t>
            </w:r>
          </w:p>
        </w:tc>
      </w:tr>
    </w:tbl>
    <w:p w14:paraId="3262F401">
      <w:pPr>
        <w:pStyle w:val="10"/>
        <w:rPr>
          <w:rFonts w:hint="eastAsia"/>
          <w:lang w:val="zh-CN" w:eastAsia="zh-CN"/>
        </w:rPr>
      </w:pPr>
    </w:p>
    <w:p w14:paraId="783076BE">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204C8A7D">
      <w:pPr>
        <w:pStyle w:val="10"/>
        <w:outlineLvl w:val="9"/>
        <w:rPr>
          <w:rFonts w:hint="default"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2-4</w:t>
      </w:r>
    </w:p>
    <w:p w14:paraId="2FBB30EC">
      <w:pPr>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22661390">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600757F8">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（以工代赈项目资金）</w:t>
      </w:r>
    </w:p>
    <w:p w14:paraId="52637D0A">
      <w:pPr>
        <w:pStyle w:val="10"/>
        <w:rPr>
          <w:rFonts w:hint="eastAsia"/>
          <w:lang w:val="zh-CN" w:eastAsia="zh-CN"/>
        </w:rPr>
      </w:pPr>
    </w:p>
    <w:p w14:paraId="5C2AA8E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2780C1D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rPr>
        <w:t>（一）设立背景及基本情况。</w:t>
      </w:r>
    </w:p>
    <w:p w14:paraId="27D8457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en-US" w:bidi="ar-SA"/>
        </w:rPr>
      </w:pPr>
      <w:r>
        <w:rPr>
          <w:rFonts w:hint="eastAsia" w:ascii="Times New Roman" w:hAnsi="Times New Roman" w:eastAsia="仿宋_GB2312" w:cs="仿宋_GB2312"/>
          <w:b w:val="0"/>
          <w:bCs w:val="0"/>
          <w:kern w:val="0"/>
          <w:position w:val="0"/>
          <w:sz w:val="32"/>
          <w:szCs w:val="32"/>
          <w:highlight w:val="none"/>
          <w:lang w:val="en-US" w:eastAsia="zh-CN" w:bidi="ar-SA"/>
        </w:rPr>
        <w:t>支持以脱贫地区为重点的欠发达地区实施一批中小型公益性基础设施、产业配套基础设施以及林业草原生态建设等工程，充分带动农村劳动力参与工程建设，实现就地就近就业增收。对西眉镇玉石村产业道路总长6.85公里、宽3.5米,山坪塘整治2座新建蓄水池8口，土地整理200亩。</w:t>
      </w:r>
    </w:p>
    <w:p w14:paraId="73DC7693">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AC7DA8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zh-CN" w:eastAsia="en-US" w:bidi="ar-SA"/>
        </w:rPr>
      </w:pPr>
      <w:r>
        <w:rPr>
          <w:rFonts w:hint="eastAsia" w:ascii="Times New Roman" w:hAnsi="Times New Roman" w:eastAsia="仿宋_GB2312" w:cs="仿宋_GB2312"/>
          <w:b w:val="0"/>
          <w:bCs w:val="0"/>
          <w:kern w:val="0"/>
          <w:position w:val="0"/>
          <w:sz w:val="32"/>
          <w:szCs w:val="32"/>
          <w:highlight w:val="none"/>
          <w:lang w:val="en-US" w:eastAsia="zh-CN" w:bidi="ar-SA"/>
        </w:rPr>
        <w:t>以工代赈项目资金项目由</w:t>
      </w:r>
      <w:r>
        <w:rPr>
          <w:rFonts w:hint="eastAsia" w:ascii="Times New Roman" w:hAnsi="Times New Roman" w:eastAsia="仿宋_GB2312" w:cs="仿宋_GB2312"/>
          <w:b w:val="0"/>
          <w:bCs w:val="0"/>
          <w:kern w:val="0"/>
          <w:position w:val="0"/>
          <w:sz w:val="32"/>
          <w:szCs w:val="32"/>
          <w:highlight w:val="none"/>
          <w:lang w:val="zh-CN" w:eastAsia="en-US" w:bidi="ar-SA"/>
        </w:rPr>
        <w:t>村民自建。积极组织当地群众参与工程建设，坚决做到“能用人工的尽量不用机械、能用当地群众的尽量不用专业队伍”的要求。</w:t>
      </w:r>
    </w:p>
    <w:p w14:paraId="21D62DE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Times New Roman" w:hAnsi="Times New Roman" w:eastAsia="仿宋_GB2312" w:cs="Times New Roman"/>
          <w:sz w:val="32"/>
          <w:szCs w:val="32"/>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15884AC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en-US" w:bidi="ar-SA"/>
        </w:rPr>
      </w:pPr>
      <w:r>
        <w:rPr>
          <w:rFonts w:hint="eastAsia" w:ascii="Times New Roman" w:hAnsi="Times New Roman" w:eastAsia="仿宋_GB2312" w:cs="仿宋_GB2312"/>
          <w:b w:val="0"/>
          <w:bCs w:val="0"/>
          <w:kern w:val="0"/>
          <w:position w:val="0"/>
          <w:sz w:val="32"/>
          <w:szCs w:val="32"/>
          <w:highlight w:val="none"/>
          <w:lang w:val="zh-CN" w:eastAsia="en-US" w:bidi="ar-SA"/>
        </w:rPr>
        <w:t>总投资580</w:t>
      </w:r>
      <w:r>
        <w:rPr>
          <w:rFonts w:hint="eastAsia" w:ascii="Times New Roman" w:hAnsi="Times New Roman" w:eastAsia="仿宋_GB2312" w:cs="仿宋_GB2312"/>
          <w:b w:val="0"/>
          <w:bCs w:val="0"/>
          <w:kern w:val="0"/>
          <w:position w:val="0"/>
          <w:sz w:val="32"/>
          <w:szCs w:val="32"/>
          <w:highlight w:val="none"/>
          <w:lang w:val="zh-CN" w:eastAsia="zh-CN" w:bidi="ar-SA"/>
        </w:rPr>
        <w:t>万元</w:t>
      </w:r>
      <w:r>
        <w:rPr>
          <w:rFonts w:hint="eastAsia" w:ascii="Times New Roman" w:hAnsi="Times New Roman" w:eastAsia="仿宋_GB2312" w:cs="仿宋_GB2312"/>
          <w:b w:val="0"/>
          <w:bCs w:val="0"/>
          <w:kern w:val="0"/>
          <w:position w:val="0"/>
          <w:sz w:val="32"/>
          <w:szCs w:val="32"/>
          <w:highlight w:val="none"/>
          <w:lang w:val="zh-CN" w:eastAsia="en-US" w:bidi="ar-SA"/>
        </w:rPr>
        <w:t>，资金来源为争取中央预算内投资500万元，其他地方财政性资金80万元预计发放劳务报酬178万元，占中央预算内投资的35.6%。</w:t>
      </w:r>
    </w:p>
    <w:p w14:paraId="21B7E825">
      <w:pPr>
        <w:numPr>
          <w:ilvl w:val="0"/>
          <w:numId w:val="0"/>
        </w:numPr>
        <w:snapToGrid w:val="0"/>
        <w:spacing w:line="600" w:lineRule="exact"/>
        <w:ind w:left="0" w:leftChars="0" w:firstLine="643" w:firstLineChars="20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0CB0A7A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en-US" w:eastAsia="en-US" w:bidi="ar-SA"/>
        </w:rPr>
        <w:t>该项目的目标是通过直接发放劳务报酬来提高低收入群体的收入水平，并且改善农村地区的基础设施状况。项目绩效股室负责对绩效目标的完成情况进行自我评估，并撰写绩效报告；财务室则对这些绩效目标的实现情况进行初步审核，并依照相关规章制度执行绩效评价，最终形成绩效评价报告。</w:t>
      </w:r>
    </w:p>
    <w:p w14:paraId="701FD48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2B61AF6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（一）评价目的。</w:t>
      </w:r>
    </w:p>
    <w:p w14:paraId="2E1D5B0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en-US" w:bidi="ar-SA"/>
        </w:rPr>
        <w:t>通过系统化的自我评估，确保项目目标的有效达成并持续改进</w:t>
      </w:r>
      <w:r>
        <w:rPr>
          <w:rFonts w:hint="eastAsia" w:ascii="Times New Roman" w:hAnsi="Times New Roman" w:eastAsia="仿宋_GB2312" w:cs="仿宋_GB2312"/>
          <w:b w:val="0"/>
          <w:bCs w:val="0"/>
          <w:kern w:val="0"/>
          <w:position w:val="0"/>
          <w:sz w:val="32"/>
          <w:szCs w:val="32"/>
          <w:highlight w:val="none"/>
          <w:lang w:val="en-US" w:eastAsia="zh-CN" w:bidi="ar-SA"/>
        </w:rPr>
        <w:t>。</w:t>
      </w:r>
    </w:p>
    <w:p w14:paraId="66ACB29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（二）预设问题及评价重点。</w:t>
      </w:r>
    </w:p>
    <w:p w14:paraId="0D032A2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资金管理：</w:t>
      </w:r>
      <w:r>
        <w:rPr>
          <w:rFonts w:hint="default" w:ascii="Times New Roman" w:hAnsi="Times New Roman" w:eastAsia="仿宋_GB2312" w:cs="仿宋_GB2312"/>
          <w:b w:val="0"/>
          <w:bCs w:val="0"/>
          <w:kern w:val="0"/>
          <w:position w:val="0"/>
          <w:sz w:val="32"/>
          <w:szCs w:val="32"/>
          <w:highlight w:val="none"/>
          <w:lang w:val="en-US" w:eastAsia="en-US" w:bidi="ar-SA"/>
        </w:rPr>
        <w:t>在评价拨付进度时，特别关注其支出的合规性以及劳务报酬的合理比例；在项目执行层面，应密切监控工程进度、确保</w:t>
      </w:r>
      <w:r>
        <w:rPr>
          <w:rFonts w:hint="eastAsia" w:ascii="Times New Roman" w:hAnsi="Times New Roman" w:eastAsia="仿宋_GB2312" w:cs="仿宋_GB2312"/>
          <w:b w:val="0"/>
          <w:bCs w:val="0"/>
          <w:kern w:val="0"/>
          <w:position w:val="0"/>
          <w:sz w:val="32"/>
          <w:szCs w:val="32"/>
          <w:highlight w:val="none"/>
          <w:lang w:val="en-US" w:eastAsia="en-US" w:bidi="ar-SA"/>
        </w:rPr>
        <w:t>验收</w:t>
      </w:r>
      <w:r>
        <w:rPr>
          <w:rFonts w:hint="default" w:ascii="Times New Roman" w:hAnsi="Times New Roman" w:eastAsia="仿宋_GB2312" w:cs="仿宋_GB2312"/>
          <w:b w:val="0"/>
          <w:bCs w:val="0"/>
          <w:kern w:val="0"/>
          <w:position w:val="0"/>
          <w:sz w:val="32"/>
          <w:szCs w:val="32"/>
          <w:highlight w:val="none"/>
          <w:lang w:val="en-US" w:eastAsia="en-US" w:bidi="ar-SA"/>
        </w:rPr>
        <w:t>合格率，并积极促进群众的参与；至于综合效益评估，则涵盖补助群众人数的统计以及群众满意度的调查。</w:t>
      </w:r>
    </w:p>
    <w:p w14:paraId="19791C0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Times New Roman" w:hAnsi="Times New Roman" w:eastAsia="仿宋_GB2312" w:cs="Times New Roman"/>
          <w:sz w:val="32"/>
          <w:szCs w:val="32"/>
          <w:lang w:val="zh-CN" w:eastAsia="zh-CN"/>
        </w:rPr>
      </w:pPr>
      <w:r>
        <w:rPr>
          <w:rFonts w:hint="eastAsia" w:ascii="楷体_GB2312" w:hAnsi="宋体" w:eastAsia="楷体_GB2312" w:cs="Times New Roman"/>
          <w:b/>
          <w:color w:val="auto"/>
          <w:sz w:val="32"/>
          <w:szCs w:val="32"/>
          <w:highlight w:val="none"/>
          <w:u w:val="none"/>
          <w:lang w:val="zh-CN"/>
        </w:rPr>
        <w:t>（三）评价选点。</w:t>
      </w:r>
      <w:r>
        <w:rPr>
          <w:rFonts w:hint="eastAsia" w:ascii="Times New Roman" w:hAnsi="Times New Roman" w:eastAsia="仿宋_GB2312" w:cs="Times New Roman"/>
          <w:kern w:val="2"/>
          <w:position w:val="3"/>
          <w:sz w:val="32"/>
          <w:szCs w:val="32"/>
          <w:lang w:val="zh-CN" w:eastAsia="zh-CN" w:bidi="ar-SA"/>
        </w:rPr>
        <w:t>项目绩效自评所抽样点位情况。</w:t>
      </w:r>
    </w:p>
    <w:p w14:paraId="69D4192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根据项目情况和评价重点，采取单位自评、座谈调研等多种方法收集相关材料和开展具体评价。</w:t>
      </w:r>
    </w:p>
    <w:p w14:paraId="5E84A866">
      <w:pPr>
        <w:keepNext w:val="0"/>
        <w:keepLines w:val="0"/>
        <w:pageBreakBefore w:val="0"/>
        <w:widowControl w:val="0"/>
        <w:kinsoku/>
        <w:wordWrap/>
        <w:overflowPunct/>
        <w:topLinePunct w:val="0"/>
        <w:autoSpaceDE/>
        <w:autoSpaceDN/>
        <w:bidi w:val="0"/>
        <w:spacing w:beforeAutospacing="0" w:afterAutospacing="0" w:line="578" w:lineRule="exact"/>
        <w:ind w:firstLine="643" w:firstLineChars="200"/>
        <w:jc w:val="both"/>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（五）评价组织。</w:t>
      </w:r>
    </w:p>
    <w:p w14:paraId="4BF765C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Times New Roman"/>
          <w:kern w:val="2"/>
          <w:position w:val="3"/>
          <w:sz w:val="32"/>
          <w:szCs w:val="32"/>
          <w:lang w:val="zh-CN" w:eastAsia="en-US" w:bidi="ar-SA"/>
        </w:rPr>
        <w:t>在</w:t>
      </w:r>
      <w:r>
        <w:rPr>
          <w:rFonts w:hint="default" w:ascii="Times New Roman" w:hAnsi="Times New Roman" w:eastAsia="仿宋_GB2312" w:cs="仿宋_GB2312"/>
          <w:b w:val="0"/>
          <w:bCs w:val="0"/>
          <w:kern w:val="0"/>
          <w:position w:val="0"/>
          <w:sz w:val="32"/>
          <w:szCs w:val="32"/>
          <w:highlight w:val="none"/>
          <w:lang w:val="en-US" w:eastAsia="en-US" w:bidi="ar-SA"/>
        </w:rPr>
        <w:t>办公室的领导下，业务科室的协助下，对项目进行综合评分，全面评估项目实施程序的规范性、财务管理的合规性，以及项目执行率和目标绩效的完成情况。</w:t>
      </w:r>
    </w:p>
    <w:p w14:paraId="4B22990B">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61363D6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w:t>
      </w:r>
      <w:r>
        <w:rPr>
          <w:rFonts w:hint="default"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1745F23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11BFBF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1.项目决策。该项目符合政策规定，提升了中央基础设施建设资金的使用效率，并确保了以工代赈的实施，确保了务工群众的劳务报酬占比达到35.6%。</w:t>
      </w:r>
    </w:p>
    <w:p w14:paraId="7228370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2.项目管理。</w:t>
      </w:r>
      <w:r>
        <w:rPr>
          <w:rFonts w:hint="default" w:ascii="Times New Roman" w:hAnsi="Times New Roman" w:eastAsia="仿宋_GB2312" w:cs="仿宋_GB2312"/>
          <w:b w:val="0"/>
          <w:bCs w:val="0"/>
          <w:kern w:val="0"/>
          <w:position w:val="0"/>
          <w:sz w:val="32"/>
          <w:szCs w:val="32"/>
          <w:highlight w:val="none"/>
          <w:lang w:val="en-US" w:eastAsia="en-US" w:bidi="ar-SA"/>
        </w:rPr>
        <w:t>项目制度和办法体系健全，要素完备。在分配项目资金时，综合考虑了多种因素，并合理设定了相应的权重，以确保区域间的均衡分布。项目管理和审批流程均遵循既定的管理要求，同时，项目绩效监管也严格按照既定要求执行。</w:t>
      </w:r>
    </w:p>
    <w:p w14:paraId="00A844C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3.项目实施。西眉镇玉石村以工代赈项目2024年拨款402.13万，其中劳务报酬支付占比32.67%。</w:t>
      </w:r>
    </w:p>
    <w:p w14:paraId="42042B5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kern w:val="2"/>
          <w:position w:val="3"/>
          <w:sz w:val="32"/>
          <w:szCs w:val="32"/>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eastAsia="仿宋_GB2312" w:cs="仿宋_GB2312"/>
          <w:b w:val="0"/>
          <w:bCs w:val="0"/>
          <w:kern w:val="0"/>
          <w:position w:val="0"/>
          <w:sz w:val="32"/>
          <w:szCs w:val="32"/>
          <w:highlight w:val="none"/>
          <w:lang w:val="en-US" w:eastAsia="zh-CN" w:bidi="ar-SA"/>
        </w:rPr>
        <w:t>截至</w:t>
      </w:r>
      <w:r>
        <w:rPr>
          <w:rFonts w:hint="default" w:ascii="Times New Roman" w:hAnsi="Times New Roman" w:eastAsia="仿宋_GB2312" w:cs="仿宋_GB2312"/>
          <w:b w:val="0"/>
          <w:bCs w:val="0"/>
          <w:kern w:val="0"/>
          <w:position w:val="0"/>
          <w:sz w:val="32"/>
          <w:szCs w:val="32"/>
          <w:highlight w:val="none"/>
          <w:lang w:val="en-US" w:eastAsia="zh-CN" w:bidi="ar-SA"/>
        </w:rPr>
        <w:t>2024年12月31日，山坪塘已完成1座;蓄水池已完成5</w:t>
      </w:r>
      <w:r>
        <w:rPr>
          <w:rFonts w:hint="eastAsia" w:ascii="Times New Roman" w:hAnsi="Times New Roman" w:eastAsia="仿宋_GB2312" w:cs="仿宋_GB2312"/>
          <w:b w:val="0"/>
          <w:bCs w:val="0"/>
          <w:kern w:val="0"/>
          <w:position w:val="0"/>
          <w:sz w:val="32"/>
          <w:szCs w:val="32"/>
          <w:highlight w:val="none"/>
          <w:lang w:val="en-US" w:eastAsia="zh-CN" w:bidi="ar-SA"/>
        </w:rPr>
        <w:t>口，1社、2社、</w:t>
      </w:r>
      <w:r>
        <w:rPr>
          <w:rFonts w:hint="default" w:ascii="Times New Roman" w:hAnsi="Times New Roman" w:eastAsia="仿宋_GB2312" w:cs="仿宋_GB2312"/>
          <w:b w:val="0"/>
          <w:bCs w:val="0"/>
          <w:kern w:val="0"/>
          <w:position w:val="0"/>
          <w:sz w:val="32"/>
          <w:szCs w:val="32"/>
          <w:highlight w:val="none"/>
          <w:lang w:val="en-US" w:eastAsia="zh-CN" w:bidi="ar-SA"/>
        </w:rPr>
        <w:t>6社、7社路面混凝土浇筑已完成6.85公里。</w:t>
      </w:r>
    </w:p>
    <w:p w14:paraId="24571BC8">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945FA8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position w:val="3"/>
          <w:sz w:val="32"/>
          <w:szCs w:val="32"/>
          <w:lang w:val="en-US" w:eastAsia="zh-CN" w:bidi="ar-SA"/>
        </w:rPr>
      </w:pPr>
      <w:r>
        <w:rPr>
          <w:rFonts w:hint="default" w:ascii="Times New Roman" w:hAnsi="Times New Roman" w:eastAsia="仿宋_GB2312" w:cs="仿宋_GB2312"/>
          <w:b w:val="0"/>
          <w:bCs w:val="0"/>
          <w:kern w:val="0"/>
          <w:position w:val="0"/>
          <w:sz w:val="32"/>
          <w:szCs w:val="32"/>
          <w:highlight w:val="none"/>
          <w:lang w:val="en-US" w:eastAsia="en-US" w:bidi="ar-SA"/>
        </w:rPr>
        <w:t>西眉镇玉石村的以工代赈项目</w:t>
      </w:r>
      <w:r>
        <w:rPr>
          <w:rFonts w:hint="eastAsia" w:ascii="Times New Roman" w:hAnsi="Times New Roman" w:eastAsia="仿宋_GB2312" w:cs="仿宋_GB2312"/>
          <w:b w:val="0"/>
          <w:bCs w:val="0"/>
          <w:kern w:val="0"/>
          <w:position w:val="0"/>
          <w:sz w:val="32"/>
          <w:szCs w:val="32"/>
          <w:highlight w:val="none"/>
          <w:lang w:val="en-US" w:eastAsia="zh-CN" w:bidi="ar-SA"/>
        </w:rPr>
        <w:t>于2024年5月开工，计划9个月完成该工程项目，</w:t>
      </w:r>
      <w:r>
        <w:rPr>
          <w:rFonts w:hint="default" w:ascii="Times New Roman" w:hAnsi="Times New Roman" w:eastAsia="仿宋_GB2312" w:cs="仿宋_GB2312"/>
          <w:b w:val="0"/>
          <w:bCs w:val="0"/>
          <w:kern w:val="0"/>
          <w:position w:val="0"/>
          <w:sz w:val="32"/>
          <w:szCs w:val="32"/>
          <w:highlight w:val="none"/>
          <w:lang w:val="en-US" w:eastAsia="en-US" w:bidi="ar-SA"/>
        </w:rPr>
        <w:t>在2024年获得了402.13万元的拨款，其中用于支付劳务报酬的比例为32.67%。截至2024年12月31日，山坪塘的建设已完成1座；蓄水池的建设也已完成5口；1社、2社、6社、7社的路面混凝土浇筑工作已完成6.85公里。</w:t>
      </w:r>
    </w:p>
    <w:p w14:paraId="16549256">
      <w:pPr>
        <w:keepNext w:val="0"/>
        <w:keepLines w:val="0"/>
        <w:pageBreakBefore w:val="0"/>
        <w:widowControl w:val="0"/>
        <w:numPr>
          <w:ilvl w:val="0"/>
          <w:numId w:val="6"/>
        </w:numPr>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7931F1E">
      <w:pPr>
        <w:keepNext w:val="0"/>
        <w:keepLines w:val="0"/>
        <w:pageBreakBefore w:val="0"/>
        <w:widowControl w:val="0"/>
        <w:kinsoku/>
        <w:wordWrap/>
        <w:overflowPunct/>
        <w:topLinePunct w:val="0"/>
        <w:autoSpaceDE/>
        <w:autoSpaceDN/>
        <w:bidi w:val="0"/>
        <w:adjustRightInd/>
        <w:snapToGrid/>
        <w:spacing w:line="590" w:lineRule="exact"/>
        <w:ind w:right="0" w:rightChars="0" w:firstLine="640"/>
        <w:jc w:val="both"/>
        <w:textAlignment w:val="auto"/>
        <w:outlineLvl w:val="9"/>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bidi="ar-SA"/>
        </w:rPr>
        <w:t>无</w:t>
      </w:r>
    </w:p>
    <w:p w14:paraId="574E23D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4DF5ECD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以工代赈项目</w:t>
      </w:r>
      <w:r>
        <w:rPr>
          <w:rFonts w:hint="eastAsia"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zh-CN" w:eastAsia="zh-CN" w:bidi="ar-SA"/>
        </w:rPr>
        <w:t>绩效自评综合得分为</w:t>
      </w:r>
      <w:r>
        <w:rPr>
          <w:rFonts w:hint="eastAsia" w:ascii="Times New Roman" w:hAnsi="Times New Roman" w:eastAsia="仿宋_GB2312" w:cs="仿宋_GB2312"/>
          <w:b w:val="0"/>
          <w:bCs w:val="0"/>
          <w:kern w:val="0"/>
          <w:position w:val="0"/>
          <w:sz w:val="32"/>
          <w:szCs w:val="32"/>
          <w:highlight w:val="none"/>
          <w:lang w:val="en-US" w:eastAsia="zh-CN" w:bidi="ar-SA"/>
        </w:rPr>
        <w:t>94.4</w:t>
      </w:r>
      <w:r>
        <w:rPr>
          <w:rFonts w:hint="default" w:ascii="Times New Roman" w:hAnsi="Times New Roman" w:eastAsia="仿宋_GB2312" w:cs="仿宋_GB2312"/>
          <w:b w:val="0"/>
          <w:bCs w:val="0"/>
          <w:kern w:val="0"/>
          <w:position w:val="0"/>
          <w:sz w:val="32"/>
          <w:szCs w:val="32"/>
          <w:highlight w:val="none"/>
          <w:lang w:val="zh-CN" w:eastAsia="zh-CN" w:bidi="ar-SA"/>
        </w:rPr>
        <w:t>分</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项目实施总体符合政策要求，资金使用规范，有效实现了“赈济群众”与“建设基础设施”双重目标，对</w:t>
      </w:r>
      <w:r>
        <w:rPr>
          <w:rFonts w:hint="eastAsia" w:eastAsia="仿宋_GB2312" w:cs="仿宋_GB2312"/>
          <w:b w:val="0"/>
          <w:bCs w:val="0"/>
          <w:kern w:val="0"/>
          <w:position w:val="0"/>
          <w:sz w:val="32"/>
          <w:szCs w:val="32"/>
          <w:highlight w:val="none"/>
          <w:lang w:val="zh-CN" w:eastAsia="zh-CN" w:bidi="ar-SA"/>
        </w:rPr>
        <w:t>巩固拓展脱贫攻坚成果</w:t>
      </w:r>
      <w:r>
        <w:rPr>
          <w:rFonts w:hint="eastAsia" w:ascii="Times New Roman" w:hAnsi="Times New Roman" w:eastAsia="仿宋_GB2312" w:cs="仿宋_GB2312"/>
          <w:b w:val="0"/>
          <w:bCs w:val="0"/>
          <w:kern w:val="0"/>
          <w:position w:val="0"/>
          <w:sz w:val="32"/>
          <w:szCs w:val="32"/>
          <w:highlight w:val="none"/>
          <w:lang w:val="zh-CN" w:eastAsia="zh-CN" w:bidi="ar-SA"/>
        </w:rPr>
        <w:t>、促进乡村振兴发挥了积极作用。</w:t>
      </w:r>
    </w:p>
    <w:p w14:paraId="06557955">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4B936CD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资金执行进度滞后，项目的时间跨度从2024年5月开始，预计至2025年1月结束。截至2024年年底</w:t>
      </w:r>
      <w:r>
        <w:rPr>
          <w:rFonts w:hint="default" w:ascii="Times New Roman" w:hAnsi="Times New Roman" w:eastAsia="仿宋_GB2312" w:cs="仿宋_GB2312"/>
          <w:b w:val="0"/>
          <w:bCs w:val="0"/>
          <w:kern w:val="0"/>
          <w:position w:val="0"/>
          <w:sz w:val="32"/>
          <w:szCs w:val="32"/>
          <w:highlight w:val="none"/>
          <w:lang w:val="en-US" w:eastAsia="en-US" w:bidi="ar-SA"/>
        </w:rPr>
        <w:t>，资金拨付进度为80.42%</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E461BE7">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F929B0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 w:eastAsia="zh-CN" w:bidi="ar-SA"/>
        </w:rPr>
      </w:pPr>
      <w:r>
        <w:rPr>
          <w:rFonts w:hint="default" w:ascii="Times New Roman" w:hAnsi="Times New Roman" w:eastAsia="仿宋_GB2312" w:cs="仿宋_GB2312"/>
          <w:b w:val="0"/>
          <w:bCs w:val="0"/>
          <w:kern w:val="0"/>
          <w:position w:val="0"/>
          <w:sz w:val="32"/>
          <w:szCs w:val="32"/>
          <w:highlight w:val="none"/>
          <w:lang w:val="en-US" w:eastAsia="en-US" w:bidi="ar-SA"/>
        </w:rPr>
        <w:t>报告流程的复杂层级结构导致了款项支付的延迟，须提升整体的执行效率</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C770D8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04F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995944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E58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A10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903D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以工代赈项目资金</w:t>
            </w:r>
          </w:p>
        </w:tc>
      </w:tr>
      <w:tr w14:paraId="28EB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CD3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4EEF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遂宁市安居区发展和改革局</w:t>
            </w:r>
          </w:p>
        </w:tc>
      </w:tr>
      <w:tr w14:paraId="330A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FA5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63D6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1A99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233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24F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658890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2168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p>
        </w:tc>
      </w:tr>
      <w:tr w14:paraId="1694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21C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7CD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D4A8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7D36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0CB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0ED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2D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2C3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64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16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1E4E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92D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D5D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DCFB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遂安发改(2023)201号</w:t>
            </w:r>
            <w:r>
              <w:rPr>
                <w:rFonts w:hint="eastAsia" w:ascii="宋体" w:hAnsi="宋体" w:eastAsia="宋体" w:cs="宋体"/>
                <w:i w:val="0"/>
                <w:color w:val="000000"/>
                <w:sz w:val="24"/>
                <w:szCs w:val="24"/>
                <w:u w:val="none"/>
                <w:lang w:val="en-US" w:eastAsia="zh-CN"/>
              </w:rPr>
              <w:t xml:space="preserve"> </w:t>
            </w:r>
            <w:r>
              <w:rPr>
                <w:rFonts w:hint="eastAsia" w:ascii="宋体" w:hAnsi="宋体" w:eastAsia="宋体" w:cs="宋体"/>
                <w:i w:val="0"/>
                <w:color w:val="000000"/>
                <w:sz w:val="24"/>
                <w:szCs w:val="24"/>
                <w:u w:val="none"/>
              </w:rPr>
              <w:t>关于安居区2024年以工代赈示范工程实施方案的批复</w:t>
            </w:r>
          </w:p>
        </w:tc>
      </w:tr>
      <w:tr w14:paraId="6986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9791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DE9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34E8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用于西眉镇玉石村以工代赈</w:t>
            </w:r>
          </w:p>
        </w:tc>
      </w:tr>
      <w:tr w14:paraId="1390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2FF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71B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2BA7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7FB8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C7B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D51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81249">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2024-2025年度</w:t>
            </w:r>
          </w:p>
        </w:tc>
      </w:tr>
      <w:tr w14:paraId="7A23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5C2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7A5F6B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F37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9E1D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5000000</w:t>
            </w:r>
          </w:p>
        </w:tc>
      </w:tr>
      <w:tr w14:paraId="30AF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46D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B8A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F0DD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5000000</w:t>
            </w:r>
          </w:p>
        </w:tc>
      </w:tr>
      <w:tr w14:paraId="35DD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5A5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F1A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DF732">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67A7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0F1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6630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3297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E76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7A029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对西眉镇玉石村新建改建产业道路总长6.85公里、宽3.5米,山坪塘整治2座新建蓄水池8口，土地整理200亩。</w:t>
            </w:r>
          </w:p>
        </w:tc>
      </w:tr>
      <w:tr w14:paraId="3327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691A1F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14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0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1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86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21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0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43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5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1BB4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6BC58F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0C1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F7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769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28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AE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CF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1C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EC0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14:paraId="6A94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1C45A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C90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E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4AD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完善基础设施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AB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E86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6B9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EC69">
            <w:pPr>
              <w:keepNext w:val="0"/>
              <w:keepLines w:val="0"/>
              <w:pageBreakBefore w:val="0"/>
              <w:kinsoku/>
              <w:wordWrap/>
              <w:overflowPunct/>
              <w:topLinePunct w:val="0"/>
              <w:autoSpaceDE/>
              <w:autoSpaceDN/>
              <w:bidi w:val="0"/>
              <w:adjustRightInd/>
              <w:snapToGrid/>
              <w:spacing w:line="300" w:lineRule="exact"/>
              <w:ind w:left="0" w:leftChars="0"/>
              <w:rPr>
                <w:rFonts w:hint="default"/>
                <w:lang w:val="en-US" w:eastAsia="zh-CN"/>
              </w:rPr>
            </w:pPr>
            <w:r>
              <w:rPr>
                <w:rFonts w:hint="eastAsia" w:ascii="宋体" w:hAnsi="宋体" w:eastAsia="宋体" w:cs="宋体"/>
                <w:i w:val="0"/>
                <w:color w:val="000000"/>
                <w:sz w:val="24"/>
                <w:szCs w:val="24"/>
                <w:u w:val="none"/>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909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高</w:t>
            </w:r>
          </w:p>
        </w:tc>
      </w:tr>
      <w:tr w14:paraId="1FC9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28B16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17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D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A2E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工程建设资金及时拨付</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3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4D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D48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A40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25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高</w:t>
            </w:r>
          </w:p>
        </w:tc>
      </w:tr>
      <w:tr w14:paraId="21B5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D3A397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ED7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E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14:paraId="48C540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50B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促进当地经济发展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CD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115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543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6E3">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726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良</w:t>
            </w:r>
          </w:p>
        </w:tc>
      </w:tr>
      <w:tr w14:paraId="6300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6E7613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398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right w:val="single" w:color="000000" w:sz="4" w:space="0"/>
            </w:tcBorders>
            <w:shd w:val="clear" w:color="auto" w:fill="auto"/>
            <w:vAlign w:val="center"/>
          </w:tcPr>
          <w:p w14:paraId="77480D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14:paraId="21AF89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C8B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93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955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BB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70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F13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14:paraId="78A1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0551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36121F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14:paraId="6A8080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4C62FE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14:paraId="7681F5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6AA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3E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4E5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1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C4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6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14:paraId="272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6C0B9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86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E9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经济成本</w:t>
            </w:r>
          </w:p>
          <w:p w14:paraId="0C8BEC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4EEF045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9A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B2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CD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A4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2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bl>
    <w:p w14:paraId="22BC2B6B">
      <w:pPr>
        <w:pStyle w:val="10"/>
        <w:rPr>
          <w:rFonts w:hint="eastAsia"/>
          <w:lang w:val="zh-CN" w:eastAsia="zh-CN"/>
        </w:rPr>
      </w:pPr>
    </w:p>
    <w:p w14:paraId="25508CB8">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3D5A690C">
      <w:pPr>
        <w:pStyle w:val="10"/>
        <w:outlineLvl w:val="9"/>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2-5</w:t>
      </w:r>
    </w:p>
    <w:p w14:paraId="527106AC">
      <w:pPr>
        <w:pStyle w:val="39"/>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38AF1D49">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专项资金绩效自评报告</w:t>
      </w:r>
    </w:p>
    <w:p w14:paraId="32E6CC3E">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（易地扶贫搬迁项目资金）</w:t>
      </w:r>
    </w:p>
    <w:p w14:paraId="7FC8565B">
      <w:pPr>
        <w:pStyle w:val="10"/>
        <w:rPr>
          <w:rFonts w:hint="eastAsia"/>
          <w:lang w:val="en-US" w:eastAsia="zh-CN"/>
        </w:rPr>
      </w:pPr>
    </w:p>
    <w:p w14:paraId="32A3AED2">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一、项目概况</w:t>
      </w:r>
    </w:p>
    <w:p w14:paraId="205C034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4FA35F6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en-US" w:bidi="ar-SA"/>
        </w:rPr>
      </w:pPr>
      <w:r>
        <w:rPr>
          <w:rFonts w:hint="default" w:ascii="Times New Roman" w:hAnsi="Times New Roman" w:eastAsia="仿宋_GB2312" w:cs="仿宋_GB2312"/>
          <w:b w:val="0"/>
          <w:bCs w:val="0"/>
          <w:kern w:val="0"/>
          <w:position w:val="0"/>
          <w:sz w:val="32"/>
          <w:szCs w:val="32"/>
          <w:highlight w:val="none"/>
          <w:lang w:val="en-US" w:eastAsia="zh-CN" w:bidi="ar-SA"/>
        </w:rPr>
        <w:t>围绕改善易地扶贫搬迁对象生产生活条件和发展环境，建设住房和必要的附属设施，以及水、电、路、气、网等基本生产生活设施，配套建设教育、卫生、文化等公共服务设施等。</w:t>
      </w:r>
    </w:p>
    <w:p w14:paraId="59E40F89">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09064CB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zh-CN" w:eastAsia="en-US" w:bidi="ar-SA"/>
        </w:rPr>
      </w:pPr>
      <w:r>
        <w:rPr>
          <w:rFonts w:hint="default" w:ascii="Times New Roman" w:hAnsi="Times New Roman" w:eastAsia="仿宋_GB2312" w:cs="仿宋_GB2312"/>
          <w:b w:val="0"/>
          <w:bCs w:val="0"/>
          <w:kern w:val="0"/>
          <w:position w:val="0"/>
          <w:sz w:val="32"/>
          <w:szCs w:val="32"/>
          <w:highlight w:val="none"/>
          <w:lang w:val="en-US" w:eastAsia="zh-CN" w:bidi="ar-SA"/>
        </w:rPr>
        <w:t>完成全区</w:t>
      </w:r>
      <w:r>
        <w:rPr>
          <w:rFonts w:hint="eastAsia" w:ascii="Times New Roman" w:hAnsi="Times New Roman" w:eastAsia="仿宋_GB2312" w:cs="仿宋_GB2312"/>
          <w:b w:val="0"/>
          <w:bCs w:val="0"/>
          <w:kern w:val="0"/>
          <w:position w:val="0"/>
          <w:sz w:val="32"/>
          <w:szCs w:val="32"/>
          <w:highlight w:val="none"/>
          <w:lang w:val="en-US" w:eastAsia="zh-CN" w:bidi="ar-SA"/>
        </w:rPr>
        <w:t>易地扶贫搬迁集中安置点建设项目工程，并对</w:t>
      </w:r>
      <w:r>
        <w:rPr>
          <w:rFonts w:hint="default" w:ascii="Times New Roman" w:hAnsi="Times New Roman" w:eastAsia="仿宋_GB2312" w:cs="仿宋_GB2312"/>
          <w:b w:val="0"/>
          <w:bCs w:val="0"/>
          <w:kern w:val="0"/>
          <w:position w:val="0"/>
          <w:sz w:val="32"/>
          <w:szCs w:val="32"/>
          <w:highlight w:val="none"/>
          <w:lang w:val="en-US" w:eastAsia="zh-CN" w:bidi="ar-SA"/>
        </w:rPr>
        <w:t>13214名搬迁群众建档立卡</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143D5C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7AA64E9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财政追加2018年</w:t>
      </w:r>
      <w:r>
        <w:rPr>
          <w:rFonts w:hint="eastAsia" w:eastAsia="仿宋_GB2312" w:cs="仿宋_GB2312"/>
          <w:b w:val="0"/>
          <w:bCs w:val="0"/>
          <w:kern w:val="0"/>
          <w:position w:val="0"/>
          <w:sz w:val="32"/>
          <w:szCs w:val="32"/>
          <w:highlight w:val="none"/>
          <w:lang w:val="zh-CN" w:eastAsia="zh-CN" w:bidi="ar-SA"/>
        </w:rPr>
        <w:t>易地扶贫搬迁</w:t>
      </w:r>
      <w:r>
        <w:rPr>
          <w:rFonts w:hint="eastAsia" w:ascii="Times New Roman" w:hAnsi="Times New Roman" w:eastAsia="仿宋_GB2312" w:cs="仿宋_GB2312"/>
          <w:b w:val="0"/>
          <w:bCs w:val="0"/>
          <w:kern w:val="0"/>
          <w:position w:val="0"/>
          <w:sz w:val="32"/>
          <w:szCs w:val="32"/>
          <w:highlight w:val="none"/>
          <w:lang w:val="zh-CN" w:eastAsia="zh-CN" w:bidi="ar-SA"/>
        </w:rPr>
        <w:t>专项资金</w:t>
      </w:r>
      <w:r>
        <w:rPr>
          <w:rFonts w:hint="eastAsia" w:ascii="Times New Roman" w:hAnsi="Times New Roman" w:eastAsia="仿宋_GB2312" w:cs="仿宋_GB2312"/>
          <w:b w:val="0"/>
          <w:bCs w:val="0"/>
          <w:kern w:val="0"/>
          <w:position w:val="0"/>
          <w:sz w:val="32"/>
          <w:szCs w:val="32"/>
          <w:highlight w:val="none"/>
          <w:lang w:val="en-US" w:eastAsia="zh-CN" w:bidi="ar-SA"/>
        </w:rPr>
        <w:t>400万元，用于易地扶贫搬迁项目工程款。</w:t>
      </w:r>
    </w:p>
    <w:p w14:paraId="22E4759A">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仿宋_GB2312" w:hAnsi="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4AB3AD0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en-US" w:eastAsia="en-US" w:bidi="ar-SA"/>
        </w:rPr>
        <w:t>搬迁群众共计13214名，为了改善贫困户的生活条件，易地扶贫搬迁项目在安居区由各乡镇担任业主单位，负责项目的工程实施。</w:t>
      </w:r>
    </w:p>
    <w:p w14:paraId="2D52125A">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二、评价实施</w:t>
      </w:r>
    </w:p>
    <w:p w14:paraId="039D964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21FF56E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en-US" w:bidi="ar-SA"/>
        </w:rPr>
      </w:pPr>
      <w:r>
        <w:rPr>
          <w:rFonts w:hint="eastAsia" w:ascii="Times New Roman" w:hAnsi="Times New Roman" w:eastAsia="仿宋_GB2312" w:cs="仿宋_GB2312"/>
          <w:b w:val="0"/>
          <w:bCs w:val="0"/>
          <w:kern w:val="0"/>
          <w:position w:val="0"/>
          <w:sz w:val="32"/>
          <w:szCs w:val="32"/>
          <w:highlight w:val="none"/>
          <w:lang w:val="en-US" w:eastAsia="en-US" w:bidi="ar-SA"/>
        </w:rPr>
        <w:t>通过系统化的自我评估，确保项目目标的有效达成并持续改进</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A68D060">
      <w:pPr>
        <w:keepNext w:val="0"/>
        <w:keepLines w:val="0"/>
        <w:pageBreakBefore w:val="0"/>
        <w:widowControl w:val="0"/>
        <w:numPr>
          <w:ilvl w:val="0"/>
          <w:numId w:val="7"/>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06D31BC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en-US" w:bidi="ar-SA"/>
        </w:rPr>
      </w:pPr>
      <w:r>
        <w:rPr>
          <w:rFonts w:hint="eastAsia" w:ascii="Times New Roman" w:hAnsi="Times New Roman" w:eastAsia="仿宋_GB2312" w:cs="仿宋_GB2312"/>
          <w:b w:val="0"/>
          <w:bCs w:val="0"/>
          <w:kern w:val="0"/>
          <w:position w:val="0"/>
          <w:sz w:val="32"/>
          <w:szCs w:val="32"/>
          <w:highlight w:val="none"/>
          <w:lang w:val="en-US" w:eastAsia="en-US" w:bidi="ar-SA"/>
        </w:rPr>
        <w:t>项目的立项依据是否充分，立项程序是否规范，实施前是否按照财政预算绩效管理要求申报绩效目标并开展事前绩效评估。预算编制是否科学，尤其是预算单价和总量的计算是否合理，数据是否准确。</w:t>
      </w:r>
    </w:p>
    <w:p w14:paraId="6089F9AA">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cs="Times New Roman"/>
          <w:szCs w:val="32"/>
          <w:lang w:val="zh-CN" w:eastAsia="zh-CN"/>
        </w:rPr>
      </w:pPr>
      <w:r>
        <w:rPr>
          <w:rFonts w:hint="eastAsia" w:ascii="楷体_GB2312" w:hAnsi="宋体" w:eastAsia="楷体_GB2312" w:cs="Times New Roman"/>
          <w:b/>
          <w:color w:val="auto"/>
          <w:sz w:val="32"/>
          <w:szCs w:val="32"/>
          <w:highlight w:val="none"/>
          <w:u w:val="none"/>
          <w:lang w:val="zh-CN"/>
        </w:rPr>
        <w:t>（三）评价选点。</w:t>
      </w:r>
      <w:r>
        <w:rPr>
          <w:rFonts w:hint="eastAsia" w:ascii="Times New Roman" w:hAnsi="Times New Roman" w:eastAsia="仿宋_GB2312" w:cs="Times New Roman"/>
          <w:b w:val="0"/>
          <w:bCs w:val="0"/>
          <w:color w:val="000000"/>
          <w:kern w:val="2"/>
          <w:sz w:val="32"/>
          <w:szCs w:val="32"/>
          <w:lang w:val="zh-CN" w:eastAsia="zh-CN" w:bidi="ar-SA"/>
        </w:rPr>
        <w:t>项目绩效自评所抽样点位情况。</w:t>
      </w:r>
    </w:p>
    <w:p w14:paraId="3151DBE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根据项目情况和评价重点，采取单位自评、座谈调研等多种方法收集相关材料和开展具体评价。</w:t>
      </w:r>
    </w:p>
    <w:p w14:paraId="45F9557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619D27A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在</w:t>
      </w:r>
      <w:r>
        <w:rPr>
          <w:rFonts w:hint="default" w:ascii="Times New Roman" w:hAnsi="Times New Roman" w:eastAsia="仿宋_GB2312" w:cs="仿宋_GB2312"/>
          <w:b w:val="0"/>
          <w:bCs w:val="0"/>
          <w:kern w:val="0"/>
          <w:position w:val="0"/>
          <w:sz w:val="32"/>
          <w:szCs w:val="32"/>
          <w:highlight w:val="none"/>
          <w:lang w:val="en-US" w:eastAsia="zh-CN" w:bidi="ar-SA"/>
        </w:rPr>
        <w:t>办公室的领导下，业务科室的协助下，对项目进行综合评分，全面评估项目实施程序的规范性、财务管理的合规性，以及项目执行率和目标绩效的完成情况</w:t>
      </w:r>
      <w:r>
        <w:rPr>
          <w:rFonts w:hint="eastAsia" w:ascii="Times New Roman" w:hAnsi="Times New Roman" w:eastAsia="仿宋_GB2312" w:cs="仿宋_GB2312"/>
          <w:b w:val="0"/>
          <w:bCs w:val="0"/>
          <w:kern w:val="0"/>
          <w:position w:val="0"/>
          <w:sz w:val="32"/>
          <w:szCs w:val="32"/>
          <w:highlight w:val="none"/>
          <w:lang w:val="en-US" w:eastAsia="zh-CN" w:bidi="ar-SA"/>
        </w:rPr>
        <w:t>。</w:t>
      </w:r>
    </w:p>
    <w:p w14:paraId="1F807A15">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94884D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w:t>
      </w:r>
      <w:r>
        <w:rPr>
          <w:rFonts w:hint="default"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4467459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5DE3EE4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1.项目决策。</w:t>
      </w:r>
      <w:r>
        <w:rPr>
          <w:rFonts w:hint="default" w:ascii="Times New Roman" w:hAnsi="Times New Roman" w:eastAsia="仿宋_GB2312" w:cs="仿宋_GB2312"/>
          <w:b w:val="0"/>
          <w:bCs w:val="0"/>
          <w:kern w:val="0"/>
          <w:position w:val="0"/>
          <w:sz w:val="32"/>
          <w:szCs w:val="32"/>
          <w:highlight w:val="none"/>
          <w:lang w:val="en-US" w:eastAsia="zh-CN" w:bidi="ar-SA"/>
        </w:rPr>
        <w:t>本项目的立项依据充分，程序规范，实施前按财政预算绩效管理要求申报绩效目标并开展事前绩效评估。</w:t>
      </w:r>
    </w:p>
    <w:p w14:paraId="22C929C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2.项目管理。</w:t>
      </w:r>
      <w:r>
        <w:rPr>
          <w:rFonts w:hint="default" w:ascii="Times New Roman" w:hAnsi="Times New Roman" w:eastAsia="仿宋_GB2312" w:cs="仿宋_GB2312"/>
          <w:b w:val="0"/>
          <w:bCs w:val="0"/>
          <w:kern w:val="0"/>
          <w:position w:val="0"/>
          <w:sz w:val="32"/>
          <w:szCs w:val="32"/>
          <w:highlight w:val="none"/>
          <w:lang w:val="en-US" w:eastAsia="zh-CN" w:bidi="ar-SA"/>
        </w:rPr>
        <w:t>按照市财政局相关资金管理办法进行项目管理。</w:t>
      </w:r>
    </w:p>
    <w:p w14:paraId="1544040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default" w:ascii="Times New Roman" w:hAnsi="Times New Roman" w:eastAsia="仿宋_GB2312" w:cs="仿宋_GB2312"/>
          <w:b w:val="0"/>
          <w:bCs w:val="0"/>
          <w:kern w:val="0"/>
          <w:position w:val="0"/>
          <w:sz w:val="32"/>
          <w:szCs w:val="32"/>
          <w:highlight w:val="none"/>
          <w:lang w:val="en-US" w:eastAsia="zh-CN" w:bidi="ar-SA"/>
        </w:rPr>
        <w:t>根据市财政局相关资金管理办法按照项目推进进度支付款项。</w:t>
      </w:r>
    </w:p>
    <w:p w14:paraId="2884546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4.项目结果。拨付</w:t>
      </w:r>
      <w:r>
        <w:rPr>
          <w:rFonts w:hint="default" w:ascii="Times New Roman" w:hAnsi="Times New Roman" w:eastAsia="仿宋_GB2312" w:cs="仿宋_GB2312"/>
          <w:b w:val="0"/>
          <w:bCs w:val="0"/>
          <w:kern w:val="0"/>
          <w:position w:val="0"/>
          <w:sz w:val="32"/>
          <w:szCs w:val="32"/>
          <w:highlight w:val="none"/>
          <w:lang w:val="en-US" w:eastAsia="zh-CN" w:bidi="ar-SA"/>
        </w:rPr>
        <w:t>易地扶贫搬迁项目工程</w:t>
      </w:r>
      <w:r>
        <w:rPr>
          <w:rFonts w:hint="eastAsia" w:ascii="Times New Roman" w:hAnsi="Times New Roman" w:eastAsia="仿宋_GB2312" w:cs="仿宋_GB2312"/>
          <w:b w:val="0"/>
          <w:bCs w:val="0"/>
          <w:kern w:val="0"/>
          <w:position w:val="0"/>
          <w:sz w:val="32"/>
          <w:szCs w:val="32"/>
          <w:highlight w:val="none"/>
          <w:lang w:val="en-US" w:eastAsia="zh-CN" w:bidi="ar-SA"/>
        </w:rPr>
        <w:t>款。</w:t>
      </w:r>
    </w:p>
    <w:p w14:paraId="55473DA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rPr>
        <w:t>绩效分析。</w:t>
      </w:r>
    </w:p>
    <w:p w14:paraId="6800CDA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为了提升易地扶贫搬迁对象的生活质量和生产环境，我们不仅建设了住房及其附属设施，还包括了水、电、路、气、网络等基础生活和生产设施。同时，还配套了教育、卫生、文化等公共服务设施。基于这些需求，追加2018年易地扶贫搬迁集中安置和分散安置的开工建设工程款项</w:t>
      </w:r>
    </w:p>
    <w:p w14:paraId="541D00E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rPr>
        <w:t>绩效分析。</w:t>
      </w:r>
    </w:p>
    <w:p w14:paraId="3553DBE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cs="Times New Roman"/>
          <w:color w:val="auto"/>
          <w:szCs w:val="32"/>
          <w:lang w:val="en-US" w:eastAsia="zh-CN"/>
        </w:rPr>
      </w:pPr>
      <w:r>
        <w:rPr>
          <w:rFonts w:hint="eastAsia" w:cs="Times New Roman"/>
          <w:color w:val="auto"/>
          <w:szCs w:val="32"/>
          <w:lang w:val="zh-CN" w:eastAsia="zh-CN"/>
        </w:rPr>
        <w:t>无</w:t>
      </w:r>
    </w:p>
    <w:p w14:paraId="333B8D32">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21459DC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按照绩效评价</w:t>
      </w:r>
      <w:r>
        <w:rPr>
          <w:rFonts w:hint="eastAsia" w:eastAsia="仿宋_GB2312" w:cs="仿宋_GB2312"/>
          <w:b w:val="0"/>
          <w:bCs w:val="0"/>
          <w:kern w:val="0"/>
          <w:position w:val="0"/>
          <w:sz w:val="32"/>
          <w:szCs w:val="32"/>
          <w:highlight w:val="none"/>
          <w:lang w:val="en-US" w:eastAsia="zh-CN" w:bidi="ar-SA"/>
        </w:rPr>
        <w:t>指标</w:t>
      </w:r>
      <w:r>
        <w:rPr>
          <w:rFonts w:hint="eastAsia" w:ascii="Times New Roman" w:hAnsi="Times New Roman" w:eastAsia="仿宋_GB2312" w:cs="仿宋_GB2312"/>
          <w:b w:val="0"/>
          <w:bCs w:val="0"/>
          <w:kern w:val="0"/>
          <w:position w:val="0"/>
          <w:sz w:val="32"/>
          <w:szCs w:val="32"/>
          <w:highlight w:val="none"/>
          <w:lang w:val="en-US" w:eastAsia="zh-CN" w:bidi="ar-SA"/>
        </w:rPr>
        <w:t>体系，易地扶贫搬迁项目资金项目自评得分97分。自评结果说明“易地扶贫搬迁项目资金”项目为常年项目，项目决策、项目管理、项目实施和项目结果情况总体良好</w:t>
      </w:r>
    </w:p>
    <w:p w14:paraId="77D99C99">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五、存在主要问题</w:t>
      </w:r>
    </w:p>
    <w:p w14:paraId="6A070F3C">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70E52182">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5B95B8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进一步强化资金使用的管理，严格把关经费支出，确保易地扶贫搬迁项目工作持续、顺利推进。</w:t>
      </w:r>
    </w:p>
    <w:p w14:paraId="35971F8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6EB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15D44D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3DFC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C7E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A31B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易地扶贫搬迁项目资金</w:t>
            </w:r>
          </w:p>
        </w:tc>
      </w:tr>
      <w:tr w14:paraId="4E08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E98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34AD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r>
      <w:tr w14:paraId="6CA9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43B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5E2A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0831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05D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AAD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0596E2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2A7B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3BF1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FC0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486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765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4"/>
                <w:szCs w:val="24"/>
                <w:u w:val="none"/>
              </w:rPr>
            </w:pPr>
            <w:r>
              <w:rPr>
                <w:rFonts w:ascii="宋体" w:hAnsi="宋体" w:eastAsia="宋体" w:cs="宋体"/>
                <w:i w:val="0"/>
                <w:color w:val="000000"/>
                <w:sz w:val="24"/>
                <w:szCs w:val="24"/>
                <w:u w:val="none"/>
                <w:lang w:val="en-US" w:eastAsia="zh-CN"/>
              </w:rPr>
              <w:t>《四川省易地扶贫搬迁项目资金管理办法》(川</w:t>
            </w:r>
            <w:r>
              <w:rPr>
                <w:rFonts w:hint="default" w:ascii="宋体" w:hAnsi="宋体" w:eastAsia="宋体" w:cs="宋体"/>
                <w:i w:val="0"/>
                <w:color w:val="000000"/>
                <w:sz w:val="24"/>
                <w:szCs w:val="24"/>
                <w:u w:val="none"/>
                <w:lang w:val="en-US" w:eastAsia="zh-CN"/>
              </w:rPr>
              <w:t>农财(2016)102号)</w:t>
            </w:r>
          </w:p>
        </w:tc>
      </w:tr>
      <w:tr w14:paraId="37F1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947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EC8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9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92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79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DE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23B8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4E2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F2A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FC83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66A6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D0D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599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673F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6957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152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E54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98A3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7CE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0AA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559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6A3D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r>
      <w:tr w14:paraId="3D16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FD9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3993A4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B43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97639">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4000000</w:t>
            </w:r>
          </w:p>
        </w:tc>
      </w:tr>
      <w:tr w14:paraId="73D2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CBF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1D6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1F21F">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4000000</w:t>
            </w:r>
          </w:p>
        </w:tc>
      </w:tr>
      <w:tr w14:paraId="22A4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599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76E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89253">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48D8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B3B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47B9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2A1A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4474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C031D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完成全区13214名建档立卡搬迁群众补助资金拨付到位</w:t>
            </w:r>
          </w:p>
        </w:tc>
      </w:tr>
      <w:tr w14:paraId="4EA9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502A3C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9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54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28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3B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0C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F4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73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7A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0A88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3D93C3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F69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175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4CE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搬迁群众数量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846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97D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13214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8F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F4E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AE7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13214</w:t>
            </w:r>
          </w:p>
        </w:tc>
      </w:tr>
      <w:tr w14:paraId="3EFC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18884E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7C4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9A3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C93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改善贫困户生活条件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40C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8A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1C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其他</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A62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A4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高</w:t>
            </w:r>
          </w:p>
        </w:tc>
      </w:tr>
      <w:tr w14:paraId="5C54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6C86DA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051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5C1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36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搬迁群众满意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1A1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05D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2F9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264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BF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w:t>
            </w:r>
          </w:p>
        </w:tc>
      </w:tr>
    </w:tbl>
    <w:p w14:paraId="45124B98">
      <w:pPr>
        <w:rPr>
          <w:rFonts w:hint="eastAsia"/>
          <w:lang w:val="en" w:eastAsia="zh-CN"/>
        </w:rPr>
      </w:pPr>
      <w:r>
        <w:rPr>
          <w:rFonts w:hint="eastAsia"/>
          <w:lang w:val="en" w:eastAsia="zh-CN"/>
        </w:rPr>
        <w:br w:type="page"/>
      </w:r>
    </w:p>
    <w:p w14:paraId="729671CE">
      <w:pPr>
        <w:keepNext w:val="0"/>
        <w:keepLines w:val="0"/>
        <w:pageBreakBefore w:val="0"/>
        <w:widowControl w:val="0"/>
        <w:kinsoku/>
        <w:wordWrap/>
        <w:overflowPunct/>
        <w:topLinePunct w:val="0"/>
        <w:autoSpaceDE/>
        <w:autoSpaceDN/>
        <w:bidi w:val="0"/>
        <w:spacing w:line="578" w:lineRule="exact"/>
        <w:ind w:left="0" w:leftChars="0"/>
        <w:textAlignment w:val="auto"/>
        <w:rPr>
          <w:rFonts w:hint="default" w:ascii="方正黑体_GBK" w:hAnsi="方正黑体_GBK" w:eastAsia="方正黑体_GBK" w:cs="方正黑体_GBK"/>
          <w:sz w:val="33"/>
          <w:szCs w:val="33"/>
          <w:highlight w:val="none"/>
          <w:lang w:val="en-US" w:eastAsia="zh-CN"/>
        </w:rPr>
      </w:pPr>
      <w:r>
        <w:rPr>
          <w:rFonts w:hint="eastAsia" w:ascii="方正黑体_GBK" w:hAnsi="方正黑体_GBK" w:eastAsia="方正黑体_GBK" w:cs="方正黑体_GBK"/>
          <w:sz w:val="33"/>
          <w:szCs w:val="33"/>
          <w:highlight w:val="none"/>
        </w:rPr>
        <w:t>附件</w:t>
      </w:r>
      <w:r>
        <w:rPr>
          <w:rFonts w:hint="eastAsia" w:ascii="方正黑体_GBK" w:hAnsi="方正黑体_GBK" w:eastAsia="方正黑体_GBK" w:cs="方正黑体_GBK"/>
          <w:sz w:val="33"/>
          <w:szCs w:val="33"/>
          <w:highlight w:val="none"/>
          <w:lang w:val="en-US" w:eastAsia="zh-CN"/>
        </w:rPr>
        <w:t>2-6</w:t>
      </w:r>
    </w:p>
    <w:p w14:paraId="02DB4525">
      <w:pPr>
        <w:pStyle w:val="39"/>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2839E577">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专项资金绩效自评报告范本</w:t>
      </w:r>
    </w:p>
    <w:p w14:paraId="28CBF382">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宋体" w:hAnsi="宋体"/>
          <w:color w:val="auto"/>
          <w:kern w:val="2"/>
          <w:sz w:val="32"/>
          <w:szCs w:val="32"/>
          <w:highlight w:val="none"/>
        </w:rPr>
        <w:t>（项目争取前期工作经费）</w:t>
      </w:r>
    </w:p>
    <w:p w14:paraId="6977370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79D51D2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D05C8D2">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color w:val="auto"/>
          <w:kern w:val="0"/>
          <w:sz w:val="32"/>
          <w:szCs w:val="32"/>
          <w:highlight w:val="none"/>
          <w:u w:val="none"/>
          <w:shd w:val="clear" w:color="auto" w:fill="auto"/>
          <w:lang w:val="en-US" w:eastAsia="zh-CN"/>
        </w:rPr>
      </w:pPr>
      <w:r>
        <w:rPr>
          <w:rFonts w:hint="eastAsia" w:ascii="Times New Roman" w:hAnsi="Times New Roman" w:eastAsia="仿宋_GB2312" w:cs="仿宋_GB2312"/>
          <w:color w:val="auto"/>
          <w:kern w:val="0"/>
          <w:sz w:val="32"/>
          <w:szCs w:val="32"/>
          <w:highlight w:val="none"/>
          <w:u w:val="none"/>
          <w:shd w:val="clear" w:color="auto" w:fill="auto"/>
          <w:lang w:val="en-US"/>
        </w:rPr>
        <w:t>根据遂安发改发〔</w:t>
      </w:r>
      <w:r>
        <w:rPr>
          <w:rFonts w:hint="eastAsia" w:ascii="Times New Roman" w:hAnsi="Times New Roman" w:eastAsia="仿宋_GB2312" w:cs="仿宋_GB2312"/>
          <w:color w:val="auto"/>
          <w:kern w:val="0"/>
          <w:sz w:val="32"/>
          <w:szCs w:val="32"/>
          <w:highlight w:val="none"/>
          <w:u w:val="none"/>
          <w:shd w:val="clear" w:color="auto" w:fill="auto"/>
          <w:lang w:val="en-US" w:eastAsia="zh-CN"/>
        </w:rPr>
        <w:t>2024〕293号文，一次性追加发展改革局2024年第一批项目前期工作经费60万元。</w:t>
      </w:r>
    </w:p>
    <w:p w14:paraId="620211A6">
      <w:pPr>
        <w:keepNext w:val="0"/>
        <w:keepLines w:val="0"/>
        <w:pageBreakBefore w:val="0"/>
        <w:widowControl/>
        <w:numPr>
          <w:ilvl w:val="0"/>
          <w:numId w:val="8"/>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0AD4689">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b w:val="0"/>
          <w:color w:val="auto"/>
          <w:kern w:val="0"/>
          <w:sz w:val="32"/>
          <w:szCs w:val="32"/>
          <w:highlight w:val="none"/>
          <w:u w:val="none"/>
          <w:lang w:val="en-US"/>
        </w:rPr>
      </w:pPr>
      <w:r>
        <w:rPr>
          <w:rFonts w:hint="eastAsia" w:ascii="Times New Roman" w:hAnsi="Times New Roman" w:eastAsia="仿宋_GB2312" w:cs="仿宋_GB2312"/>
          <w:color w:val="auto"/>
          <w:kern w:val="0"/>
          <w:sz w:val="32"/>
          <w:szCs w:val="32"/>
          <w:highlight w:val="none"/>
          <w:u w:val="none"/>
          <w:shd w:val="clear" w:color="auto" w:fill="auto"/>
          <w:lang w:val="en-US"/>
        </w:rPr>
        <w:t>加快推进项目前期及资金争取相关工作，确保全区政府投资项目早</w:t>
      </w:r>
      <w:r>
        <w:rPr>
          <w:rFonts w:hint="eastAsia" w:ascii="Times New Roman" w:hAnsi="Times New Roman" w:eastAsia="仿宋_GB2312" w:cs="仿宋_GB2312"/>
          <w:color w:val="auto"/>
          <w:kern w:val="0"/>
          <w:sz w:val="32"/>
          <w:szCs w:val="32"/>
          <w:highlight w:val="none"/>
          <w:u w:val="none"/>
          <w:shd w:val="clear" w:color="auto" w:fill="auto"/>
          <w:lang w:val="en-US" w:eastAsia="zh-CN"/>
        </w:rPr>
        <w:t>开工</w:t>
      </w:r>
      <w:r>
        <w:rPr>
          <w:rFonts w:hint="eastAsia" w:ascii="Times New Roman" w:hAnsi="Times New Roman" w:eastAsia="仿宋_GB2312" w:cs="仿宋_GB2312"/>
          <w:color w:val="auto"/>
          <w:kern w:val="0"/>
          <w:sz w:val="32"/>
          <w:szCs w:val="32"/>
          <w:highlight w:val="none"/>
          <w:u w:val="none"/>
          <w:shd w:val="clear" w:color="auto" w:fill="auto"/>
          <w:lang w:val="en-US"/>
        </w:rPr>
        <w:t>、早建成、早达效，为争取上级资金打下坚实基础。</w:t>
      </w:r>
    </w:p>
    <w:p w14:paraId="139D5835">
      <w:pPr>
        <w:keepNext w:val="0"/>
        <w:keepLines w:val="0"/>
        <w:pageBreakBefore w:val="0"/>
        <w:widowControl/>
        <w:numPr>
          <w:ilvl w:val="0"/>
          <w:numId w:val="8"/>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57D50751">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color w:val="auto"/>
          <w:kern w:val="0"/>
          <w:sz w:val="32"/>
          <w:szCs w:val="32"/>
          <w:highlight w:val="none"/>
          <w:u w:val="none"/>
          <w:shd w:val="clear" w:color="auto" w:fill="auto"/>
          <w:lang w:val="en-US"/>
        </w:rPr>
      </w:pPr>
      <w:r>
        <w:rPr>
          <w:rFonts w:hint="eastAsia" w:ascii="Times New Roman" w:hAnsi="Times New Roman" w:eastAsia="仿宋_GB2312" w:cs="仿宋_GB2312"/>
          <w:color w:val="auto"/>
          <w:kern w:val="0"/>
          <w:sz w:val="32"/>
          <w:szCs w:val="32"/>
          <w:highlight w:val="none"/>
          <w:u w:val="none"/>
          <w:shd w:val="clear" w:color="auto" w:fill="auto"/>
          <w:lang w:val="en-US" w:eastAsia="zh-CN"/>
        </w:rPr>
        <w:t>遂宁安居区2024年第一批项目前期工作经费初步分配区发改局财政预算60万</w:t>
      </w:r>
      <w:r>
        <w:rPr>
          <w:rFonts w:hint="eastAsia" w:ascii="Times New Roman" w:hAnsi="Times New Roman" w:eastAsia="仿宋_GB2312" w:cs="仿宋_GB2312"/>
          <w:color w:val="auto"/>
          <w:kern w:val="0"/>
          <w:sz w:val="32"/>
          <w:szCs w:val="32"/>
          <w:highlight w:val="none"/>
          <w:u w:val="none"/>
          <w:shd w:val="clear" w:color="auto" w:fill="auto"/>
          <w:lang w:val="en-US"/>
        </w:rPr>
        <w:t>。</w:t>
      </w:r>
    </w:p>
    <w:p w14:paraId="31748413">
      <w:pPr>
        <w:keepNext w:val="0"/>
        <w:keepLines w:val="0"/>
        <w:pageBreakBefore w:val="0"/>
        <w:numPr>
          <w:ilvl w:val="0"/>
          <w:numId w:val="8"/>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0D26F39D">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color w:val="auto"/>
          <w:kern w:val="0"/>
          <w:sz w:val="32"/>
          <w:szCs w:val="32"/>
          <w:highlight w:val="none"/>
          <w:u w:val="none"/>
          <w:shd w:val="clear" w:color="auto" w:fill="auto"/>
          <w:lang w:val="en-US" w:eastAsia="zh-CN"/>
        </w:rPr>
      </w:pPr>
      <w:r>
        <w:rPr>
          <w:rFonts w:hint="eastAsia" w:ascii="Times New Roman" w:hAnsi="Times New Roman" w:eastAsia="仿宋_GB2312" w:cs="仿宋_GB2312"/>
          <w:color w:val="auto"/>
          <w:kern w:val="0"/>
          <w:sz w:val="32"/>
          <w:szCs w:val="32"/>
          <w:highlight w:val="none"/>
          <w:u w:val="none"/>
          <w:shd w:val="clear" w:color="auto" w:fill="auto"/>
          <w:lang w:val="en-US" w:eastAsia="zh-CN"/>
        </w:rPr>
        <w:t>数量指标：项目完成率100%</w:t>
      </w:r>
    </w:p>
    <w:p w14:paraId="479B0CBD">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color w:val="auto"/>
          <w:kern w:val="0"/>
          <w:sz w:val="32"/>
          <w:szCs w:val="32"/>
          <w:highlight w:val="none"/>
          <w:u w:val="none"/>
          <w:shd w:val="clear" w:color="auto" w:fill="auto"/>
          <w:lang w:val="en-US" w:eastAsia="zh-CN"/>
        </w:rPr>
      </w:pPr>
      <w:r>
        <w:rPr>
          <w:rFonts w:hint="eastAsia" w:ascii="Times New Roman" w:hAnsi="Times New Roman" w:eastAsia="仿宋_GB2312" w:cs="仿宋_GB2312"/>
          <w:color w:val="auto"/>
          <w:kern w:val="0"/>
          <w:sz w:val="32"/>
          <w:szCs w:val="32"/>
          <w:highlight w:val="none"/>
          <w:u w:val="none"/>
          <w:shd w:val="clear" w:color="auto" w:fill="auto"/>
          <w:lang w:val="en-US" w:eastAsia="zh-CN"/>
        </w:rPr>
        <w:t>质量指标：高质量完成项目争取工作</w:t>
      </w:r>
    </w:p>
    <w:p w14:paraId="09B509D5">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color w:val="auto"/>
          <w:kern w:val="0"/>
          <w:sz w:val="32"/>
          <w:szCs w:val="32"/>
          <w:highlight w:val="none"/>
          <w:u w:val="none"/>
          <w:shd w:val="clear" w:color="auto" w:fill="auto"/>
          <w:lang w:val="en-US" w:eastAsia="zh-CN"/>
        </w:rPr>
      </w:pPr>
      <w:r>
        <w:rPr>
          <w:rFonts w:hint="eastAsia" w:ascii="Times New Roman" w:hAnsi="Times New Roman" w:eastAsia="仿宋_GB2312" w:cs="仿宋_GB2312"/>
          <w:color w:val="auto"/>
          <w:kern w:val="0"/>
          <w:sz w:val="32"/>
          <w:szCs w:val="32"/>
          <w:highlight w:val="none"/>
          <w:u w:val="none"/>
          <w:shd w:val="clear" w:color="auto" w:fill="auto"/>
          <w:lang w:val="en-US" w:eastAsia="zh-CN"/>
        </w:rPr>
        <w:t>时效指标：及时为项目争取前置条件</w:t>
      </w:r>
    </w:p>
    <w:p w14:paraId="34FD08CA">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color w:val="auto"/>
          <w:kern w:val="0"/>
          <w:sz w:val="32"/>
          <w:szCs w:val="32"/>
          <w:highlight w:val="none"/>
          <w:u w:val="none"/>
          <w:shd w:val="clear" w:color="auto" w:fill="auto"/>
          <w:lang w:val="en-US" w:eastAsia="zh-CN"/>
        </w:rPr>
      </w:pPr>
      <w:r>
        <w:rPr>
          <w:rFonts w:hint="eastAsia" w:ascii="Times New Roman" w:hAnsi="Times New Roman" w:eastAsia="仿宋_GB2312" w:cs="仿宋_GB2312"/>
          <w:color w:val="auto"/>
          <w:kern w:val="0"/>
          <w:sz w:val="32"/>
          <w:szCs w:val="32"/>
          <w:highlight w:val="none"/>
          <w:u w:val="none"/>
          <w:shd w:val="clear" w:color="auto" w:fill="auto"/>
          <w:lang w:val="en-US" w:eastAsia="zh-CN"/>
        </w:rPr>
        <w:t>经济效益指标：为经济发展争取更优化项目</w:t>
      </w:r>
    </w:p>
    <w:p w14:paraId="667EC5D3">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ascii="Times New Roman" w:hAnsi="Times New Roman" w:eastAsia="仿宋_GB2312" w:cs="仿宋_GB2312"/>
          <w:color w:val="auto"/>
          <w:kern w:val="0"/>
          <w:sz w:val="32"/>
          <w:szCs w:val="32"/>
          <w:highlight w:val="none"/>
          <w:u w:val="none"/>
          <w:shd w:val="clear" w:color="auto" w:fill="auto"/>
          <w:lang w:val="en-US" w:eastAsia="zh-CN"/>
        </w:rPr>
      </w:pPr>
      <w:r>
        <w:rPr>
          <w:rFonts w:hint="eastAsia" w:ascii="Times New Roman" w:hAnsi="Times New Roman" w:eastAsia="仿宋_GB2312" w:cs="仿宋_GB2312"/>
          <w:color w:val="auto"/>
          <w:kern w:val="0"/>
          <w:sz w:val="32"/>
          <w:szCs w:val="32"/>
          <w:highlight w:val="none"/>
          <w:u w:val="none"/>
          <w:shd w:val="clear" w:color="auto" w:fill="auto"/>
          <w:lang w:val="en-US" w:eastAsia="zh-CN"/>
        </w:rPr>
        <w:t>满意度指标：服务对象满意度指标≥90%</w:t>
      </w:r>
    </w:p>
    <w:p w14:paraId="60B5505D">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val="0"/>
        <w:jc w:val="left"/>
        <w:textAlignment w:val="auto"/>
        <w:outlineLvl w:val="9"/>
        <w:rPr>
          <w:rFonts w:hint="eastAsia" w:eastAsia="仿宋_GB2312" w:cs="仿宋_GB2312"/>
          <w:kern w:val="0"/>
          <w:szCs w:val="32"/>
          <w:highlight w:val="none"/>
          <w:u w:val="none"/>
          <w:lang w:val="en-US" w:eastAsia="zh-CN"/>
        </w:rPr>
      </w:pPr>
      <w:r>
        <w:rPr>
          <w:rFonts w:hint="eastAsia" w:ascii="Times New Roman" w:hAnsi="Times New Roman" w:eastAsia="仿宋_GB2312" w:cs="仿宋_GB2312"/>
          <w:color w:val="auto"/>
          <w:kern w:val="0"/>
          <w:sz w:val="32"/>
          <w:szCs w:val="32"/>
          <w:highlight w:val="none"/>
          <w:u w:val="none"/>
          <w:shd w:val="clear" w:color="auto" w:fill="auto"/>
          <w:lang w:val="en-US" w:eastAsia="zh-CN"/>
        </w:rPr>
        <w:t>经济成本指标：拨付工作经费60万元</w:t>
      </w:r>
    </w:p>
    <w:p w14:paraId="3B85FD8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48FE9F68">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45FFD62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eastAsia="仿宋_GB2312" w:cs="Times New Roman"/>
          <w:szCs w:val="32"/>
        </w:rPr>
      </w:pPr>
      <w:r>
        <w:rPr>
          <w:rFonts w:hint="eastAsia" w:eastAsia="仿宋_GB2312" w:cs="Times New Roman"/>
          <w:szCs w:val="32"/>
        </w:rPr>
        <w:t>通过系统化的自我评估，确保项目目标的有效达成并持续改进</w:t>
      </w:r>
      <w:r>
        <w:rPr>
          <w:rFonts w:hint="eastAsia" w:cs="Times New Roman"/>
          <w:szCs w:val="32"/>
          <w:lang w:eastAsia="zh-CN"/>
        </w:rPr>
        <w:t>。</w:t>
      </w:r>
    </w:p>
    <w:p w14:paraId="7C7DDE9B">
      <w:pPr>
        <w:keepNext w:val="0"/>
        <w:keepLines w:val="0"/>
        <w:pageBreakBefore w:val="0"/>
        <w:widowControl w:val="0"/>
        <w:numPr>
          <w:ilvl w:val="0"/>
          <w:numId w:val="9"/>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7ADDA71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eastAsia="仿宋_GB2312" w:cs="Times New Roman"/>
          <w:szCs w:val="32"/>
        </w:rPr>
      </w:pPr>
      <w:r>
        <w:rPr>
          <w:rFonts w:hint="eastAsia" w:eastAsia="仿宋_GB2312" w:cs="Times New Roman"/>
          <w:szCs w:val="32"/>
        </w:rPr>
        <w:t>项目的立项依据是否充分，立项程序是否规范，实施前是否按照财政预算绩效管理要求申报绩效目标并开展事前绩效评估。预算编制是否科学，尤其是预算单价和总量的计算是否合理，数据是否准确。</w:t>
      </w:r>
    </w:p>
    <w:p w14:paraId="20608B2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Cs w:val="32"/>
          <w:lang w:val="zh-CN" w:eastAsia="zh-CN"/>
        </w:rPr>
        <w:t>项目绩效自评所抽样点位情况。</w:t>
      </w:r>
    </w:p>
    <w:p w14:paraId="40C77D0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hint="eastAsia" w:eastAsia="仿宋_GB2312" w:cs="Times New Roman"/>
          <w:szCs w:val="32"/>
        </w:rPr>
        <w:t>本</w:t>
      </w:r>
      <w:r>
        <w:rPr>
          <w:rFonts w:hint="eastAsia" w:ascii="Times New Roman" w:hAnsi="Times New Roman" w:cs="Times New Roman"/>
          <w:color w:val="auto"/>
          <w:szCs w:val="32"/>
          <w:lang w:val="en-US" w:eastAsia="zh-CN"/>
        </w:rPr>
        <w:t>项目</w:t>
      </w:r>
      <w:r>
        <w:rPr>
          <w:rFonts w:hint="eastAsia" w:eastAsia="仿宋_GB2312" w:cs="Times New Roman"/>
          <w:szCs w:val="32"/>
        </w:rPr>
        <w:t>采用的绩效评价方法主要包括单位自评法、座谈调研法等。</w:t>
      </w:r>
    </w:p>
    <w:p w14:paraId="7A7361B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1C1EFA1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eastAsia="仿宋_GB2312" w:cs="Times New Roman"/>
          <w:bCs/>
          <w:lang w:eastAsia="zh-CN"/>
        </w:rPr>
      </w:pPr>
      <w:r>
        <w:rPr>
          <w:rFonts w:hint="eastAsia" w:eastAsia="仿宋_GB2312" w:cs="Times New Roman"/>
          <w:szCs w:val="32"/>
        </w:rPr>
        <w:t>为顺利开展本次绩效评价，此次评价组成员由财务人员、项目负责人员组成。项目管理人员主要负责项目资料收集、数据汇总等</w:t>
      </w:r>
      <w:r>
        <w:rPr>
          <w:rFonts w:hint="eastAsia" w:ascii="Times New Roman" w:hAnsi="Times New Roman" w:cs="Times New Roman"/>
          <w:color w:val="auto"/>
          <w:szCs w:val="32"/>
          <w:lang w:val="en-US" w:eastAsia="zh-CN"/>
        </w:rPr>
        <w:t>工作</w:t>
      </w:r>
      <w:r>
        <w:rPr>
          <w:rFonts w:hint="eastAsia" w:eastAsia="仿宋_GB2312" w:cs="Times New Roman"/>
          <w:szCs w:val="32"/>
        </w:rPr>
        <w:t>，财务人员主要负责资金使用过程和财务审核。</w:t>
      </w:r>
    </w:p>
    <w:p w14:paraId="58980B9D">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07642A3A">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Cs w:val="32"/>
          <w:lang w:val="en-US" w:eastAsia="zh-CN"/>
        </w:rPr>
      </w:pPr>
      <w:r>
        <w:rPr>
          <w:rFonts w:hint="default" w:eastAsia="仿宋_GB2312" w:cs="Times New Roman"/>
          <w:szCs w:val="32"/>
          <w:lang w:val="zh-CN" w:eastAsia="zh-CN"/>
        </w:rPr>
        <w:t>根据</w:t>
      </w:r>
      <w:r>
        <w:rPr>
          <w:rFonts w:hint="eastAsia" w:eastAsia="仿宋_GB2312" w:cs="Times New Roman"/>
          <w:szCs w:val="32"/>
          <w:lang w:val="zh-CN" w:eastAsia="zh-CN"/>
        </w:rPr>
        <w:t>项目</w:t>
      </w:r>
      <w:r>
        <w:rPr>
          <w:rFonts w:hint="default" w:eastAsia="仿宋_GB2312" w:cs="Times New Roman"/>
          <w:szCs w:val="32"/>
          <w:lang w:val="zh-CN" w:eastAsia="zh-CN"/>
        </w:rPr>
        <w:t>预算绩效评价指标体系“</w:t>
      </w:r>
      <w:r>
        <w:rPr>
          <w:rFonts w:hint="eastAsia" w:eastAsia="仿宋_GB2312" w:cs="Times New Roman"/>
          <w:szCs w:val="32"/>
          <w:lang w:val="zh-CN" w:eastAsia="zh-CN"/>
        </w:rPr>
        <w:t>通用指标</w:t>
      </w:r>
      <w:r>
        <w:rPr>
          <w:rFonts w:hint="default" w:eastAsia="仿宋_GB2312" w:cs="Times New Roman"/>
          <w:szCs w:val="32"/>
          <w:lang w:val="zh-CN" w:eastAsia="zh-CN"/>
        </w:rPr>
        <w:t>”</w:t>
      </w:r>
      <w:r>
        <w:rPr>
          <w:rFonts w:hint="eastAsia" w:eastAsia="仿宋_GB2312" w:cs="Times New Roman"/>
          <w:szCs w:val="32"/>
          <w:lang w:val="zh-CN" w:eastAsia="zh-CN"/>
        </w:rPr>
        <w:t>“专用指标”“个性指标”</w:t>
      </w:r>
      <w:r>
        <w:rPr>
          <w:rFonts w:hint="default" w:eastAsia="仿宋_GB2312" w:cs="Times New Roman"/>
          <w:szCs w:val="32"/>
          <w:lang w:val="zh-CN" w:eastAsia="zh-CN"/>
        </w:rPr>
        <w:t>涉及</w:t>
      </w:r>
      <w:r>
        <w:rPr>
          <w:rFonts w:hint="eastAsia" w:eastAsia="仿宋_GB2312" w:cs="Times New Roman"/>
          <w:szCs w:val="32"/>
          <w:lang w:val="zh-CN" w:eastAsia="zh-CN"/>
        </w:rPr>
        <w:t>二、三级</w:t>
      </w:r>
      <w:r>
        <w:rPr>
          <w:rFonts w:hint="default" w:eastAsia="仿宋_GB2312" w:cs="Times New Roman"/>
          <w:szCs w:val="32"/>
          <w:lang w:val="zh-CN" w:eastAsia="zh-CN"/>
        </w:rPr>
        <w:t>指标进行</w:t>
      </w:r>
      <w:r>
        <w:rPr>
          <w:rFonts w:hint="eastAsia" w:eastAsia="仿宋_GB2312" w:cs="Times New Roman"/>
          <w:szCs w:val="32"/>
          <w:lang w:val="zh-CN" w:eastAsia="zh-CN"/>
        </w:rPr>
        <w:t>逐项</w:t>
      </w:r>
      <w:r>
        <w:rPr>
          <w:rFonts w:hint="default" w:eastAsia="仿宋_GB2312" w:cs="Times New Roman"/>
          <w:szCs w:val="32"/>
          <w:lang w:val="zh-CN" w:eastAsia="zh-CN"/>
        </w:rPr>
        <w:t>绩效分析</w:t>
      </w:r>
      <w:r>
        <w:rPr>
          <w:rFonts w:hint="eastAsia" w:eastAsia="仿宋_GB2312" w:cs="Times New Roman"/>
          <w:szCs w:val="32"/>
          <w:lang w:val="zh-CN" w:eastAsia="zh-CN"/>
        </w:rPr>
        <w:t>并评分</w:t>
      </w:r>
      <w:r>
        <w:rPr>
          <w:rFonts w:hint="eastAsia" w:cs="Times New Roman"/>
          <w:szCs w:val="32"/>
          <w:lang w:val="en-US" w:eastAsia="zh-CN"/>
        </w:rPr>
        <w:t>。</w:t>
      </w:r>
    </w:p>
    <w:p w14:paraId="6D577FD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C1D5DF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outlineLvl w:val="9"/>
        <w:rPr>
          <w:rFonts w:hint="default" w:ascii="Times New Roman" w:hAnsi="Times New Roman" w:eastAsia="仿宋_GB2312" w:cs="Times New Roman"/>
          <w:color w:val="auto"/>
          <w:szCs w:val="32"/>
          <w:lang w:val="zh-CN" w:eastAsia="zh-CN"/>
        </w:rPr>
      </w:pPr>
      <w:r>
        <w:rPr>
          <w:rFonts w:hint="default" w:ascii="Times New Roman" w:hAnsi="Times New Roman" w:eastAsia="仿宋_GB2312" w:cs="Times New Roman"/>
          <w:color w:val="auto"/>
          <w:szCs w:val="32"/>
          <w:lang w:val="zh-CN" w:eastAsia="zh-CN"/>
        </w:rPr>
        <w:t>1.项目决策。本项目的立项依据充分，程序规范，实施前按财政预算绩效管理要求申报绩效目标并开展事前绩效评估。</w:t>
      </w:r>
    </w:p>
    <w:p w14:paraId="6ACD153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outlineLvl w:val="9"/>
        <w:rPr>
          <w:rFonts w:hint="default" w:ascii="Times New Roman" w:hAnsi="Times New Roman" w:eastAsia="仿宋_GB2312" w:cs="Times New Roman"/>
          <w:color w:val="auto"/>
          <w:szCs w:val="32"/>
          <w:lang w:val="zh-CN" w:eastAsia="zh-CN"/>
        </w:rPr>
      </w:pPr>
      <w:r>
        <w:rPr>
          <w:rFonts w:hint="default" w:ascii="Times New Roman" w:hAnsi="Times New Roman" w:eastAsia="仿宋_GB2312" w:cs="Times New Roman"/>
          <w:color w:val="auto"/>
          <w:szCs w:val="32"/>
          <w:lang w:val="zh-CN" w:eastAsia="zh-CN"/>
        </w:rPr>
        <w:t>2.项目管理。按照市财政局相关资金管理办法进行项目管理。</w:t>
      </w:r>
    </w:p>
    <w:p w14:paraId="4009D9E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outlineLvl w:val="9"/>
        <w:rPr>
          <w:rFonts w:hint="default" w:ascii="Times New Roman" w:hAnsi="Times New Roman" w:eastAsia="仿宋_GB2312" w:cs="Times New Roman"/>
          <w:color w:val="auto"/>
          <w:szCs w:val="32"/>
          <w:lang w:val="zh-CN" w:eastAsia="zh-CN"/>
        </w:rPr>
      </w:pPr>
      <w:r>
        <w:rPr>
          <w:rFonts w:hint="default" w:ascii="Times New Roman" w:hAnsi="Times New Roman" w:eastAsia="仿宋_GB2312" w:cs="Times New Roman"/>
          <w:color w:val="auto"/>
          <w:szCs w:val="32"/>
          <w:lang w:val="zh-CN" w:eastAsia="zh-CN"/>
        </w:rPr>
        <w:t>3.项目实施。根据市财政局相关资金管理办法按照项目推进进度支付款项。</w:t>
      </w:r>
    </w:p>
    <w:p w14:paraId="722FC29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outlineLvl w:val="9"/>
        <w:rPr>
          <w:rFonts w:hint="default" w:ascii="Times New Roman" w:hAnsi="Times New Roman" w:eastAsia="仿宋_GB2312" w:cs="Times New Roman"/>
          <w:color w:val="auto"/>
          <w:szCs w:val="32"/>
          <w:lang w:val="zh-CN" w:eastAsia="zh-CN"/>
        </w:rPr>
      </w:pPr>
      <w:r>
        <w:rPr>
          <w:rFonts w:hint="default" w:ascii="Times New Roman" w:hAnsi="Times New Roman" w:eastAsia="仿宋_GB2312" w:cs="Times New Roman"/>
          <w:color w:val="auto"/>
          <w:szCs w:val="32"/>
          <w:lang w:val="zh-CN" w:eastAsia="zh-CN"/>
        </w:rPr>
        <w:t>4.项目结果。</w:t>
      </w:r>
      <w:r>
        <w:rPr>
          <w:rFonts w:hint="default" w:ascii="Times New Roman" w:hAnsi="Times New Roman" w:eastAsia="仿宋_GB2312"/>
          <w:color w:val="auto"/>
          <w:kern w:val="2"/>
          <w:sz w:val="32"/>
          <w:szCs w:val="32"/>
          <w:highlight w:val="none"/>
          <w:lang w:val="zh-CN"/>
        </w:rPr>
        <w:t>项目争</w:t>
      </w:r>
      <w:r>
        <w:rPr>
          <w:rFonts w:hint="default" w:ascii="Times New Roman" w:hAnsi="Times New Roman" w:eastAsia="仿宋_GB2312" w:cs="Times New Roman"/>
          <w:color w:val="auto"/>
          <w:szCs w:val="32"/>
          <w:lang w:val="zh-CN" w:eastAsia="zh-CN"/>
        </w:rPr>
        <w:t>取前期工作经费调整预算15万元到区级粮油储备规模经费，全部完成预定绩效。</w:t>
      </w:r>
    </w:p>
    <w:p w14:paraId="7ECA44F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517D1028">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“项目争取前期工作经费”财政拨款拨款预算资金使用情况与年初预算项目“2023年第一批项目前期工作经费”一致，为</w:t>
      </w:r>
      <w:r>
        <w:rPr>
          <w:rFonts w:hint="eastAsia" w:ascii="仿宋_GB2312" w:hAnsi="仿宋_GB2312" w:eastAsia="仿宋_GB2312" w:cs="仿宋_GB2312"/>
          <w:b w:val="0"/>
          <w:bCs w:val="0"/>
          <w:kern w:val="0"/>
          <w:position w:val="0"/>
          <w:sz w:val="32"/>
          <w:szCs w:val="32"/>
          <w:highlight w:val="none"/>
          <w:lang w:val="zh-CN" w:eastAsia="zh-CN" w:bidi="ar-SA"/>
        </w:rPr>
        <w:t>推进项目前期及资金争取相关工作，确保全区政府投资项目早开工、早建成、早达效，为争取上级资金打下坚实基础。</w:t>
      </w:r>
      <w:r>
        <w:rPr>
          <w:rFonts w:hint="eastAsia" w:ascii="仿宋_GB2312" w:hAnsi="仿宋_GB2312" w:eastAsia="仿宋_GB2312" w:cs="仿宋_GB2312"/>
          <w:b w:val="0"/>
          <w:bCs w:val="0"/>
          <w:kern w:val="0"/>
          <w:position w:val="0"/>
          <w:sz w:val="32"/>
          <w:szCs w:val="32"/>
          <w:highlight w:val="none"/>
          <w:lang w:val="en-US" w:eastAsia="zh-CN" w:bidi="ar-SA"/>
        </w:rPr>
        <w:t>2024年完成</w:t>
      </w:r>
      <w:r>
        <w:rPr>
          <w:rFonts w:hint="default" w:ascii="Times New Roman" w:hAnsi="Times New Roman" w:eastAsia="仿宋_GB2312" w:cs="Times New Roman"/>
          <w:b w:val="0"/>
          <w:color w:val="000000" w:themeColor="text1"/>
          <w:spacing w:val="0"/>
          <w:kern w:val="2"/>
          <w:sz w:val="32"/>
          <w:szCs w:val="32"/>
          <w:lang w:val="en-US" w:eastAsia="zh-CN" w:bidi="ar"/>
          <w14:textFill>
            <w14:solidFill>
              <w14:schemeClr w14:val="tx1"/>
            </w14:solidFill>
          </w14:textFill>
        </w:rPr>
        <w:t>动态储备项目391个，计划总投资3650亿元。</w:t>
      </w:r>
      <w:r>
        <w:rPr>
          <w:rFonts w:hint="default" w:ascii="Times New Roman" w:hAnsi="Times New Roman" w:eastAsia="仿宋_GB2312" w:cs="Times New Roman"/>
          <w:b w:val="0"/>
          <w:bCs w:val="0"/>
          <w:color w:val="000000" w:themeColor="text1"/>
          <w:spacing w:val="0"/>
          <w:kern w:val="2"/>
          <w:sz w:val="32"/>
          <w:szCs w:val="32"/>
          <w:lang w:eastAsia="zh-CN" w:bidi="ar-SA"/>
          <w14:textFill>
            <w14:solidFill>
              <w14:schemeClr w14:val="tx1"/>
            </w14:solidFill>
          </w14:textFill>
          <w:woUserID w:val="13"/>
        </w:rPr>
        <w:t>已争取</w:t>
      </w:r>
      <w:r>
        <w:rPr>
          <w:rFonts w:hint="eastAsia" w:ascii="Times New Roman" w:hAnsi="Times New Roman" w:eastAsia="仿宋_GB2312" w:cs="Times New Roman"/>
          <w:b w:val="0"/>
          <w:bCs w:val="0"/>
          <w:color w:val="000000" w:themeColor="text1"/>
          <w:spacing w:val="0"/>
          <w:kern w:val="2"/>
          <w:sz w:val="32"/>
          <w:szCs w:val="32"/>
          <w:lang w:eastAsia="zh-CN" w:bidi="ar-SA"/>
          <w14:textFill>
            <w14:solidFill>
              <w14:schemeClr w14:val="tx1"/>
            </w14:solidFill>
          </w14:textFill>
          <w:woUserID w:val="13"/>
        </w:rPr>
        <w:t>到</w:t>
      </w:r>
      <w:r>
        <w:rPr>
          <w:rFonts w:hint="eastAsia" w:ascii="Times New Roman" w:cs="Times New Roman"/>
          <w:b w:val="0"/>
          <w:bCs w:val="0"/>
          <w:color w:val="000000" w:themeColor="text1"/>
          <w:spacing w:val="0"/>
          <w:kern w:val="2"/>
          <w:sz w:val="32"/>
          <w:szCs w:val="32"/>
          <w:lang w:eastAsia="zh-CN" w:bidi="ar-SA"/>
          <w14:textFill>
            <w14:solidFill>
              <w14:schemeClr w14:val="tx1"/>
            </w14:solidFill>
          </w14:textFill>
          <w:woUserID w:val="13"/>
        </w:rPr>
        <w:t>中央、省委</w:t>
      </w:r>
      <w:r>
        <w:rPr>
          <w:rFonts w:hint="default" w:ascii="Times New Roman" w:hAnsi="Times New Roman" w:eastAsia="仿宋_GB2312" w:cs="Times New Roman"/>
          <w:b w:val="0"/>
          <w:bCs w:val="0"/>
          <w:color w:val="000000" w:themeColor="text1"/>
          <w:spacing w:val="0"/>
          <w:kern w:val="2"/>
          <w:sz w:val="32"/>
          <w:szCs w:val="32"/>
          <w:lang w:eastAsia="zh-CN" w:bidi="ar-SA"/>
          <w14:textFill>
            <w14:solidFill>
              <w14:schemeClr w14:val="tx1"/>
            </w14:solidFill>
          </w14:textFill>
          <w:woUserID w:val="13"/>
        </w:rPr>
        <w:t>预算内项目8个，争取资金1.2亿元，全市排名第二，争取地方政府专项债券项目10个，发行专项债券金额</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woUserID w:val="13"/>
        </w:rPr>
        <w:t>13.05</w:t>
      </w:r>
      <w:r>
        <w:rPr>
          <w:rFonts w:hint="default" w:ascii="Times New Roman" w:hAnsi="Times New Roman" w:eastAsia="仿宋_GB2312" w:cs="Times New Roman"/>
          <w:b w:val="0"/>
          <w:bCs w:val="0"/>
          <w:color w:val="000000" w:themeColor="text1"/>
          <w:spacing w:val="0"/>
          <w:kern w:val="2"/>
          <w:sz w:val="32"/>
          <w:szCs w:val="32"/>
          <w:lang w:eastAsia="zh-CN" w:bidi="ar-SA"/>
          <w14:textFill>
            <w14:solidFill>
              <w14:schemeClr w14:val="tx1"/>
            </w14:solidFill>
          </w14:textFill>
          <w:woUserID w:val="13"/>
        </w:rPr>
        <w:t>亿元，争取超长期特别国债</w:t>
      </w:r>
      <w:r>
        <w:rPr>
          <w:rFonts w:hint="eastAsia" w:ascii="Times New Roman" w:hAnsi="Times New Roman" w:eastAsia="仿宋_GB2312" w:cs="Times New Roman"/>
          <w:b w:val="0"/>
          <w:bCs w:val="0"/>
          <w:color w:val="000000" w:themeColor="text1"/>
          <w:spacing w:val="0"/>
          <w:kern w:val="2"/>
          <w:sz w:val="32"/>
          <w:szCs w:val="32"/>
          <w:lang w:eastAsia="zh-CN" w:bidi="ar-SA"/>
          <w14:textFill>
            <w14:solidFill>
              <w14:schemeClr w14:val="tx1"/>
            </w14:solidFill>
          </w14:textFill>
          <w:woUserID w:val="13"/>
        </w:rPr>
        <w:t>项目</w:t>
      </w:r>
      <w:r>
        <w:rPr>
          <w:rFonts w:hint="default" w:ascii="Times New Roman" w:hAnsi="Times New Roman" w:eastAsia="仿宋_GB2312" w:cs="Times New Roman"/>
          <w:b w:val="0"/>
          <w:bCs w:val="0"/>
          <w:color w:val="000000" w:themeColor="text1"/>
          <w:spacing w:val="0"/>
          <w:kern w:val="2"/>
          <w:sz w:val="32"/>
          <w:szCs w:val="32"/>
          <w:lang w:eastAsia="zh-CN" w:bidi="ar-SA"/>
          <w14:textFill>
            <w14:solidFill>
              <w14:schemeClr w14:val="tx1"/>
            </w14:solidFill>
          </w14:textFill>
          <w:woUserID w:val="13"/>
        </w:rPr>
        <w:t>3个，争取资金0.6685亿元。争取2025年提前批中预资金860万元，目前，所有项目资金已全部下达。</w:t>
      </w:r>
    </w:p>
    <w:p w14:paraId="6B8F63D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506CB9A">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cs="Times New Roman"/>
          <w:color w:val="auto"/>
          <w:szCs w:val="32"/>
          <w:lang w:val="en-US" w:eastAsia="zh-CN"/>
        </w:rPr>
      </w:pPr>
      <w:r>
        <w:rPr>
          <w:rFonts w:hint="eastAsia" w:cs="Times New Roman"/>
          <w:color w:val="auto"/>
          <w:szCs w:val="32"/>
          <w:lang w:val="zh-CN" w:eastAsia="zh-CN"/>
        </w:rPr>
        <w:t>无</w:t>
      </w:r>
    </w:p>
    <w:p w14:paraId="13BF2AAD">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0A0E6CF9">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按照绩效评价批标体系，项目争取前期工作经费项目自评得分100分。自评结果说明“项目争取前期工作经费”项目为常年项目，项目决策、项目管理、项目实施和项目结果情况总体良好。</w:t>
      </w:r>
    </w:p>
    <w:p w14:paraId="2A154636">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763730E1">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7F6003FB">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FB1DD5D">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进一步加强资金使用管理，严格控制经费支出，保障项目前期工作持续、顺利开展</w:t>
      </w:r>
      <w:r>
        <w:rPr>
          <w:rFonts w:hint="eastAsia" w:ascii="仿宋_GB2312" w:hAnsi="仿宋_GB2312" w:cs="仿宋_GB2312"/>
          <w:b w:val="0"/>
          <w:bCs w:val="0"/>
          <w:kern w:val="0"/>
          <w:position w:val="0"/>
          <w:sz w:val="32"/>
          <w:szCs w:val="32"/>
          <w:highlight w:val="none"/>
          <w:lang w:val="en-US" w:eastAsia="zh-CN" w:bidi="ar-SA"/>
        </w:rPr>
        <w:t>。</w:t>
      </w:r>
    </w:p>
    <w:p w14:paraId="3BC34DF3">
      <w:pPr>
        <w:rPr>
          <w:rFonts w:hint="eastAsia"/>
          <w:lang w:val="en" w:eastAsia="zh-CN"/>
        </w:rPr>
      </w:pPr>
      <w:r>
        <w:rPr>
          <w:rFonts w:hint="eastAsia"/>
          <w:lang w:val="en" w:eastAsia="zh-CN"/>
        </w:rPr>
        <w:br w:type="page"/>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2E1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11099A7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6C8A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556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C1AA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项目争取前期工作经费</w:t>
            </w:r>
          </w:p>
        </w:tc>
      </w:tr>
      <w:tr w14:paraId="4FA4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C30A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75FB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遂宁市安居区发展和改革局</w:t>
            </w:r>
          </w:p>
        </w:tc>
      </w:tr>
      <w:tr w14:paraId="0D9B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36D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00B5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经常性项目</w:t>
            </w:r>
          </w:p>
        </w:tc>
      </w:tr>
      <w:tr w14:paraId="5896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9D2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6B3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6434F8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9D3C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3AE4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658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5C8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7E6F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3EBE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F74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169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4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8D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F0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9C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14:paraId="2AFF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0330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431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0839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遂安发改发〔</w:t>
            </w:r>
            <w:r>
              <w:rPr>
                <w:rFonts w:hint="eastAsia" w:ascii="宋体" w:hAnsi="宋体" w:eastAsia="宋体" w:cs="宋体"/>
                <w:i w:val="0"/>
                <w:color w:val="000000"/>
                <w:sz w:val="24"/>
                <w:szCs w:val="24"/>
                <w:u w:val="none"/>
                <w:lang w:val="en-US" w:eastAsia="zh-CN"/>
              </w:rPr>
              <w:t>2024〕293号</w:t>
            </w:r>
          </w:p>
        </w:tc>
      </w:tr>
      <w:tr w14:paraId="7AAA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B41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FA8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FEBF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1682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CCF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FD5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D791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63E7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A1B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959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309F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w:t>
            </w:r>
          </w:p>
        </w:tc>
      </w:tr>
      <w:tr w14:paraId="55AC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57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5260D8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C30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99B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442267.19</w:t>
            </w:r>
          </w:p>
        </w:tc>
      </w:tr>
      <w:tr w14:paraId="7144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E84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B0C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4AA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442267.19</w:t>
            </w:r>
          </w:p>
        </w:tc>
      </w:tr>
      <w:tr w14:paraId="6E2C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097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D3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9CE95">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3589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E9C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A73C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430E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CF8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1D491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2024年第一批</w:t>
            </w:r>
            <w:r>
              <w:rPr>
                <w:rFonts w:hint="eastAsia" w:ascii="宋体" w:hAnsi="宋体" w:eastAsia="宋体" w:cs="宋体"/>
                <w:i w:val="0"/>
                <w:color w:val="000000"/>
                <w:sz w:val="24"/>
                <w:szCs w:val="24"/>
                <w:u w:val="none"/>
              </w:rPr>
              <w:t>项目争取前期工作经费</w:t>
            </w:r>
          </w:p>
        </w:tc>
      </w:tr>
      <w:tr w14:paraId="215B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497BEA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D0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5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56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3E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36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7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CC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B8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0AA1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AD984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DE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E4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FAB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项目完成率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3FE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D8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8EF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F4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D64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98.28</w:t>
            </w:r>
          </w:p>
        </w:tc>
      </w:tr>
      <w:tr w14:paraId="26A3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02FCD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2DA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58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75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高质量完成项目争取工作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D1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28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2C30">
            <w:pPr>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59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8A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高</w:t>
            </w:r>
          </w:p>
        </w:tc>
      </w:tr>
      <w:tr w14:paraId="0A11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D5539F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02B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EB3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454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及时为项目争取前置条件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C79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7F6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C65B">
            <w:pPr>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81C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61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高</w:t>
            </w:r>
          </w:p>
        </w:tc>
      </w:tr>
      <w:tr w14:paraId="697C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B69580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A36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AD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经济效益指标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977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为经济发展争取更优化项目</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7C5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7B1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97E">
            <w:pPr>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22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DF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高</w:t>
            </w:r>
          </w:p>
        </w:tc>
      </w:tr>
      <w:tr w14:paraId="5D0F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5CF067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667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95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AD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服务对象满意度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AC6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3A3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F7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7D9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40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95</w:t>
            </w:r>
          </w:p>
        </w:tc>
      </w:tr>
      <w:tr w14:paraId="1820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C0429A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D6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C1D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AE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拨付工作经费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768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55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B6D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95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965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44.23</w:t>
            </w:r>
          </w:p>
        </w:tc>
      </w:tr>
    </w:tbl>
    <w:p w14:paraId="6CC8A403">
      <w:pPr>
        <w:pStyle w:val="10"/>
        <w:rPr>
          <w:rFonts w:hint="eastAsia"/>
          <w:lang w:val="en" w:eastAsia="zh-CN"/>
        </w:rPr>
      </w:pPr>
    </w:p>
    <w:p w14:paraId="09FC6B82">
      <w:pPr>
        <w:keepNext w:val="0"/>
        <w:keepLines w:val="0"/>
        <w:pageBreakBefore w:val="0"/>
        <w:kinsoku/>
        <w:wordWrap/>
        <w:overflowPunct/>
        <w:topLinePunct w:val="0"/>
        <w:autoSpaceDE/>
        <w:autoSpaceDN/>
        <w:bidi w:val="0"/>
        <w:adjustRightInd/>
        <w:snapToGrid/>
        <w:spacing w:line="590" w:lineRule="exact"/>
        <w:ind w:right="0" w:rightChars="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cs="Times New Roman"/>
          <w:color w:val="000000"/>
          <w:kern w:val="0"/>
          <w:szCs w:val="32"/>
          <w:highlight w:val="none"/>
          <w:shd w:val="clear" w:color="auto" w:fill="FFFFFF"/>
          <w:lang w:val="zh-CN" w:eastAsia="zh-CN"/>
        </w:rPr>
        <w:br w:type="page"/>
      </w:r>
    </w:p>
    <w:p w14:paraId="6517F1FC">
      <w:pPr>
        <w:pStyle w:val="10"/>
        <w:rPr>
          <w:rFonts w:hint="eastAsia"/>
          <w:lang w:val="en-US" w:eastAsia="zh-CN"/>
        </w:rPr>
      </w:pPr>
    </w:p>
    <w:p w14:paraId="4F76768C">
      <w:pPr>
        <w:widowControl/>
        <w:jc w:val="center"/>
        <w:outlineLvl w:val="0"/>
        <w:rPr>
          <w:rFonts w:hint="eastAsia" w:ascii="Times New Roman" w:hAnsi="Times New Roman" w:eastAsia="仿宋"/>
          <w:b w:val="0"/>
          <w:color w:val="auto"/>
          <w:highlight w:val="none"/>
        </w:rPr>
      </w:pPr>
      <w:bookmarkStart w:id="73" w:name="_Toc13351"/>
      <w:r>
        <w:rPr>
          <w:rFonts w:hint="eastAsia" w:ascii="Times New Roman" w:hAnsi="Times New Roman" w:eastAsia="黑体"/>
          <w:color w:val="auto"/>
          <w:sz w:val="44"/>
          <w:szCs w:val="44"/>
          <w:highlight w:val="none"/>
        </w:rPr>
        <w:t>第</w:t>
      </w:r>
      <w:r>
        <w:rPr>
          <w:rStyle w:val="33"/>
          <w:rFonts w:hint="eastAsia" w:ascii="Times New Roman" w:hAnsi="Times New Roman" w:eastAsia="黑体"/>
          <w:b w:val="0"/>
          <w:color w:val="auto"/>
          <w:highlight w:val="none"/>
        </w:rPr>
        <w:t>五部分 附表</w:t>
      </w:r>
      <w:bookmarkEnd w:id="68"/>
      <w:bookmarkEnd w:id="72"/>
      <w:bookmarkEnd w:id="73"/>
      <w:bookmarkStart w:id="74" w:name="_Toc15396619"/>
    </w:p>
    <w:p w14:paraId="00DE715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7BA601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5" w:name="_Toc9764"/>
      <w:r>
        <w:rPr>
          <w:rFonts w:hint="eastAsia" w:ascii="Times New Roman" w:hAnsi="Times New Roman" w:eastAsia="仿宋_GB2312" w:cs="仿宋_GB2312"/>
          <w:color w:val="auto"/>
          <w:sz w:val="32"/>
          <w:szCs w:val="32"/>
          <w:highlight w:val="none"/>
        </w:rPr>
        <w:t>一、收入支出决算总表</w:t>
      </w:r>
      <w:bookmarkEnd w:id="74"/>
      <w:bookmarkEnd w:id="75"/>
    </w:p>
    <w:p w14:paraId="4B32196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6" w:name="_Toc15396620"/>
      <w:bookmarkStart w:id="77" w:name="_Toc2175"/>
      <w:r>
        <w:rPr>
          <w:rFonts w:hint="eastAsia" w:ascii="Times New Roman" w:hAnsi="Times New Roman" w:eastAsia="仿宋_GB2312" w:cs="仿宋_GB2312"/>
          <w:color w:val="auto"/>
          <w:sz w:val="32"/>
          <w:szCs w:val="32"/>
          <w:highlight w:val="none"/>
        </w:rPr>
        <w:t>二、收入决算表</w:t>
      </w:r>
      <w:bookmarkEnd w:id="76"/>
      <w:bookmarkEnd w:id="77"/>
    </w:p>
    <w:p w14:paraId="45C8BBD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8" w:name="_Toc15396621"/>
      <w:bookmarkStart w:id="79" w:name="_Toc21485"/>
      <w:r>
        <w:rPr>
          <w:rFonts w:hint="eastAsia" w:ascii="Times New Roman" w:hAnsi="Times New Roman" w:eastAsia="仿宋_GB2312" w:cs="仿宋_GB2312"/>
          <w:color w:val="auto"/>
          <w:sz w:val="32"/>
          <w:szCs w:val="32"/>
          <w:highlight w:val="none"/>
        </w:rPr>
        <w:t>三、支出决算表</w:t>
      </w:r>
      <w:bookmarkEnd w:id="78"/>
      <w:bookmarkEnd w:id="79"/>
    </w:p>
    <w:p w14:paraId="719D322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0" w:name="_Toc2005"/>
      <w:bookmarkStart w:id="81" w:name="_Toc15396622"/>
      <w:r>
        <w:rPr>
          <w:rFonts w:hint="eastAsia" w:ascii="Times New Roman" w:hAnsi="Times New Roman" w:eastAsia="仿宋_GB2312" w:cs="仿宋_GB2312"/>
          <w:color w:val="auto"/>
          <w:sz w:val="32"/>
          <w:szCs w:val="32"/>
          <w:highlight w:val="none"/>
        </w:rPr>
        <w:t>四、财政拨款收入支出决算总表</w:t>
      </w:r>
      <w:bookmarkEnd w:id="80"/>
      <w:bookmarkEnd w:id="81"/>
    </w:p>
    <w:p w14:paraId="0BCF21E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2" w:name="_Toc15396623"/>
      <w:bookmarkStart w:id="83" w:name="_Toc8313"/>
      <w:r>
        <w:rPr>
          <w:rFonts w:hint="eastAsia" w:ascii="Times New Roman" w:hAnsi="Times New Roman" w:eastAsia="仿宋_GB2312" w:cs="仿宋_GB2312"/>
          <w:color w:val="auto"/>
          <w:sz w:val="32"/>
          <w:szCs w:val="32"/>
          <w:highlight w:val="none"/>
        </w:rPr>
        <w:t>五、财政拨款支出决算明细表</w:t>
      </w:r>
      <w:bookmarkEnd w:id="82"/>
      <w:bookmarkEnd w:id="83"/>
      <w:bookmarkStart w:id="84" w:name="_Toc15396624"/>
    </w:p>
    <w:p w14:paraId="4AE2D55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5" w:name="_Toc5287"/>
      <w:r>
        <w:rPr>
          <w:rFonts w:hint="eastAsia" w:ascii="Times New Roman" w:hAnsi="Times New Roman" w:eastAsia="仿宋_GB2312" w:cs="仿宋_GB2312"/>
          <w:color w:val="auto"/>
          <w:sz w:val="32"/>
          <w:szCs w:val="32"/>
          <w:highlight w:val="none"/>
        </w:rPr>
        <w:t>六、一般公共预算财政拨款支出决算表</w:t>
      </w:r>
      <w:bookmarkEnd w:id="84"/>
      <w:bookmarkEnd w:id="85"/>
    </w:p>
    <w:p w14:paraId="5D2F6F5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6" w:name="_Toc11330"/>
      <w:bookmarkStart w:id="87" w:name="_Toc15396625"/>
      <w:r>
        <w:rPr>
          <w:rFonts w:hint="eastAsia" w:ascii="Times New Roman" w:hAnsi="Times New Roman" w:eastAsia="仿宋_GB2312" w:cs="仿宋_GB2312"/>
          <w:color w:val="auto"/>
          <w:sz w:val="32"/>
          <w:szCs w:val="32"/>
          <w:highlight w:val="none"/>
        </w:rPr>
        <w:t>七、一般公共预算财政拨款支出决算明细表</w:t>
      </w:r>
      <w:bookmarkEnd w:id="86"/>
      <w:bookmarkEnd w:id="87"/>
    </w:p>
    <w:p w14:paraId="4575041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8" w:name="_Toc15396626"/>
      <w:bookmarkStart w:id="89" w:name="_Toc15792"/>
      <w:r>
        <w:rPr>
          <w:rFonts w:hint="eastAsia" w:ascii="Times New Roman" w:hAnsi="Times New Roman" w:eastAsia="仿宋_GB2312" w:cs="仿宋_GB2312"/>
          <w:color w:val="auto"/>
          <w:sz w:val="32"/>
          <w:szCs w:val="32"/>
          <w:highlight w:val="none"/>
        </w:rPr>
        <w:t>八、一般公共预算财政拨款基本支出决算表</w:t>
      </w:r>
      <w:bookmarkEnd w:id="88"/>
      <w:bookmarkEnd w:id="89"/>
    </w:p>
    <w:p w14:paraId="21EF82F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0" w:name="_Toc8854"/>
      <w:bookmarkStart w:id="91" w:name="_Toc15396627"/>
      <w:r>
        <w:rPr>
          <w:rFonts w:hint="eastAsia" w:ascii="Times New Roman" w:hAnsi="Times New Roman" w:eastAsia="仿宋_GB2312" w:cs="仿宋_GB2312"/>
          <w:color w:val="auto"/>
          <w:sz w:val="32"/>
          <w:szCs w:val="32"/>
          <w:highlight w:val="none"/>
        </w:rPr>
        <w:t>九、一般公共预算财政拨款项目支出决算表</w:t>
      </w:r>
      <w:bookmarkEnd w:id="90"/>
      <w:bookmarkEnd w:id="91"/>
    </w:p>
    <w:p w14:paraId="37DF99F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2" w:name="_Toc15396628"/>
      <w:bookmarkStart w:id="93" w:name="_Toc641"/>
      <w:r>
        <w:rPr>
          <w:rFonts w:hint="eastAsia" w:ascii="Times New Roman" w:hAnsi="Times New Roman" w:eastAsia="仿宋_GB2312" w:cs="仿宋_GB2312"/>
          <w:color w:val="auto"/>
          <w:sz w:val="32"/>
          <w:szCs w:val="32"/>
          <w:highlight w:val="none"/>
        </w:rPr>
        <w:t>十、</w:t>
      </w:r>
      <w:bookmarkEnd w:id="92"/>
      <w:r>
        <w:rPr>
          <w:rFonts w:hint="eastAsia" w:ascii="Times New Roman" w:hAnsi="Times New Roman" w:eastAsia="仿宋_GB2312" w:cs="仿宋_GB2312"/>
          <w:color w:val="auto"/>
          <w:sz w:val="32"/>
          <w:szCs w:val="32"/>
          <w:highlight w:val="none"/>
        </w:rPr>
        <w:t>政府性基金预算财政拨款收入支出决算表</w:t>
      </w:r>
      <w:bookmarkEnd w:id="93"/>
    </w:p>
    <w:p w14:paraId="1434EC8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4" w:name="_Toc15396629"/>
      <w:bookmarkStart w:id="95" w:name="_Toc26713"/>
      <w:r>
        <w:rPr>
          <w:rFonts w:hint="eastAsia" w:ascii="Times New Roman" w:hAnsi="Times New Roman" w:eastAsia="仿宋_GB2312" w:cs="仿宋_GB2312"/>
          <w:color w:val="auto"/>
          <w:sz w:val="32"/>
          <w:szCs w:val="32"/>
          <w:highlight w:val="none"/>
        </w:rPr>
        <w:t>十一、</w:t>
      </w:r>
      <w:bookmarkEnd w:id="9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95"/>
    </w:p>
    <w:p w14:paraId="7671E21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6" w:name="_Toc15396630"/>
      <w:bookmarkStart w:id="97" w:name="_Toc20922"/>
      <w:r>
        <w:rPr>
          <w:rFonts w:hint="eastAsia" w:ascii="Times New Roman" w:hAnsi="Times New Roman" w:eastAsia="仿宋_GB2312" w:cs="仿宋_GB2312"/>
          <w:color w:val="auto"/>
          <w:sz w:val="32"/>
          <w:szCs w:val="32"/>
          <w:highlight w:val="none"/>
        </w:rPr>
        <w:t>十二、</w:t>
      </w:r>
      <w:bookmarkEnd w:id="96"/>
      <w:r>
        <w:rPr>
          <w:rFonts w:hint="eastAsia" w:ascii="Times New Roman" w:hAnsi="Times New Roman" w:eastAsia="仿宋_GB2312" w:cs="仿宋_GB2312"/>
          <w:color w:val="auto"/>
          <w:sz w:val="32"/>
          <w:szCs w:val="32"/>
          <w:highlight w:val="none"/>
          <w:lang w:eastAsia="zh-CN"/>
        </w:rPr>
        <w:t>国有资本经营预算财政拨款支出决算表</w:t>
      </w:r>
      <w:bookmarkEnd w:id="97"/>
    </w:p>
    <w:p w14:paraId="56B02DF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98" w:name="_Toc15396631"/>
      <w:bookmarkStart w:id="99" w:name="_Toc455"/>
      <w:r>
        <w:rPr>
          <w:rFonts w:hint="eastAsia" w:ascii="Times New Roman" w:hAnsi="Times New Roman" w:eastAsia="仿宋_GB2312" w:cs="仿宋_GB2312"/>
          <w:color w:val="auto"/>
          <w:sz w:val="32"/>
          <w:szCs w:val="32"/>
          <w:highlight w:val="none"/>
        </w:rPr>
        <w:t>十三、</w:t>
      </w:r>
      <w:bookmarkEnd w:id="98"/>
      <w:r>
        <w:rPr>
          <w:rFonts w:hint="eastAsia" w:ascii="Times New Roman" w:hAnsi="Times New Roman" w:eastAsia="仿宋_GB2312" w:cs="仿宋_GB2312"/>
          <w:color w:val="auto"/>
          <w:sz w:val="32"/>
          <w:szCs w:val="32"/>
          <w:highlight w:val="none"/>
          <w:lang w:eastAsia="zh-CN"/>
        </w:rPr>
        <w:t>财政拨款“三公”经费支出决算表</w:t>
      </w:r>
      <w:bookmarkEnd w:id="99"/>
    </w:p>
    <w:p w14:paraId="3330CBF3">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黑体_GBK">
    <w:altName w:val="微软雅黑"/>
    <w:panose1 w:val="03000509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13"/>
      <w:jc w:val="center"/>
    </w:pPr>
  </w:p>
  <w:p w14:paraId="10E3E4B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3E7F">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9644">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5lNNmTICAABj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yECjVAAAABwEAAA8AAAAAAAAAAQAgAAAAIgAAAGRycy9kb3ducmV2LnhtbFBL&#10;AQIUABQAAAAIAIdO4kDmU02ZMgIAAGMEAAAOAAAAAAAAAAEAIAAAACQBAABkcnMvZTJvRG9jLnht&#10;bFBLBQYAAAAABgAGAFkBAADIBQAAAAA=&#10;">
              <v:fill on="f" focussize="0,0"/>
              <v:stroke on="f" weight="0.5pt"/>
              <v:imagedata o:title=""/>
              <o:lock v:ext="edit" aspectratio="f"/>
              <v:textbox inset="0mm,0mm,0mm,0mm" style="mso-fit-shape-to-text:t;">
                <w:txbxContent>
                  <w:p w14:paraId="09EC9644">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47658E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84F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85090" cy="15557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5090" cy="155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44AD0">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2.25pt;width:6.7pt;mso-position-horizontal:outside;mso-position-horizontal-relative:margin;z-index:251660288;mso-width-relative:page;mso-height-relative:page;" filled="f" stroked="f" coordsize="21600,21600" o:gfxdata="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HZUL1AAAAAUBAAAPAAAAAAAAAAEAIAAAACIAAABkcnMvZG93bnJldi54&#10;bWxQSwECFAAUAAAACACHTuJAYOwhVjcCAABiBAAADgAAAAAAAAABACAAAAAjAQAAZHJzL2Uyb0Rv&#10;Yy54bWxQSwUGAAAAAAYABgBZAQAAzAUAAAAA&#10;">
              <v:fill on="f" focussize="0,0"/>
              <v:stroke on="f" weight="0.5pt"/>
              <v:imagedata o:title=""/>
              <o:lock v:ext="edit" aspectratio="f"/>
              <v:textbox inset="0mm,0mm,0mm,0mm">
                <w:txbxContent>
                  <w:p w14:paraId="7DB44AD0">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63BA">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632460" cy="2540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3246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C8C14">
                          <w:pPr>
                            <w:pStyle w:val="1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20pt;width:49.8pt;mso-position-horizontal:outside;mso-position-horizontal-relative:margin;z-index:251661312;mso-width-relative:page;mso-height-relative:page;" filled="f" stroked="f" coordsize="21600,21600" o:gfxdata="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5pt+XWAAAABQEAAA8AAAAAAAAAAQAgAAAAIgAAAGRycy9kb3ducmV2Lnht&#10;bFBLAQIUABQAAAAIAIdO4kCoz1/gNAIAAGMEAAAOAAAAAAAAAAEAIAAAACUBAABkcnMvZTJvRG9j&#10;LnhtbFBLBQYAAAAABgAGAFkBAADLBQAAAAA=&#10;">
              <v:fill on="f" focussize="0,0"/>
              <v:stroke on="f" weight="0.5pt"/>
              <v:imagedata o:title=""/>
              <o:lock v:ext="edit" aspectratio="f"/>
              <v:textbox inset="0mm,0mm,0mm,0mm">
                <w:txbxContent>
                  <w:p w14:paraId="1ABC8C14">
                    <w:pPr>
                      <w:pStyle w:val="1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p w14:paraId="3834E851">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AE87D">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-9525</wp:posOffset>
              </wp:positionV>
              <wp:extent cx="579755" cy="33210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579755" cy="332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BC46D">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26.15pt;width:45.65pt;mso-position-horizontal:outside;mso-position-horizontal-relative:margin;z-index:251662336;mso-width-relative:page;mso-height-relative:page;" filled="f" stroked="f" coordsize="21600,21600" o:gfxdata="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shi71QAAAAUBAAAPAAAAAAAAAAEAIAAAACIAAABkcnMvZG93bnJl&#10;di54bWxQSwECFAAUAAAACACHTuJAL0o+9jkCAABjBAAADgAAAAAAAAABACAAAAAkAQAAZHJzL2Uy&#10;b0RvYy54bWxQSwUGAAAAAAYABgBZAQAAzwUAAAAA&#10;">
              <v:fill on="f" focussize="0,0"/>
              <v:stroke on="f" weight="0.5pt"/>
              <v:imagedata o:title=""/>
              <o:lock v:ext="edit" aspectratio="f"/>
              <v:textbox inset="0mm,0mm,0mm,0mm">
                <w:txbxContent>
                  <w:p w14:paraId="1F9BC46D">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5786C"/>
    <w:multiLevelType w:val="singleLevel"/>
    <w:tmpl w:val="8C25786C"/>
    <w:lvl w:ilvl="0" w:tentative="0">
      <w:start w:val="2"/>
      <w:numFmt w:val="chineseCounting"/>
      <w:suff w:val="nothing"/>
      <w:lvlText w:val="（%1）"/>
      <w:lvlJc w:val="left"/>
      <w:rPr>
        <w:rFonts w:hint="eastAsia"/>
      </w:rPr>
    </w:lvl>
  </w:abstractNum>
  <w:abstractNum w:abstractNumId="1">
    <w:nsid w:val="B536779C"/>
    <w:multiLevelType w:val="singleLevel"/>
    <w:tmpl w:val="B536779C"/>
    <w:lvl w:ilvl="0" w:tentative="0">
      <w:start w:val="2"/>
      <w:numFmt w:val="chineseCounting"/>
      <w:suff w:val="nothing"/>
      <w:lvlText w:val="（%1）"/>
      <w:lvlJc w:val="left"/>
      <w:rPr>
        <w:rFonts w:hint="eastAsia"/>
      </w:rPr>
    </w:lvl>
  </w:abstractNum>
  <w:abstractNum w:abstractNumId="2">
    <w:nsid w:val="C0CEBA7F"/>
    <w:multiLevelType w:val="singleLevel"/>
    <w:tmpl w:val="C0CEBA7F"/>
    <w:lvl w:ilvl="0" w:tentative="0">
      <w:start w:val="1"/>
      <w:numFmt w:val="decimal"/>
      <w:pStyle w:val="8"/>
      <w:lvlText w:val="%1."/>
      <w:lvlJc w:val="left"/>
      <w:pPr>
        <w:tabs>
          <w:tab w:val="left" w:pos="360"/>
        </w:tabs>
        <w:ind w:left="360" w:hanging="360"/>
      </w:pPr>
    </w:lvl>
  </w:abstractNum>
  <w:abstractNum w:abstractNumId="3">
    <w:nsid w:val="EAC347A6"/>
    <w:multiLevelType w:val="singleLevel"/>
    <w:tmpl w:val="EAC347A6"/>
    <w:lvl w:ilvl="0" w:tentative="0">
      <w:start w:val="2"/>
      <w:numFmt w:val="chineseCounting"/>
      <w:suff w:val="nothing"/>
      <w:lvlText w:val="（%1）"/>
      <w:lvlJc w:val="left"/>
      <w:rPr>
        <w:rFonts w:hint="eastAsia"/>
      </w:rPr>
    </w:lvl>
  </w:abstractNum>
  <w:abstractNum w:abstractNumId="4">
    <w:nsid w:val="083F2996"/>
    <w:multiLevelType w:val="singleLevel"/>
    <w:tmpl w:val="083F2996"/>
    <w:lvl w:ilvl="0" w:tentative="0">
      <w:start w:val="2"/>
      <w:numFmt w:val="chineseCounting"/>
      <w:suff w:val="nothing"/>
      <w:lvlText w:val="（%1）"/>
      <w:lvlJc w:val="left"/>
      <w:rPr>
        <w:rFonts w:hint="eastAsia"/>
      </w:rPr>
    </w:lvl>
  </w:abstractNum>
  <w:abstractNum w:abstractNumId="5">
    <w:nsid w:val="0DAB6A2D"/>
    <w:multiLevelType w:val="singleLevel"/>
    <w:tmpl w:val="0DAB6A2D"/>
    <w:lvl w:ilvl="0" w:tentative="0">
      <w:start w:val="2"/>
      <w:numFmt w:val="chineseCounting"/>
      <w:suff w:val="nothing"/>
      <w:lvlText w:val="（%1）"/>
      <w:lvlJc w:val="left"/>
      <w:rPr>
        <w:rFonts w:hint="eastAsia"/>
      </w:rPr>
    </w:lvl>
  </w:abstractNum>
  <w:abstractNum w:abstractNumId="6">
    <w:nsid w:val="1267AA74"/>
    <w:multiLevelType w:val="singleLevel"/>
    <w:tmpl w:val="1267AA74"/>
    <w:lvl w:ilvl="0" w:tentative="0">
      <w:start w:val="3"/>
      <w:numFmt w:val="chineseCounting"/>
      <w:suff w:val="nothing"/>
      <w:lvlText w:val="（%1）"/>
      <w:lvlJc w:val="left"/>
      <w:rPr>
        <w:rFonts w:hint="eastAsia"/>
      </w:rPr>
    </w:lvl>
  </w:abstractNum>
  <w:abstractNum w:abstractNumId="7">
    <w:nsid w:val="42BFC281"/>
    <w:multiLevelType w:val="singleLevel"/>
    <w:tmpl w:val="42BFC281"/>
    <w:lvl w:ilvl="0" w:tentative="0">
      <w:start w:val="2"/>
      <w:numFmt w:val="chineseCounting"/>
      <w:suff w:val="nothing"/>
      <w:lvlText w:val="（%1）"/>
      <w:lvlJc w:val="left"/>
      <w:rPr>
        <w:rFonts w:hint="eastAsia"/>
      </w:rPr>
    </w:lvl>
  </w:abstractNum>
  <w:abstractNum w:abstractNumId="8">
    <w:nsid w:val="7228E155"/>
    <w:multiLevelType w:val="singleLevel"/>
    <w:tmpl w:val="7228E155"/>
    <w:lvl w:ilvl="0" w:tentative="0">
      <w:start w:val="3"/>
      <w:numFmt w:val="chineseCounting"/>
      <w:suff w:val="nothing"/>
      <w:lvlText w:val="（%1）"/>
      <w:lvlJc w:val="left"/>
      <w:rPr>
        <w:rFonts w:hint="eastAsia"/>
      </w:rPr>
    </w:lvl>
  </w:abstractNum>
  <w:num w:numId="1">
    <w:abstractNumId w:val="2"/>
  </w:num>
  <w:num w:numId="2">
    <w:abstractNumId w:val="5"/>
  </w:num>
  <w:num w:numId="3">
    <w:abstractNumId w:val="7"/>
  </w:num>
  <w:num w:numId="4">
    <w:abstractNumId w:val="0"/>
  </w:num>
  <w:num w:numId="5">
    <w:abstractNumId w:val="8"/>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TRkZTM2YmM4MzVhYzhlZTk1MjY0OTcyODk0Y2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BE9"/>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11C5A"/>
    <w:rsid w:val="015975B8"/>
    <w:rsid w:val="02FEBE30"/>
    <w:rsid w:val="03A43B2E"/>
    <w:rsid w:val="061D6D0E"/>
    <w:rsid w:val="061E35DE"/>
    <w:rsid w:val="066E0107"/>
    <w:rsid w:val="07996F6E"/>
    <w:rsid w:val="07DFD8BA"/>
    <w:rsid w:val="080A3E35"/>
    <w:rsid w:val="08FC2CBB"/>
    <w:rsid w:val="09867E8F"/>
    <w:rsid w:val="0A2032A3"/>
    <w:rsid w:val="0CA8290A"/>
    <w:rsid w:val="0D35B1ED"/>
    <w:rsid w:val="0E275F46"/>
    <w:rsid w:val="0F98263C"/>
    <w:rsid w:val="0FAB538A"/>
    <w:rsid w:val="101860EC"/>
    <w:rsid w:val="10C055FF"/>
    <w:rsid w:val="11772AA4"/>
    <w:rsid w:val="118107EC"/>
    <w:rsid w:val="12D06838"/>
    <w:rsid w:val="13D50BC4"/>
    <w:rsid w:val="14213E6D"/>
    <w:rsid w:val="165E0673"/>
    <w:rsid w:val="16BB723D"/>
    <w:rsid w:val="186504BB"/>
    <w:rsid w:val="19A445FC"/>
    <w:rsid w:val="1BE8440E"/>
    <w:rsid w:val="1D155CEE"/>
    <w:rsid w:val="1D3732A0"/>
    <w:rsid w:val="1E740ACF"/>
    <w:rsid w:val="1FF35744"/>
    <w:rsid w:val="1FF6BC77"/>
    <w:rsid w:val="23860B96"/>
    <w:rsid w:val="240371BF"/>
    <w:rsid w:val="24EF36F3"/>
    <w:rsid w:val="260F557C"/>
    <w:rsid w:val="281408E2"/>
    <w:rsid w:val="28731C00"/>
    <w:rsid w:val="29FD04D3"/>
    <w:rsid w:val="2B3D4D7E"/>
    <w:rsid w:val="2BFF7BC6"/>
    <w:rsid w:val="2C7030AE"/>
    <w:rsid w:val="2C8A61B5"/>
    <w:rsid w:val="2CB35E6A"/>
    <w:rsid w:val="2CD671C9"/>
    <w:rsid w:val="2DCD42C6"/>
    <w:rsid w:val="2DF04E50"/>
    <w:rsid w:val="2E701821"/>
    <w:rsid w:val="2F040D46"/>
    <w:rsid w:val="2FAE5751"/>
    <w:rsid w:val="2FB1A395"/>
    <w:rsid w:val="2FD9A7D8"/>
    <w:rsid w:val="319F7F4E"/>
    <w:rsid w:val="3304709D"/>
    <w:rsid w:val="345C6685"/>
    <w:rsid w:val="349D6851"/>
    <w:rsid w:val="36657FE2"/>
    <w:rsid w:val="36AA5135"/>
    <w:rsid w:val="36BE0DA7"/>
    <w:rsid w:val="376B6AA6"/>
    <w:rsid w:val="376D39B2"/>
    <w:rsid w:val="37E16F03"/>
    <w:rsid w:val="37F53A3B"/>
    <w:rsid w:val="389B6C89"/>
    <w:rsid w:val="38D469F0"/>
    <w:rsid w:val="39627CCD"/>
    <w:rsid w:val="397BAF1F"/>
    <w:rsid w:val="3AB79AF3"/>
    <w:rsid w:val="3B3B31B7"/>
    <w:rsid w:val="3B7EF35A"/>
    <w:rsid w:val="3B9FDB6C"/>
    <w:rsid w:val="3BF5BC2F"/>
    <w:rsid w:val="3CEBA265"/>
    <w:rsid w:val="3D815D7B"/>
    <w:rsid w:val="3D98207C"/>
    <w:rsid w:val="3DA1204F"/>
    <w:rsid w:val="3DEE7CF3"/>
    <w:rsid w:val="3E78745D"/>
    <w:rsid w:val="3FDB0206"/>
    <w:rsid w:val="3FF4CAE0"/>
    <w:rsid w:val="3FF7B227"/>
    <w:rsid w:val="4182549A"/>
    <w:rsid w:val="432F1853"/>
    <w:rsid w:val="43C60D78"/>
    <w:rsid w:val="44E268DA"/>
    <w:rsid w:val="458D5DEE"/>
    <w:rsid w:val="471853BE"/>
    <w:rsid w:val="48223734"/>
    <w:rsid w:val="486A6C7A"/>
    <w:rsid w:val="4A627F82"/>
    <w:rsid w:val="4B0E749A"/>
    <w:rsid w:val="4B4B11F4"/>
    <w:rsid w:val="4B4F25DA"/>
    <w:rsid w:val="4BE068DB"/>
    <w:rsid w:val="4CE04084"/>
    <w:rsid w:val="4D577224"/>
    <w:rsid w:val="4D7F0CE1"/>
    <w:rsid w:val="4DBF1CEB"/>
    <w:rsid w:val="4DBF39A0"/>
    <w:rsid w:val="4EAB630A"/>
    <w:rsid w:val="4ECE2238"/>
    <w:rsid w:val="4F833267"/>
    <w:rsid w:val="4FE9BD67"/>
    <w:rsid w:val="4FFB052F"/>
    <w:rsid w:val="507363FD"/>
    <w:rsid w:val="51486FB3"/>
    <w:rsid w:val="537E6D0A"/>
    <w:rsid w:val="53F74C96"/>
    <w:rsid w:val="55882F9A"/>
    <w:rsid w:val="5624575A"/>
    <w:rsid w:val="56E47B74"/>
    <w:rsid w:val="572823EA"/>
    <w:rsid w:val="57BD3DD4"/>
    <w:rsid w:val="5A666567"/>
    <w:rsid w:val="5AF92295"/>
    <w:rsid w:val="5BDD79E6"/>
    <w:rsid w:val="5BF561CA"/>
    <w:rsid w:val="5BFF5DFC"/>
    <w:rsid w:val="5CD71FC4"/>
    <w:rsid w:val="5D1F11B5"/>
    <w:rsid w:val="5DAE1B18"/>
    <w:rsid w:val="5DE7D9E5"/>
    <w:rsid w:val="5ECEC941"/>
    <w:rsid w:val="5FBF9FF3"/>
    <w:rsid w:val="5FCD4E2C"/>
    <w:rsid w:val="5FEF394A"/>
    <w:rsid w:val="5FF67715"/>
    <w:rsid w:val="61A82AA5"/>
    <w:rsid w:val="62BF3928"/>
    <w:rsid w:val="647F5392"/>
    <w:rsid w:val="664B1D71"/>
    <w:rsid w:val="66ED1F75"/>
    <w:rsid w:val="67AA3209"/>
    <w:rsid w:val="68364600"/>
    <w:rsid w:val="698D0931"/>
    <w:rsid w:val="6B053271"/>
    <w:rsid w:val="6B421874"/>
    <w:rsid w:val="6C4A05C8"/>
    <w:rsid w:val="6C6929E0"/>
    <w:rsid w:val="6C8742B8"/>
    <w:rsid w:val="6DBF5E93"/>
    <w:rsid w:val="6DFF077E"/>
    <w:rsid w:val="6E7E3605"/>
    <w:rsid w:val="6E7FDCC7"/>
    <w:rsid w:val="6E9A3775"/>
    <w:rsid w:val="6ED6A62E"/>
    <w:rsid w:val="6EE00B15"/>
    <w:rsid w:val="6F1C418A"/>
    <w:rsid w:val="6F6FB3EB"/>
    <w:rsid w:val="6F8731EA"/>
    <w:rsid w:val="6FCE6052"/>
    <w:rsid w:val="6FD57C00"/>
    <w:rsid w:val="6FEFFFD8"/>
    <w:rsid w:val="6FF5CC65"/>
    <w:rsid w:val="6FFB47EC"/>
    <w:rsid w:val="6FFF034A"/>
    <w:rsid w:val="70E90DC7"/>
    <w:rsid w:val="712A28F1"/>
    <w:rsid w:val="715C0E4B"/>
    <w:rsid w:val="72233669"/>
    <w:rsid w:val="72734D90"/>
    <w:rsid w:val="7332FE48"/>
    <w:rsid w:val="73AB61DA"/>
    <w:rsid w:val="73AD73D5"/>
    <w:rsid w:val="73B6EB34"/>
    <w:rsid w:val="73FA497D"/>
    <w:rsid w:val="744731E5"/>
    <w:rsid w:val="74BBD01D"/>
    <w:rsid w:val="74ED5379"/>
    <w:rsid w:val="75DEEEC2"/>
    <w:rsid w:val="767825EE"/>
    <w:rsid w:val="76E3355F"/>
    <w:rsid w:val="76FF5125"/>
    <w:rsid w:val="776E43C4"/>
    <w:rsid w:val="776F6FFA"/>
    <w:rsid w:val="778769C8"/>
    <w:rsid w:val="77DC22F5"/>
    <w:rsid w:val="78B63A51"/>
    <w:rsid w:val="79086DAD"/>
    <w:rsid w:val="79D7FD79"/>
    <w:rsid w:val="79EE5BA4"/>
    <w:rsid w:val="7A1203BE"/>
    <w:rsid w:val="7A894339"/>
    <w:rsid w:val="7AFF7572"/>
    <w:rsid w:val="7B6C7DFB"/>
    <w:rsid w:val="7BBFBED0"/>
    <w:rsid w:val="7BC3E394"/>
    <w:rsid w:val="7C1F3737"/>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黑体" w:cs="Times New Roman"/>
      <w:kern w:val="2"/>
      <w:sz w:val="32"/>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annotation text"/>
    <w:basedOn w:val="1"/>
    <w:semiHidden/>
    <w:unhideWhenUsed/>
    <w:qFormat/>
    <w:uiPriority w:val="99"/>
    <w:pPr>
      <w:jc w:val="left"/>
    </w:pPr>
  </w:style>
  <w:style w:type="paragraph" w:styleId="10">
    <w:name w:val="Body Text"/>
    <w:basedOn w:val="1"/>
    <w:link w:val="30"/>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6"/>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basedOn w:val="1"/>
    <w:next w:val="23"/>
    <w:qFormat/>
    <w:uiPriority w:val="0"/>
    <w:pPr>
      <w:widowControl/>
      <w:spacing w:before="158" w:after="153" w:line="323" w:lineRule="atLeast"/>
      <w:ind w:right="-120"/>
      <w:jc w:val="center"/>
      <w:textAlignment w:val="baseline"/>
    </w:pPr>
    <w:rPr>
      <w:rFonts w:ascii="Times New Roman" w:hAnsi="Times New Roman" w:eastAsia="宋体" w:cs="Times New Roman"/>
      <w:color w:val="FF0000"/>
      <w:sz w:val="18"/>
    </w:rPr>
  </w:style>
  <w:style w:type="paragraph" w:customStyle="1" w:styleId="23">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sz w:val="28"/>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4"/>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3"/>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10"/>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9"/>
    <w:link w:val="5"/>
    <w:qFormat/>
    <w:uiPriority w:val="9"/>
    <w:rPr>
      <w:rFonts w:ascii="Times New Roman" w:hAnsi="Times New Roman"/>
      <w:b/>
      <w:bCs/>
      <w:kern w:val="44"/>
      <w:sz w:val="44"/>
      <w:szCs w:val="44"/>
    </w:rPr>
  </w:style>
  <w:style w:type="character" w:customStyle="1" w:styleId="34">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2"/>
    <w:semiHidden/>
    <w:qFormat/>
    <w:uiPriority w:val="99"/>
    <w:rPr>
      <w:rFonts w:ascii="Times New Roman" w:hAnsi="Times New Roman"/>
      <w:kern w:val="2"/>
      <w:sz w:val="18"/>
      <w:szCs w:val="18"/>
    </w:rPr>
  </w:style>
  <w:style w:type="character" w:customStyle="1" w:styleId="37">
    <w:name w:val="标题 3 Char"/>
    <w:basedOn w:val="19"/>
    <w:link w:val="7"/>
    <w:qFormat/>
    <w:uiPriority w:val="9"/>
    <w:rPr>
      <w:rFonts w:ascii="Times New Roman" w:hAnsi="Times New Roman"/>
      <w:b/>
      <w:bCs/>
      <w:kern w:val="2"/>
      <w:sz w:val="32"/>
      <w:szCs w:val="32"/>
    </w:r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91</Pages>
  <Words>15985</Words>
  <Characters>17323</Characters>
  <Lines>61</Lines>
  <Paragraphs>17</Paragraphs>
  <TotalTime>23</TotalTime>
  <ScaleCrop>false</ScaleCrop>
  <LinksUpToDate>false</LinksUpToDate>
  <CharactersWithSpaces>17373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2025-08-25T01:45:00Z</cp:lastPrinted>
  <dcterms:modified xsi:type="dcterms:W3CDTF">2025-09-19T02:53:59Z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0508E23E509940C7A0978BD0880C6043_13</vt:lpwstr>
  </property>
  <property fmtid="{D5CDD505-2E9C-101B-9397-08002B2CF9AE}" pid="4" name="KSOTemplateDocerSaveRecord">
    <vt:lpwstr>eyJoZGlkIjoiMjcwYjc0NzEyMzZlNTZmOWU5MGU4MTc5MzFmMjczNTkifQ==</vt:lpwstr>
  </property>
</Properties>
</file>