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520F92">
      <w:pPr>
        <w:pStyle w:val="76"/>
        <w:jc w:val="center"/>
        <w:rPr>
          <w:rFonts w:hint="default" w:ascii="Times New Roman" w:hAnsi="Times New Roman" w:eastAsia="方正小标宋简体" w:cs="Times New Roman"/>
          <w:color w:val="000000"/>
          <w:sz w:val="44"/>
          <w:szCs w:val="44"/>
        </w:rPr>
      </w:pPr>
      <w:bookmarkStart w:id="102" w:name="_GoBack"/>
      <w:bookmarkEnd w:id="102"/>
    </w:p>
    <w:p w14:paraId="1E938D7F">
      <w:pPr>
        <w:pStyle w:val="76"/>
        <w:jc w:val="center"/>
        <w:rPr>
          <w:rFonts w:ascii="Times New Roman" w:hAnsi="Times New Roman" w:eastAsia="方正小标宋简体"/>
          <w:color w:val="000000"/>
          <w:sz w:val="44"/>
          <w:szCs w:val="44"/>
        </w:rPr>
      </w:pPr>
    </w:p>
    <w:p w14:paraId="4DC039DD">
      <w:pPr>
        <w:pStyle w:val="76"/>
        <w:jc w:val="center"/>
        <w:rPr>
          <w:rFonts w:ascii="Times New Roman" w:hAnsi="Times New Roman" w:eastAsia="方正小标宋简体"/>
          <w:color w:val="000000"/>
          <w:sz w:val="44"/>
          <w:szCs w:val="44"/>
        </w:rPr>
      </w:pPr>
    </w:p>
    <w:p w14:paraId="13CE4670">
      <w:pPr>
        <w:pStyle w:val="76"/>
        <w:jc w:val="center"/>
        <w:rPr>
          <w:rFonts w:ascii="Times New Roman" w:hAnsi="Times New Roman" w:eastAsia="方正小标宋简体"/>
          <w:color w:val="000000"/>
          <w:sz w:val="44"/>
          <w:szCs w:val="44"/>
        </w:rPr>
      </w:pPr>
    </w:p>
    <w:p w14:paraId="6FAA8B99">
      <w:pPr>
        <w:pStyle w:val="76"/>
        <w:jc w:val="center"/>
        <w:rPr>
          <w:rFonts w:ascii="方正小标宋简体" w:hAnsi="方正小标宋简体" w:eastAsia="方正小标宋简体" w:cs="方正小标宋简体"/>
          <w:color w:val="000000"/>
          <w:sz w:val="52"/>
          <w:szCs w:val="52"/>
        </w:rPr>
      </w:pPr>
      <w:r>
        <w:rPr>
          <w:rFonts w:hint="eastAsia" w:ascii="Times New Roman" w:hAnsi="Times New Roman" w:eastAsia="方正小标宋简体" w:cs="方正小标宋简体"/>
          <w:color w:val="000000"/>
          <w:sz w:val="52"/>
          <w:szCs w:val="52"/>
        </w:rPr>
        <w:t>2024</w:t>
      </w:r>
      <w:r>
        <w:rPr>
          <w:rFonts w:hint="eastAsia" w:ascii="方正小标宋简体" w:hAnsi="方正小标宋简体" w:eastAsia="方正小标宋简体" w:cs="方正小标宋简体"/>
          <w:color w:val="000000"/>
          <w:sz w:val="52"/>
          <w:szCs w:val="52"/>
        </w:rPr>
        <w:t>年度</w:t>
      </w:r>
      <w:bookmarkStart w:id="0" w:name="_Toc15396476"/>
      <w:bookmarkStart w:id="1" w:name="_Toc15396598"/>
      <w:bookmarkStart w:id="2" w:name="_Toc15378442"/>
      <w:bookmarkStart w:id="3" w:name="_Toc15377194"/>
      <w:bookmarkStart w:id="4" w:name="_Toc15377426"/>
    </w:p>
    <w:p w14:paraId="6F879493">
      <w:pPr>
        <w:pStyle w:val="76"/>
        <w:jc w:val="center"/>
        <w:rPr>
          <w:rFonts w:hint="eastAsia"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四川省</w:t>
      </w:r>
      <w:bookmarkStart w:id="5" w:name="_Toc15306268"/>
      <w:r>
        <w:rPr>
          <w:rFonts w:hint="eastAsia" w:ascii="方正小标宋简体" w:hAnsi="方正小标宋简体" w:eastAsia="方正小标宋简体" w:cs="方正小标宋简体"/>
          <w:color w:val="000000"/>
          <w:sz w:val="52"/>
          <w:szCs w:val="52"/>
        </w:rPr>
        <w:t>遂宁市安居区科学技术协会</w:t>
      </w:r>
    </w:p>
    <w:p w14:paraId="09C95976">
      <w:pPr>
        <w:pStyle w:val="76"/>
        <w:jc w:val="center"/>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z w:val="52"/>
          <w:szCs w:val="52"/>
        </w:rPr>
        <w:t>部门决算</w:t>
      </w:r>
      <w:bookmarkEnd w:id="0"/>
      <w:bookmarkEnd w:id="1"/>
      <w:bookmarkEnd w:id="2"/>
      <w:bookmarkEnd w:id="3"/>
      <w:bookmarkEnd w:id="4"/>
      <w:bookmarkEnd w:id="5"/>
    </w:p>
    <w:p w14:paraId="448E6E5D">
      <w:pPr>
        <w:pStyle w:val="76"/>
        <w:spacing w:before="173"/>
        <w:rPr>
          <w:rFonts w:ascii="Times New Roman" w:eastAsia="方正小标宋简体"/>
          <w:sz w:val="44"/>
          <w:szCs w:val="44"/>
        </w:rPr>
      </w:pPr>
    </w:p>
    <w:p w14:paraId="75B41257">
      <w:pPr>
        <w:widowControl/>
        <w:jc w:val="center"/>
        <w:rPr>
          <w:rFonts w:eastAsia="方正小标宋简体"/>
          <w:sz w:val="36"/>
          <w:szCs w:val="36"/>
        </w:rPr>
      </w:pPr>
    </w:p>
    <w:p w14:paraId="2120D8F2">
      <w:pPr>
        <w:widowControl/>
        <w:jc w:val="center"/>
        <w:rPr>
          <w:rFonts w:eastAsia="方正小标宋简体"/>
          <w:sz w:val="36"/>
          <w:szCs w:val="36"/>
        </w:rPr>
      </w:pPr>
    </w:p>
    <w:p w14:paraId="142B14D5">
      <w:pPr>
        <w:widowControl/>
        <w:jc w:val="center"/>
        <w:rPr>
          <w:rFonts w:eastAsia="方正小标宋简体"/>
          <w:sz w:val="36"/>
          <w:szCs w:val="36"/>
        </w:rPr>
      </w:pPr>
    </w:p>
    <w:p w14:paraId="486D83B3">
      <w:pPr>
        <w:widowControl/>
        <w:jc w:val="center"/>
        <w:rPr>
          <w:rFonts w:eastAsia="方正小标宋简体"/>
          <w:sz w:val="36"/>
          <w:szCs w:val="36"/>
        </w:rPr>
      </w:pPr>
      <w:r>
        <w:rPr>
          <w:rFonts w:hint="eastAsia" w:eastAsia="方正小标宋简体"/>
          <w:sz w:val="36"/>
          <w:szCs w:val="36"/>
        </w:rPr>
        <w:t xml:space="preserve"> </w:t>
      </w:r>
    </w:p>
    <w:p w14:paraId="0467D9E5">
      <w:pPr>
        <w:widowControl/>
        <w:jc w:val="center"/>
        <w:rPr>
          <w:rFonts w:eastAsia="方正小标宋简体"/>
          <w:sz w:val="36"/>
          <w:szCs w:val="36"/>
        </w:rPr>
      </w:pPr>
    </w:p>
    <w:p w14:paraId="0DC56530">
      <w:pPr>
        <w:widowControl/>
        <w:jc w:val="center"/>
        <w:rPr>
          <w:rFonts w:eastAsia="方正小标宋简体"/>
          <w:sz w:val="36"/>
          <w:szCs w:val="36"/>
        </w:rPr>
      </w:pPr>
    </w:p>
    <w:p w14:paraId="3A06A82A">
      <w:pPr>
        <w:widowControl/>
        <w:jc w:val="center"/>
        <w:rPr>
          <w:rFonts w:eastAsia="方正小标宋简体"/>
          <w:sz w:val="36"/>
          <w:szCs w:val="36"/>
        </w:rPr>
      </w:pPr>
    </w:p>
    <w:p w14:paraId="6BF605AA">
      <w:pPr>
        <w:widowControl/>
        <w:jc w:val="center"/>
        <w:rPr>
          <w:rFonts w:eastAsia="方正小标宋简体"/>
          <w:sz w:val="36"/>
          <w:szCs w:val="36"/>
        </w:rPr>
      </w:pPr>
    </w:p>
    <w:p w14:paraId="25D17130">
      <w:pPr>
        <w:widowControl/>
        <w:jc w:val="center"/>
        <w:rPr>
          <w:rFonts w:eastAsia="方正小标宋简体"/>
          <w:sz w:val="36"/>
          <w:szCs w:val="36"/>
        </w:rPr>
      </w:pPr>
    </w:p>
    <w:p w14:paraId="468C0FF6">
      <w:pPr>
        <w:widowControl/>
        <w:rPr>
          <w:rFonts w:hint="eastAsia" w:eastAsia="方正小标宋简体"/>
          <w:sz w:val="36"/>
          <w:szCs w:val="36"/>
          <w:lang w:val="en-US" w:eastAsia="zh-CN"/>
        </w:rPr>
        <w:sectPr>
          <w:headerReference r:id="rId3" w:type="default"/>
          <w:footerReference r:id="rId4" w:type="default"/>
          <w:pgSz w:w="11905" w:h="16838"/>
          <w:pgMar w:top="2098" w:right="1474" w:bottom="1984" w:left="1587" w:header="851" w:footer="1587" w:gutter="0"/>
          <w:pgNumType w:fmt="decimal"/>
          <w:cols w:space="0" w:num="1"/>
          <w:rtlGutter w:val="0"/>
          <w:docGrid w:linePitch="0" w:charSpace="0"/>
        </w:sectPr>
      </w:pPr>
      <w:r>
        <w:rPr>
          <w:rFonts w:hint="eastAsia" w:eastAsia="方正小标宋简体"/>
          <w:sz w:val="36"/>
          <w:szCs w:val="36"/>
          <w:lang w:val="en-US" w:eastAsia="zh-CN"/>
        </w:rPr>
        <w:t xml:space="preserve"> </w:t>
      </w:r>
    </w:p>
    <w:sdt>
      <w:sdtPr>
        <w:rPr>
          <w:rFonts w:hint="eastAsia" w:ascii="方正小标宋简体" w:hAnsi="方正小标宋简体" w:eastAsia="方正小标宋简体" w:cs="方正小标宋简体"/>
          <w:sz w:val="44"/>
          <w:szCs w:val="44"/>
        </w:rPr>
        <w:id w:val="147481378"/>
        <w:docPartObj>
          <w:docPartGallery w:val="Table of Contents"/>
          <w:docPartUnique/>
        </w:docPartObj>
      </w:sdtPr>
      <w:sdtEndPr>
        <w:rPr>
          <w:rFonts w:hint="eastAsia" w:ascii="仿宋_GB2312" w:hAnsi="仿宋_GB2312" w:eastAsia="仿宋_GB2312" w:cs="仿宋_GB2312"/>
          <w:sz w:val="32"/>
          <w:szCs w:val="32"/>
        </w:rPr>
      </w:sdtEndPr>
      <w:sdtContent>
        <w:p w14:paraId="313CE998">
          <w:pPr>
            <w:jc w:val="center"/>
            <w:rPr>
              <w:rFonts w:hint="eastAsia" w:ascii="方正小标宋简体" w:hAnsi="方正小标宋简体" w:eastAsia="方正小标宋简体" w:cs="方正小标宋简体"/>
              <w:sz w:val="44"/>
              <w:szCs w:val="44"/>
            </w:rPr>
          </w:pPr>
          <w:bookmarkStart w:id="6" w:name="_Toc15396599"/>
          <w:bookmarkStart w:id="7" w:name="_Toc15377196"/>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14:paraId="0C4992BE">
          <w:pPr>
            <w:pStyle w:val="2"/>
            <w:rPr>
              <w:rFonts w:hint="eastAsia" w:ascii="仿宋_GB2312" w:hAnsi="仿宋_GB2312" w:eastAsia="仿宋_GB2312" w:cs="仿宋_GB2312"/>
              <w:sz w:val="28"/>
              <w:szCs w:val="28"/>
            </w:rPr>
          </w:pPr>
        </w:p>
        <w:p w14:paraId="3175F451">
          <w:pPr>
            <w:pStyle w:val="27"/>
            <w:tabs>
              <w:tab w:val="right" w:leader="dot" w:pos="8296"/>
            </w:tabs>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公开时间：</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Times New Roman" w:hAnsi="Times New Roman" w:eastAsia="仿宋_GB2312" w:cs="仿宋_GB2312"/>
              <w:sz w:val="32"/>
              <w:szCs w:val="32"/>
            </w:rPr>
            <w:t>08</w:t>
          </w:r>
          <w:r>
            <w:rPr>
              <w:rFonts w:hint="eastAsia" w:ascii="仿宋_GB2312" w:hAnsi="仿宋_GB2312" w:eastAsia="仿宋_GB2312" w:cs="仿宋_GB2312"/>
              <w:sz w:val="32"/>
              <w:szCs w:val="32"/>
            </w:rPr>
            <w:t>月</w:t>
          </w:r>
          <w:r>
            <w:rPr>
              <w:rFonts w:hint="eastAsia" w:ascii="Times New Roman" w:hAnsi="Times New Roman" w:eastAsia="仿宋_GB2312" w:cs="仿宋_GB2312"/>
              <w:sz w:val="32"/>
              <w:szCs w:val="32"/>
              <w:lang w:val="en-US" w:eastAsia="zh-CN"/>
            </w:rPr>
            <w:t>2</w:t>
          </w:r>
          <w:r>
            <w:rPr>
              <w:rFonts w:hint="eastAsia" w:ascii="Times New Roman" w:hAnsi="Times New Roman" w:cs="仿宋_GB2312"/>
              <w:sz w:val="32"/>
              <w:szCs w:val="32"/>
              <w:lang w:val="en-US" w:eastAsia="zh-CN"/>
            </w:rPr>
            <w:t>7</w:t>
          </w:r>
          <w:r>
            <w:rPr>
              <w:rFonts w:hint="eastAsia" w:ascii="仿宋_GB2312" w:hAnsi="仿宋_GB2312" w:eastAsia="仿宋_GB2312" w:cs="仿宋_GB2312"/>
              <w:sz w:val="32"/>
              <w:szCs w:val="32"/>
            </w:rPr>
            <w:t>日</w:t>
          </w:r>
        </w:p>
        <w:p w14:paraId="2CFE708E">
          <w:pPr>
            <w:pStyle w:val="2"/>
            <w:rPr>
              <w:rFonts w:hint="eastAsia" w:ascii="仿宋_GB2312" w:hAnsi="仿宋_GB2312" w:eastAsia="仿宋_GB2312" w:cs="仿宋_GB2312"/>
              <w:sz w:val="32"/>
              <w:szCs w:val="32"/>
            </w:rPr>
          </w:pPr>
        </w:p>
        <w:p w14:paraId="71B8B0FA">
          <w:pPr>
            <w:pStyle w:val="179"/>
            <w:keepNext w:val="0"/>
            <w:keepLines w:val="0"/>
            <w:pageBreakBefore w:val="0"/>
            <w:widowControl/>
            <w:tabs>
              <w:tab w:val="right" w:leader="dot" w:pos="90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"1-3" \h \u </w:instrText>
          </w:r>
          <w:r>
            <w:rPr>
              <w:rFonts w:hint="eastAsia" w:ascii="仿宋_GB2312" w:hAnsi="仿宋_GB2312" w:eastAsia="仿宋_GB2312" w:cs="仿宋_GB2312"/>
              <w:sz w:val="32"/>
              <w:szCs w:val="32"/>
            </w:rPr>
            <w:fldChar w:fldCharType="separate"/>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"_Toc9876"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第一部分 部门概况</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_Toc9876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15FBA22F">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"_Toc1145"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一、部门职责</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_Toc1145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553830A">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"_Toc3471"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二、机构设置</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_Toc3471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75132AE">
          <w:pPr>
            <w:pStyle w:val="179"/>
            <w:keepNext w:val="0"/>
            <w:keepLines w:val="0"/>
            <w:pageBreakBefore w:val="0"/>
            <w:widowControl/>
            <w:tabs>
              <w:tab w:val="right" w:leader="dot" w:pos="90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"_Toc8685"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第二部分 2024年度部门决算情况说明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_Toc8685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00F57CC">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"_Toc20001"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一、收入支出决算总体情况说明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_Toc20001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65FB9E62">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"_Toc25864"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二、收入决算情况说明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_Toc25864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CF05DCD">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"_Toc32156"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三、支出决算情况说明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_Toc32156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3AB6D9C1">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四、财政拨款收入支出决算总体情况说明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_Toc17137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DC60BAE">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"_Toc16000"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五、一般公共预算财政拨款支出决算情况说明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_Toc16000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FB1A8D5">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"_Toc8519"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六、一般公共预算财政拨款基本支出决算情况说明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fldChar w:fldCharType="end"/>
          </w:r>
        </w:p>
        <w:p w14:paraId="71187789">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"_Toc30667"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七、财政拨款“三公”经费支出决算情况说明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_Toc30667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32F16ED">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"_Toc21605"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八、政府性基金预算支出决算情况说明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_Toc21605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761BA03">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"_Toc32114"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九、国有资本经营预算支出决算情况说明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_Toc32114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22DAB37">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"_Toc13293"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十、其他重要事项的情况说明</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_Toc13293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451658B6">
          <w:pPr>
            <w:pStyle w:val="179"/>
            <w:keepNext w:val="0"/>
            <w:keepLines w:val="0"/>
            <w:pageBreakBefore w:val="0"/>
            <w:widowControl/>
            <w:tabs>
              <w:tab w:val="right" w:leader="dot" w:pos="90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"_Toc3245"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第三部分 名词解释</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_Toc3245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559F310A">
          <w:pPr>
            <w:pStyle w:val="179"/>
            <w:keepNext w:val="0"/>
            <w:keepLines w:val="0"/>
            <w:pageBreakBefore w:val="0"/>
            <w:widowControl/>
            <w:tabs>
              <w:tab w:val="right" w:leader="dot" w:pos="90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"_Toc766"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第四部分 附件</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PAGEREF _Toc766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fldChar w:fldCharType="end"/>
          </w:r>
        </w:p>
        <w:p w14:paraId="7664899C">
          <w:pPr>
            <w:pStyle w:val="179"/>
            <w:keepNext w:val="0"/>
            <w:keepLines w:val="0"/>
            <w:pageBreakBefore w:val="0"/>
            <w:widowControl/>
            <w:tabs>
              <w:tab w:val="right" w:leader="dot" w:pos="9026"/>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\l "_Toc14542"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第五部分 附表</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lang w:val="en-US" w:eastAsia="zh-CN"/>
            </w:rPr>
            <w:t>6</w:t>
          </w:r>
        </w:p>
        <w:p w14:paraId="611C5749">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"_Toc12137"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2E96092">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1E8BD90F">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"_Toc10180"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7CB75469">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"_Toc32314"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C7C0BF0">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DB24ADD">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"_Toc3636"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504AFFD8">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"_Toc21307"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768B791D">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"_Toc30350"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1FB84FF0">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"_Toc29843"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7E52DC6">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"_Toc17657"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十、政府性基金预算财政拨款收入支出决算表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4552DDFA">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"_Toc11540"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十一、国有资本经营预算财政拨款收入支出决算表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05D6FDBF">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"_Toc32462"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十二、国有资本经营预算财政拨款支出决算表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B5848B8">
          <w:pPr>
            <w:pStyle w:val="221"/>
            <w:keepNext w:val="0"/>
            <w:keepLines w:val="0"/>
            <w:pageBreakBefore w:val="0"/>
            <w:widowControl/>
            <w:tabs>
              <w:tab w:val="right" w:leader="dot" w:pos="9026"/>
            </w:tabs>
            <w:kinsoku/>
            <w:wordWrap/>
            <w:overflowPunct/>
            <w:topLinePunct w:val="0"/>
            <w:autoSpaceDE/>
            <w:autoSpaceDN/>
            <w:bidi w:val="0"/>
            <w:adjustRightInd/>
            <w:snapToGrid/>
            <w:spacing w:line="560" w:lineRule="exact"/>
            <w:ind w:left="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十三、财政拨款“三公”经费支出决算表</w:t>
          </w:r>
          <w:r>
            <w:rPr>
              <w:rFonts w:hint="eastAsia" w:ascii="仿宋_GB2312" w:hAnsi="仿宋_GB2312" w:eastAsia="仿宋_GB2312" w:cs="仿宋_GB2312"/>
              <w:sz w:val="32"/>
              <w:szCs w:val="32"/>
            </w:rPr>
            <w:tab/>
          </w: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Times New Roman" w:hAnsi="Times New Roman" w:eastAsia="仿宋_GB2312" w:cs="仿宋_GB2312"/>
              <w:sz w:val="32"/>
              <w:szCs w:val="32"/>
              <w:lang w:val="en-US" w:eastAsia="zh-CN"/>
            </w:rPr>
            <w:t>6</w:t>
          </w:r>
        </w:p>
        <w:p w14:paraId="6E0A7CF9">
          <w:pPr>
            <w:widowControl/>
            <w:spacing w:line="440" w:lineRule="exact"/>
            <w:rPr>
              <w:rFonts w:ascii="仿宋_GB2312" w:hAnsi="仿宋_GB2312" w:cs="仿宋_GB2312"/>
              <w:szCs w:val="32"/>
            </w:rPr>
          </w:pPr>
          <w:r>
            <w:rPr>
              <w:rFonts w:hint="eastAsia" w:ascii="仿宋_GB2312" w:hAnsi="仿宋_GB2312" w:eastAsia="仿宋_GB2312" w:cs="仿宋_GB2312"/>
              <w:sz w:val="32"/>
              <w:szCs w:val="32"/>
            </w:rPr>
            <w:fldChar w:fldCharType="end"/>
          </w:r>
        </w:p>
      </w:sdtContent>
    </w:sdt>
    <w:p w14:paraId="6BE9004F">
      <w:pPr>
        <w:widowControl/>
        <w:spacing w:line="440" w:lineRule="exact"/>
        <w:rPr>
          <w:rFonts w:eastAsia="仿宋"/>
          <w:sz w:val="24"/>
        </w:rPr>
        <w:sectPr>
          <w:footerReference r:id="rId5" w:type="default"/>
          <w:pgSz w:w="11905" w:h="16838"/>
          <w:pgMar w:top="2098" w:right="1474" w:bottom="1984" w:left="1587" w:header="851" w:footer="1587" w:gutter="0"/>
          <w:pgNumType w:fmt="decimal" w:start="1"/>
          <w:cols w:space="0" w:num="1"/>
          <w:rtlGutter w:val="0"/>
          <w:docGrid w:linePitch="0" w:charSpace="0"/>
        </w:sectPr>
      </w:pPr>
    </w:p>
    <w:p w14:paraId="7FF106C9">
      <w:pPr>
        <w:keepNext w:val="0"/>
        <w:keepLines w:val="0"/>
        <w:pageBreakBefore w:val="0"/>
        <w:widowControl/>
        <w:kinsoku/>
        <w:wordWrap/>
        <w:overflowPunct/>
        <w:topLinePunct w:val="0"/>
        <w:autoSpaceDE/>
        <w:autoSpaceDN/>
        <w:bidi w:val="0"/>
        <w:adjustRightInd/>
        <w:snapToGrid/>
        <w:spacing w:line="560" w:lineRule="exact"/>
        <w:ind w:firstLine="2183"/>
        <w:textAlignment w:val="auto"/>
        <w:outlineLvl w:val="0"/>
        <w:rPr>
          <w:rFonts w:hint="eastAsia" w:ascii="方正小标宋简体" w:hAnsi="方正小标宋简体" w:eastAsia="方正小标宋简体" w:cs="方正小标宋简体"/>
          <w:b w:val="0"/>
          <w:bCs w:val="0"/>
          <w:sz w:val="44"/>
          <w:szCs w:val="44"/>
        </w:rPr>
      </w:pPr>
      <w:bookmarkStart w:id="8" w:name="_Toc9876"/>
      <w:r>
        <w:rPr>
          <w:rFonts w:hint="eastAsia" w:ascii="方正小标宋简体" w:hAnsi="方正小标宋简体" w:eastAsia="方正小标宋简体" w:cs="方正小标宋简体"/>
          <w:sz w:val="44"/>
          <w:szCs w:val="44"/>
        </w:rPr>
        <w:t xml:space="preserve">第一部分 </w:t>
      </w:r>
      <w:r>
        <w:rPr>
          <w:rStyle w:val="145"/>
          <w:rFonts w:hint="eastAsia" w:ascii="方正小标宋简体" w:hAnsi="方正小标宋简体" w:eastAsia="方正小标宋简体" w:cs="方正小标宋简体"/>
          <w:b w:val="0"/>
          <w:bCs w:val="0"/>
          <w:sz w:val="44"/>
          <w:szCs w:val="44"/>
        </w:rPr>
        <w:t>部门概况</w:t>
      </w:r>
      <w:bookmarkEnd w:id="6"/>
      <w:bookmarkEnd w:id="7"/>
      <w:bookmarkEnd w:id="8"/>
    </w:p>
    <w:p w14:paraId="2968D9A3">
      <w:pPr>
        <w:pStyle w:val="178"/>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hint="eastAsia" w:ascii="Times New Roman" w:hAnsi="Times New Roman" w:eastAsia="黑体" w:cs="Times New Roman"/>
          <w:b w:val="0"/>
          <w:i w:val="0"/>
          <w:kern w:val="2"/>
          <w:sz w:val="32"/>
          <w:szCs w:val="24"/>
          <w:lang w:val="en-US" w:eastAsia="zh-CN" w:bidi="ar-SA"/>
        </w:rPr>
      </w:pPr>
      <w:bookmarkStart w:id="9" w:name="_Toc1145"/>
    </w:p>
    <w:p w14:paraId="38B8BA67">
      <w:pPr>
        <w:pStyle w:val="178"/>
        <w:keepNext w:val="0"/>
        <w:keepLines w:val="0"/>
        <w:pageBreakBefore w:val="0"/>
        <w:widowControl w:val="0"/>
        <w:numPr>
          <w:ilvl w:val="0"/>
          <w:numId w:val="0"/>
        </w:numPr>
        <w:kinsoku/>
        <w:wordWrap/>
        <w:overflowPunct/>
        <w:topLinePunct w:val="0"/>
        <w:autoSpaceDE/>
        <w:autoSpaceDN/>
        <w:bidi w:val="0"/>
        <w:spacing w:before="0" w:after="0" w:line="560" w:lineRule="exact"/>
        <w:ind w:firstLine="640" w:firstLineChars="200"/>
        <w:jc w:val="both"/>
        <w:textAlignment w:val="auto"/>
        <w:rPr>
          <w:rFonts w:ascii="Times New Roman" w:hAnsi="Times New Roman" w:eastAsia="黑体"/>
          <w:b w:val="0"/>
          <w:i w:val="0"/>
        </w:rPr>
      </w:pPr>
      <w:r>
        <w:rPr>
          <w:rFonts w:hint="eastAsia" w:ascii="Times New Roman" w:hAnsi="Times New Roman" w:eastAsia="黑体" w:cs="Times New Roman"/>
          <w:b w:val="0"/>
          <w:i w:val="0"/>
          <w:kern w:val="2"/>
          <w:sz w:val="32"/>
          <w:szCs w:val="24"/>
          <w:lang w:val="en-US" w:eastAsia="zh-CN" w:bidi="ar-SA"/>
        </w:rPr>
        <w:t>一、</w:t>
      </w:r>
      <w:r>
        <w:rPr>
          <w:rFonts w:ascii="Times New Roman" w:hAnsi="Times New Roman" w:eastAsia="黑体"/>
          <w:b w:val="0"/>
          <w:i w:val="0"/>
        </w:rPr>
        <w:t>部门职责</w:t>
      </w:r>
      <w:bookmarkEnd w:id="9"/>
    </w:p>
    <w:p w14:paraId="30B00278">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lang w:eastAsia="zh-CN"/>
        </w:rPr>
      </w:pPr>
      <w:bookmarkStart w:id="10" w:name="_Toc15377200"/>
      <w:bookmarkStart w:id="11" w:name="_Toc15396601"/>
      <w:bookmarkStart w:id="12" w:name="_Toc3471"/>
      <w:r>
        <w:rPr>
          <w:rFonts w:hint="eastAsia" w:ascii="Times New Roman" w:hAnsi="Times New Roman" w:eastAsia="仿宋_GB2312" w:cs="仿宋_GB2312"/>
        </w:rPr>
        <w:t>1</w:t>
      </w:r>
      <w:r>
        <w:rPr>
          <w:rFonts w:hint="eastAsia" w:ascii="仿宋_GB2312" w:hAnsi="仿宋_GB2312" w:eastAsia="仿宋_GB2312" w:cs="仿宋_GB2312"/>
        </w:rPr>
        <w:t>.弘扬科学精神、普及科学知识、传播科学思想和科学方法、捍卫科学尊严</w:t>
      </w:r>
      <w:r>
        <w:rPr>
          <w:rFonts w:hint="eastAsia" w:ascii="仿宋_GB2312" w:hAnsi="仿宋_GB2312" w:cs="仿宋_GB2312"/>
          <w:lang w:eastAsia="zh-CN"/>
        </w:rPr>
        <w:t>。</w:t>
      </w:r>
    </w:p>
    <w:p w14:paraId="55449614">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rPr>
      </w:pPr>
      <w:r>
        <w:rPr>
          <w:rFonts w:hint="eastAsia" w:ascii="Times New Roman" w:hAnsi="Times New Roman" w:eastAsia="仿宋_GB2312" w:cs="仿宋_GB2312"/>
        </w:rPr>
        <w:t>2</w:t>
      </w:r>
      <w:r>
        <w:rPr>
          <w:rFonts w:hint="eastAsia" w:ascii="仿宋_GB2312" w:hAnsi="仿宋_GB2312" w:eastAsia="仿宋_GB2312" w:cs="仿宋_GB2312"/>
        </w:rPr>
        <w:t xml:space="preserve">.推广先进技术，提高全民的科学文化素质。 </w:t>
      </w:r>
    </w:p>
    <w:p w14:paraId="6456DA0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rPr>
      </w:pPr>
      <w:r>
        <w:rPr>
          <w:rFonts w:hint="eastAsia" w:ascii="Times New Roman" w:hAnsi="Times New Roman" w:eastAsia="仿宋_GB2312" w:cs="仿宋_GB2312"/>
        </w:rPr>
        <w:t>3</w:t>
      </w:r>
      <w:r>
        <w:rPr>
          <w:rFonts w:hint="eastAsia" w:ascii="仿宋_GB2312" w:hAnsi="仿宋_GB2312" w:eastAsia="仿宋_GB2312" w:cs="仿宋_GB2312"/>
        </w:rPr>
        <w:t>.表彰奖励优秀科学技术工作者、维护科技工作者的合法权益，举荐人才、促进尊重知识、尊重人才社会风气的形成。</w:t>
      </w:r>
    </w:p>
    <w:p w14:paraId="476DBAC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rPr>
      </w:pPr>
      <w:r>
        <w:rPr>
          <w:rFonts w:hint="eastAsia" w:ascii="Times New Roman" w:hAnsi="Times New Roman" w:eastAsia="仿宋_GB2312" w:cs="仿宋_GB2312"/>
        </w:rPr>
        <w:t>4</w:t>
      </w:r>
      <w:r>
        <w:rPr>
          <w:rFonts w:hint="eastAsia" w:ascii="仿宋_GB2312" w:hAnsi="仿宋_GB2312" w:eastAsia="仿宋_GB2312" w:cs="仿宋_GB2312"/>
        </w:rPr>
        <w:t>.开展继续教育和技术培训工作、促进科技人才的成长和知识更新。开展科学技术交流活动，推动科技工作者的交流与合作。</w:t>
      </w:r>
    </w:p>
    <w:p w14:paraId="57F38AD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rPr>
      </w:pPr>
      <w:r>
        <w:rPr>
          <w:rFonts w:hint="eastAsia" w:ascii="Times New Roman" w:hAnsi="Times New Roman" w:eastAsia="仿宋_GB2312" w:cs="仿宋_GB2312"/>
        </w:rPr>
        <w:t>5</w:t>
      </w:r>
      <w:r>
        <w:rPr>
          <w:rFonts w:hint="eastAsia" w:ascii="仿宋_GB2312" w:hAnsi="仿宋_GB2312" w:eastAsia="仿宋_GB2312" w:cs="仿宋_GB2312"/>
        </w:rPr>
        <w:t>.对区级学（协）会、企业科协、农村专业技术协会进行指导与管理。承办上级科协、区委、区政府交办的其他事项。</w:t>
      </w:r>
    </w:p>
    <w:p w14:paraId="77950BB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szCs w:val="32"/>
        </w:rPr>
      </w:pPr>
      <w:r>
        <w:rPr>
          <w:rFonts w:hint="eastAsia" w:ascii="Times New Roman" w:hAnsi="Times New Roman" w:eastAsia="仿宋_GB2312" w:cs="仿宋_GB2312"/>
        </w:rPr>
        <w:t>6</w:t>
      </w:r>
      <w:r>
        <w:rPr>
          <w:rFonts w:hint="eastAsia" w:ascii="仿宋_GB2312" w:hAnsi="仿宋_GB2312" w:eastAsia="仿宋_GB2312" w:cs="仿宋_GB2312"/>
        </w:rPr>
        <w:t>.完成区委和区政府交办的其他任务。</w:t>
      </w:r>
    </w:p>
    <w:p w14:paraId="3FA7420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1"/>
        <w:rPr>
          <w:rFonts w:ascii="Times New Roman" w:hAnsi="Times New Roman" w:eastAsia="黑体"/>
          <w:b w:val="0"/>
          <w:i w:val="0"/>
        </w:rPr>
      </w:pPr>
      <w:r>
        <w:rPr>
          <w:rFonts w:eastAsia="黑体"/>
        </w:rPr>
        <w:t>二、机</w:t>
      </w:r>
      <w:r>
        <w:rPr>
          <w:rStyle w:val="177"/>
          <w:rFonts w:ascii="Times New Roman" w:hAnsi="Times New Roman" w:eastAsia="黑体"/>
          <w:b w:val="0"/>
          <w:i w:val="0"/>
        </w:rPr>
        <w:t>构设置</w:t>
      </w:r>
      <w:bookmarkEnd w:id="10"/>
      <w:bookmarkEnd w:id="11"/>
      <w:bookmarkEnd w:id="12"/>
    </w:p>
    <w:p w14:paraId="5DD7E31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 w:cs="宋体"/>
        </w:rPr>
      </w:pPr>
      <w:r>
        <w:rPr>
          <w:rFonts w:hint="eastAsia" w:ascii="仿宋_GB2312" w:hAnsi="??" w:cs="宋体"/>
        </w:rPr>
        <w:t>安居区科协下属二级预算单位</w:t>
      </w:r>
      <w:r>
        <w:rPr>
          <w:rFonts w:hint="eastAsia" w:ascii="Times New Roman" w:hAnsi="Times New Roman" w:cs="宋体"/>
        </w:rPr>
        <w:t>0</w:t>
      </w:r>
      <w:r>
        <w:rPr>
          <w:rFonts w:hint="eastAsia" w:ascii="仿宋_GB2312" w:hAnsi="??" w:cs="宋体"/>
        </w:rPr>
        <w:t>个，其中行政单位</w:t>
      </w:r>
      <w:r>
        <w:rPr>
          <w:rFonts w:hint="eastAsia" w:ascii="Times New Roman" w:hAnsi="Times New Roman" w:cs="宋体"/>
        </w:rPr>
        <w:t>0</w:t>
      </w:r>
      <w:r>
        <w:rPr>
          <w:rFonts w:hint="eastAsia" w:ascii="仿宋_GB2312" w:hAnsi="??" w:cs="宋体"/>
        </w:rPr>
        <w:t>个，参照公务员法管理的事业单位</w:t>
      </w:r>
      <w:r>
        <w:rPr>
          <w:rFonts w:hint="eastAsia" w:ascii="Times New Roman" w:hAnsi="Times New Roman" w:cs="宋体"/>
        </w:rPr>
        <w:t>0</w:t>
      </w:r>
      <w:r>
        <w:rPr>
          <w:rFonts w:hint="eastAsia" w:ascii="仿宋_GB2312" w:hAnsi="??" w:cs="宋体"/>
        </w:rPr>
        <w:t>个，其他事业单位</w:t>
      </w:r>
      <w:r>
        <w:rPr>
          <w:rFonts w:hint="eastAsia" w:ascii="Times New Roman" w:hAnsi="Times New Roman" w:cs="宋体"/>
        </w:rPr>
        <w:t>0</w:t>
      </w:r>
      <w:r>
        <w:rPr>
          <w:rFonts w:hint="eastAsia" w:ascii="仿宋_GB2312" w:hAnsi="??" w:cs="宋体"/>
        </w:rPr>
        <w:t>个。</w:t>
      </w:r>
    </w:p>
    <w:p w14:paraId="4DCB2A34">
      <w:pPr>
        <w:pStyle w:val="18"/>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eastAsia="仿宋"/>
          <w:szCs w:val="32"/>
        </w:rPr>
      </w:pPr>
      <w:r>
        <w:rPr>
          <w:rFonts w:hint="eastAsia" w:ascii="仿宋_GB2312" w:hAnsi="??" w:cs="宋体"/>
        </w:rPr>
        <w:t>无纳入安居区科协</w:t>
      </w:r>
      <w:r>
        <w:rPr>
          <w:rFonts w:hint="eastAsia" w:ascii="Times New Roman" w:hAnsi="Times New Roman" w:cs="宋体"/>
        </w:rPr>
        <w:t>202</w:t>
      </w:r>
      <w:r>
        <w:rPr>
          <w:rFonts w:hint="eastAsia" w:ascii="Times New Roman" w:hAnsi="Times New Roman" w:cs="宋体"/>
          <w:lang w:val="en-US" w:eastAsia="zh-CN"/>
        </w:rPr>
        <w:t>4</w:t>
      </w:r>
      <w:r>
        <w:rPr>
          <w:rFonts w:hint="eastAsia" w:ascii="仿宋_GB2312" w:hAnsi="??" w:cs="宋体"/>
        </w:rPr>
        <w:t>年度部门决算编制范围的二级预算单位。</w:t>
      </w:r>
    </w:p>
    <w:p w14:paraId="19B10A43">
      <w:pPr>
        <w:rPr>
          <w:rFonts w:eastAsia="方正小标宋简体"/>
          <w:sz w:val="44"/>
          <w:szCs w:val="44"/>
        </w:rPr>
      </w:pPr>
      <w:bookmarkStart w:id="13" w:name="_Toc15396602"/>
      <w:bookmarkStart w:id="14" w:name="_Toc15377204"/>
      <w:bookmarkStart w:id="15" w:name="_Toc8685"/>
      <w:r>
        <w:rPr>
          <w:rFonts w:eastAsia="方正小标宋简体"/>
          <w:sz w:val="44"/>
          <w:szCs w:val="44"/>
        </w:rPr>
        <w:br w:type="page"/>
      </w:r>
    </w:p>
    <w:p w14:paraId="2BA3DAFD">
      <w:pPr>
        <w:widowControl/>
        <w:ind w:firstLine="872"/>
        <w:outlineLvl w:val="0"/>
        <w:rPr>
          <w:rFonts w:eastAsia="方正小标宋简体"/>
          <w:b w:val="0"/>
          <w:bCs w:val="0"/>
        </w:rPr>
      </w:pPr>
      <w:r>
        <w:rPr>
          <w:rFonts w:eastAsia="方正小标宋简体"/>
          <w:sz w:val="44"/>
          <w:szCs w:val="44"/>
        </w:rPr>
        <w:t xml:space="preserve">第二部分 </w:t>
      </w: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eastAsia="方正小标宋简体"/>
          <w:sz w:val="44"/>
          <w:szCs w:val="44"/>
        </w:rPr>
        <w:t>年度</w:t>
      </w:r>
      <w:r>
        <w:rPr>
          <w:rStyle w:val="145"/>
          <w:rFonts w:eastAsia="方正小标宋简体"/>
          <w:b w:val="0"/>
          <w:bCs w:val="0"/>
        </w:rPr>
        <w:t>部门决算情况说明</w:t>
      </w:r>
      <w:bookmarkEnd w:id="13"/>
      <w:bookmarkEnd w:id="14"/>
      <w:bookmarkEnd w:id="15"/>
    </w:p>
    <w:p w14:paraId="79DDDF9A"/>
    <w:p w14:paraId="2D98B65D">
      <w:pPr>
        <w:pStyle w:val="64"/>
        <w:numPr>
          <w:ilvl w:val="0"/>
          <w:numId w:val="0"/>
        </w:numPr>
        <w:spacing w:line="560" w:lineRule="exact"/>
        <w:ind w:left="1360" w:leftChars="0" w:hanging="720" w:firstLineChars="0"/>
        <w:outlineLvl w:val="1"/>
        <w:rPr>
          <w:rFonts w:ascii="Times New Roman" w:hAnsi="Times New Roman" w:eastAsia="黑体"/>
          <w:b w:val="0"/>
          <w:i w:val="0"/>
        </w:rPr>
      </w:pPr>
      <w:bookmarkStart w:id="16" w:name="_Toc15377205"/>
      <w:bookmarkStart w:id="17" w:name="_Toc15396603"/>
      <w:bookmarkStart w:id="18" w:name="_Toc20001"/>
      <w:r>
        <w:rPr>
          <w:rFonts w:ascii="Times New Roman" w:hAnsi="Times New Roman" w:eastAsia="黑体" w:cs="Times New Roman"/>
          <w:b w:val="0"/>
          <w:i w:val="0"/>
          <w:kern w:val="2"/>
          <w:sz w:val="32"/>
          <w:szCs w:val="24"/>
          <w:lang w:val="en-US" w:eastAsia="zh-CN" w:bidi="ar-SA"/>
        </w:rPr>
        <w:t>一、</w:t>
      </w:r>
      <w:r>
        <w:rPr>
          <w:rFonts w:eastAsia="黑体"/>
          <w:szCs w:val="32"/>
        </w:rPr>
        <w:t>收</w:t>
      </w:r>
      <w:r>
        <w:rPr>
          <w:rStyle w:val="177"/>
          <w:rFonts w:ascii="Times New Roman" w:hAnsi="Times New Roman" w:eastAsia="黑体"/>
          <w:b w:val="0"/>
          <w:i w:val="0"/>
        </w:rPr>
        <w:t>入支出决算总体情况说明</w:t>
      </w:r>
      <w:bookmarkEnd w:id="16"/>
      <w:bookmarkEnd w:id="17"/>
      <w:bookmarkEnd w:id="18"/>
    </w:p>
    <w:p w14:paraId="60CAC8B9">
      <w:pPr>
        <w:spacing w:line="560" w:lineRule="exact"/>
        <w:ind w:firstLine="632"/>
        <w:rPr>
          <w:rFonts w:hint="default"/>
          <w:szCs w:val="32"/>
          <w:lang w:val="en-US"/>
        </w:rPr>
      </w:pPr>
      <w:r>
        <w:rPr>
          <w:rFonts w:ascii="Times New Roman" w:hAnsi="Times New Roman"/>
          <w:szCs w:val="32"/>
        </w:rPr>
        <w:t>202</w:t>
      </w:r>
      <w:r>
        <w:rPr>
          <w:rFonts w:hint="eastAsia" w:ascii="Times New Roman" w:hAnsi="Times New Roman"/>
          <w:szCs w:val="32"/>
        </w:rPr>
        <w:t>4</w:t>
      </w:r>
      <w:r>
        <w:rPr>
          <w:szCs w:val="32"/>
        </w:rPr>
        <w:t>年度收、支总计均为</w:t>
      </w:r>
      <w:r>
        <w:rPr>
          <w:rFonts w:hint="eastAsia" w:ascii="Times New Roman" w:hAnsi="Times New Roman"/>
          <w:szCs w:val="32"/>
        </w:rPr>
        <w:t>188</w:t>
      </w:r>
      <w:r>
        <w:rPr>
          <w:rFonts w:hint="eastAsia"/>
          <w:szCs w:val="32"/>
        </w:rPr>
        <w:t>.</w:t>
      </w:r>
      <w:r>
        <w:rPr>
          <w:rFonts w:hint="eastAsia" w:ascii="Times New Roman" w:hAnsi="Times New Roman"/>
          <w:szCs w:val="32"/>
        </w:rPr>
        <w:t>58</w:t>
      </w:r>
      <w:r>
        <w:rPr>
          <w:szCs w:val="32"/>
        </w:rPr>
        <w:t>万元。与</w:t>
      </w:r>
      <w:r>
        <w:rPr>
          <w:rFonts w:ascii="Times New Roman" w:hAnsi="Times New Roman"/>
          <w:szCs w:val="32"/>
        </w:rPr>
        <w:t>202</w:t>
      </w:r>
      <w:r>
        <w:rPr>
          <w:rFonts w:hint="eastAsia" w:ascii="Times New Roman" w:hAnsi="Times New Roman"/>
          <w:szCs w:val="32"/>
        </w:rPr>
        <w:t>3</w:t>
      </w:r>
      <w:r>
        <w:rPr>
          <w:szCs w:val="32"/>
        </w:rPr>
        <w:t>年度相比，收、支总计各</w:t>
      </w:r>
      <w:r>
        <w:rPr>
          <w:rFonts w:hint="eastAsia"/>
          <w:szCs w:val="32"/>
        </w:rPr>
        <w:t>减少</w:t>
      </w:r>
      <w:r>
        <w:rPr>
          <w:rFonts w:hint="eastAsia" w:ascii="Times New Roman" w:hAnsi="Times New Roman"/>
          <w:szCs w:val="32"/>
        </w:rPr>
        <w:t>7</w:t>
      </w:r>
      <w:r>
        <w:rPr>
          <w:rFonts w:hint="eastAsia"/>
          <w:szCs w:val="32"/>
        </w:rPr>
        <w:t>.</w:t>
      </w:r>
      <w:r>
        <w:rPr>
          <w:rFonts w:hint="eastAsia" w:ascii="Times New Roman" w:hAnsi="Times New Roman"/>
          <w:szCs w:val="32"/>
        </w:rPr>
        <w:t>97</w:t>
      </w:r>
      <w:r>
        <w:rPr>
          <w:szCs w:val="32"/>
        </w:rPr>
        <w:t>万元，</w:t>
      </w:r>
      <w:r>
        <w:rPr>
          <w:rFonts w:hint="eastAsia"/>
          <w:szCs w:val="32"/>
        </w:rPr>
        <w:t>下降</w:t>
      </w:r>
      <w:r>
        <w:rPr>
          <w:rFonts w:hint="eastAsia" w:ascii="Times New Roman" w:hAnsi="Times New Roman"/>
          <w:szCs w:val="32"/>
        </w:rPr>
        <w:t>4</w:t>
      </w:r>
      <w:r>
        <w:rPr>
          <w:rFonts w:hint="eastAsia"/>
          <w:szCs w:val="32"/>
        </w:rPr>
        <w:t>.</w:t>
      </w:r>
      <w:r>
        <w:rPr>
          <w:rFonts w:hint="eastAsia" w:ascii="Times New Roman" w:hAnsi="Times New Roman"/>
          <w:szCs w:val="32"/>
        </w:rPr>
        <w:t>05</w:t>
      </w:r>
      <w:r>
        <w:rPr>
          <w:szCs w:val="32"/>
        </w:rPr>
        <w:t>%。主要变动原因是</w:t>
      </w:r>
      <w:bookmarkStart w:id="19" w:name="OLE_LINK8"/>
      <w:bookmarkStart w:id="20" w:name="OLE_LINK9"/>
      <w:r>
        <w:rPr>
          <w:rFonts w:hint="eastAsia" w:ascii="Times New Roman" w:hAnsi="Times New Roman"/>
          <w:szCs w:val="32"/>
          <w:lang w:val="en-US" w:eastAsia="zh-CN"/>
        </w:rPr>
        <w:t>2024</w:t>
      </w:r>
      <w:r>
        <w:rPr>
          <w:rFonts w:hint="eastAsia"/>
          <w:szCs w:val="32"/>
          <w:lang w:val="en-US" w:eastAsia="zh-CN"/>
        </w:rPr>
        <w:t>年项目减少</w:t>
      </w:r>
      <w:r>
        <w:rPr>
          <w:rFonts w:hint="eastAsia" w:ascii="Times New Roman" w:hAnsi="Times New Roman"/>
          <w:szCs w:val="32"/>
          <w:lang w:val="en-US" w:eastAsia="zh-CN"/>
        </w:rPr>
        <w:t>5</w:t>
      </w:r>
      <w:r>
        <w:rPr>
          <w:rFonts w:hint="eastAsia"/>
          <w:szCs w:val="32"/>
          <w:lang w:val="en-US" w:eastAsia="zh-CN"/>
        </w:rPr>
        <w:t>.</w:t>
      </w:r>
      <w:r>
        <w:rPr>
          <w:rFonts w:hint="eastAsia" w:ascii="Times New Roman" w:hAnsi="Times New Roman"/>
          <w:szCs w:val="32"/>
          <w:lang w:val="en-US" w:eastAsia="zh-CN"/>
        </w:rPr>
        <w:t>2</w:t>
      </w:r>
      <w:r>
        <w:rPr>
          <w:rFonts w:hint="eastAsia"/>
          <w:szCs w:val="32"/>
          <w:lang w:val="en-US" w:eastAsia="zh-CN"/>
        </w:rPr>
        <w:t>万元，（其中开展反邪教工作</w:t>
      </w:r>
      <w:r>
        <w:rPr>
          <w:rFonts w:hint="eastAsia" w:ascii="Times New Roman" w:hAnsi="Times New Roman"/>
          <w:szCs w:val="32"/>
          <w:lang w:val="en-US" w:eastAsia="zh-CN"/>
        </w:rPr>
        <w:t>5</w:t>
      </w:r>
      <w:r>
        <w:rPr>
          <w:rFonts w:hint="eastAsia"/>
          <w:szCs w:val="32"/>
          <w:lang w:val="en-US" w:eastAsia="zh-CN"/>
        </w:rPr>
        <w:t>万元）、人员经费减少</w:t>
      </w:r>
      <w:r>
        <w:rPr>
          <w:rFonts w:hint="eastAsia" w:ascii="Times New Roman" w:hAnsi="Times New Roman"/>
          <w:szCs w:val="32"/>
          <w:lang w:val="en-US" w:eastAsia="zh-CN"/>
        </w:rPr>
        <w:t>1</w:t>
      </w:r>
      <w:r>
        <w:rPr>
          <w:rFonts w:hint="eastAsia"/>
          <w:szCs w:val="32"/>
          <w:lang w:val="en-US" w:eastAsia="zh-CN"/>
        </w:rPr>
        <w:t>.</w:t>
      </w:r>
      <w:r>
        <w:rPr>
          <w:rFonts w:hint="eastAsia" w:ascii="Times New Roman" w:hAnsi="Times New Roman"/>
          <w:szCs w:val="32"/>
          <w:lang w:val="en-US" w:eastAsia="zh-CN"/>
        </w:rPr>
        <w:t>32</w:t>
      </w:r>
      <w:r>
        <w:rPr>
          <w:rFonts w:hint="eastAsia"/>
          <w:szCs w:val="32"/>
          <w:lang w:val="en-US" w:eastAsia="zh-CN"/>
        </w:rPr>
        <w:t>万元、公用经费减少</w:t>
      </w:r>
      <w:r>
        <w:rPr>
          <w:rFonts w:hint="eastAsia" w:ascii="Times New Roman" w:hAnsi="Times New Roman"/>
          <w:szCs w:val="32"/>
          <w:lang w:val="en-US" w:eastAsia="zh-CN"/>
        </w:rPr>
        <w:t>1</w:t>
      </w:r>
      <w:r>
        <w:rPr>
          <w:rFonts w:hint="eastAsia"/>
          <w:szCs w:val="32"/>
          <w:lang w:val="en-US" w:eastAsia="zh-CN"/>
        </w:rPr>
        <w:t>.</w:t>
      </w:r>
      <w:r>
        <w:rPr>
          <w:rFonts w:hint="eastAsia" w:ascii="Times New Roman" w:hAnsi="Times New Roman"/>
          <w:szCs w:val="32"/>
          <w:lang w:val="en-US" w:eastAsia="zh-CN"/>
        </w:rPr>
        <w:t>45</w:t>
      </w:r>
      <w:r>
        <w:rPr>
          <w:rFonts w:hint="eastAsia"/>
          <w:szCs w:val="32"/>
          <w:lang w:val="en-US" w:eastAsia="zh-CN"/>
        </w:rPr>
        <w:t>万元</w:t>
      </w:r>
      <w:bookmarkEnd w:id="19"/>
      <w:bookmarkEnd w:id="20"/>
      <w:r>
        <w:rPr>
          <w:rFonts w:hint="eastAsia"/>
          <w:szCs w:val="32"/>
          <w:lang w:val="en-US" w:eastAsia="zh-CN"/>
        </w:rPr>
        <w:t>，其中公务接待费减少</w:t>
      </w:r>
      <w:r>
        <w:rPr>
          <w:rFonts w:hint="eastAsia" w:ascii="Times New Roman" w:hAnsi="Times New Roman"/>
          <w:szCs w:val="32"/>
          <w:lang w:val="en-US" w:eastAsia="zh-CN"/>
        </w:rPr>
        <w:t>0</w:t>
      </w:r>
      <w:r>
        <w:rPr>
          <w:rFonts w:hint="eastAsia"/>
          <w:szCs w:val="32"/>
          <w:lang w:val="en-US" w:eastAsia="zh-CN"/>
        </w:rPr>
        <w:t>.</w:t>
      </w:r>
      <w:r>
        <w:rPr>
          <w:rFonts w:hint="eastAsia" w:ascii="Times New Roman" w:hAnsi="Times New Roman"/>
          <w:szCs w:val="32"/>
          <w:lang w:val="en-US" w:eastAsia="zh-CN"/>
        </w:rPr>
        <w:t>57</w:t>
      </w:r>
      <w:r>
        <w:rPr>
          <w:rFonts w:hint="eastAsia"/>
          <w:szCs w:val="32"/>
          <w:lang w:val="en-US" w:eastAsia="zh-CN"/>
        </w:rPr>
        <w:t>万元。</w:t>
      </w:r>
    </w:p>
    <w:p w14:paraId="722ACE28">
      <w:pPr>
        <w:pStyle w:val="2"/>
      </w:pPr>
    </w:p>
    <w:p w14:paraId="09C6B73C">
      <w:pPr>
        <w:pStyle w:val="45"/>
        <w:jc w:val="center"/>
        <w:rPr>
          <w:sz w:val="32"/>
          <w:szCs w:val="32"/>
        </w:rPr>
      </w:pPr>
      <w:r>
        <w:rPr>
          <w:rFonts w:hint="eastAsia"/>
          <w:sz w:val="32"/>
          <w:szCs w:val="32"/>
        </w:rPr>
        <w:drawing>
          <wp:inline distT="0" distB="0" distL="114300" distR="114300">
            <wp:extent cx="4528820" cy="3277870"/>
            <wp:effectExtent l="0" t="0" r="24130" b="17780"/>
            <wp:docPr id="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59E8E5">
      <w:pPr>
        <w:spacing w:line="560" w:lineRule="exact"/>
        <w:jc w:val="center"/>
        <w:rPr>
          <w:szCs w:val="32"/>
        </w:rPr>
      </w:pPr>
      <w:r>
        <w:rPr>
          <w:szCs w:val="32"/>
        </w:rPr>
        <w:t>（图</w:t>
      </w:r>
      <w:r>
        <w:rPr>
          <w:rFonts w:ascii="Times New Roman" w:hAnsi="Times New Roman"/>
          <w:szCs w:val="32"/>
        </w:rPr>
        <w:t>1</w:t>
      </w:r>
      <w:r>
        <w:rPr>
          <w:szCs w:val="32"/>
        </w:rPr>
        <w:t>：收、支决算总计变动情况图）（柱状图）</w:t>
      </w:r>
    </w:p>
    <w:p w14:paraId="30BB2E28">
      <w:pPr>
        <w:pStyle w:val="64"/>
        <w:numPr>
          <w:ilvl w:val="0"/>
          <w:numId w:val="0"/>
        </w:numPr>
        <w:spacing w:line="560" w:lineRule="exact"/>
        <w:ind w:left="1360" w:leftChars="0" w:hanging="720" w:firstLineChars="0"/>
        <w:outlineLvl w:val="1"/>
        <w:rPr>
          <w:rFonts w:ascii="Times New Roman" w:hAnsi="Times New Roman" w:eastAsia="黑体"/>
          <w:b w:val="0"/>
          <w:i w:val="0"/>
        </w:rPr>
      </w:pPr>
      <w:bookmarkStart w:id="21" w:name="_Toc15377206"/>
      <w:bookmarkStart w:id="22" w:name="_Toc15396604"/>
      <w:bookmarkStart w:id="23" w:name="_Toc25864"/>
      <w:r>
        <w:rPr>
          <w:rFonts w:ascii="Times New Roman" w:hAnsi="Times New Roman" w:eastAsia="黑体" w:cs="Times New Roman"/>
          <w:b w:val="0"/>
          <w:i w:val="0"/>
          <w:kern w:val="2"/>
          <w:sz w:val="32"/>
          <w:szCs w:val="24"/>
          <w:lang w:val="en-US" w:eastAsia="zh-CN" w:bidi="ar-SA"/>
        </w:rPr>
        <w:t>二、</w:t>
      </w:r>
      <w:r>
        <w:rPr>
          <w:rFonts w:eastAsia="黑体"/>
          <w:szCs w:val="32"/>
        </w:rPr>
        <w:t>收</w:t>
      </w:r>
      <w:r>
        <w:rPr>
          <w:rStyle w:val="177"/>
          <w:rFonts w:ascii="Times New Roman" w:hAnsi="Times New Roman" w:eastAsia="黑体"/>
          <w:b w:val="0"/>
          <w:i w:val="0"/>
        </w:rPr>
        <w:t>入决算情况说明</w:t>
      </w:r>
      <w:bookmarkEnd w:id="21"/>
      <w:bookmarkEnd w:id="22"/>
      <w:bookmarkEnd w:id="23"/>
    </w:p>
    <w:p w14:paraId="6E7B392C">
      <w:pPr>
        <w:spacing w:line="560" w:lineRule="exact"/>
        <w:ind w:firstLine="632"/>
        <w:outlineLvl w:val="1"/>
        <w:rPr>
          <w:rFonts w:ascii="Times New Roman"/>
        </w:rPr>
      </w:pPr>
      <w:bookmarkStart w:id="24" w:name="_Toc1914"/>
      <w:r>
        <w:rPr>
          <w:rFonts w:ascii="Times New Roman" w:hAnsi="Times New Roman"/>
          <w:szCs w:val="32"/>
        </w:rPr>
        <w:t>202</w:t>
      </w:r>
      <w:r>
        <w:rPr>
          <w:rFonts w:hint="eastAsia" w:ascii="Times New Roman" w:hAnsi="Times New Roman"/>
          <w:szCs w:val="32"/>
        </w:rPr>
        <w:t>4</w:t>
      </w:r>
      <w:r>
        <w:rPr>
          <w:szCs w:val="32"/>
        </w:rPr>
        <w:t>年度本年收入合计</w:t>
      </w:r>
      <w:r>
        <w:rPr>
          <w:rFonts w:hint="eastAsia" w:ascii="Times New Roman" w:hAnsi="Times New Roman"/>
          <w:szCs w:val="32"/>
        </w:rPr>
        <w:t>188</w:t>
      </w:r>
      <w:r>
        <w:rPr>
          <w:rFonts w:hint="eastAsia"/>
          <w:szCs w:val="32"/>
        </w:rPr>
        <w:t>.</w:t>
      </w:r>
      <w:r>
        <w:rPr>
          <w:rFonts w:hint="eastAsia" w:ascii="Times New Roman" w:hAnsi="Times New Roman"/>
          <w:szCs w:val="32"/>
        </w:rPr>
        <w:t>58</w:t>
      </w:r>
      <w:r>
        <w:rPr>
          <w:szCs w:val="32"/>
        </w:rPr>
        <w:t>万元，其中：一般公共预算财政拨款收入</w:t>
      </w:r>
      <w:r>
        <w:rPr>
          <w:rFonts w:hint="eastAsia" w:ascii="Times New Roman" w:hAnsi="Times New Roman"/>
          <w:szCs w:val="32"/>
        </w:rPr>
        <w:t>178</w:t>
      </w:r>
      <w:r>
        <w:rPr>
          <w:rFonts w:hint="eastAsia"/>
          <w:szCs w:val="32"/>
        </w:rPr>
        <w:t>.</w:t>
      </w:r>
      <w:r>
        <w:rPr>
          <w:rFonts w:hint="eastAsia" w:ascii="Times New Roman" w:hAnsi="Times New Roman"/>
          <w:szCs w:val="32"/>
        </w:rPr>
        <w:t>58</w:t>
      </w:r>
      <w:r>
        <w:rPr>
          <w:szCs w:val="32"/>
        </w:rPr>
        <w:t>万元，占</w:t>
      </w:r>
      <w:r>
        <w:rPr>
          <w:rFonts w:hint="eastAsia" w:ascii="Times New Roman" w:hAnsi="Times New Roman"/>
          <w:szCs w:val="32"/>
        </w:rPr>
        <w:t>94</w:t>
      </w:r>
      <w:r>
        <w:rPr>
          <w:rFonts w:hint="eastAsia"/>
          <w:szCs w:val="32"/>
        </w:rPr>
        <w:t>.</w:t>
      </w:r>
      <w:r>
        <w:rPr>
          <w:rFonts w:hint="eastAsia" w:ascii="Times New Roman" w:hAnsi="Times New Roman"/>
          <w:szCs w:val="32"/>
        </w:rPr>
        <w:t>7</w:t>
      </w:r>
      <w:r>
        <w:rPr>
          <w:szCs w:val="32"/>
        </w:rPr>
        <w:t>%</w:t>
      </w:r>
      <w:bookmarkEnd w:id="24"/>
      <w:r>
        <w:rPr>
          <w:rFonts w:hint="eastAsia"/>
          <w:szCs w:val="32"/>
        </w:rPr>
        <w:t>；</w:t>
      </w:r>
      <w:r>
        <w:rPr>
          <w:rFonts w:hint="eastAsia" w:ascii="Times New Roman" w:hAnsi="Times New Roman" w:cs="仿宋_GB2312"/>
          <w:szCs w:val="32"/>
        </w:rPr>
        <w:t>政府性基金预算财政拨款收入10万元，占5.3%。</w:t>
      </w:r>
    </w:p>
    <w:p w14:paraId="62064C66">
      <w:pPr>
        <w:pStyle w:val="2"/>
        <w:jc w:val="center"/>
      </w:pPr>
      <w:r>
        <w:rPr>
          <w:rFonts w:hint="eastAsia" w:ascii="Times New Roman"/>
        </w:rPr>
        <w:drawing>
          <wp:inline distT="0" distB="0" distL="114300" distR="114300">
            <wp:extent cx="2986405" cy="3154045"/>
            <wp:effectExtent l="0" t="0" r="23495" b="27305"/>
            <wp:docPr id="4"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55C715">
      <w:pPr>
        <w:spacing w:line="560" w:lineRule="exact"/>
        <w:ind w:firstLine="1580"/>
        <w:rPr>
          <w:szCs w:val="32"/>
        </w:rPr>
      </w:pPr>
      <w:r>
        <w:rPr>
          <w:szCs w:val="32"/>
        </w:rPr>
        <w:t>（图</w:t>
      </w:r>
      <w:r>
        <w:rPr>
          <w:rFonts w:ascii="Times New Roman" w:hAnsi="Times New Roman"/>
          <w:szCs w:val="32"/>
        </w:rPr>
        <w:t>2</w:t>
      </w:r>
      <w:r>
        <w:rPr>
          <w:szCs w:val="32"/>
        </w:rPr>
        <w:t>：收入决算结构图）（饼状图）</w:t>
      </w:r>
    </w:p>
    <w:p w14:paraId="33F1F175">
      <w:pPr>
        <w:pStyle w:val="64"/>
        <w:numPr>
          <w:ilvl w:val="0"/>
          <w:numId w:val="0"/>
        </w:numPr>
        <w:spacing w:line="560" w:lineRule="exact"/>
        <w:ind w:left="1360" w:leftChars="0" w:hanging="720" w:firstLineChars="0"/>
        <w:outlineLvl w:val="1"/>
        <w:rPr>
          <w:rFonts w:ascii="Times New Roman" w:hAnsi="Times New Roman" w:eastAsia="黑体" w:cs="Times New Roman"/>
          <w:b w:val="0"/>
          <w:i w:val="0"/>
          <w:kern w:val="2"/>
          <w:sz w:val="32"/>
          <w:szCs w:val="24"/>
          <w:lang w:val="en-US" w:eastAsia="zh-CN" w:bidi="ar-SA"/>
        </w:rPr>
      </w:pPr>
      <w:bookmarkStart w:id="25" w:name="_Toc15377207"/>
      <w:bookmarkStart w:id="26" w:name="_Toc32156"/>
      <w:bookmarkStart w:id="27" w:name="_Toc15396605"/>
    </w:p>
    <w:p w14:paraId="6160F50E">
      <w:pPr>
        <w:pStyle w:val="64"/>
        <w:numPr>
          <w:ilvl w:val="0"/>
          <w:numId w:val="0"/>
        </w:numPr>
        <w:spacing w:line="560" w:lineRule="exact"/>
        <w:ind w:left="1360" w:leftChars="0" w:hanging="720" w:firstLineChars="0"/>
        <w:outlineLvl w:val="1"/>
        <w:rPr>
          <w:rFonts w:ascii="Times New Roman" w:hAnsi="Times New Roman" w:eastAsia="黑体"/>
          <w:b w:val="0"/>
          <w:i w:val="0"/>
        </w:rPr>
      </w:pPr>
      <w:r>
        <w:rPr>
          <w:rFonts w:ascii="Times New Roman" w:hAnsi="Times New Roman" w:eastAsia="黑体" w:cs="Times New Roman"/>
          <w:b w:val="0"/>
          <w:i w:val="0"/>
          <w:kern w:val="2"/>
          <w:sz w:val="32"/>
          <w:szCs w:val="24"/>
          <w:lang w:val="en-US" w:eastAsia="zh-CN" w:bidi="ar-SA"/>
        </w:rPr>
        <w:t>三、</w:t>
      </w:r>
      <w:r>
        <w:rPr>
          <w:rFonts w:eastAsia="黑体"/>
          <w:szCs w:val="32"/>
        </w:rPr>
        <w:t>支</w:t>
      </w:r>
      <w:r>
        <w:rPr>
          <w:rStyle w:val="177"/>
          <w:rFonts w:ascii="Times New Roman" w:hAnsi="Times New Roman" w:eastAsia="黑体"/>
          <w:b w:val="0"/>
          <w:i w:val="0"/>
        </w:rPr>
        <w:t>出决算情况说明</w:t>
      </w:r>
      <w:bookmarkEnd w:id="25"/>
      <w:bookmarkEnd w:id="26"/>
      <w:bookmarkEnd w:id="27"/>
    </w:p>
    <w:p w14:paraId="23D2E1AD">
      <w:pPr>
        <w:spacing w:line="560" w:lineRule="exact"/>
        <w:ind w:firstLine="632"/>
        <w:outlineLvl w:val="1"/>
        <w:rPr>
          <w:szCs w:val="32"/>
          <w:shd w:val="pct10" w:color="auto" w:fill="FFFFFF"/>
        </w:rPr>
      </w:pPr>
      <w:bookmarkStart w:id="28" w:name="_Toc2558"/>
      <w:r>
        <w:rPr>
          <w:rFonts w:ascii="Times New Roman" w:hAnsi="Times New Roman"/>
          <w:szCs w:val="32"/>
        </w:rPr>
        <w:t>202</w:t>
      </w:r>
      <w:r>
        <w:rPr>
          <w:rFonts w:hint="eastAsia" w:ascii="Times New Roman" w:hAnsi="Times New Roman"/>
          <w:szCs w:val="32"/>
        </w:rPr>
        <w:t>4</w:t>
      </w:r>
      <w:r>
        <w:rPr>
          <w:szCs w:val="32"/>
        </w:rPr>
        <w:t>年度本年支出合计</w:t>
      </w:r>
      <w:r>
        <w:rPr>
          <w:rFonts w:hint="eastAsia" w:ascii="Times New Roman" w:hAnsi="Times New Roman"/>
          <w:szCs w:val="32"/>
        </w:rPr>
        <w:t>188</w:t>
      </w:r>
      <w:r>
        <w:rPr>
          <w:rFonts w:hint="eastAsia"/>
          <w:szCs w:val="32"/>
        </w:rPr>
        <w:t>.</w:t>
      </w:r>
      <w:r>
        <w:rPr>
          <w:rFonts w:hint="eastAsia" w:ascii="Times New Roman" w:hAnsi="Times New Roman"/>
          <w:szCs w:val="32"/>
        </w:rPr>
        <w:t>58</w:t>
      </w:r>
      <w:r>
        <w:rPr>
          <w:szCs w:val="32"/>
        </w:rPr>
        <w:t>万元，其中：基本支出</w:t>
      </w:r>
      <w:r>
        <w:rPr>
          <w:rFonts w:hint="eastAsia" w:ascii="Times New Roman" w:hAnsi="Times New Roman"/>
          <w:szCs w:val="32"/>
        </w:rPr>
        <w:t>118</w:t>
      </w:r>
      <w:r>
        <w:rPr>
          <w:rFonts w:hint="eastAsia"/>
          <w:szCs w:val="32"/>
        </w:rPr>
        <w:t>.</w:t>
      </w:r>
      <w:r>
        <w:rPr>
          <w:rFonts w:hint="eastAsia" w:ascii="Times New Roman" w:hAnsi="Times New Roman"/>
          <w:szCs w:val="32"/>
        </w:rPr>
        <w:t>44</w:t>
      </w:r>
      <w:r>
        <w:rPr>
          <w:szCs w:val="32"/>
        </w:rPr>
        <w:t>万元，占</w:t>
      </w:r>
      <w:r>
        <w:rPr>
          <w:rFonts w:hint="eastAsia" w:ascii="Times New Roman" w:hAnsi="Times New Roman"/>
          <w:szCs w:val="32"/>
        </w:rPr>
        <w:t>62</w:t>
      </w:r>
      <w:r>
        <w:rPr>
          <w:rFonts w:hint="eastAsia"/>
          <w:szCs w:val="32"/>
        </w:rPr>
        <w:t>.</w:t>
      </w:r>
      <w:r>
        <w:rPr>
          <w:rFonts w:hint="eastAsia" w:ascii="Times New Roman" w:hAnsi="Times New Roman"/>
          <w:szCs w:val="32"/>
        </w:rPr>
        <w:t>81</w:t>
      </w:r>
      <w:r>
        <w:rPr>
          <w:szCs w:val="32"/>
        </w:rPr>
        <w:t>%；项目支出</w:t>
      </w:r>
      <w:r>
        <w:rPr>
          <w:rFonts w:hint="eastAsia" w:ascii="Times New Roman" w:hAnsi="Times New Roman"/>
          <w:szCs w:val="32"/>
        </w:rPr>
        <w:t>70</w:t>
      </w:r>
      <w:r>
        <w:rPr>
          <w:rFonts w:hint="eastAsia"/>
          <w:szCs w:val="32"/>
        </w:rPr>
        <w:t>.</w:t>
      </w:r>
      <w:r>
        <w:rPr>
          <w:rFonts w:hint="eastAsia" w:ascii="Times New Roman" w:hAnsi="Times New Roman"/>
          <w:szCs w:val="32"/>
        </w:rPr>
        <w:t>14</w:t>
      </w:r>
      <w:r>
        <w:rPr>
          <w:szCs w:val="32"/>
        </w:rPr>
        <w:t>万元，占</w:t>
      </w:r>
      <w:r>
        <w:rPr>
          <w:rFonts w:hint="eastAsia" w:ascii="Times New Roman" w:hAnsi="Times New Roman"/>
          <w:szCs w:val="32"/>
        </w:rPr>
        <w:t>37</w:t>
      </w:r>
      <w:r>
        <w:rPr>
          <w:rFonts w:hint="eastAsia"/>
          <w:szCs w:val="32"/>
        </w:rPr>
        <w:t>.</w:t>
      </w:r>
      <w:r>
        <w:rPr>
          <w:rFonts w:hint="eastAsia" w:ascii="Times New Roman" w:hAnsi="Times New Roman"/>
          <w:szCs w:val="32"/>
        </w:rPr>
        <w:t>19</w:t>
      </w:r>
      <w:r>
        <w:rPr>
          <w:szCs w:val="32"/>
        </w:rPr>
        <w:t>%。</w:t>
      </w:r>
      <w:bookmarkEnd w:id="28"/>
    </w:p>
    <w:p w14:paraId="52BFC397">
      <w:pPr>
        <w:pStyle w:val="45"/>
        <w:jc w:val="center"/>
        <w:rPr>
          <w:rFonts w:ascii="Times New Roman"/>
        </w:rPr>
      </w:pPr>
      <w:r>
        <w:rPr>
          <w:rFonts w:hint="eastAsia" w:ascii="Times New Roman"/>
        </w:rPr>
        <w:drawing>
          <wp:inline distT="0" distB="0" distL="114300" distR="114300">
            <wp:extent cx="2837815" cy="2717165"/>
            <wp:effectExtent l="0" t="0" r="19685" b="26035"/>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6C3D18">
      <w:pPr>
        <w:spacing w:line="560" w:lineRule="exact"/>
        <w:ind w:firstLine="1580"/>
        <w:rPr>
          <w:rFonts w:eastAsia="黑体"/>
          <w:szCs w:val="32"/>
        </w:rPr>
      </w:pPr>
      <w:bookmarkStart w:id="29" w:name="_Toc15396606"/>
      <w:bookmarkStart w:id="30" w:name="_Toc15377208"/>
      <w:r>
        <w:rPr>
          <w:szCs w:val="32"/>
        </w:rPr>
        <w:t>（图</w:t>
      </w:r>
      <w:r>
        <w:rPr>
          <w:rFonts w:ascii="Times New Roman" w:hAnsi="Times New Roman"/>
          <w:szCs w:val="32"/>
        </w:rPr>
        <w:t>3</w:t>
      </w:r>
      <w:r>
        <w:rPr>
          <w:szCs w:val="32"/>
        </w:rPr>
        <w:t>：支出决算结构图）（饼状图）</w:t>
      </w:r>
    </w:p>
    <w:p w14:paraId="1E32B549">
      <w:pPr>
        <w:spacing w:line="560" w:lineRule="exact"/>
        <w:ind w:firstLine="632"/>
        <w:outlineLvl w:val="1"/>
        <w:rPr>
          <w:rFonts w:ascii="Times New Roman" w:hAnsi="Times New Roman" w:eastAsia="黑体"/>
          <w:b w:val="0"/>
          <w:i w:val="0"/>
        </w:rPr>
      </w:pPr>
      <w:bookmarkStart w:id="31" w:name="_Toc17137"/>
      <w:r>
        <w:rPr>
          <w:rFonts w:eastAsia="黑体"/>
          <w:szCs w:val="32"/>
        </w:rPr>
        <w:t>四、财</w:t>
      </w:r>
      <w:r>
        <w:rPr>
          <w:rStyle w:val="177"/>
          <w:rFonts w:ascii="Times New Roman" w:hAnsi="Times New Roman" w:eastAsia="黑体"/>
          <w:b w:val="0"/>
          <w:i w:val="0"/>
        </w:rPr>
        <w:t>政拨款收入支出决算总体情况说明</w:t>
      </w:r>
      <w:bookmarkEnd w:id="29"/>
      <w:bookmarkEnd w:id="30"/>
      <w:bookmarkEnd w:id="31"/>
    </w:p>
    <w:p w14:paraId="3BC39F6D">
      <w:pPr>
        <w:spacing w:line="560" w:lineRule="exact"/>
        <w:ind w:firstLine="640"/>
      </w:pPr>
      <w:r>
        <w:rPr>
          <w:rFonts w:ascii="Times New Roman" w:hAnsi="Times New Roman"/>
          <w:szCs w:val="32"/>
        </w:rPr>
        <w:t>202</w:t>
      </w:r>
      <w:r>
        <w:rPr>
          <w:rFonts w:hint="eastAsia" w:ascii="Times New Roman" w:hAnsi="Times New Roman"/>
          <w:szCs w:val="32"/>
        </w:rPr>
        <w:t>4</w:t>
      </w:r>
      <w:r>
        <w:rPr>
          <w:szCs w:val="32"/>
        </w:rPr>
        <w:t>年度财政拨款收、支总计均为</w:t>
      </w:r>
      <w:r>
        <w:rPr>
          <w:rFonts w:hint="eastAsia" w:ascii="Times New Roman" w:hAnsi="Times New Roman"/>
          <w:szCs w:val="32"/>
        </w:rPr>
        <w:t>188</w:t>
      </w:r>
      <w:r>
        <w:rPr>
          <w:rFonts w:hint="eastAsia"/>
          <w:szCs w:val="32"/>
        </w:rPr>
        <w:t>.</w:t>
      </w:r>
      <w:r>
        <w:rPr>
          <w:rFonts w:hint="eastAsia" w:ascii="Times New Roman" w:hAnsi="Times New Roman"/>
          <w:szCs w:val="32"/>
        </w:rPr>
        <w:t>58</w:t>
      </w:r>
      <w:r>
        <w:rPr>
          <w:szCs w:val="32"/>
        </w:rPr>
        <w:t>万元。与</w:t>
      </w:r>
      <w:r>
        <w:rPr>
          <w:rFonts w:ascii="Times New Roman" w:hAnsi="Times New Roman"/>
          <w:szCs w:val="32"/>
        </w:rPr>
        <w:t>202</w:t>
      </w:r>
      <w:r>
        <w:rPr>
          <w:rFonts w:hint="eastAsia" w:ascii="Times New Roman" w:hAnsi="Times New Roman"/>
          <w:szCs w:val="32"/>
        </w:rPr>
        <w:t>3</w:t>
      </w:r>
      <w:r>
        <w:rPr>
          <w:szCs w:val="32"/>
        </w:rPr>
        <w:t>年度相比，财政拨款收、支总计各</w:t>
      </w:r>
      <w:r>
        <w:rPr>
          <w:rFonts w:hint="eastAsia"/>
          <w:szCs w:val="32"/>
        </w:rPr>
        <w:t>减少</w:t>
      </w:r>
      <w:r>
        <w:rPr>
          <w:rFonts w:hint="eastAsia" w:ascii="Times New Roman" w:hAnsi="Times New Roman"/>
          <w:szCs w:val="32"/>
        </w:rPr>
        <w:t>7</w:t>
      </w:r>
      <w:r>
        <w:rPr>
          <w:rFonts w:hint="eastAsia"/>
          <w:szCs w:val="32"/>
        </w:rPr>
        <w:t>.</w:t>
      </w:r>
      <w:r>
        <w:rPr>
          <w:rFonts w:hint="eastAsia" w:ascii="Times New Roman" w:hAnsi="Times New Roman"/>
          <w:szCs w:val="32"/>
        </w:rPr>
        <w:t>97</w:t>
      </w:r>
      <w:r>
        <w:rPr>
          <w:szCs w:val="32"/>
        </w:rPr>
        <w:t>万元，</w:t>
      </w:r>
      <w:r>
        <w:rPr>
          <w:rFonts w:hint="eastAsia"/>
          <w:szCs w:val="32"/>
        </w:rPr>
        <w:t>下降</w:t>
      </w:r>
      <w:r>
        <w:rPr>
          <w:rFonts w:hint="eastAsia" w:ascii="Times New Roman" w:hAnsi="Times New Roman"/>
          <w:szCs w:val="32"/>
        </w:rPr>
        <w:t>4</w:t>
      </w:r>
      <w:r>
        <w:rPr>
          <w:rFonts w:hint="eastAsia"/>
          <w:szCs w:val="32"/>
        </w:rPr>
        <w:t>.</w:t>
      </w:r>
      <w:r>
        <w:rPr>
          <w:rFonts w:hint="eastAsia" w:ascii="Times New Roman" w:hAnsi="Times New Roman"/>
          <w:szCs w:val="32"/>
        </w:rPr>
        <w:t>05</w:t>
      </w:r>
      <w:r>
        <w:rPr>
          <w:szCs w:val="32"/>
        </w:rPr>
        <w:t>%。主要变动原因</w:t>
      </w:r>
      <w:r>
        <w:rPr>
          <w:rFonts w:hint="eastAsia"/>
          <w:szCs w:val="32"/>
          <w:lang w:eastAsia="zh-CN"/>
        </w:rPr>
        <w:t>是</w:t>
      </w:r>
      <w:r>
        <w:rPr>
          <w:rFonts w:hint="eastAsia" w:ascii="Times New Roman" w:hAnsi="Times New Roman"/>
          <w:szCs w:val="32"/>
          <w:lang w:val="en-US" w:eastAsia="zh-CN"/>
        </w:rPr>
        <w:t>2024</w:t>
      </w:r>
      <w:r>
        <w:rPr>
          <w:rFonts w:hint="eastAsia"/>
          <w:szCs w:val="32"/>
          <w:lang w:val="en-US" w:eastAsia="zh-CN"/>
        </w:rPr>
        <w:t>年项目减少</w:t>
      </w:r>
      <w:r>
        <w:rPr>
          <w:rFonts w:hint="eastAsia" w:ascii="Times New Roman" w:hAnsi="Times New Roman"/>
          <w:szCs w:val="32"/>
          <w:lang w:val="en-US" w:eastAsia="zh-CN"/>
        </w:rPr>
        <w:t>5</w:t>
      </w:r>
      <w:r>
        <w:rPr>
          <w:rFonts w:hint="eastAsia"/>
          <w:szCs w:val="32"/>
          <w:lang w:val="en-US" w:eastAsia="zh-CN"/>
        </w:rPr>
        <w:t>.</w:t>
      </w:r>
      <w:r>
        <w:rPr>
          <w:rFonts w:hint="eastAsia" w:ascii="Times New Roman" w:hAnsi="Times New Roman"/>
          <w:szCs w:val="32"/>
          <w:lang w:val="en-US" w:eastAsia="zh-CN"/>
        </w:rPr>
        <w:t>2</w:t>
      </w:r>
      <w:r>
        <w:rPr>
          <w:rFonts w:hint="eastAsia"/>
          <w:szCs w:val="32"/>
          <w:lang w:val="en-US" w:eastAsia="zh-CN"/>
        </w:rPr>
        <w:t>万元，（其中开展反邪教工作</w:t>
      </w:r>
      <w:r>
        <w:rPr>
          <w:rFonts w:hint="eastAsia" w:ascii="Times New Roman" w:hAnsi="Times New Roman"/>
          <w:szCs w:val="32"/>
          <w:lang w:val="en-US" w:eastAsia="zh-CN"/>
        </w:rPr>
        <w:t>5</w:t>
      </w:r>
      <w:r>
        <w:rPr>
          <w:rFonts w:hint="eastAsia"/>
          <w:szCs w:val="32"/>
          <w:lang w:val="en-US" w:eastAsia="zh-CN"/>
        </w:rPr>
        <w:t>万元）、人员经费减少</w:t>
      </w:r>
      <w:r>
        <w:rPr>
          <w:rFonts w:hint="eastAsia" w:ascii="Times New Roman" w:hAnsi="Times New Roman"/>
          <w:szCs w:val="32"/>
          <w:lang w:val="en-US" w:eastAsia="zh-CN"/>
        </w:rPr>
        <w:t>1</w:t>
      </w:r>
      <w:r>
        <w:rPr>
          <w:rFonts w:hint="eastAsia"/>
          <w:szCs w:val="32"/>
          <w:lang w:val="en-US" w:eastAsia="zh-CN"/>
        </w:rPr>
        <w:t>.</w:t>
      </w:r>
      <w:r>
        <w:rPr>
          <w:rFonts w:hint="eastAsia" w:ascii="Times New Roman" w:hAnsi="Times New Roman"/>
          <w:szCs w:val="32"/>
          <w:lang w:val="en-US" w:eastAsia="zh-CN"/>
        </w:rPr>
        <w:t>32</w:t>
      </w:r>
      <w:r>
        <w:rPr>
          <w:rFonts w:hint="eastAsia"/>
          <w:szCs w:val="32"/>
          <w:lang w:val="en-US" w:eastAsia="zh-CN"/>
        </w:rPr>
        <w:t>万元、公用经费减少</w:t>
      </w:r>
      <w:r>
        <w:rPr>
          <w:rFonts w:hint="eastAsia" w:ascii="Times New Roman" w:hAnsi="Times New Roman"/>
          <w:szCs w:val="32"/>
          <w:lang w:val="en-US" w:eastAsia="zh-CN"/>
        </w:rPr>
        <w:t>1</w:t>
      </w:r>
      <w:r>
        <w:rPr>
          <w:rFonts w:hint="eastAsia"/>
          <w:szCs w:val="32"/>
          <w:lang w:val="en-US" w:eastAsia="zh-CN"/>
        </w:rPr>
        <w:t>.</w:t>
      </w:r>
      <w:r>
        <w:rPr>
          <w:rFonts w:hint="eastAsia" w:ascii="Times New Roman" w:hAnsi="Times New Roman"/>
          <w:szCs w:val="32"/>
          <w:lang w:val="en-US" w:eastAsia="zh-CN"/>
        </w:rPr>
        <w:t>45</w:t>
      </w:r>
      <w:r>
        <w:rPr>
          <w:rFonts w:hint="eastAsia"/>
          <w:szCs w:val="32"/>
          <w:lang w:val="en-US" w:eastAsia="zh-CN"/>
        </w:rPr>
        <w:t>万元，其中公务接待费减少</w:t>
      </w:r>
      <w:r>
        <w:rPr>
          <w:rFonts w:hint="eastAsia" w:ascii="Times New Roman" w:hAnsi="Times New Roman"/>
          <w:szCs w:val="32"/>
          <w:lang w:val="en-US" w:eastAsia="zh-CN"/>
        </w:rPr>
        <w:t>0</w:t>
      </w:r>
      <w:r>
        <w:rPr>
          <w:rFonts w:hint="eastAsia"/>
          <w:szCs w:val="32"/>
          <w:lang w:val="en-US" w:eastAsia="zh-CN"/>
        </w:rPr>
        <w:t>.</w:t>
      </w:r>
      <w:r>
        <w:rPr>
          <w:rFonts w:hint="eastAsia" w:ascii="Times New Roman" w:hAnsi="Times New Roman"/>
          <w:szCs w:val="32"/>
          <w:lang w:val="en-US" w:eastAsia="zh-CN"/>
        </w:rPr>
        <w:t>57</w:t>
      </w:r>
      <w:r>
        <w:rPr>
          <w:rFonts w:hint="eastAsia"/>
          <w:szCs w:val="32"/>
          <w:lang w:val="en-US" w:eastAsia="zh-CN"/>
        </w:rPr>
        <w:t>万元。</w:t>
      </w:r>
    </w:p>
    <w:p w14:paraId="6A3AACBF">
      <w:pPr>
        <w:pStyle w:val="46"/>
        <w:ind w:left="0" w:leftChars="0" w:firstLine="0" w:firstLineChars="0"/>
        <w:jc w:val="center"/>
        <w:rPr>
          <w:rFonts w:ascii="Times New Roman" w:eastAsia="仿宋"/>
        </w:rPr>
      </w:pPr>
      <w:r>
        <w:rPr>
          <w:rFonts w:hint="eastAsia"/>
        </w:rPr>
        <w:drawing>
          <wp:inline distT="0" distB="0" distL="114300" distR="114300">
            <wp:extent cx="4495800" cy="3533775"/>
            <wp:effectExtent l="4445" t="4445" r="14605" b="5080"/>
            <wp:docPr id="8"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AAE95F">
      <w:pPr>
        <w:spacing w:line="560" w:lineRule="exact"/>
        <w:ind w:firstLine="632"/>
        <w:rPr>
          <w:rFonts w:eastAsia="黑体"/>
          <w:szCs w:val="32"/>
        </w:rPr>
      </w:pPr>
      <w:bookmarkStart w:id="32" w:name="_Toc15377209"/>
      <w:bookmarkStart w:id="33" w:name="_Toc15396607"/>
      <w:r>
        <w:rPr>
          <w:szCs w:val="32"/>
        </w:rPr>
        <w:t>（图</w:t>
      </w:r>
      <w:r>
        <w:rPr>
          <w:rFonts w:ascii="Times New Roman" w:hAnsi="Times New Roman"/>
          <w:szCs w:val="32"/>
        </w:rPr>
        <w:t>4</w:t>
      </w:r>
      <w:r>
        <w:rPr>
          <w:szCs w:val="32"/>
        </w:rPr>
        <w:t>：财政拨款收、支决算总计变动情况）（柱状图）</w:t>
      </w:r>
    </w:p>
    <w:p w14:paraId="3CE36F9B">
      <w:pPr>
        <w:spacing w:line="560" w:lineRule="exact"/>
        <w:ind w:firstLine="632"/>
        <w:outlineLvl w:val="1"/>
        <w:rPr>
          <w:rFonts w:ascii="Times New Roman" w:hAnsi="Times New Roman" w:eastAsia="黑体"/>
          <w:b w:val="0"/>
          <w:i w:val="0"/>
        </w:rPr>
      </w:pPr>
      <w:bookmarkStart w:id="34" w:name="_Toc16000"/>
      <w:r>
        <w:rPr>
          <w:rFonts w:eastAsia="黑体"/>
          <w:szCs w:val="32"/>
        </w:rPr>
        <w:t>五、一</w:t>
      </w:r>
      <w:r>
        <w:rPr>
          <w:rStyle w:val="177"/>
          <w:rFonts w:ascii="Times New Roman" w:hAnsi="Times New Roman" w:eastAsia="黑体"/>
          <w:b w:val="0"/>
          <w:i w:val="0"/>
        </w:rPr>
        <w:t>般公共预算财政拨款支出决算情况说明</w:t>
      </w:r>
      <w:bookmarkEnd w:id="32"/>
      <w:bookmarkEnd w:id="33"/>
      <w:bookmarkEnd w:id="34"/>
    </w:p>
    <w:p w14:paraId="01161522">
      <w:pPr>
        <w:spacing w:line="560" w:lineRule="exact"/>
        <w:ind w:firstLine="632"/>
        <w:jc w:val="left"/>
        <w:outlineLvl w:val="2"/>
        <w:rPr>
          <w:rFonts w:eastAsia="楷体_GB2312"/>
          <w:b/>
          <w:bCs/>
          <w:szCs w:val="32"/>
        </w:rPr>
      </w:pPr>
      <w:bookmarkStart w:id="35" w:name="_Toc15377210"/>
      <w:bookmarkStart w:id="36" w:name="_Toc22159"/>
      <w:r>
        <w:rPr>
          <w:rFonts w:eastAsia="楷体_GB2312"/>
          <w:b/>
          <w:bCs/>
          <w:szCs w:val="32"/>
        </w:rPr>
        <w:t>（一）一般公共预算财政拨款支出决算总体情况</w:t>
      </w:r>
      <w:bookmarkEnd w:id="35"/>
      <w:bookmarkEnd w:id="36"/>
    </w:p>
    <w:p w14:paraId="3C3960D0">
      <w:pPr>
        <w:spacing w:line="560" w:lineRule="exact"/>
        <w:ind w:firstLine="632"/>
        <w:rPr>
          <w:szCs w:val="32"/>
        </w:rPr>
      </w:pPr>
      <w:r>
        <w:rPr>
          <w:rFonts w:ascii="Times New Roman" w:hAnsi="Times New Roman"/>
          <w:szCs w:val="32"/>
        </w:rPr>
        <w:t>202</w:t>
      </w:r>
      <w:r>
        <w:rPr>
          <w:rFonts w:hint="eastAsia" w:ascii="Times New Roman" w:hAnsi="Times New Roman"/>
          <w:szCs w:val="32"/>
        </w:rPr>
        <w:t>4</w:t>
      </w:r>
      <w:r>
        <w:rPr>
          <w:szCs w:val="32"/>
        </w:rPr>
        <w:t>年度一般公共预算财政拨款支出</w:t>
      </w:r>
      <w:r>
        <w:rPr>
          <w:rFonts w:hint="eastAsia" w:ascii="Times New Roman" w:hAnsi="Times New Roman"/>
          <w:szCs w:val="32"/>
        </w:rPr>
        <w:t>178</w:t>
      </w:r>
      <w:r>
        <w:rPr>
          <w:rFonts w:hint="eastAsia"/>
          <w:szCs w:val="32"/>
        </w:rPr>
        <w:t>.</w:t>
      </w:r>
      <w:r>
        <w:rPr>
          <w:rFonts w:hint="eastAsia" w:ascii="Times New Roman" w:hAnsi="Times New Roman"/>
          <w:szCs w:val="32"/>
        </w:rPr>
        <w:t>58</w:t>
      </w:r>
      <w:r>
        <w:rPr>
          <w:szCs w:val="32"/>
        </w:rPr>
        <w:t>万元，占本年支出合计的</w:t>
      </w:r>
      <w:r>
        <w:rPr>
          <w:rFonts w:hint="eastAsia" w:ascii="Times New Roman" w:hAnsi="Times New Roman"/>
          <w:szCs w:val="32"/>
        </w:rPr>
        <w:t>94</w:t>
      </w:r>
      <w:r>
        <w:rPr>
          <w:rFonts w:hint="eastAsia"/>
          <w:szCs w:val="32"/>
        </w:rPr>
        <w:t>.</w:t>
      </w:r>
      <w:r>
        <w:rPr>
          <w:rFonts w:hint="eastAsia" w:ascii="Times New Roman" w:hAnsi="Times New Roman"/>
          <w:szCs w:val="32"/>
        </w:rPr>
        <w:t>70</w:t>
      </w:r>
      <w:r>
        <w:rPr>
          <w:szCs w:val="32"/>
        </w:rPr>
        <w:t>%。与</w:t>
      </w:r>
      <w:r>
        <w:rPr>
          <w:rFonts w:ascii="Times New Roman" w:hAnsi="Times New Roman"/>
          <w:szCs w:val="32"/>
        </w:rPr>
        <w:t>202</w:t>
      </w:r>
      <w:r>
        <w:rPr>
          <w:rFonts w:hint="eastAsia" w:ascii="Times New Roman" w:hAnsi="Times New Roman"/>
          <w:szCs w:val="32"/>
        </w:rPr>
        <w:t>3</w:t>
      </w:r>
      <w:r>
        <w:rPr>
          <w:szCs w:val="32"/>
        </w:rPr>
        <w:t>年度相比，一般公共预算财政拨款支出减少</w:t>
      </w:r>
      <w:r>
        <w:rPr>
          <w:rFonts w:hint="eastAsia" w:ascii="Times New Roman" w:hAnsi="Times New Roman"/>
          <w:szCs w:val="32"/>
        </w:rPr>
        <w:t>17</w:t>
      </w:r>
      <w:r>
        <w:rPr>
          <w:rFonts w:hint="eastAsia"/>
          <w:szCs w:val="32"/>
        </w:rPr>
        <w:t>.</w:t>
      </w:r>
      <w:r>
        <w:rPr>
          <w:rFonts w:hint="eastAsia" w:ascii="Times New Roman" w:hAnsi="Times New Roman"/>
          <w:szCs w:val="32"/>
        </w:rPr>
        <w:t>97</w:t>
      </w:r>
      <w:r>
        <w:rPr>
          <w:szCs w:val="32"/>
        </w:rPr>
        <w:t>万元，下降</w:t>
      </w:r>
      <w:r>
        <w:rPr>
          <w:rFonts w:hint="eastAsia" w:ascii="Times New Roman" w:hAnsi="Times New Roman"/>
          <w:szCs w:val="32"/>
        </w:rPr>
        <w:t>9</w:t>
      </w:r>
      <w:r>
        <w:rPr>
          <w:rFonts w:hint="eastAsia"/>
          <w:szCs w:val="32"/>
        </w:rPr>
        <w:t>.</w:t>
      </w:r>
      <w:r>
        <w:rPr>
          <w:rFonts w:hint="eastAsia" w:ascii="Times New Roman" w:hAnsi="Times New Roman"/>
          <w:szCs w:val="32"/>
        </w:rPr>
        <w:t>14</w:t>
      </w:r>
      <w:r>
        <w:rPr>
          <w:szCs w:val="32"/>
        </w:rPr>
        <w:t>%。主要变动原因是</w:t>
      </w:r>
      <w:r>
        <w:rPr>
          <w:rFonts w:hint="eastAsia" w:ascii="Times New Roman" w:hAnsi="Times New Roman"/>
          <w:szCs w:val="32"/>
        </w:rPr>
        <w:t>2024</w:t>
      </w:r>
      <w:r>
        <w:rPr>
          <w:rFonts w:hint="eastAsia"/>
          <w:szCs w:val="32"/>
        </w:rPr>
        <w:t>年单位增加了政府性基金预算财政拨款专家（院士）工作专项建设补贴</w:t>
      </w:r>
      <w:r>
        <w:rPr>
          <w:szCs w:val="32"/>
        </w:rPr>
        <w:t>。</w:t>
      </w:r>
    </w:p>
    <w:p w14:paraId="06269154">
      <w:pPr>
        <w:pStyle w:val="46"/>
        <w:ind w:left="632" w:firstLine="632"/>
        <w:rPr>
          <w:rFonts w:ascii="Times New Roman"/>
        </w:rPr>
      </w:pPr>
      <w:r>
        <w:rPr>
          <w:rFonts w:hint="eastAsia" w:ascii="仿宋" w:hAnsi="仿宋" w:eastAsia="仿宋"/>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385445</wp:posOffset>
            </wp:positionH>
            <wp:positionV relativeFrom="paragraph">
              <wp:posOffset>180340</wp:posOffset>
            </wp:positionV>
            <wp:extent cx="5080000" cy="3810000"/>
            <wp:effectExtent l="4445" t="4445" r="20955" b="14605"/>
            <wp:wrapSquare wrapText="bothSides"/>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383E0E4">
      <w:pPr>
        <w:pStyle w:val="46"/>
        <w:ind w:left="632" w:firstLine="632"/>
        <w:rPr>
          <w:rFonts w:ascii="Times New Roman"/>
        </w:rPr>
      </w:pPr>
    </w:p>
    <w:p w14:paraId="3A597890">
      <w:pPr>
        <w:pStyle w:val="46"/>
        <w:ind w:left="632" w:firstLine="632"/>
        <w:rPr>
          <w:rFonts w:ascii="Times New Roman"/>
        </w:rPr>
      </w:pPr>
    </w:p>
    <w:p w14:paraId="72799426">
      <w:pPr>
        <w:pStyle w:val="46"/>
        <w:ind w:left="632" w:firstLine="632"/>
        <w:rPr>
          <w:rFonts w:ascii="Times New Roman"/>
        </w:rPr>
      </w:pPr>
    </w:p>
    <w:p w14:paraId="36EB0EAC">
      <w:pPr>
        <w:pStyle w:val="46"/>
        <w:ind w:left="632" w:firstLine="632"/>
        <w:rPr>
          <w:rFonts w:ascii="Times New Roman"/>
        </w:rPr>
      </w:pPr>
    </w:p>
    <w:p w14:paraId="273D2A60">
      <w:pPr>
        <w:pStyle w:val="46"/>
        <w:ind w:left="632" w:firstLine="632"/>
        <w:rPr>
          <w:rFonts w:ascii="Times New Roman"/>
        </w:rPr>
      </w:pPr>
    </w:p>
    <w:p w14:paraId="6FFBCAC6">
      <w:pPr>
        <w:pStyle w:val="46"/>
        <w:ind w:left="632" w:firstLine="632"/>
        <w:rPr>
          <w:rFonts w:ascii="Times New Roman"/>
        </w:rPr>
      </w:pPr>
    </w:p>
    <w:p w14:paraId="15C62574">
      <w:pPr>
        <w:pStyle w:val="46"/>
        <w:ind w:left="632" w:firstLine="632"/>
        <w:rPr>
          <w:rFonts w:ascii="Times New Roman"/>
        </w:rPr>
      </w:pPr>
    </w:p>
    <w:p w14:paraId="23A0EEA5">
      <w:pPr>
        <w:pStyle w:val="46"/>
        <w:ind w:left="632" w:firstLine="632"/>
        <w:rPr>
          <w:rFonts w:ascii="Times New Roman"/>
        </w:rPr>
      </w:pPr>
    </w:p>
    <w:p w14:paraId="093742B5">
      <w:pPr>
        <w:pStyle w:val="46"/>
        <w:ind w:left="632" w:firstLine="632"/>
        <w:rPr>
          <w:rFonts w:ascii="Times New Roman"/>
        </w:rPr>
      </w:pPr>
    </w:p>
    <w:p w14:paraId="32561B7E">
      <w:pPr>
        <w:pStyle w:val="46"/>
        <w:ind w:left="632" w:firstLine="632"/>
        <w:rPr>
          <w:rFonts w:ascii="Times New Roman"/>
        </w:rPr>
      </w:pPr>
    </w:p>
    <w:p w14:paraId="25B0CAB9">
      <w:pPr>
        <w:pStyle w:val="46"/>
        <w:ind w:left="632" w:firstLine="632"/>
        <w:rPr>
          <w:rFonts w:ascii="Times New Roman"/>
        </w:rPr>
      </w:pPr>
    </w:p>
    <w:p w14:paraId="2EBB46CB">
      <w:pPr>
        <w:pStyle w:val="46"/>
        <w:ind w:left="632" w:firstLine="632"/>
        <w:rPr>
          <w:rFonts w:ascii="Times New Roman"/>
        </w:rPr>
      </w:pPr>
    </w:p>
    <w:p w14:paraId="766EF1B5">
      <w:pPr>
        <w:spacing w:line="560" w:lineRule="exact"/>
        <w:jc w:val="center"/>
        <w:rPr>
          <w:szCs w:val="32"/>
        </w:rPr>
      </w:pPr>
      <w:bookmarkStart w:id="37" w:name="_Toc15377211"/>
      <w:r>
        <w:rPr>
          <w:szCs w:val="32"/>
        </w:rPr>
        <w:t>（图</w:t>
      </w:r>
      <w:r>
        <w:rPr>
          <w:rFonts w:ascii="Times New Roman" w:hAnsi="Times New Roman"/>
          <w:szCs w:val="32"/>
        </w:rPr>
        <w:t>5</w:t>
      </w:r>
      <w:r>
        <w:rPr>
          <w:szCs w:val="32"/>
        </w:rPr>
        <w:t>：一般公共预算财政拨款支出决算变动情况）</w:t>
      </w:r>
    </w:p>
    <w:p w14:paraId="6B296FC5">
      <w:pPr>
        <w:spacing w:line="560" w:lineRule="exact"/>
        <w:jc w:val="center"/>
        <w:rPr>
          <w:rFonts w:eastAsia="楷体_GB2312"/>
          <w:szCs w:val="32"/>
        </w:rPr>
      </w:pPr>
      <w:r>
        <w:rPr>
          <w:szCs w:val="32"/>
        </w:rPr>
        <w:t>（柱状图）</w:t>
      </w:r>
    </w:p>
    <w:p w14:paraId="7DAE868D">
      <w:pPr>
        <w:spacing w:line="560" w:lineRule="exact"/>
        <w:ind w:firstLine="632"/>
        <w:jc w:val="left"/>
        <w:outlineLvl w:val="2"/>
        <w:rPr>
          <w:rFonts w:eastAsia="楷体_GB2312"/>
          <w:b/>
          <w:bCs/>
          <w:szCs w:val="32"/>
        </w:rPr>
      </w:pPr>
      <w:bookmarkStart w:id="38" w:name="_Toc13407"/>
    </w:p>
    <w:p w14:paraId="48B4B593">
      <w:pPr>
        <w:spacing w:line="560" w:lineRule="exact"/>
        <w:ind w:firstLine="632"/>
        <w:jc w:val="left"/>
        <w:outlineLvl w:val="2"/>
        <w:rPr>
          <w:rFonts w:eastAsia="楷体_GB2312"/>
          <w:b/>
          <w:bCs/>
          <w:szCs w:val="32"/>
        </w:rPr>
      </w:pPr>
      <w:r>
        <w:rPr>
          <w:rFonts w:eastAsia="楷体_GB2312"/>
          <w:b/>
          <w:bCs/>
          <w:szCs w:val="32"/>
        </w:rPr>
        <w:t>（二）一般公共预算财政拨款支出决算结构情况</w:t>
      </w:r>
      <w:bookmarkEnd w:id="37"/>
      <w:bookmarkEnd w:id="38"/>
    </w:p>
    <w:p w14:paraId="1DD35037">
      <w:pPr>
        <w:spacing w:line="560" w:lineRule="exact"/>
        <w:ind w:firstLine="632"/>
        <w:rPr>
          <w:szCs w:val="32"/>
        </w:rPr>
      </w:pPr>
      <w:r>
        <w:rPr>
          <w:rFonts w:ascii="Times New Roman" w:hAnsi="Times New Roman"/>
          <w:szCs w:val="32"/>
        </w:rPr>
        <w:t>202</w:t>
      </w:r>
      <w:r>
        <w:rPr>
          <w:rFonts w:hint="eastAsia" w:ascii="Times New Roman" w:hAnsi="Times New Roman"/>
          <w:szCs w:val="32"/>
        </w:rPr>
        <w:t>4</w:t>
      </w:r>
      <w:r>
        <w:rPr>
          <w:szCs w:val="32"/>
        </w:rPr>
        <w:t>年度一般公共预算财政拨款支出</w:t>
      </w:r>
      <w:r>
        <w:rPr>
          <w:rFonts w:hint="eastAsia" w:ascii="Times New Roman" w:hAnsi="Times New Roman"/>
          <w:szCs w:val="32"/>
        </w:rPr>
        <w:t>178</w:t>
      </w:r>
      <w:r>
        <w:rPr>
          <w:rFonts w:hint="eastAsia"/>
          <w:szCs w:val="32"/>
        </w:rPr>
        <w:t>.</w:t>
      </w:r>
      <w:r>
        <w:rPr>
          <w:rFonts w:hint="eastAsia" w:ascii="Times New Roman" w:hAnsi="Times New Roman"/>
          <w:szCs w:val="32"/>
        </w:rPr>
        <w:t>58</w:t>
      </w:r>
      <w:r>
        <w:rPr>
          <w:szCs w:val="32"/>
        </w:rPr>
        <w:t>万元，</w:t>
      </w:r>
      <w:r>
        <w:rPr>
          <w:rFonts w:hint="eastAsia" w:ascii="仿宋" w:hAnsi="仿宋" w:eastAsia="仿宋" w:cs="仿宋"/>
          <w:color w:val="000000"/>
          <w:szCs w:val="32"/>
        </w:rPr>
        <w:t>主要用于以下方面：科学技术支出</w:t>
      </w:r>
      <w:r>
        <w:rPr>
          <w:rFonts w:hint="eastAsia" w:ascii="Times New Roman" w:hAnsi="Times New Roman" w:eastAsia="仿宋" w:cs="仿宋"/>
          <w:color w:val="000000"/>
          <w:szCs w:val="32"/>
        </w:rPr>
        <w:t>151</w:t>
      </w:r>
      <w:r>
        <w:rPr>
          <w:rFonts w:hint="eastAsia" w:ascii="仿宋" w:hAnsi="仿宋" w:eastAsia="仿宋" w:cs="仿宋"/>
          <w:color w:val="000000"/>
          <w:szCs w:val="32"/>
        </w:rPr>
        <w:t>.</w:t>
      </w:r>
      <w:r>
        <w:rPr>
          <w:rFonts w:hint="eastAsia" w:ascii="Times New Roman" w:hAnsi="Times New Roman" w:eastAsia="仿宋" w:cs="仿宋"/>
          <w:color w:val="000000"/>
          <w:szCs w:val="32"/>
        </w:rPr>
        <w:t>74</w:t>
      </w:r>
      <w:r>
        <w:rPr>
          <w:rFonts w:hint="eastAsia" w:ascii="仿宋" w:hAnsi="仿宋" w:eastAsia="仿宋" w:cs="仿宋"/>
          <w:color w:val="000000"/>
          <w:szCs w:val="32"/>
        </w:rPr>
        <w:t>万元，占</w:t>
      </w:r>
      <w:r>
        <w:rPr>
          <w:rFonts w:hint="eastAsia" w:ascii="Times New Roman" w:hAnsi="Times New Roman" w:eastAsia="仿宋" w:cs="仿宋"/>
          <w:color w:val="000000"/>
          <w:szCs w:val="32"/>
        </w:rPr>
        <w:t>84</w:t>
      </w:r>
      <w:r>
        <w:rPr>
          <w:rFonts w:hint="eastAsia" w:ascii="仿宋" w:hAnsi="仿宋" w:eastAsia="仿宋" w:cs="仿宋"/>
          <w:color w:val="000000"/>
          <w:szCs w:val="32"/>
        </w:rPr>
        <w:t>.</w:t>
      </w:r>
      <w:r>
        <w:rPr>
          <w:rFonts w:hint="eastAsia" w:ascii="Times New Roman" w:hAnsi="Times New Roman" w:eastAsia="仿宋" w:cs="仿宋"/>
          <w:color w:val="000000"/>
          <w:szCs w:val="32"/>
        </w:rPr>
        <w:t>97</w:t>
      </w:r>
      <w:r>
        <w:rPr>
          <w:rFonts w:hint="eastAsia" w:ascii="仿宋" w:hAnsi="仿宋" w:eastAsia="仿宋" w:cs="仿宋"/>
          <w:color w:val="000000"/>
          <w:szCs w:val="32"/>
        </w:rPr>
        <w:t>%；</w:t>
      </w:r>
      <w:bookmarkStart w:id="39" w:name="OLE_LINK10"/>
      <w:bookmarkStart w:id="40" w:name="OLE_LINK7"/>
      <w:r>
        <w:rPr>
          <w:rFonts w:hint="eastAsia" w:ascii="仿宋" w:hAnsi="仿宋" w:eastAsia="仿宋" w:cs="仿宋"/>
          <w:color w:val="000000"/>
          <w:szCs w:val="32"/>
        </w:rPr>
        <w:t>社会保障和就业支出</w:t>
      </w:r>
      <w:bookmarkEnd w:id="39"/>
      <w:bookmarkEnd w:id="40"/>
      <w:r>
        <w:rPr>
          <w:rFonts w:hint="eastAsia" w:ascii="Times New Roman" w:hAnsi="Times New Roman" w:eastAsia="仿宋" w:cs="仿宋"/>
          <w:color w:val="000000"/>
          <w:szCs w:val="32"/>
        </w:rPr>
        <w:t>12</w:t>
      </w:r>
      <w:r>
        <w:rPr>
          <w:rFonts w:hint="eastAsia" w:ascii="仿宋" w:hAnsi="仿宋" w:eastAsia="仿宋" w:cs="仿宋"/>
          <w:color w:val="000000"/>
          <w:szCs w:val="32"/>
        </w:rPr>
        <w:t>.</w:t>
      </w:r>
      <w:r>
        <w:rPr>
          <w:rFonts w:hint="eastAsia" w:ascii="Times New Roman" w:hAnsi="Times New Roman" w:eastAsia="仿宋" w:cs="仿宋"/>
          <w:color w:val="000000"/>
          <w:szCs w:val="32"/>
        </w:rPr>
        <w:t>02</w:t>
      </w:r>
      <w:r>
        <w:rPr>
          <w:rFonts w:hint="eastAsia" w:ascii="仿宋" w:hAnsi="仿宋" w:eastAsia="仿宋" w:cs="仿宋"/>
          <w:color w:val="000000"/>
          <w:szCs w:val="32"/>
        </w:rPr>
        <w:t>万元，占</w:t>
      </w:r>
      <w:r>
        <w:rPr>
          <w:rFonts w:hint="eastAsia" w:ascii="Times New Roman" w:hAnsi="Times New Roman" w:eastAsia="仿宋" w:cs="仿宋"/>
          <w:color w:val="000000"/>
          <w:szCs w:val="32"/>
        </w:rPr>
        <w:t>6</w:t>
      </w:r>
      <w:r>
        <w:rPr>
          <w:rFonts w:hint="eastAsia" w:ascii="仿宋" w:hAnsi="仿宋" w:eastAsia="仿宋" w:cs="仿宋"/>
          <w:color w:val="000000"/>
          <w:szCs w:val="32"/>
        </w:rPr>
        <w:t>.</w:t>
      </w:r>
      <w:r>
        <w:rPr>
          <w:rFonts w:hint="eastAsia" w:ascii="Times New Roman" w:hAnsi="Times New Roman" w:eastAsia="仿宋" w:cs="仿宋"/>
          <w:color w:val="000000"/>
          <w:szCs w:val="32"/>
        </w:rPr>
        <w:t>73</w:t>
      </w:r>
      <w:r>
        <w:rPr>
          <w:rFonts w:hint="eastAsia" w:ascii="仿宋" w:hAnsi="仿宋" w:eastAsia="仿宋" w:cs="仿宋"/>
          <w:color w:val="000000"/>
          <w:szCs w:val="32"/>
        </w:rPr>
        <w:t>%；</w:t>
      </w:r>
      <w:bookmarkStart w:id="41" w:name="OLE_LINK11"/>
      <w:bookmarkStart w:id="42" w:name="OLE_LINK12"/>
      <w:r>
        <w:rPr>
          <w:rFonts w:hint="eastAsia" w:ascii="仿宋" w:hAnsi="仿宋" w:eastAsia="仿宋" w:cs="仿宋"/>
          <w:color w:val="000000"/>
          <w:szCs w:val="32"/>
        </w:rPr>
        <w:t>卫生健康支出</w:t>
      </w:r>
      <w:bookmarkEnd w:id="41"/>
      <w:bookmarkEnd w:id="42"/>
      <w:r>
        <w:rPr>
          <w:rFonts w:hint="eastAsia" w:ascii="Times New Roman" w:hAnsi="Times New Roman" w:eastAsia="仿宋" w:cs="仿宋"/>
          <w:color w:val="000000"/>
          <w:szCs w:val="32"/>
        </w:rPr>
        <w:t>5</w:t>
      </w:r>
      <w:r>
        <w:rPr>
          <w:rFonts w:hint="eastAsia" w:ascii="仿宋" w:hAnsi="仿宋" w:eastAsia="仿宋" w:cs="仿宋"/>
          <w:color w:val="000000"/>
          <w:szCs w:val="32"/>
        </w:rPr>
        <w:t>.</w:t>
      </w:r>
      <w:r>
        <w:rPr>
          <w:rFonts w:hint="eastAsia" w:ascii="Times New Roman" w:hAnsi="Times New Roman" w:eastAsia="仿宋" w:cs="仿宋"/>
          <w:color w:val="000000"/>
          <w:szCs w:val="32"/>
        </w:rPr>
        <w:t>84</w:t>
      </w:r>
      <w:r>
        <w:rPr>
          <w:rFonts w:hint="eastAsia" w:ascii="仿宋" w:hAnsi="仿宋" w:eastAsia="仿宋" w:cs="仿宋"/>
          <w:color w:val="000000"/>
          <w:szCs w:val="32"/>
        </w:rPr>
        <w:t>万元，占</w:t>
      </w:r>
      <w:r>
        <w:rPr>
          <w:rFonts w:hint="eastAsia" w:ascii="Times New Roman" w:hAnsi="Times New Roman" w:eastAsia="仿宋" w:cs="仿宋"/>
          <w:color w:val="000000"/>
          <w:szCs w:val="32"/>
        </w:rPr>
        <w:t>3</w:t>
      </w:r>
      <w:r>
        <w:rPr>
          <w:rFonts w:hint="eastAsia" w:ascii="仿宋" w:hAnsi="仿宋" w:eastAsia="仿宋" w:cs="仿宋"/>
          <w:color w:val="000000"/>
          <w:szCs w:val="32"/>
        </w:rPr>
        <w:t>.</w:t>
      </w:r>
      <w:r>
        <w:rPr>
          <w:rFonts w:hint="eastAsia" w:ascii="Times New Roman" w:hAnsi="Times New Roman" w:eastAsia="仿宋" w:cs="仿宋"/>
          <w:color w:val="000000"/>
          <w:szCs w:val="32"/>
        </w:rPr>
        <w:t>27</w:t>
      </w:r>
      <w:r>
        <w:rPr>
          <w:rFonts w:hint="eastAsia" w:ascii="仿宋" w:hAnsi="仿宋" w:eastAsia="仿宋" w:cs="仿宋"/>
          <w:color w:val="000000"/>
          <w:szCs w:val="32"/>
        </w:rPr>
        <w:t>%；</w:t>
      </w:r>
      <w:bookmarkStart w:id="43" w:name="OLE_LINK14"/>
      <w:bookmarkStart w:id="44" w:name="OLE_LINK13"/>
      <w:r>
        <w:rPr>
          <w:rFonts w:hint="eastAsia" w:ascii="仿宋" w:hAnsi="仿宋" w:eastAsia="仿宋" w:cs="仿宋"/>
          <w:color w:val="000000"/>
          <w:szCs w:val="32"/>
        </w:rPr>
        <w:t>住房保障支出</w:t>
      </w:r>
      <w:bookmarkEnd w:id="43"/>
      <w:bookmarkEnd w:id="44"/>
      <w:r>
        <w:rPr>
          <w:rFonts w:hint="eastAsia" w:ascii="Times New Roman" w:hAnsi="Times New Roman" w:eastAsia="仿宋" w:cs="仿宋"/>
          <w:color w:val="000000"/>
          <w:szCs w:val="32"/>
        </w:rPr>
        <w:t>8</w:t>
      </w:r>
      <w:r>
        <w:rPr>
          <w:rFonts w:hint="eastAsia" w:ascii="仿宋" w:hAnsi="仿宋" w:eastAsia="仿宋" w:cs="仿宋"/>
          <w:color w:val="000000"/>
          <w:szCs w:val="32"/>
        </w:rPr>
        <w:t>.</w:t>
      </w:r>
      <w:r>
        <w:rPr>
          <w:rFonts w:hint="eastAsia" w:ascii="Times New Roman" w:hAnsi="Times New Roman" w:eastAsia="仿宋" w:cs="仿宋"/>
          <w:color w:val="000000"/>
          <w:szCs w:val="32"/>
        </w:rPr>
        <w:t>98</w:t>
      </w:r>
      <w:r>
        <w:rPr>
          <w:rFonts w:hint="eastAsia" w:ascii="仿宋" w:hAnsi="仿宋" w:eastAsia="仿宋" w:cs="仿宋"/>
          <w:color w:val="000000"/>
          <w:szCs w:val="32"/>
        </w:rPr>
        <w:t>万元，占</w:t>
      </w:r>
      <w:r>
        <w:rPr>
          <w:rFonts w:hint="eastAsia" w:ascii="Times New Roman" w:hAnsi="Times New Roman" w:eastAsia="仿宋" w:cs="仿宋"/>
          <w:color w:val="000000"/>
          <w:szCs w:val="32"/>
        </w:rPr>
        <w:t>5</w:t>
      </w:r>
      <w:r>
        <w:rPr>
          <w:rFonts w:hint="eastAsia" w:ascii="仿宋" w:hAnsi="仿宋" w:eastAsia="仿宋" w:cs="仿宋"/>
          <w:color w:val="000000"/>
          <w:szCs w:val="32"/>
        </w:rPr>
        <w:t>.</w:t>
      </w:r>
      <w:r>
        <w:rPr>
          <w:rFonts w:hint="eastAsia" w:ascii="Times New Roman" w:hAnsi="Times New Roman" w:eastAsia="仿宋" w:cs="仿宋"/>
          <w:color w:val="000000"/>
          <w:szCs w:val="32"/>
        </w:rPr>
        <w:t>03</w:t>
      </w:r>
      <w:r>
        <w:rPr>
          <w:rFonts w:hint="eastAsia" w:ascii="仿宋" w:hAnsi="仿宋" w:eastAsia="仿宋" w:cs="仿宋"/>
          <w:color w:val="000000"/>
          <w:szCs w:val="32"/>
        </w:rPr>
        <w:t>%。</w:t>
      </w:r>
    </w:p>
    <w:p w14:paraId="37FF04A3">
      <w:pPr>
        <w:pStyle w:val="46"/>
        <w:ind w:left="632" w:firstLine="632"/>
        <w:rPr>
          <w:rFonts w:ascii="Times New Roman"/>
        </w:rPr>
      </w:pPr>
    </w:p>
    <w:p w14:paraId="09DA4ADF">
      <w:pPr>
        <w:pStyle w:val="46"/>
        <w:ind w:left="0" w:leftChars="0" w:firstLine="0" w:firstLineChars="0"/>
        <w:jc w:val="center"/>
        <w:rPr>
          <w:rFonts w:ascii="仿宋" w:hAnsi="仿宋" w:eastAsia="仿宋"/>
          <w:color w:val="000000"/>
        </w:rPr>
      </w:pPr>
      <w:r>
        <w:rPr>
          <w:rFonts w:hint="eastAsia" w:ascii="仿宋" w:hAnsi="仿宋" w:eastAsia="仿宋"/>
          <w:color w:val="000000"/>
        </w:rPr>
        <w:drawing>
          <wp:inline distT="0" distB="0" distL="0" distR="0">
            <wp:extent cx="4623435" cy="3114040"/>
            <wp:effectExtent l="0" t="0" r="24765" b="1016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A3109A">
      <w:pPr>
        <w:spacing w:line="560" w:lineRule="exact"/>
        <w:jc w:val="center"/>
        <w:rPr>
          <w:szCs w:val="32"/>
        </w:rPr>
      </w:pPr>
      <w:bookmarkStart w:id="45" w:name="_Toc15377212"/>
      <w:r>
        <w:rPr>
          <w:szCs w:val="32"/>
        </w:rPr>
        <w:t>（图</w:t>
      </w:r>
      <w:r>
        <w:rPr>
          <w:rFonts w:ascii="Times New Roman" w:hAnsi="Times New Roman"/>
          <w:szCs w:val="32"/>
        </w:rPr>
        <w:t>6</w:t>
      </w:r>
      <w:r>
        <w:rPr>
          <w:szCs w:val="32"/>
        </w:rPr>
        <w:t>：</w:t>
      </w:r>
      <w:bookmarkStart w:id="46" w:name="OLE_LINK3"/>
      <w:bookmarkStart w:id="47" w:name="OLE_LINK4"/>
      <w:r>
        <w:rPr>
          <w:szCs w:val="32"/>
        </w:rPr>
        <w:t>一般公共预算财政拨款支出决算结构</w:t>
      </w:r>
      <w:bookmarkEnd w:id="46"/>
      <w:bookmarkEnd w:id="47"/>
      <w:r>
        <w:rPr>
          <w:szCs w:val="32"/>
        </w:rPr>
        <w:t>）</w:t>
      </w:r>
    </w:p>
    <w:p w14:paraId="5901CF7A">
      <w:pPr>
        <w:spacing w:line="560" w:lineRule="exact"/>
        <w:jc w:val="center"/>
        <w:rPr>
          <w:rFonts w:eastAsia="楷体_GB2312"/>
          <w:szCs w:val="32"/>
        </w:rPr>
      </w:pPr>
      <w:r>
        <w:rPr>
          <w:szCs w:val="32"/>
        </w:rPr>
        <w:t>（饼状图）</w:t>
      </w:r>
    </w:p>
    <w:p w14:paraId="37490118">
      <w:pPr>
        <w:spacing w:line="560" w:lineRule="exact"/>
        <w:ind w:firstLine="632"/>
        <w:jc w:val="left"/>
        <w:outlineLvl w:val="2"/>
        <w:rPr>
          <w:rFonts w:eastAsia="楷体_GB2312"/>
          <w:b/>
          <w:bCs/>
          <w:szCs w:val="32"/>
        </w:rPr>
      </w:pPr>
      <w:bookmarkStart w:id="48" w:name="_Toc5736"/>
    </w:p>
    <w:p w14:paraId="5A092D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eastAsia="楷体_GB2312"/>
          <w:b/>
          <w:bCs/>
          <w:szCs w:val="32"/>
        </w:rPr>
      </w:pPr>
      <w:r>
        <w:rPr>
          <w:rFonts w:eastAsia="楷体_GB2312"/>
          <w:b/>
          <w:bCs/>
          <w:szCs w:val="32"/>
        </w:rPr>
        <w:t>（三）一般公共预算财政拨款支出决算具体情况</w:t>
      </w:r>
      <w:bookmarkEnd w:id="45"/>
      <w:bookmarkEnd w:id="48"/>
    </w:p>
    <w:p w14:paraId="23EA52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ascii="仿宋_GB2312" w:hAnsi="仿宋_GB2312" w:cs="仿宋_GB2312"/>
          <w:szCs w:val="32"/>
        </w:rPr>
      </w:pPr>
      <w:bookmarkStart w:id="49" w:name="_Toc15378460"/>
      <w:bookmarkStart w:id="50" w:name="_Toc15377444"/>
      <w:bookmarkStart w:id="51" w:name="_Toc30095"/>
      <w:bookmarkStart w:id="52" w:name="_Toc15377213"/>
      <w:r>
        <w:rPr>
          <w:rFonts w:hint="eastAsia" w:ascii="Times New Roman" w:hAnsi="Times New Roman" w:cs="仿宋_GB2312"/>
          <w:szCs w:val="32"/>
        </w:rPr>
        <w:t>2024</w:t>
      </w:r>
      <w:r>
        <w:rPr>
          <w:rFonts w:hint="eastAsia" w:ascii="仿宋_GB2312" w:hAnsi="仿宋_GB2312" w:cs="仿宋_GB2312"/>
          <w:szCs w:val="32"/>
        </w:rPr>
        <w:t>年度一般公共预算支出决算数为</w:t>
      </w:r>
      <w:r>
        <w:rPr>
          <w:rFonts w:hint="eastAsia" w:ascii="Times New Roman" w:hAnsi="Times New Roman" w:cs="仿宋_GB2312"/>
          <w:szCs w:val="32"/>
        </w:rPr>
        <w:t>178</w:t>
      </w:r>
      <w:r>
        <w:rPr>
          <w:rFonts w:hint="eastAsia" w:ascii="仿宋_GB2312" w:hAnsi="仿宋_GB2312" w:cs="仿宋_GB2312"/>
          <w:szCs w:val="32"/>
        </w:rPr>
        <w:t>.</w:t>
      </w:r>
      <w:r>
        <w:rPr>
          <w:rFonts w:hint="eastAsia" w:ascii="Times New Roman" w:hAnsi="Times New Roman" w:cs="仿宋_GB2312"/>
          <w:szCs w:val="32"/>
        </w:rPr>
        <w:t>58</w:t>
      </w:r>
      <w:r>
        <w:rPr>
          <w:rStyle w:val="175"/>
          <w:rFonts w:hint="eastAsia" w:ascii="仿宋_GB2312" w:hAnsi="仿宋_GB2312" w:cs="仿宋_GB2312"/>
          <w:sz w:val="32"/>
          <w:szCs w:val="32"/>
        </w:rPr>
        <w:t>万元</w:t>
      </w:r>
      <w:r>
        <w:rPr>
          <w:rFonts w:hint="eastAsia" w:ascii="仿宋_GB2312" w:hAnsi="仿宋_GB2312" w:cs="仿宋_GB2312"/>
          <w:szCs w:val="32"/>
        </w:rPr>
        <w:t>，</w:t>
      </w:r>
      <w:r>
        <w:rPr>
          <w:rStyle w:val="119"/>
          <w:rFonts w:hint="eastAsia" w:ascii="仿宋_GB2312" w:hAnsi="仿宋_GB2312" w:cs="仿宋_GB2312"/>
          <w:b w:val="0"/>
          <w:bCs w:val="0"/>
          <w:szCs w:val="32"/>
        </w:rPr>
        <w:t>完成预算</w:t>
      </w:r>
      <w:r>
        <w:rPr>
          <w:rStyle w:val="119"/>
          <w:rFonts w:hint="eastAsia" w:ascii="Times New Roman" w:hAnsi="Times New Roman" w:cs="仿宋_GB2312"/>
          <w:b w:val="0"/>
          <w:bCs w:val="0"/>
          <w:szCs w:val="32"/>
        </w:rPr>
        <w:t>100</w:t>
      </w:r>
      <w:r>
        <w:rPr>
          <w:rStyle w:val="119"/>
          <w:rFonts w:hint="eastAsia" w:ascii="仿宋_GB2312" w:hAnsi="仿宋_GB2312" w:cs="仿宋_GB2312"/>
          <w:b w:val="0"/>
          <w:bCs w:val="0"/>
          <w:szCs w:val="32"/>
        </w:rPr>
        <w:t>%。其中：</w:t>
      </w:r>
      <w:bookmarkEnd w:id="49"/>
      <w:bookmarkEnd w:id="50"/>
      <w:bookmarkEnd w:id="51"/>
      <w:bookmarkEnd w:id="52"/>
    </w:p>
    <w:p w14:paraId="0741D1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bookmarkStart w:id="53" w:name="_Toc8519"/>
      <w:bookmarkStart w:id="54" w:name="_Toc15396608"/>
      <w:bookmarkStart w:id="55" w:name="_Toc15377214"/>
      <w:r>
        <w:rPr>
          <w:rFonts w:hint="eastAsia" w:ascii="仿宋_GB2312" w:hAnsi="仿宋_GB2312" w:cs="仿宋_GB2312"/>
          <w:lang w:val="en-US" w:eastAsia="zh-CN"/>
        </w:rPr>
        <w:t>1</w:t>
      </w:r>
      <w:r>
        <w:rPr>
          <w:rFonts w:hint="eastAsia" w:ascii="仿宋_GB2312" w:hAnsi="仿宋_GB2312" w:cs="仿宋_GB2312"/>
        </w:rPr>
        <w:t>.科学技术（</w:t>
      </w:r>
      <w:r>
        <w:rPr>
          <w:rFonts w:hint="eastAsia" w:ascii="Times New Roman" w:hAnsi="Times New Roman" w:cs="仿宋_GB2312"/>
        </w:rPr>
        <w:t>206</w:t>
      </w:r>
      <w:r>
        <w:rPr>
          <w:rFonts w:hint="eastAsia" w:ascii="仿宋_GB2312" w:hAnsi="仿宋_GB2312" w:cs="仿宋_GB2312"/>
        </w:rPr>
        <w:t>）科学技术管理事务（</w:t>
      </w:r>
      <w:r>
        <w:rPr>
          <w:rFonts w:hint="eastAsia" w:ascii="Times New Roman" w:hAnsi="Times New Roman" w:cs="仿宋_GB2312"/>
        </w:rPr>
        <w:t>01</w:t>
      </w:r>
      <w:r>
        <w:rPr>
          <w:rFonts w:hint="eastAsia" w:ascii="仿宋_GB2312" w:hAnsi="仿宋_GB2312" w:cs="仿宋_GB2312"/>
        </w:rPr>
        <w:t>）行政运行（</w:t>
      </w:r>
      <w:r>
        <w:rPr>
          <w:rFonts w:hint="eastAsia" w:ascii="Times New Roman" w:hAnsi="Times New Roman" w:cs="仿宋_GB2312"/>
        </w:rPr>
        <w:t>01</w:t>
      </w:r>
      <w:r>
        <w:rPr>
          <w:rFonts w:hint="eastAsia" w:ascii="仿宋_GB2312" w:hAnsi="仿宋_GB2312" w:cs="仿宋_GB2312"/>
        </w:rPr>
        <w:t>）:支出决算为</w:t>
      </w:r>
      <w:r>
        <w:rPr>
          <w:rFonts w:hint="eastAsia" w:ascii="Times New Roman" w:hAnsi="Times New Roman" w:cs="仿宋_GB2312"/>
        </w:rPr>
        <w:t>90</w:t>
      </w:r>
      <w:r>
        <w:rPr>
          <w:rFonts w:hint="eastAsia" w:ascii="仿宋_GB2312" w:hAnsi="仿宋_GB2312" w:cs="仿宋_GB2312"/>
        </w:rPr>
        <w:t>.</w:t>
      </w:r>
      <w:r>
        <w:rPr>
          <w:rFonts w:hint="eastAsia" w:ascii="Times New Roman" w:hAnsi="Times New Roman" w:cs="仿宋_GB2312"/>
        </w:rPr>
        <w:t>26</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3FAC8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2</w:t>
      </w:r>
      <w:r>
        <w:rPr>
          <w:rFonts w:hint="eastAsia" w:ascii="仿宋_GB2312" w:hAnsi="仿宋_GB2312" w:cs="仿宋_GB2312"/>
        </w:rPr>
        <w:t>.科学技术（</w:t>
      </w:r>
      <w:r>
        <w:rPr>
          <w:rFonts w:hint="eastAsia" w:ascii="Times New Roman" w:hAnsi="Times New Roman" w:cs="仿宋_GB2312"/>
        </w:rPr>
        <w:t>206</w:t>
      </w:r>
      <w:r>
        <w:rPr>
          <w:rFonts w:hint="eastAsia" w:ascii="仿宋_GB2312" w:hAnsi="仿宋_GB2312" w:cs="仿宋_GB2312"/>
        </w:rPr>
        <w:t>）科学技术管理事务（</w:t>
      </w:r>
      <w:r>
        <w:rPr>
          <w:rFonts w:hint="eastAsia" w:ascii="Times New Roman" w:hAnsi="Times New Roman" w:cs="仿宋_GB2312"/>
        </w:rPr>
        <w:t>01</w:t>
      </w:r>
      <w:r>
        <w:rPr>
          <w:rFonts w:hint="eastAsia" w:ascii="仿宋_GB2312" w:hAnsi="仿宋_GB2312" w:cs="仿宋_GB2312"/>
        </w:rPr>
        <w:t>）其他科学技术管理事务支出（</w:t>
      </w:r>
      <w:r>
        <w:rPr>
          <w:rFonts w:hint="eastAsia" w:ascii="Times New Roman" w:hAnsi="Times New Roman" w:cs="仿宋_GB2312"/>
        </w:rPr>
        <w:t>99</w:t>
      </w:r>
      <w:r>
        <w:rPr>
          <w:rFonts w:hint="eastAsia" w:ascii="仿宋_GB2312" w:hAnsi="仿宋_GB2312" w:cs="仿宋_GB2312"/>
        </w:rPr>
        <w:t>）: 支出决算为</w:t>
      </w:r>
      <w:r>
        <w:rPr>
          <w:rFonts w:hint="eastAsia" w:ascii="Times New Roman" w:hAnsi="Times New Roman" w:cs="仿宋_GB2312"/>
        </w:rPr>
        <w:t>1</w:t>
      </w:r>
      <w:r>
        <w:rPr>
          <w:rFonts w:hint="eastAsia" w:ascii="仿宋_GB2312" w:hAnsi="仿宋_GB2312" w:cs="仿宋_GB2312"/>
        </w:rPr>
        <w:t>.</w:t>
      </w:r>
      <w:r>
        <w:rPr>
          <w:rFonts w:hint="eastAsia" w:ascii="Times New Roman" w:hAnsi="Times New Roman" w:cs="仿宋_GB2312"/>
        </w:rPr>
        <w:t>20</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20672F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3</w:t>
      </w:r>
      <w:r>
        <w:rPr>
          <w:rFonts w:hint="eastAsia" w:ascii="仿宋_GB2312" w:hAnsi="仿宋_GB2312" w:cs="仿宋_GB2312"/>
        </w:rPr>
        <w:t>.科学技术（</w:t>
      </w:r>
      <w:r>
        <w:rPr>
          <w:rFonts w:hint="eastAsia" w:ascii="Times New Roman" w:hAnsi="Times New Roman" w:cs="仿宋_GB2312"/>
        </w:rPr>
        <w:t>206</w:t>
      </w:r>
      <w:r>
        <w:rPr>
          <w:rFonts w:hint="eastAsia" w:ascii="仿宋_GB2312" w:hAnsi="仿宋_GB2312" w:cs="仿宋_GB2312"/>
        </w:rPr>
        <w:t>）科学技术普及（</w:t>
      </w:r>
      <w:r>
        <w:rPr>
          <w:rFonts w:hint="eastAsia" w:ascii="Times New Roman" w:hAnsi="Times New Roman" w:cs="仿宋_GB2312"/>
        </w:rPr>
        <w:t>07</w:t>
      </w:r>
      <w:r>
        <w:rPr>
          <w:rFonts w:hint="eastAsia" w:ascii="仿宋_GB2312" w:hAnsi="仿宋_GB2312" w:cs="仿宋_GB2312"/>
        </w:rPr>
        <w:t>）科普活动（</w:t>
      </w:r>
      <w:r>
        <w:rPr>
          <w:rFonts w:hint="eastAsia" w:ascii="Times New Roman" w:hAnsi="Times New Roman" w:cs="仿宋_GB2312"/>
        </w:rPr>
        <w:t>02</w:t>
      </w:r>
      <w:r>
        <w:rPr>
          <w:rFonts w:hint="eastAsia" w:ascii="仿宋_GB2312" w:hAnsi="仿宋_GB2312" w:cs="仿宋_GB2312"/>
        </w:rPr>
        <w:t>）: 支出决算为</w:t>
      </w:r>
      <w:r>
        <w:rPr>
          <w:rFonts w:hint="eastAsia" w:ascii="Times New Roman" w:hAnsi="Times New Roman" w:cs="仿宋_GB2312"/>
        </w:rPr>
        <w:t>11</w:t>
      </w:r>
      <w:r>
        <w:rPr>
          <w:rFonts w:hint="eastAsia" w:ascii="仿宋_GB2312" w:hAnsi="仿宋_GB2312" w:cs="仿宋_GB2312"/>
        </w:rPr>
        <w:t>.</w:t>
      </w:r>
      <w:r>
        <w:rPr>
          <w:rFonts w:hint="eastAsia" w:ascii="Times New Roman" w:hAnsi="Times New Roman" w:cs="仿宋_GB2312"/>
        </w:rPr>
        <w:t>28</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0553DC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4</w:t>
      </w:r>
      <w:r>
        <w:rPr>
          <w:rFonts w:hint="eastAsia" w:ascii="仿宋_GB2312" w:hAnsi="仿宋_GB2312" w:cs="仿宋_GB2312"/>
        </w:rPr>
        <w:t>.科学技术（</w:t>
      </w:r>
      <w:r>
        <w:rPr>
          <w:rFonts w:hint="eastAsia" w:ascii="Times New Roman" w:hAnsi="Times New Roman" w:cs="仿宋_GB2312"/>
        </w:rPr>
        <w:t>206</w:t>
      </w:r>
      <w:r>
        <w:rPr>
          <w:rFonts w:hint="eastAsia" w:ascii="仿宋_GB2312" w:hAnsi="仿宋_GB2312" w:cs="仿宋_GB2312"/>
        </w:rPr>
        <w:t>）科学技术普及（</w:t>
      </w:r>
      <w:r>
        <w:rPr>
          <w:rFonts w:hint="eastAsia" w:ascii="Times New Roman" w:hAnsi="Times New Roman" w:cs="仿宋_GB2312"/>
        </w:rPr>
        <w:t>07</w:t>
      </w:r>
      <w:r>
        <w:rPr>
          <w:rFonts w:hint="eastAsia" w:ascii="仿宋_GB2312" w:hAnsi="仿宋_GB2312" w:cs="仿宋_GB2312"/>
        </w:rPr>
        <w:t>）其他科学技术普及支出（</w:t>
      </w:r>
      <w:r>
        <w:rPr>
          <w:rFonts w:hint="eastAsia" w:ascii="Times New Roman" w:hAnsi="Times New Roman" w:cs="仿宋_GB2312"/>
        </w:rPr>
        <w:t>99</w:t>
      </w:r>
      <w:r>
        <w:rPr>
          <w:rFonts w:hint="eastAsia" w:ascii="仿宋_GB2312" w:hAnsi="仿宋_GB2312" w:cs="仿宋_GB2312"/>
        </w:rPr>
        <w:t>）: 支出决算为</w:t>
      </w:r>
      <w:r>
        <w:rPr>
          <w:rFonts w:hint="eastAsia" w:ascii="Times New Roman" w:hAnsi="Times New Roman" w:cs="仿宋_GB2312"/>
        </w:rPr>
        <w:t>49</w:t>
      </w:r>
      <w:r>
        <w:rPr>
          <w:rFonts w:hint="eastAsia" w:ascii="仿宋_GB2312" w:hAnsi="仿宋_GB2312" w:cs="仿宋_GB2312"/>
        </w:rPr>
        <w:t>.</w:t>
      </w:r>
      <w:r>
        <w:rPr>
          <w:rFonts w:hint="eastAsia" w:ascii="Times New Roman" w:hAnsi="Times New Roman" w:cs="仿宋_GB2312"/>
        </w:rPr>
        <w:t>00</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6FB1B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5</w:t>
      </w:r>
      <w:r>
        <w:rPr>
          <w:rFonts w:hint="eastAsia" w:ascii="仿宋_GB2312" w:hAnsi="仿宋_GB2312" w:cs="仿宋_GB2312"/>
        </w:rPr>
        <w:t>.社会保障和就业（</w:t>
      </w:r>
      <w:r>
        <w:rPr>
          <w:rFonts w:hint="eastAsia" w:ascii="Times New Roman" w:hAnsi="Times New Roman" w:cs="仿宋_GB2312"/>
        </w:rPr>
        <w:t>208</w:t>
      </w:r>
      <w:r>
        <w:rPr>
          <w:rFonts w:hint="eastAsia" w:ascii="仿宋_GB2312" w:hAnsi="仿宋_GB2312" w:cs="仿宋_GB2312"/>
        </w:rPr>
        <w:t>）行政事业单位养老支出（</w:t>
      </w:r>
      <w:r>
        <w:rPr>
          <w:rFonts w:hint="eastAsia" w:ascii="Times New Roman" w:hAnsi="Times New Roman" w:cs="仿宋_GB2312"/>
        </w:rPr>
        <w:t>05</w:t>
      </w:r>
      <w:r>
        <w:rPr>
          <w:rFonts w:hint="eastAsia" w:ascii="仿宋_GB2312" w:hAnsi="仿宋_GB2312" w:cs="仿宋_GB2312"/>
        </w:rPr>
        <w:t>）机关事业单位基本养老保险缴费支出（</w:t>
      </w:r>
      <w:r>
        <w:rPr>
          <w:rFonts w:hint="eastAsia" w:ascii="Times New Roman" w:hAnsi="Times New Roman" w:cs="仿宋_GB2312"/>
        </w:rPr>
        <w:t>05</w:t>
      </w:r>
      <w:r>
        <w:rPr>
          <w:rFonts w:hint="eastAsia" w:ascii="仿宋_GB2312" w:hAnsi="仿宋_GB2312" w:cs="仿宋_GB2312"/>
        </w:rPr>
        <w:t>）：支出决算为</w:t>
      </w:r>
      <w:r>
        <w:rPr>
          <w:rFonts w:hint="eastAsia" w:ascii="Times New Roman" w:hAnsi="Times New Roman" w:cs="仿宋_GB2312"/>
        </w:rPr>
        <w:t>11</w:t>
      </w:r>
      <w:r>
        <w:rPr>
          <w:rFonts w:hint="eastAsia" w:ascii="仿宋_GB2312" w:hAnsi="仿宋_GB2312" w:cs="仿宋_GB2312"/>
        </w:rPr>
        <w:t>.</w:t>
      </w:r>
      <w:r>
        <w:rPr>
          <w:rFonts w:hint="eastAsia" w:ascii="Times New Roman" w:hAnsi="Times New Roman" w:cs="仿宋_GB2312"/>
        </w:rPr>
        <w:t>47</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7C535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6</w:t>
      </w:r>
      <w:r>
        <w:rPr>
          <w:rFonts w:hint="eastAsia" w:ascii="仿宋_GB2312" w:hAnsi="仿宋_GB2312" w:cs="仿宋_GB2312"/>
        </w:rPr>
        <w:t>.社会保障和就业（</w:t>
      </w:r>
      <w:r>
        <w:rPr>
          <w:rFonts w:hint="eastAsia" w:ascii="Times New Roman" w:hAnsi="Times New Roman" w:cs="仿宋_GB2312"/>
        </w:rPr>
        <w:t>208</w:t>
      </w:r>
      <w:r>
        <w:rPr>
          <w:rFonts w:hint="eastAsia" w:ascii="仿宋_GB2312" w:hAnsi="仿宋_GB2312" w:cs="仿宋_GB2312"/>
        </w:rPr>
        <w:t>）其他社会保障和就业支出（</w:t>
      </w:r>
      <w:r>
        <w:rPr>
          <w:rFonts w:hint="eastAsia" w:ascii="Times New Roman" w:hAnsi="Times New Roman" w:cs="仿宋_GB2312"/>
        </w:rPr>
        <w:t>99</w:t>
      </w:r>
      <w:r>
        <w:rPr>
          <w:rFonts w:hint="eastAsia" w:ascii="仿宋_GB2312" w:hAnsi="仿宋_GB2312" w:cs="仿宋_GB2312"/>
        </w:rPr>
        <w:t>）其他社会保障和就业支出（</w:t>
      </w:r>
      <w:r>
        <w:rPr>
          <w:rFonts w:hint="eastAsia" w:ascii="Times New Roman" w:hAnsi="Times New Roman" w:cs="仿宋_GB2312"/>
        </w:rPr>
        <w:t>99</w:t>
      </w:r>
      <w:r>
        <w:rPr>
          <w:rFonts w:hint="eastAsia" w:ascii="仿宋_GB2312" w:hAnsi="仿宋_GB2312" w:cs="仿宋_GB2312"/>
        </w:rPr>
        <w:t>）：支出决算为</w:t>
      </w:r>
      <w:r>
        <w:rPr>
          <w:rFonts w:hint="eastAsia" w:ascii="Times New Roman" w:hAnsi="Times New Roman" w:cs="仿宋_GB2312"/>
        </w:rPr>
        <w:t>0</w:t>
      </w:r>
      <w:r>
        <w:rPr>
          <w:rFonts w:hint="eastAsia" w:ascii="仿宋_GB2312" w:hAnsi="仿宋_GB2312" w:cs="仿宋_GB2312"/>
        </w:rPr>
        <w:t>.</w:t>
      </w:r>
      <w:r>
        <w:rPr>
          <w:rFonts w:hint="eastAsia" w:ascii="Times New Roman" w:hAnsi="Times New Roman" w:cs="仿宋_GB2312"/>
        </w:rPr>
        <w:t>55</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6B978B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7</w:t>
      </w:r>
      <w:r>
        <w:rPr>
          <w:rFonts w:hint="eastAsia" w:ascii="仿宋_GB2312" w:hAnsi="仿宋_GB2312" w:cs="仿宋_GB2312"/>
        </w:rPr>
        <w:t>.卫生健康（</w:t>
      </w:r>
      <w:r>
        <w:rPr>
          <w:rFonts w:hint="eastAsia" w:ascii="Times New Roman" w:hAnsi="Times New Roman" w:cs="仿宋_GB2312"/>
        </w:rPr>
        <w:t>210</w:t>
      </w:r>
      <w:r>
        <w:rPr>
          <w:rFonts w:hint="eastAsia" w:ascii="仿宋_GB2312" w:hAnsi="仿宋_GB2312" w:cs="仿宋_GB2312"/>
        </w:rPr>
        <w:t>）行政事业单位医疗（</w:t>
      </w:r>
      <w:r>
        <w:rPr>
          <w:rFonts w:hint="eastAsia" w:ascii="Times New Roman" w:hAnsi="Times New Roman" w:cs="仿宋_GB2312"/>
        </w:rPr>
        <w:t>11</w:t>
      </w:r>
      <w:r>
        <w:rPr>
          <w:rFonts w:hint="eastAsia" w:ascii="仿宋_GB2312" w:hAnsi="仿宋_GB2312" w:cs="仿宋_GB2312"/>
        </w:rPr>
        <w:t>）行政单位医疗（</w:t>
      </w:r>
      <w:r>
        <w:rPr>
          <w:rFonts w:hint="eastAsia" w:ascii="Times New Roman" w:hAnsi="Times New Roman" w:cs="仿宋_GB2312"/>
        </w:rPr>
        <w:t>01</w:t>
      </w:r>
      <w:r>
        <w:rPr>
          <w:rFonts w:hint="eastAsia" w:ascii="仿宋_GB2312" w:hAnsi="仿宋_GB2312" w:cs="仿宋_GB2312"/>
        </w:rPr>
        <w:t>）：支出决算为</w:t>
      </w:r>
      <w:r>
        <w:rPr>
          <w:rFonts w:hint="eastAsia" w:ascii="Times New Roman" w:hAnsi="Times New Roman" w:cs="仿宋_GB2312"/>
        </w:rPr>
        <w:t>4</w:t>
      </w:r>
      <w:r>
        <w:rPr>
          <w:rFonts w:hint="eastAsia" w:ascii="仿宋_GB2312" w:hAnsi="仿宋_GB2312" w:cs="仿宋_GB2312"/>
        </w:rPr>
        <w:t>.</w:t>
      </w:r>
      <w:r>
        <w:rPr>
          <w:rFonts w:hint="eastAsia" w:ascii="Times New Roman" w:hAnsi="Times New Roman" w:cs="仿宋_GB2312"/>
        </w:rPr>
        <w:t>63</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717C5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cs="仿宋_GB2312"/>
        </w:rPr>
      </w:pPr>
      <w:r>
        <w:rPr>
          <w:rFonts w:hint="eastAsia" w:ascii="仿宋_GB2312" w:hAnsi="仿宋_GB2312" w:cs="仿宋_GB2312"/>
          <w:lang w:val="en-US" w:eastAsia="zh-CN"/>
        </w:rPr>
        <w:t>8</w:t>
      </w:r>
      <w:r>
        <w:rPr>
          <w:rFonts w:hint="eastAsia" w:ascii="仿宋_GB2312" w:hAnsi="仿宋_GB2312" w:cs="仿宋_GB2312"/>
        </w:rPr>
        <w:t>.卫生健康（</w:t>
      </w:r>
      <w:r>
        <w:rPr>
          <w:rFonts w:hint="eastAsia" w:ascii="Times New Roman" w:hAnsi="Times New Roman" w:cs="仿宋_GB2312"/>
        </w:rPr>
        <w:t>210</w:t>
      </w:r>
      <w:r>
        <w:rPr>
          <w:rFonts w:hint="eastAsia" w:ascii="仿宋_GB2312" w:hAnsi="仿宋_GB2312" w:cs="仿宋_GB2312"/>
        </w:rPr>
        <w:t>）行政事业单位医疗（</w:t>
      </w:r>
      <w:r>
        <w:rPr>
          <w:rFonts w:hint="eastAsia" w:ascii="Times New Roman" w:hAnsi="Times New Roman" w:cs="仿宋_GB2312"/>
        </w:rPr>
        <w:t>11</w:t>
      </w:r>
      <w:r>
        <w:rPr>
          <w:rFonts w:hint="eastAsia" w:ascii="仿宋_GB2312" w:hAnsi="仿宋_GB2312" w:cs="仿宋_GB2312"/>
        </w:rPr>
        <w:t>）公务员医疗补助（</w:t>
      </w:r>
      <w:r>
        <w:rPr>
          <w:rFonts w:hint="eastAsia" w:ascii="Times New Roman" w:hAnsi="Times New Roman" w:cs="仿宋_GB2312"/>
        </w:rPr>
        <w:t>03</w:t>
      </w:r>
      <w:r>
        <w:rPr>
          <w:rFonts w:hint="eastAsia" w:ascii="仿宋_GB2312" w:hAnsi="仿宋_GB2312" w:cs="仿宋_GB2312"/>
        </w:rPr>
        <w:t>）：支出决算为</w:t>
      </w:r>
      <w:r>
        <w:rPr>
          <w:rFonts w:hint="eastAsia" w:ascii="Times New Roman" w:hAnsi="Times New Roman" w:cs="仿宋_GB2312"/>
        </w:rPr>
        <w:t>1</w:t>
      </w:r>
      <w:r>
        <w:rPr>
          <w:rFonts w:hint="eastAsia" w:ascii="仿宋_GB2312" w:hAnsi="仿宋_GB2312" w:cs="仿宋_GB2312"/>
        </w:rPr>
        <w:t>.</w:t>
      </w:r>
      <w:r>
        <w:rPr>
          <w:rFonts w:hint="eastAsia" w:ascii="Times New Roman" w:hAnsi="Times New Roman" w:cs="仿宋_GB2312"/>
        </w:rPr>
        <w:t>21</w:t>
      </w:r>
      <w:r>
        <w:rPr>
          <w:rFonts w:hint="eastAsia" w:ascii="仿宋_GB2312" w:hAnsi="仿宋_GB2312" w:cs="仿宋_GB2312"/>
        </w:rPr>
        <w:t>万元，完成预算</w:t>
      </w:r>
      <w:r>
        <w:rPr>
          <w:rFonts w:hint="eastAsia" w:ascii="Times New Roman" w:hAnsi="Times New Roman" w:cs="仿宋_GB2312"/>
        </w:rPr>
        <w:t>100</w:t>
      </w:r>
      <w:r>
        <w:rPr>
          <w:rFonts w:hint="eastAsia" w:ascii="仿宋_GB2312" w:hAnsi="仿宋_GB2312" w:cs="仿宋_GB2312"/>
        </w:rPr>
        <w:t>%，决算数与预算数持平。</w:t>
      </w:r>
    </w:p>
    <w:p w14:paraId="041294B4">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ascii="仿宋" w:hAnsi="仿宋" w:eastAsia="仿宋" w:cs="仿宋"/>
          <w:color w:val="000000"/>
        </w:rPr>
      </w:pPr>
      <w:r>
        <w:rPr>
          <w:rFonts w:hint="eastAsia" w:hAnsi="仿宋_GB2312" w:cs="仿宋_GB2312"/>
          <w:lang w:val="en-US" w:eastAsia="zh-CN"/>
        </w:rPr>
        <w:t>9</w:t>
      </w:r>
      <w:r>
        <w:rPr>
          <w:rFonts w:hint="eastAsia" w:hAnsi="仿宋_GB2312" w:cs="仿宋_GB2312"/>
        </w:rPr>
        <w:t>.住房保障（</w:t>
      </w:r>
      <w:r>
        <w:rPr>
          <w:rFonts w:hint="eastAsia" w:ascii="Times New Roman" w:hAnsi="Times New Roman" w:cs="仿宋_GB2312"/>
        </w:rPr>
        <w:t>221</w:t>
      </w:r>
      <w:r>
        <w:rPr>
          <w:rFonts w:hint="eastAsia" w:hAnsi="仿宋_GB2312" w:cs="仿宋_GB2312"/>
        </w:rPr>
        <w:t>）住房改革支出（</w:t>
      </w:r>
      <w:r>
        <w:rPr>
          <w:rFonts w:hint="eastAsia" w:ascii="Times New Roman" w:hAnsi="Times New Roman" w:cs="仿宋_GB2312"/>
        </w:rPr>
        <w:t>02</w:t>
      </w:r>
      <w:r>
        <w:rPr>
          <w:rFonts w:hint="eastAsia" w:hAnsi="仿宋_GB2312" w:cs="仿宋_GB2312"/>
        </w:rPr>
        <w:t>）住房公积金（</w:t>
      </w:r>
      <w:r>
        <w:rPr>
          <w:rFonts w:hint="eastAsia" w:ascii="Times New Roman" w:hAnsi="Times New Roman" w:cs="仿宋_GB2312"/>
        </w:rPr>
        <w:t>01</w:t>
      </w:r>
      <w:r>
        <w:rPr>
          <w:rFonts w:hint="eastAsia" w:hAnsi="仿宋_GB2312" w:cs="仿宋_GB2312"/>
        </w:rPr>
        <w:t>）：支出决算为</w:t>
      </w:r>
      <w:r>
        <w:rPr>
          <w:rFonts w:hint="eastAsia" w:ascii="Times New Roman" w:hAnsi="Times New Roman" w:cs="仿宋_GB2312"/>
        </w:rPr>
        <w:t>8</w:t>
      </w:r>
      <w:r>
        <w:rPr>
          <w:rFonts w:hint="eastAsia" w:hAnsi="仿宋_GB2312" w:cs="仿宋_GB2312"/>
        </w:rPr>
        <w:t>.</w:t>
      </w:r>
      <w:r>
        <w:rPr>
          <w:rFonts w:hint="eastAsia" w:ascii="Times New Roman" w:hAnsi="Times New Roman" w:cs="仿宋_GB2312"/>
        </w:rPr>
        <w:t>98</w:t>
      </w:r>
      <w:r>
        <w:rPr>
          <w:rFonts w:hint="eastAsia" w:hAnsi="仿宋_GB2312" w:cs="仿宋_GB2312"/>
        </w:rPr>
        <w:t>万元，完成预算</w:t>
      </w:r>
      <w:r>
        <w:rPr>
          <w:rFonts w:hint="eastAsia" w:ascii="Times New Roman" w:hAnsi="Times New Roman" w:cs="仿宋_GB2312"/>
        </w:rPr>
        <w:t>100</w:t>
      </w:r>
      <w:r>
        <w:rPr>
          <w:rFonts w:hint="eastAsia" w:hAnsi="仿宋_GB2312" w:cs="仿宋_GB2312"/>
        </w:rPr>
        <w:t>%，决算数与预算数持平</w:t>
      </w:r>
      <w:r>
        <w:rPr>
          <w:rStyle w:val="38"/>
          <w:rFonts w:hint="eastAsia" w:hAnsi="仿宋_GB2312" w:cs="仿宋_GB2312"/>
          <w:b w:val="0"/>
          <w:color w:val="000000"/>
        </w:rPr>
        <w:t>。</w:t>
      </w:r>
    </w:p>
    <w:p w14:paraId="12B47EF3">
      <w:pPr>
        <w:pStyle w:val="4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b w:val="0"/>
          <w:i w:val="0"/>
          <w:sz w:val="32"/>
          <w:szCs w:val="32"/>
        </w:rPr>
      </w:pPr>
      <w:r>
        <w:rPr>
          <w:rFonts w:eastAsia="黑体"/>
          <w:sz w:val="32"/>
          <w:szCs w:val="32"/>
        </w:rPr>
        <w:t>六、一</w:t>
      </w:r>
      <w:r>
        <w:rPr>
          <w:rStyle w:val="177"/>
          <w:rFonts w:ascii="Times New Roman" w:hAnsi="Times New Roman" w:eastAsia="黑体"/>
          <w:b w:val="0"/>
          <w:i w:val="0"/>
          <w:sz w:val="32"/>
          <w:szCs w:val="32"/>
        </w:rPr>
        <w:t>般公共预算财政拨款基本支出决算情况说明</w:t>
      </w:r>
      <w:bookmarkEnd w:id="53"/>
      <w:bookmarkEnd w:id="54"/>
      <w:bookmarkEnd w:id="55"/>
      <w:r>
        <w:rPr>
          <w:rStyle w:val="177"/>
          <w:rFonts w:ascii="Times New Roman" w:hAnsi="Times New Roman" w:eastAsia="黑体"/>
          <w:b w:val="0"/>
          <w:i w:val="0"/>
          <w:sz w:val="32"/>
          <w:szCs w:val="32"/>
        </w:rPr>
        <w:tab/>
      </w:r>
    </w:p>
    <w:p w14:paraId="77F8CF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Cs w:val="32"/>
        </w:rPr>
      </w:pPr>
      <w:r>
        <w:rPr>
          <w:rFonts w:ascii="Times New Roman" w:hAnsi="Times New Roman"/>
          <w:szCs w:val="32"/>
        </w:rPr>
        <w:t>202</w:t>
      </w:r>
      <w:r>
        <w:rPr>
          <w:rFonts w:hint="eastAsia" w:ascii="Times New Roman" w:hAnsi="Times New Roman"/>
          <w:szCs w:val="32"/>
        </w:rPr>
        <w:t>4</w:t>
      </w:r>
      <w:r>
        <w:rPr>
          <w:szCs w:val="32"/>
        </w:rPr>
        <w:t>年度一般公共预算财政拨款基本支出</w:t>
      </w:r>
      <w:r>
        <w:rPr>
          <w:rFonts w:hint="eastAsia" w:ascii="Times New Roman" w:hAnsi="Times New Roman"/>
          <w:szCs w:val="32"/>
        </w:rPr>
        <w:t>118</w:t>
      </w:r>
      <w:r>
        <w:rPr>
          <w:rFonts w:hint="eastAsia"/>
          <w:szCs w:val="32"/>
        </w:rPr>
        <w:t>.</w:t>
      </w:r>
      <w:r>
        <w:rPr>
          <w:rFonts w:hint="eastAsia" w:ascii="Times New Roman" w:hAnsi="Times New Roman"/>
          <w:szCs w:val="32"/>
        </w:rPr>
        <w:t>44</w:t>
      </w:r>
      <w:r>
        <w:rPr>
          <w:szCs w:val="32"/>
        </w:rPr>
        <w:t>万元，其中：</w:t>
      </w:r>
    </w:p>
    <w:p w14:paraId="197CF2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Cs w:val="32"/>
        </w:rPr>
      </w:pPr>
      <w:r>
        <w:rPr>
          <w:szCs w:val="32"/>
        </w:rPr>
        <w:t>人员经费</w:t>
      </w:r>
      <w:r>
        <w:rPr>
          <w:rFonts w:hint="eastAsia" w:ascii="Times New Roman" w:hAnsi="Times New Roman"/>
          <w:szCs w:val="32"/>
        </w:rPr>
        <w:t>102</w:t>
      </w:r>
      <w:r>
        <w:rPr>
          <w:rFonts w:hint="eastAsia"/>
          <w:szCs w:val="32"/>
        </w:rPr>
        <w:t>.</w:t>
      </w:r>
      <w:r>
        <w:rPr>
          <w:rFonts w:hint="eastAsia" w:ascii="Times New Roman" w:hAnsi="Times New Roman"/>
          <w:szCs w:val="32"/>
        </w:rPr>
        <w:t>61</w:t>
      </w:r>
      <w:r>
        <w:rPr>
          <w:szCs w:val="32"/>
        </w:rPr>
        <w:t>万元，主要包括：基本工资、津贴补贴、</w:t>
      </w:r>
      <w:r>
        <w:rPr>
          <w:rFonts w:hint="eastAsia"/>
          <w:szCs w:val="32"/>
        </w:rPr>
        <w:t>奖金</w:t>
      </w:r>
      <w:r>
        <w:rPr>
          <w:szCs w:val="32"/>
        </w:rPr>
        <w:t>、机关事业单位基本养老保险缴费、职工基本医疗保险缴费</w:t>
      </w:r>
      <w:r>
        <w:rPr>
          <w:rFonts w:hint="eastAsia"/>
          <w:szCs w:val="32"/>
        </w:rPr>
        <w:t>、公务员医疗补助缴费、</w:t>
      </w:r>
      <w:r>
        <w:rPr>
          <w:szCs w:val="32"/>
        </w:rPr>
        <w:t>其他社会保障缴费、其他工资福利支出、住房公积金</w:t>
      </w:r>
      <w:r>
        <w:rPr>
          <w:rFonts w:hint="eastAsia"/>
          <w:szCs w:val="32"/>
        </w:rPr>
        <w:t>、</w:t>
      </w:r>
      <w:r>
        <w:rPr>
          <w:szCs w:val="32"/>
        </w:rPr>
        <w:t>其他对个人和家庭的补助支出等。</w:t>
      </w:r>
    </w:p>
    <w:p w14:paraId="05464E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Cs w:val="32"/>
        </w:rPr>
      </w:pPr>
      <w:r>
        <w:rPr>
          <w:szCs w:val="32"/>
        </w:rPr>
        <w:t>公用经费</w:t>
      </w:r>
      <w:r>
        <w:rPr>
          <w:rFonts w:hint="eastAsia" w:ascii="Times New Roman" w:hAnsi="Times New Roman"/>
          <w:szCs w:val="32"/>
          <w:shd w:val="clear" w:color="auto" w:fill="auto"/>
        </w:rPr>
        <w:t>15</w:t>
      </w:r>
      <w:r>
        <w:rPr>
          <w:rFonts w:hint="eastAsia"/>
          <w:szCs w:val="32"/>
          <w:shd w:val="clear" w:color="auto" w:fill="auto"/>
        </w:rPr>
        <w:t>.</w:t>
      </w:r>
      <w:r>
        <w:rPr>
          <w:rFonts w:hint="eastAsia" w:ascii="Times New Roman" w:hAnsi="Times New Roman"/>
          <w:szCs w:val="32"/>
          <w:shd w:val="clear" w:color="auto" w:fill="auto"/>
        </w:rPr>
        <w:t>83</w:t>
      </w:r>
      <w:r>
        <w:rPr>
          <w:szCs w:val="32"/>
        </w:rPr>
        <w:t>万元，主要包括：办公费、</w:t>
      </w:r>
      <w:r>
        <w:rPr>
          <w:rFonts w:hint="eastAsia"/>
          <w:szCs w:val="32"/>
        </w:rPr>
        <w:t>印刷费、邮电费、</w:t>
      </w:r>
      <w:r>
        <w:rPr>
          <w:szCs w:val="32"/>
        </w:rPr>
        <w:t>差旅费、</w:t>
      </w:r>
      <w:r>
        <w:rPr>
          <w:rFonts w:hint="eastAsia"/>
          <w:szCs w:val="32"/>
        </w:rPr>
        <w:t>培训费、</w:t>
      </w:r>
      <w:r>
        <w:rPr>
          <w:szCs w:val="32"/>
        </w:rPr>
        <w:t>公务接待费、</w:t>
      </w:r>
      <w:r>
        <w:rPr>
          <w:rFonts w:hint="eastAsia"/>
          <w:szCs w:val="32"/>
        </w:rPr>
        <w:t>劳务费、</w:t>
      </w:r>
      <w:r>
        <w:rPr>
          <w:szCs w:val="32"/>
        </w:rPr>
        <w:t>工会经费、福利费、</w:t>
      </w:r>
      <w:r>
        <w:rPr>
          <w:rFonts w:hint="eastAsia"/>
          <w:szCs w:val="32"/>
        </w:rPr>
        <w:t>公务用车运行维护费、其他交通费用、</w:t>
      </w:r>
      <w:r>
        <w:rPr>
          <w:szCs w:val="32"/>
        </w:rPr>
        <w:t>其他商品和服务支出等。</w:t>
      </w:r>
    </w:p>
    <w:p w14:paraId="6FD9DB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ascii="Times New Roman" w:hAnsi="Times New Roman" w:eastAsia="黑体"/>
          <w:b w:val="0"/>
          <w:i w:val="0"/>
        </w:rPr>
      </w:pPr>
      <w:bookmarkStart w:id="56" w:name="_Toc30667"/>
      <w:bookmarkStart w:id="57" w:name="_Toc15396609"/>
      <w:bookmarkStart w:id="58" w:name="_Toc15377215"/>
      <w:r>
        <w:rPr>
          <w:rFonts w:eastAsia="黑体"/>
          <w:szCs w:val="32"/>
        </w:rPr>
        <w:t>七、</w:t>
      </w:r>
      <w:r>
        <w:rPr>
          <w:rStyle w:val="177"/>
          <w:rFonts w:ascii="Times New Roman" w:hAnsi="Times New Roman" w:eastAsia="黑体"/>
          <w:b w:val="0"/>
          <w:i w:val="0"/>
        </w:rPr>
        <w:t>财政拨款“三公”经费支出决算情况说明</w:t>
      </w:r>
      <w:bookmarkEnd w:id="56"/>
      <w:bookmarkEnd w:id="57"/>
      <w:bookmarkEnd w:id="58"/>
    </w:p>
    <w:p w14:paraId="0B202B4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eastAsia="楷体_GB2312"/>
          <w:b/>
          <w:bCs/>
          <w:szCs w:val="32"/>
        </w:rPr>
      </w:pPr>
      <w:bookmarkStart w:id="59" w:name="_Toc15377216"/>
      <w:bookmarkStart w:id="60" w:name="_Toc1959"/>
      <w:r>
        <w:rPr>
          <w:rFonts w:eastAsia="楷体_GB2312"/>
          <w:b/>
          <w:bCs/>
          <w:szCs w:val="32"/>
        </w:rPr>
        <w:t>（一）</w:t>
      </w:r>
      <w:r>
        <w:rPr>
          <w:rFonts w:hint="eastAsia" w:eastAsia="楷体_GB2312"/>
          <w:b/>
          <w:bCs/>
          <w:szCs w:val="32"/>
          <w:lang w:eastAsia="zh-CN"/>
        </w:rPr>
        <w:t>“</w:t>
      </w:r>
      <w:r>
        <w:rPr>
          <w:rFonts w:eastAsia="楷体_GB2312"/>
          <w:b/>
          <w:bCs/>
          <w:szCs w:val="32"/>
        </w:rPr>
        <w:t>三公</w:t>
      </w:r>
      <w:r>
        <w:rPr>
          <w:rFonts w:hint="eastAsia" w:eastAsia="楷体_GB2312"/>
          <w:b/>
          <w:bCs/>
          <w:szCs w:val="32"/>
          <w:lang w:eastAsia="zh-CN"/>
        </w:rPr>
        <w:t>”</w:t>
      </w:r>
      <w:r>
        <w:rPr>
          <w:rFonts w:eastAsia="楷体_GB2312"/>
          <w:b/>
          <w:bCs/>
          <w:szCs w:val="32"/>
        </w:rPr>
        <w:t>经费财政拨款支出决算总体情况说明</w:t>
      </w:r>
      <w:bookmarkEnd w:id="59"/>
      <w:bookmarkEnd w:id="60"/>
    </w:p>
    <w:p w14:paraId="441579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szCs w:val="32"/>
        </w:rPr>
      </w:pPr>
      <w:r>
        <w:rPr>
          <w:rFonts w:ascii="Times New Roman" w:hAnsi="Times New Roman"/>
          <w:szCs w:val="32"/>
        </w:rPr>
        <w:t>202</w:t>
      </w:r>
      <w:r>
        <w:rPr>
          <w:rFonts w:hint="eastAsia" w:ascii="Times New Roman" w:hAnsi="Times New Roman"/>
          <w:szCs w:val="32"/>
        </w:rPr>
        <w:t>4</w:t>
      </w:r>
      <w:r>
        <w:rPr>
          <w:szCs w:val="32"/>
        </w:rPr>
        <w:t>年度“三公”经费财政拨款支出决算为</w:t>
      </w:r>
      <w:r>
        <w:rPr>
          <w:rFonts w:hint="eastAsia" w:ascii="Times New Roman" w:hAnsi="Times New Roman"/>
          <w:szCs w:val="32"/>
        </w:rPr>
        <w:t>1</w:t>
      </w:r>
      <w:r>
        <w:rPr>
          <w:rFonts w:hint="eastAsia"/>
          <w:szCs w:val="32"/>
        </w:rPr>
        <w:t>.</w:t>
      </w:r>
      <w:r>
        <w:rPr>
          <w:rFonts w:hint="eastAsia" w:ascii="Times New Roman" w:hAnsi="Times New Roman"/>
          <w:szCs w:val="32"/>
        </w:rPr>
        <w:t>4</w:t>
      </w:r>
      <w:r>
        <w:rPr>
          <w:szCs w:val="32"/>
        </w:rPr>
        <w:t>万元，完成预算</w:t>
      </w:r>
      <w:r>
        <w:rPr>
          <w:rFonts w:hint="eastAsia" w:ascii="Times New Roman" w:hAnsi="Times New Roman"/>
          <w:szCs w:val="32"/>
        </w:rPr>
        <w:t>100</w:t>
      </w:r>
      <w:r>
        <w:rPr>
          <w:szCs w:val="32"/>
        </w:rPr>
        <w:t>%，较上年度减少</w:t>
      </w:r>
      <w:r>
        <w:rPr>
          <w:rFonts w:hint="eastAsia" w:ascii="Times New Roman" w:hAnsi="Times New Roman"/>
          <w:szCs w:val="32"/>
        </w:rPr>
        <w:t>1</w:t>
      </w:r>
      <w:r>
        <w:rPr>
          <w:rFonts w:hint="eastAsia"/>
          <w:szCs w:val="32"/>
        </w:rPr>
        <w:t>.</w:t>
      </w:r>
      <w:r>
        <w:rPr>
          <w:rFonts w:hint="eastAsia" w:ascii="Times New Roman" w:hAnsi="Times New Roman"/>
          <w:szCs w:val="32"/>
        </w:rPr>
        <w:t>55</w:t>
      </w:r>
      <w:r>
        <w:rPr>
          <w:szCs w:val="32"/>
        </w:rPr>
        <w:t>万元，下降</w:t>
      </w:r>
      <w:r>
        <w:rPr>
          <w:rFonts w:hint="eastAsia" w:ascii="Times New Roman" w:hAnsi="Times New Roman"/>
          <w:szCs w:val="32"/>
        </w:rPr>
        <w:t>52</w:t>
      </w:r>
      <w:r>
        <w:rPr>
          <w:rFonts w:hint="eastAsia"/>
          <w:szCs w:val="32"/>
        </w:rPr>
        <w:t>.</w:t>
      </w:r>
      <w:r>
        <w:rPr>
          <w:rFonts w:hint="eastAsia" w:ascii="Times New Roman" w:hAnsi="Times New Roman"/>
          <w:szCs w:val="32"/>
        </w:rPr>
        <w:t>54</w:t>
      </w:r>
      <w:r>
        <w:rPr>
          <w:szCs w:val="32"/>
        </w:rPr>
        <w:t>%。决算数与预算数持平。</w:t>
      </w:r>
    </w:p>
    <w:p w14:paraId="10404D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b/>
          <w:bCs/>
          <w:szCs w:val="32"/>
        </w:rPr>
      </w:pPr>
      <w:bookmarkStart w:id="61" w:name="_Toc15377217"/>
      <w:bookmarkStart w:id="62" w:name="_Toc31883"/>
      <w:r>
        <w:rPr>
          <w:rFonts w:eastAsia="楷体_GB2312"/>
          <w:b/>
          <w:bCs/>
          <w:szCs w:val="32"/>
        </w:rPr>
        <w:t>（二）</w:t>
      </w:r>
      <w:r>
        <w:rPr>
          <w:rFonts w:hint="eastAsia" w:eastAsia="楷体_GB2312"/>
          <w:b/>
          <w:bCs/>
          <w:szCs w:val="32"/>
          <w:lang w:eastAsia="zh-CN"/>
        </w:rPr>
        <w:t>“</w:t>
      </w:r>
      <w:r>
        <w:rPr>
          <w:rFonts w:eastAsia="楷体_GB2312"/>
          <w:b/>
          <w:bCs/>
          <w:szCs w:val="32"/>
        </w:rPr>
        <w:t>三公</w:t>
      </w:r>
      <w:r>
        <w:rPr>
          <w:rFonts w:hint="eastAsia" w:eastAsia="楷体_GB2312"/>
          <w:b/>
          <w:bCs/>
          <w:szCs w:val="32"/>
          <w:lang w:eastAsia="zh-CN"/>
        </w:rPr>
        <w:t>”</w:t>
      </w:r>
      <w:r>
        <w:rPr>
          <w:rFonts w:eastAsia="楷体_GB2312"/>
          <w:b/>
          <w:bCs/>
          <w:szCs w:val="32"/>
        </w:rPr>
        <w:t>经费财政拨款支出决算具体情况说明</w:t>
      </w:r>
      <w:bookmarkEnd w:id="61"/>
      <w:bookmarkEnd w:id="62"/>
    </w:p>
    <w:p w14:paraId="513F22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rPr>
      </w:pPr>
      <w:r>
        <w:rPr>
          <w:rFonts w:ascii="Times New Roman" w:hAnsi="Times New Roman"/>
          <w:szCs w:val="32"/>
        </w:rPr>
        <w:t>202</w:t>
      </w:r>
      <w:r>
        <w:rPr>
          <w:rFonts w:hint="eastAsia" w:ascii="Times New Roman" w:hAnsi="Times New Roman"/>
          <w:szCs w:val="32"/>
        </w:rPr>
        <w:t>4</w:t>
      </w:r>
      <w:r>
        <w:rPr>
          <w:szCs w:val="32"/>
        </w:rPr>
        <w:t>年度“三公”经费财政拨款支出决算中，因公出国（境）费支出决算</w:t>
      </w:r>
      <w:r>
        <w:rPr>
          <w:rFonts w:hint="eastAsia" w:ascii="Times New Roman" w:hAnsi="Times New Roman"/>
          <w:szCs w:val="32"/>
        </w:rPr>
        <w:t>0</w:t>
      </w:r>
      <w:r>
        <w:rPr>
          <w:szCs w:val="32"/>
        </w:rPr>
        <w:t>万元，占</w:t>
      </w:r>
      <w:r>
        <w:rPr>
          <w:rFonts w:hint="eastAsia" w:ascii="Times New Roman" w:hAnsi="Times New Roman"/>
          <w:szCs w:val="32"/>
          <w:lang w:val="en-US" w:eastAsia="zh-CN"/>
        </w:rPr>
        <w:t>0</w:t>
      </w:r>
      <w:r>
        <w:rPr>
          <w:szCs w:val="32"/>
        </w:rPr>
        <w:t>%；公务用车购置及运行维护费支出决算</w:t>
      </w:r>
      <w:r>
        <w:rPr>
          <w:rFonts w:hint="eastAsia" w:ascii="Times New Roman" w:hAnsi="Times New Roman"/>
          <w:szCs w:val="32"/>
        </w:rPr>
        <w:t>1</w:t>
      </w:r>
      <w:r>
        <w:rPr>
          <w:rFonts w:hint="eastAsia"/>
          <w:szCs w:val="32"/>
        </w:rPr>
        <w:t>.</w:t>
      </w:r>
      <w:r>
        <w:rPr>
          <w:rFonts w:hint="eastAsia" w:ascii="Times New Roman" w:hAnsi="Times New Roman"/>
          <w:szCs w:val="32"/>
        </w:rPr>
        <w:t>34</w:t>
      </w:r>
      <w:r>
        <w:rPr>
          <w:szCs w:val="32"/>
        </w:rPr>
        <w:t>万元，占</w:t>
      </w:r>
      <w:r>
        <w:rPr>
          <w:rFonts w:hint="eastAsia" w:ascii="Times New Roman" w:hAnsi="Times New Roman"/>
          <w:szCs w:val="32"/>
        </w:rPr>
        <w:t>95</w:t>
      </w:r>
      <w:r>
        <w:rPr>
          <w:rFonts w:hint="eastAsia"/>
          <w:szCs w:val="32"/>
        </w:rPr>
        <w:t>.</w:t>
      </w:r>
      <w:r>
        <w:rPr>
          <w:rFonts w:hint="eastAsia" w:ascii="Times New Roman" w:hAnsi="Times New Roman"/>
          <w:szCs w:val="32"/>
        </w:rPr>
        <w:t>71</w:t>
      </w:r>
      <w:r>
        <w:rPr>
          <w:szCs w:val="32"/>
        </w:rPr>
        <w:t>%；公务接待费支出决算</w:t>
      </w:r>
      <w:r>
        <w:rPr>
          <w:rFonts w:hint="eastAsia" w:ascii="Times New Roman" w:hAnsi="Times New Roman"/>
          <w:szCs w:val="32"/>
        </w:rPr>
        <w:t>0</w:t>
      </w:r>
      <w:r>
        <w:rPr>
          <w:rFonts w:hint="eastAsia"/>
          <w:szCs w:val="32"/>
        </w:rPr>
        <w:t>.</w:t>
      </w:r>
      <w:r>
        <w:rPr>
          <w:rFonts w:hint="eastAsia" w:ascii="Times New Roman" w:hAnsi="Times New Roman"/>
          <w:szCs w:val="32"/>
        </w:rPr>
        <w:t>06</w:t>
      </w:r>
      <w:r>
        <w:rPr>
          <w:szCs w:val="32"/>
        </w:rPr>
        <w:t>万元，占</w:t>
      </w:r>
      <w:r>
        <w:rPr>
          <w:rFonts w:hint="eastAsia" w:ascii="Times New Roman" w:hAnsi="Times New Roman"/>
          <w:szCs w:val="32"/>
        </w:rPr>
        <w:t>4</w:t>
      </w:r>
      <w:r>
        <w:rPr>
          <w:rFonts w:hint="eastAsia"/>
          <w:szCs w:val="32"/>
        </w:rPr>
        <w:t>.</w:t>
      </w:r>
      <w:r>
        <w:rPr>
          <w:rFonts w:hint="eastAsia" w:ascii="Times New Roman" w:hAnsi="Times New Roman"/>
          <w:szCs w:val="32"/>
        </w:rPr>
        <w:t>29</w:t>
      </w:r>
      <w:r>
        <w:rPr>
          <w:szCs w:val="32"/>
        </w:rPr>
        <w:t>%。具体情况如下：</w:t>
      </w:r>
    </w:p>
    <w:p w14:paraId="61D4CD7E">
      <w:pPr>
        <w:pStyle w:val="46"/>
        <w:ind w:firstLine="0"/>
        <w:jc w:val="center"/>
        <w:rPr>
          <w:rFonts w:ascii="Times New Roman"/>
        </w:rPr>
      </w:pPr>
      <w:r>
        <w:rPr>
          <w:rFonts w:hint="eastAsia" w:ascii="仿宋" w:hAnsi="仿宋" w:eastAsia="仿宋"/>
          <w:color w:val="000000"/>
        </w:rPr>
        <w:drawing>
          <wp:inline distT="0" distB="0" distL="114300" distR="114300">
            <wp:extent cx="4975860" cy="3315970"/>
            <wp:effectExtent l="4445" t="4445" r="18415" b="17145"/>
            <wp:docPr id="1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FF34F4">
      <w:pPr>
        <w:spacing w:line="560" w:lineRule="exact"/>
        <w:jc w:val="center"/>
        <w:rPr>
          <w:szCs w:val="32"/>
        </w:rPr>
      </w:pPr>
      <w:r>
        <w:rPr>
          <w:szCs w:val="32"/>
        </w:rPr>
        <w:t>（图</w:t>
      </w:r>
      <w:r>
        <w:rPr>
          <w:rFonts w:ascii="Times New Roman" w:hAnsi="Times New Roman"/>
          <w:szCs w:val="32"/>
        </w:rPr>
        <w:t>7</w:t>
      </w:r>
      <w:r>
        <w:rPr>
          <w:szCs w:val="32"/>
        </w:rPr>
        <w:t>：“三公”经费财政拨款支出结构）（饼状图）</w:t>
      </w:r>
    </w:p>
    <w:p w14:paraId="40DEC9D5">
      <w:pPr>
        <w:spacing w:line="560" w:lineRule="exact"/>
        <w:ind w:firstLine="632"/>
        <w:rPr>
          <w:rFonts w:hint="eastAsia" w:ascii="Times New Roman" w:hAnsi="Times New Roman"/>
          <w:b/>
          <w:bCs/>
          <w:szCs w:val="32"/>
        </w:rPr>
      </w:pPr>
    </w:p>
    <w:p w14:paraId="4C91EF00">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szCs w:val="32"/>
        </w:rPr>
      </w:pPr>
      <w:r>
        <w:rPr>
          <w:rFonts w:hint="eastAsia" w:ascii="Times New Roman" w:hAnsi="Times New Roman"/>
          <w:b/>
          <w:bCs/>
          <w:szCs w:val="32"/>
        </w:rPr>
        <w:t>1</w:t>
      </w:r>
      <w:r>
        <w:rPr>
          <w:rFonts w:hint="eastAsia"/>
          <w:b/>
          <w:bCs/>
          <w:szCs w:val="32"/>
        </w:rPr>
        <w:t>、</w:t>
      </w:r>
      <w:r>
        <w:rPr>
          <w:b/>
          <w:bCs/>
          <w:szCs w:val="32"/>
        </w:rPr>
        <w:t>因公出国（境）经费支出</w:t>
      </w:r>
      <w:r>
        <w:rPr>
          <w:rFonts w:hint="eastAsia" w:ascii="Times New Roman" w:hAnsi="Times New Roman"/>
          <w:b/>
          <w:bCs/>
          <w:szCs w:val="32"/>
        </w:rPr>
        <w:t>0</w:t>
      </w:r>
      <w:r>
        <w:rPr>
          <w:b/>
          <w:bCs/>
          <w:szCs w:val="32"/>
        </w:rPr>
        <w:t>万元，</w:t>
      </w:r>
      <w:r>
        <w:rPr>
          <w:rStyle w:val="119"/>
          <w:szCs w:val="32"/>
        </w:rPr>
        <w:t>完成预算</w:t>
      </w:r>
      <w:r>
        <w:rPr>
          <w:rStyle w:val="119"/>
          <w:rFonts w:hint="eastAsia" w:ascii="Times New Roman" w:hAnsi="Times New Roman"/>
          <w:szCs w:val="32"/>
        </w:rPr>
        <w:t>100</w:t>
      </w:r>
      <w:r>
        <w:rPr>
          <w:rStyle w:val="119"/>
          <w:szCs w:val="32"/>
        </w:rPr>
        <w:t>%。</w:t>
      </w:r>
      <w:r>
        <w:rPr>
          <w:szCs w:val="32"/>
        </w:rPr>
        <w:t>全年安排因公出国（境）团组</w:t>
      </w:r>
      <w:r>
        <w:rPr>
          <w:rFonts w:hint="eastAsia" w:ascii="Times New Roman" w:hAnsi="Times New Roman"/>
          <w:szCs w:val="32"/>
        </w:rPr>
        <w:t>0</w:t>
      </w:r>
      <w:r>
        <w:rPr>
          <w:szCs w:val="32"/>
        </w:rPr>
        <w:t>次，出国（境）</w:t>
      </w:r>
      <w:r>
        <w:rPr>
          <w:rFonts w:hint="eastAsia" w:ascii="Times New Roman" w:hAnsi="Times New Roman"/>
          <w:szCs w:val="32"/>
        </w:rPr>
        <w:t>0</w:t>
      </w:r>
      <w:r>
        <w:rPr>
          <w:szCs w:val="32"/>
        </w:rPr>
        <w:t>人。因公出国（境）支出决算比</w:t>
      </w:r>
      <w:r>
        <w:rPr>
          <w:rFonts w:ascii="Times New Roman" w:hAnsi="Times New Roman"/>
          <w:szCs w:val="32"/>
        </w:rPr>
        <w:t>202</w:t>
      </w:r>
      <w:r>
        <w:rPr>
          <w:rFonts w:hint="eastAsia" w:ascii="Times New Roman" w:hAnsi="Times New Roman"/>
          <w:szCs w:val="32"/>
        </w:rPr>
        <w:t>3</w:t>
      </w:r>
      <w:r>
        <w:rPr>
          <w:szCs w:val="32"/>
        </w:rPr>
        <w:t>年</w:t>
      </w:r>
      <w:r>
        <w:rPr>
          <w:rFonts w:hint="eastAsia"/>
          <w:szCs w:val="32"/>
        </w:rPr>
        <w:t>持平。</w:t>
      </w:r>
    </w:p>
    <w:p w14:paraId="3B15D85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szCs w:val="32"/>
        </w:rPr>
      </w:pPr>
      <w:r>
        <w:rPr>
          <w:rFonts w:ascii="Times New Roman" w:hAnsi="Times New Roman"/>
          <w:b/>
          <w:bCs/>
          <w:szCs w:val="32"/>
        </w:rPr>
        <w:t>2</w:t>
      </w:r>
      <w:r>
        <w:rPr>
          <w:rFonts w:hint="eastAsia"/>
          <w:b/>
          <w:bCs/>
          <w:szCs w:val="32"/>
        </w:rPr>
        <w:t>、</w:t>
      </w:r>
      <w:r>
        <w:rPr>
          <w:b/>
          <w:bCs/>
          <w:szCs w:val="32"/>
        </w:rPr>
        <w:t>公务用车购置及运行维护费支出</w:t>
      </w:r>
      <w:r>
        <w:rPr>
          <w:rFonts w:hint="eastAsia" w:ascii="Times New Roman" w:hAnsi="Times New Roman"/>
          <w:b/>
          <w:bCs/>
          <w:szCs w:val="32"/>
        </w:rPr>
        <w:t>1</w:t>
      </w:r>
      <w:r>
        <w:rPr>
          <w:rFonts w:hint="eastAsia"/>
          <w:b/>
          <w:bCs/>
          <w:szCs w:val="32"/>
        </w:rPr>
        <w:t>.</w:t>
      </w:r>
      <w:r>
        <w:rPr>
          <w:rFonts w:hint="eastAsia" w:ascii="Times New Roman" w:hAnsi="Times New Roman"/>
          <w:b/>
          <w:bCs/>
          <w:szCs w:val="32"/>
        </w:rPr>
        <w:t>34</w:t>
      </w:r>
      <w:r>
        <w:rPr>
          <w:b/>
          <w:bCs/>
          <w:szCs w:val="32"/>
        </w:rPr>
        <w:t>万元,</w:t>
      </w:r>
      <w:r>
        <w:rPr>
          <w:rStyle w:val="119"/>
          <w:szCs w:val="32"/>
        </w:rPr>
        <w:t>完成预算</w:t>
      </w:r>
      <w:r>
        <w:rPr>
          <w:rStyle w:val="119"/>
          <w:rFonts w:hint="eastAsia" w:ascii="Times New Roman" w:hAnsi="Times New Roman"/>
          <w:szCs w:val="32"/>
        </w:rPr>
        <w:t>100</w:t>
      </w:r>
      <w:r>
        <w:rPr>
          <w:rStyle w:val="119"/>
          <w:szCs w:val="32"/>
        </w:rPr>
        <w:t>%</w:t>
      </w:r>
      <w:r>
        <w:rPr>
          <w:rStyle w:val="119"/>
          <w:b w:val="0"/>
          <w:bCs w:val="0"/>
          <w:szCs w:val="32"/>
        </w:rPr>
        <w:t>。</w:t>
      </w:r>
      <w:r>
        <w:rPr>
          <w:szCs w:val="32"/>
        </w:rPr>
        <w:t>公务用车购置及运行维护费支出决算</w:t>
      </w:r>
      <w:r>
        <w:rPr>
          <w:rFonts w:hint="eastAsia"/>
          <w:szCs w:val="32"/>
        </w:rPr>
        <w:t>与</w:t>
      </w:r>
      <w:r>
        <w:rPr>
          <w:rFonts w:ascii="Times New Roman" w:hAnsi="Times New Roman"/>
          <w:szCs w:val="32"/>
        </w:rPr>
        <w:t>202</w:t>
      </w:r>
      <w:r>
        <w:rPr>
          <w:rFonts w:hint="eastAsia" w:ascii="Times New Roman" w:hAnsi="Times New Roman"/>
          <w:szCs w:val="32"/>
        </w:rPr>
        <w:t>3</w:t>
      </w:r>
      <w:r>
        <w:rPr>
          <w:szCs w:val="32"/>
        </w:rPr>
        <w:t>年度</w:t>
      </w:r>
      <w:r>
        <w:rPr>
          <w:rFonts w:hint="eastAsia"/>
          <w:szCs w:val="32"/>
        </w:rPr>
        <w:t>减少</w:t>
      </w:r>
      <w:r>
        <w:rPr>
          <w:rFonts w:hint="eastAsia" w:ascii="Times New Roman" w:hAnsi="Times New Roman"/>
          <w:szCs w:val="32"/>
        </w:rPr>
        <w:t>0</w:t>
      </w:r>
      <w:r>
        <w:rPr>
          <w:rFonts w:hint="eastAsia"/>
          <w:szCs w:val="32"/>
        </w:rPr>
        <w:t>.</w:t>
      </w:r>
      <w:r>
        <w:rPr>
          <w:rFonts w:hint="eastAsia" w:ascii="Times New Roman" w:hAnsi="Times New Roman"/>
          <w:szCs w:val="32"/>
        </w:rPr>
        <w:t>98</w:t>
      </w:r>
      <w:r>
        <w:rPr>
          <w:rFonts w:hint="eastAsia"/>
          <w:szCs w:val="32"/>
        </w:rPr>
        <w:t>万元，下降</w:t>
      </w:r>
      <w:r>
        <w:rPr>
          <w:rFonts w:hint="eastAsia" w:ascii="Times New Roman" w:hAnsi="Times New Roman"/>
          <w:szCs w:val="32"/>
        </w:rPr>
        <w:t>42</w:t>
      </w:r>
      <w:r>
        <w:rPr>
          <w:rFonts w:hint="eastAsia"/>
          <w:szCs w:val="32"/>
        </w:rPr>
        <w:t>.</w:t>
      </w:r>
      <w:r>
        <w:rPr>
          <w:rFonts w:hint="eastAsia" w:ascii="Times New Roman" w:hAnsi="Times New Roman"/>
          <w:szCs w:val="32"/>
        </w:rPr>
        <w:t>24</w:t>
      </w:r>
      <w:r>
        <w:rPr>
          <w:rFonts w:hint="eastAsia"/>
          <w:szCs w:val="32"/>
        </w:rPr>
        <w:t>%</w:t>
      </w:r>
      <w:r>
        <w:rPr>
          <w:szCs w:val="32"/>
        </w:rPr>
        <w:t>。</w:t>
      </w:r>
      <w:r>
        <w:rPr>
          <w:rFonts w:hint="eastAsia"/>
          <w:szCs w:val="32"/>
        </w:rPr>
        <w:t>主要原因是单位</w:t>
      </w:r>
      <w:r>
        <w:rPr>
          <w:rFonts w:hint="eastAsia"/>
          <w:szCs w:val="32"/>
          <w:lang w:eastAsia="zh-CN"/>
        </w:rPr>
        <w:t>厉行节约</w:t>
      </w:r>
      <w:r>
        <w:rPr>
          <w:rFonts w:hint="eastAsia"/>
          <w:szCs w:val="32"/>
        </w:rPr>
        <w:t>，缩减开支。</w:t>
      </w:r>
    </w:p>
    <w:p w14:paraId="462104B9">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szCs w:val="32"/>
        </w:rPr>
      </w:pPr>
      <w:r>
        <w:rPr>
          <w:szCs w:val="32"/>
        </w:rPr>
        <w:t>其中：</w:t>
      </w:r>
      <w:r>
        <w:rPr>
          <w:b/>
          <w:bCs/>
          <w:szCs w:val="32"/>
        </w:rPr>
        <w:t>公务用车购置</w:t>
      </w:r>
      <w:r>
        <w:rPr>
          <w:szCs w:val="32"/>
        </w:rPr>
        <w:t>支出</w:t>
      </w:r>
      <w:r>
        <w:rPr>
          <w:rFonts w:hint="eastAsia" w:ascii="Times New Roman" w:hAnsi="Times New Roman"/>
          <w:szCs w:val="32"/>
        </w:rPr>
        <w:t>0</w:t>
      </w:r>
      <w:r>
        <w:rPr>
          <w:szCs w:val="32"/>
        </w:rPr>
        <w:t>万元。全年按规定更新购置公务用车</w:t>
      </w:r>
      <w:r>
        <w:rPr>
          <w:rFonts w:hint="eastAsia" w:ascii="Times New Roman" w:hAnsi="Times New Roman"/>
          <w:szCs w:val="32"/>
        </w:rPr>
        <w:t>0</w:t>
      </w:r>
      <w:r>
        <w:rPr>
          <w:szCs w:val="32"/>
        </w:rPr>
        <w:t>辆，其中：轿车</w:t>
      </w:r>
      <w:r>
        <w:rPr>
          <w:rFonts w:hint="eastAsia" w:ascii="Times New Roman" w:hAnsi="Times New Roman"/>
          <w:szCs w:val="32"/>
        </w:rPr>
        <w:t>0</w:t>
      </w:r>
      <w:r>
        <w:rPr>
          <w:szCs w:val="32"/>
        </w:rPr>
        <w:t>辆、金额</w:t>
      </w:r>
      <w:r>
        <w:rPr>
          <w:rFonts w:hint="eastAsia" w:ascii="Times New Roman" w:hAnsi="Times New Roman"/>
          <w:szCs w:val="32"/>
        </w:rPr>
        <w:t>0</w:t>
      </w:r>
      <w:r>
        <w:rPr>
          <w:szCs w:val="32"/>
        </w:rPr>
        <w:t>万元，越野车</w:t>
      </w:r>
      <w:r>
        <w:rPr>
          <w:rFonts w:hint="eastAsia" w:ascii="Times New Roman" w:hAnsi="Times New Roman"/>
          <w:szCs w:val="32"/>
        </w:rPr>
        <w:t>0</w:t>
      </w:r>
      <w:r>
        <w:rPr>
          <w:szCs w:val="32"/>
        </w:rPr>
        <w:t>辆、金额</w:t>
      </w:r>
      <w:r>
        <w:rPr>
          <w:rFonts w:hint="eastAsia" w:ascii="Times New Roman" w:hAnsi="Times New Roman"/>
          <w:szCs w:val="32"/>
        </w:rPr>
        <w:t>0</w:t>
      </w:r>
      <w:r>
        <w:rPr>
          <w:szCs w:val="32"/>
        </w:rPr>
        <w:t>万元，载客汽车</w:t>
      </w:r>
      <w:r>
        <w:rPr>
          <w:rFonts w:hint="eastAsia" w:ascii="Times New Roman" w:hAnsi="Times New Roman"/>
          <w:szCs w:val="32"/>
        </w:rPr>
        <w:t>0</w:t>
      </w:r>
      <w:r>
        <w:rPr>
          <w:szCs w:val="32"/>
        </w:rPr>
        <w:t>辆、金额</w:t>
      </w:r>
      <w:r>
        <w:rPr>
          <w:rFonts w:hint="eastAsia" w:ascii="Times New Roman" w:hAnsi="Times New Roman"/>
          <w:szCs w:val="32"/>
        </w:rPr>
        <w:t>0</w:t>
      </w:r>
      <w:r>
        <w:rPr>
          <w:szCs w:val="32"/>
        </w:rPr>
        <w:t>万元。截至</w:t>
      </w:r>
      <w:r>
        <w:rPr>
          <w:rFonts w:ascii="Times New Roman" w:hAnsi="Times New Roman"/>
          <w:szCs w:val="32"/>
        </w:rPr>
        <w:t>202</w:t>
      </w:r>
      <w:r>
        <w:rPr>
          <w:rFonts w:hint="eastAsia" w:ascii="Times New Roman" w:hAnsi="Times New Roman"/>
          <w:szCs w:val="32"/>
        </w:rPr>
        <w:t>4</w:t>
      </w:r>
      <w:r>
        <w:rPr>
          <w:szCs w:val="32"/>
        </w:rPr>
        <w:t>年</w:t>
      </w:r>
      <w:r>
        <w:rPr>
          <w:rFonts w:ascii="Times New Roman" w:hAnsi="Times New Roman"/>
          <w:szCs w:val="32"/>
        </w:rPr>
        <w:t>12</w:t>
      </w:r>
      <w:r>
        <w:rPr>
          <w:szCs w:val="32"/>
        </w:rPr>
        <w:t>月</w:t>
      </w:r>
      <w:r>
        <w:rPr>
          <w:rFonts w:ascii="Times New Roman" w:hAnsi="Times New Roman"/>
          <w:szCs w:val="32"/>
        </w:rPr>
        <w:t>31</w:t>
      </w:r>
      <w:r>
        <w:rPr>
          <w:szCs w:val="32"/>
        </w:rPr>
        <w:t>日，单位共有公务用车</w:t>
      </w:r>
      <w:r>
        <w:rPr>
          <w:rFonts w:hint="eastAsia" w:ascii="Times New Roman" w:hAnsi="Times New Roman"/>
          <w:szCs w:val="32"/>
        </w:rPr>
        <w:t>1</w:t>
      </w:r>
      <w:r>
        <w:rPr>
          <w:szCs w:val="32"/>
        </w:rPr>
        <w:t>辆，其中：轿车</w:t>
      </w:r>
      <w:r>
        <w:rPr>
          <w:rFonts w:hint="eastAsia" w:ascii="Times New Roman" w:hAnsi="Times New Roman"/>
          <w:szCs w:val="32"/>
        </w:rPr>
        <w:t>0</w:t>
      </w:r>
      <w:r>
        <w:rPr>
          <w:szCs w:val="32"/>
        </w:rPr>
        <w:t>辆、越野车</w:t>
      </w:r>
      <w:r>
        <w:rPr>
          <w:rFonts w:hint="eastAsia" w:ascii="Times New Roman" w:hAnsi="Times New Roman"/>
          <w:szCs w:val="32"/>
        </w:rPr>
        <w:t>0</w:t>
      </w:r>
      <w:r>
        <w:rPr>
          <w:szCs w:val="32"/>
        </w:rPr>
        <w:t>辆、载客汽车</w:t>
      </w:r>
      <w:r>
        <w:rPr>
          <w:rFonts w:hint="eastAsia" w:ascii="Times New Roman" w:hAnsi="Times New Roman"/>
          <w:szCs w:val="32"/>
        </w:rPr>
        <w:t>0</w:t>
      </w:r>
      <w:r>
        <w:rPr>
          <w:szCs w:val="32"/>
        </w:rPr>
        <w:t>辆</w:t>
      </w:r>
      <w:r>
        <w:rPr>
          <w:rFonts w:hint="eastAsia"/>
          <w:szCs w:val="32"/>
        </w:rPr>
        <w:t>、特种专业技术用车</w:t>
      </w:r>
      <w:r>
        <w:rPr>
          <w:rFonts w:hint="eastAsia" w:ascii="Times New Roman" w:hAnsi="Times New Roman"/>
          <w:szCs w:val="32"/>
        </w:rPr>
        <w:t>1</w:t>
      </w:r>
      <w:r>
        <w:rPr>
          <w:rFonts w:hint="eastAsia"/>
          <w:szCs w:val="32"/>
        </w:rPr>
        <w:t>辆。</w:t>
      </w:r>
    </w:p>
    <w:p w14:paraId="7B22EA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szCs w:val="32"/>
        </w:rPr>
      </w:pPr>
      <w:r>
        <w:rPr>
          <w:rFonts w:hint="eastAsia"/>
          <w:b/>
          <w:bCs/>
          <w:szCs w:val="32"/>
        </w:rPr>
        <w:t>公务用车运行维护费支出1.34万元，完成预算100%。</w:t>
      </w:r>
      <w:r>
        <w:rPr>
          <w:szCs w:val="32"/>
        </w:rPr>
        <w:t>主要用于</w:t>
      </w:r>
      <w:r>
        <w:rPr>
          <w:rFonts w:hint="eastAsia" w:ascii="仿宋_GB2312" w:hAnsi="??" w:cs="宋体"/>
        </w:rPr>
        <w:t>科普宣传工作等所需的公务用车燃料费、维修费、过路过桥费、劳务费、保险费等支出</w:t>
      </w:r>
      <w:r>
        <w:rPr>
          <w:rFonts w:hint="eastAsia" w:ascii="仿宋" w:hAnsi="仿宋" w:eastAsia="仿宋"/>
          <w:color w:val="000000"/>
          <w:szCs w:val="32"/>
        </w:rPr>
        <w:t>。</w:t>
      </w:r>
    </w:p>
    <w:p w14:paraId="283492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szCs w:val="32"/>
        </w:rPr>
      </w:pPr>
      <w:r>
        <w:rPr>
          <w:rFonts w:ascii="Times New Roman" w:hAnsi="Times New Roman"/>
          <w:b/>
          <w:bCs/>
          <w:szCs w:val="32"/>
        </w:rPr>
        <w:t>3</w:t>
      </w:r>
      <w:r>
        <w:rPr>
          <w:rFonts w:hint="eastAsia"/>
          <w:b/>
          <w:bCs/>
          <w:szCs w:val="32"/>
        </w:rPr>
        <w:t>、</w:t>
      </w:r>
      <w:r>
        <w:rPr>
          <w:b/>
          <w:bCs/>
          <w:szCs w:val="32"/>
        </w:rPr>
        <w:t>公务接待费支出</w:t>
      </w:r>
      <w:r>
        <w:rPr>
          <w:rFonts w:hint="eastAsia" w:ascii="Times New Roman" w:hAnsi="Times New Roman"/>
          <w:b/>
          <w:bCs/>
          <w:szCs w:val="32"/>
        </w:rPr>
        <w:t>0</w:t>
      </w:r>
      <w:r>
        <w:rPr>
          <w:rFonts w:hint="eastAsia"/>
          <w:b/>
          <w:bCs/>
          <w:szCs w:val="32"/>
        </w:rPr>
        <w:t>.</w:t>
      </w:r>
      <w:r>
        <w:rPr>
          <w:rFonts w:hint="eastAsia" w:ascii="Times New Roman" w:hAnsi="Times New Roman"/>
          <w:b/>
          <w:bCs/>
          <w:szCs w:val="32"/>
        </w:rPr>
        <w:t>06</w:t>
      </w:r>
      <w:r>
        <w:rPr>
          <w:b/>
          <w:bCs/>
          <w:szCs w:val="32"/>
        </w:rPr>
        <w:t>万元，</w:t>
      </w:r>
      <w:r>
        <w:rPr>
          <w:rStyle w:val="119"/>
          <w:szCs w:val="32"/>
        </w:rPr>
        <w:t>完成预算</w:t>
      </w:r>
      <w:r>
        <w:rPr>
          <w:rStyle w:val="119"/>
          <w:rFonts w:hint="eastAsia" w:ascii="Times New Roman" w:hAnsi="Times New Roman"/>
          <w:szCs w:val="32"/>
        </w:rPr>
        <w:t>100</w:t>
      </w:r>
      <w:r>
        <w:rPr>
          <w:rStyle w:val="119"/>
          <w:szCs w:val="32"/>
        </w:rPr>
        <w:t>%</w:t>
      </w:r>
      <w:r>
        <w:rPr>
          <w:rStyle w:val="119"/>
          <w:b w:val="0"/>
          <w:bCs w:val="0"/>
          <w:szCs w:val="32"/>
        </w:rPr>
        <w:t>。</w:t>
      </w:r>
      <w:r>
        <w:rPr>
          <w:szCs w:val="32"/>
        </w:rPr>
        <w:t>公务接待费支出决算比</w:t>
      </w:r>
      <w:r>
        <w:rPr>
          <w:rFonts w:ascii="Times New Roman" w:hAnsi="Times New Roman"/>
          <w:szCs w:val="32"/>
        </w:rPr>
        <w:t>202</w:t>
      </w:r>
      <w:r>
        <w:rPr>
          <w:rFonts w:hint="eastAsia" w:ascii="Times New Roman" w:hAnsi="Times New Roman"/>
          <w:szCs w:val="32"/>
        </w:rPr>
        <w:t>3</w:t>
      </w:r>
      <w:r>
        <w:rPr>
          <w:szCs w:val="32"/>
        </w:rPr>
        <w:t>年度</w:t>
      </w:r>
      <w:r>
        <w:rPr>
          <w:rFonts w:hint="eastAsia"/>
          <w:szCs w:val="32"/>
        </w:rPr>
        <w:t>减少</w:t>
      </w:r>
      <w:r>
        <w:rPr>
          <w:rFonts w:hint="eastAsia" w:ascii="Times New Roman" w:hAnsi="Times New Roman"/>
          <w:szCs w:val="32"/>
        </w:rPr>
        <w:t>0</w:t>
      </w:r>
      <w:r>
        <w:rPr>
          <w:rFonts w:hint="eastAsia"/>
          <w:szCs w:val="32"/>
        </w:rPr>
        <w:t>.</w:t>
      </w:r>
      <w:r>
        <w:rPr>
          <w:rFonts w:hint="eastAsia" w:ascii="Times New Roman" w:hAnsi="Times New Roman"/>
          <w:szCs w:val="32"/>
        </w:rPr>
        <w:t>57</w:t>
      </w:r>
      <w:r>
        <w:rPr>
          <w:szCs w:val="32"/>
        </w:rPr>
        <w:t>万元，</w:t>
      </w:r>
      <w:r>
        <w:rPr>
          <w:rFonts w:hint="eastAsia"/>
          <w:szCs w:val="32"/>
        </w:rPr>
        <w:t>下降</w:t>
      </w:r>
      <w:r>
        <w:rPr>
          <w:rFonts w:hint="eastAsia" w:ascii="Times New Roman" w:hAnsi="Times New Roman"/>
          <w:szCs w:val="32"/>
        </w:rPr>
        <w:t>90</w:t>
      </w:r>
      <w:r>
        <w:rPr>
          <w:rFonts w:hint="eastAsia"/>
          <w:szCs w:val="32"/>
        </w:rPr>
        <w:t>.</w:t>
      </w:r>
      <w:r>
        <w:rPr>
          <w:rFonts w:hint="eastAsia" w:ascii="Times New Roman" w:hAnsi="Times New Roman"/>
          <w:szCs w:val="32"/>
        </w:rPr>
        <w:t>5</w:t>
      </w:r>
      <w:r>
        <w:rPr>
          <w:szCs w:val="32"/>
        </w:rPr>
        <w:t>%。主要原因是</w:t>
      </w:r>
      <w:r>
        <w:rPr>
          <w:rFonts w:hint="eastAsia"/>
          <w:szCs w:val="32"/>
        </w:rPr>
        <w:t>单位历行节药，缩减开支</w:t>
      </w:r>
      <w:r>
        <w:rPr>
          <w:szCs w:val="32"/>
        </w:rPr>
        <w:t>。其中：</w:t>
      </w:r>
    </w:p>
    <w:p w14:paraId="76105D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FF0000"/>
          <w:szCs w:val="32"/>
        </w:rPr>
      </w:pPr>
      <w:r>
        <w:rPr>
          <w:szCs w:val="32"/>
        </w:rPr>
        <w:t>国内公务接待支出</w:t>
      </w:r>
      <w:r>
        <w:rPr>
          <w:rFonts w:hint="eastAsia" w:ascii="Times New Roman" w:hAnsi="Times New Roman"/>
          <w:szCs w:val="32"/>
        </w:rPr>
        <w:t>0</w:t>
      </w:r>
      <w:r>
        <w:rPr>
          <w:rFonts w:hint="eastAsia"/>
          <w:szCs w:val="32"/>
        </w:rPr>
        <w:t>.</w:t>
      </w:r>
      <w:r>
        <w:rPr>
          <w:rFonts w:hint="eastAsia" w:ascii="Times New Roman" w:hAnsi="Times New Roman"/>
          <w:szCs w:val="32"/>
        </w:rPr>
        <w:t>06</w:t>
      </w:r>
      <w:r>
        <w:rPr>
          <w:szCs w:val="32"/>
        </w:rPr>
        <w:t>万元，主要用于</w:t>
      </w:r>
      <w:r>
        <w:rPr>
          <w:rFonts w:hint="eastAsia" w:ascii="仿宋_GB2312" w:hAnsi="??" w:cs="宋体"/>
        </w:rPr>
        <w:t>执行公务、开展业务活动开支的交通费、用餐费等</w:t>
      </w:r>
      <w:r>
        <w:rPr>
          <w:szCs w:val="32"/>
        </w:rPr>
        <w:t>。国内公务接待</w:t>
      </w:r>
      <w:r>
        <w:rPr>
          <w:rFonts w:hint="eastAsia" w:ascii="Times New Roman" w:hAnsi="Times New Roman"/>
          <w:szCs w:val="32"/>
        </w:rPr>
        <w:t>1</w:t>
      </w:r>
      <w:r>
        <w:rPr>
          <w:szCs w:val="32"/>
        </w:rPr>
        <w:t>批次，</w:t>
      </w:r>
      <w:r>
        <w:rPr>
          <w:rFonts w:hint="eastAsia" w:ascii="Times New Roman" w:hAnsi="Times New Roman"/>
          <w:szCs w:val="32"/>
        </w:rPr>
        <w:t>8</w:t>
      </w:r>
      <w:r>
        <w:rPr>
          <w:szCs w:val="32"/>
        </w:rPr>
        <w:t>人次（不包括陪同人员），共计支出</w:t>
      </w:r>
      <w:r>
        <w:rPr>
          <w:rFonts w:hint="eastAsia" w:ascii="Times New Roman" w:hAnsi="Times New Roman"/>
          <w:szCs w:val="32"/>
        </w:rPr>
        <w:t>0</w:t>
      </w:r>
      <w:r>
        <w:rPr>
          <w:rFonts w:hint="eastAsia"/>
          <w:szCs w:val="32"/>
        </w:rPr>
        <w:t>.</w:t>
      </w:r>
      <w:r>
        <w:rPr>
          <w:rFonts w:hint="eastAsia" w:ascii="Times New Roman" w:hAnsi="Times New Roman"/>
          <w:szCs w:val="32"/>
        </w:rPr>
        <w:t>06</w:t>
      </w:r>
      <w:r>
        <w:rPr>
          <w:szCs w:val="32"/>
        </w:rPr>
        <w:t>万元，具体内容包括：</w:t>
      </w:r>
      <w:r>
        <w:rPr>
          <w:rFonts w:hint="eastAsia"/>
          <w:szCs w:val="32"/>
        </w:rPr>
        <w:t>"全国科普日”启动仪式工作餐费，</w:t>
      </w:r>
      <w:r>
        <w:rPr>
          <w:rFonts w:hint="eastAsia" w:ascii="Times New Roman" w:hAnsi="Times New Roman" w:cs="仿宋_GB2312"/>
          <w:kern w:val="2"/>
          <w:szCs w:val="32"/>
        </w:rPr>
        <w:t>金额0.06万元。</w:t>
      </w:r>
    </w:p>
    <w:p w14:paraId="4C13720A">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eastAsia="黑体"/>
          <w:szCs w:val="32"/>
        </w:rPr>
      </w:pPr>
      <w:r>
        <w:rPr>
          <w:szCs w:val="32"/>
        </w:rPr>
        <w:t>外事接待支出</w:t>
      </w:r>
      <w:r>
        <w:rPr>
          <w:rFonts w:hint="eastAsia" w:ascii="Times New Roman" w:hAnsi="Times New Roman"/>
          <w:szCs w:val="32"/>
        </w:rPr>
        <w:t>0</w:t>
      </w:r>
      <w:r>
        <w:rPr>
          <w:szCs w:val="32"/>
        </w:rPr>
        <w:t>万元。外事接待</w:t>
      </w:r>
      <w:r>
        <w:rPr>
          <w:rFonts w:hint="eastAsia" w:ascii="Times New Roman" w:hAnsi="Times New Roman"/>
          <w:szCs w:val="32"/>
        </w:rPr>
        <w:t>0</w:t>
      </w:r>
      <w:r>
        <w:rPr>
          <w:szCs w:val="32"/>
        </w:rPr>
        <w:t>批次，</w:t>
      </w:r>
      <w:r>
        <w:rPr>
          <w:rFonts w:hint="eastAsia" w:ascii="Times New Roman" w:hAnsi="Times New Roman"/>
          <w:szCs w:val="32"/>
        </w:rPr>
        <w:t>0</w:t>
      </w:r>
      <w:r>
        <w:rPr>
          <w:szCs w:val="32"/>
        </w:rPr>
        <w:t>人次（不包括陪同人员），共计支出</w:t>
      </w:r>
      <w:r>
        <w:rPr>
          <w:rFonts w:hint="eastAsia" w:ascii="Times New Roman" w:hAnsi="Times New Roman"/>
          <w:szCs w:val="32"/>
        </w:rPr>
        <w:t>0</w:t>
      </w:r>
      <w:r>
        <w:rPr>
          <w:szCs w:val="32"/>
        </w:rPr>
        <w:t>万元。</w:t>
      </w:r>
      <w:bookmarkStart w:id="63" w:name="_Toc15377218"/>
      <w:bookmarkStart w:id="64" w:name="_Toc15396610"/>
    </w:p>
    <w:p w14:paraId="525AD3A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ascii="Times New Roman" w:hAnsi="Times New Roman" w:eastAsia="黑体"/>
          <w:b w:val="0"/>
          <w:i w:val="0"/>
        </w:rPr>
      </w:pPr>
      <w:bookmarkStart w:id="65" w:name="_Toc21605"/>
      <w:r>
        <w:rPr>
          <w:rFonts w:eastAsia="黑体"/>
          <w:szCs w:val="32"/>
        </w:rPr>
        <w:t>八、</w:t>
      </w:r>
      <w:r>
        <w:rPr>
          <w:rStyle w:val="177"/>
          <w:rFonts w:ascii="Times New Roman" w:hAnsi="Times New Roman" w:eastAsia="黑体"/>
          <w:b w:val="0"/>
          <w:i w:val="0"/>
        </w:rPr>
        <w:t>政府性基金预算支出决算情况说明</w:t>
      </w:r>
      <w:bookmarkEnd w:id="63"/>
      <w:bookmarkEnd w:id="64"/>
      <w:bookmarkEnd w:id="65"/>
    </w:p>
    <w:p w14:paraId="04BE708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s="仿宋_GB2312"/>
          <w:b/>
          <w:bCs/>
          <w:kern w:val="2"/>
          <w:szCs w:val="32"/>
        </w:rPr>
      </w:pPr>
      <w:bookmarkStart w:id="66" w:name="_Toc15396611"/>
      <w:bookmarkStart w:id="67" w:name="_Toc15377219"/>
      <w:r>
        <w:rPr>
          <w:rFonts w:hint="eastAsia" w:ascii="Times New Roman" w:hAnsi="Times New Roman" w:cs="仿宋_GB2312"/>
          <w:kern w:val="2"/>
          <w:szCs w:val="32"/>
        </w:rPr>
        <w:t>2024年度政府性基金预算财政拨款支出10万元。占本年支出合计的5.3%。与2023年度相比，政府性基金预算财政拨款支出增加10万元，增长100%。主要变动原因是本年度单位增加了专家（院士））工作专项建设补贴。</w:t>
      </w:r>
    </w:p>
    <w:p w14:paraId="76CBEB5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outlineLvl w:val="1"/>
        <w:rPr>
          <w:rFonts w:ascii="Times New Roman" w:hAnsi="Times New Roman" w:eastAsia="黑体"/>
          <w:b w:val="0"/>
          <w:i w:val="0"/>
        </w:rPr>
      </w:pPr>
      <w:bookmarkStart w:id="68" w:name="_Toc32114"/>
      <w:r>
        <w:rPr>
          <w:rStyle w:val="177"/>
          <w:rFonts w:ascii="Times New Roman" w:hAnsi="Times New Roman" w:eastAsia="黑体"/>
          <w:b w:val="0"/>
          <w:i w:val="0"/>
        </w:rPr>
        <w:t>国有资本经营预算支出决算情况说明</w:t>
      </w:r>
      <w:bookmarkEnd w:id="66"/>
      <w:bookmarkEnd w:id="67"/>
      <w:bookmarkEnd w:id="68"/>
    </w:p>
    <w:p w14:paraId="671F50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cs="仿宋_GB2312"/>
          <w:kern w:val="2"/>
          <w:szCs w:val="32"/>
        </w:rPr>
      </w:pPr>
      <w:bookmarkStart w:id="69" w:name="_Toc15377221"/>
      <w:bookmarkStart w:id="70" w:name="_Toc15396612"/>
      <w:r>
        <w:rPr>
          <w:rFonts w:hint="eastAsia" w:ascii="Times New Roman" w:hAnsi="Times New Roman" w:cs="仿宋_GB2312"/>
          <w:kern w:val="2"/>
          <w:szCs w:val="32"/>
        </w:rPr>
        <w:t>2024年度国有资本经营预算财政拨款支出0万元。</w:t>
      </w:r>
    </w:p>
    <w:p w14:paraId="5C4EDC8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outlineLvl w:val="1"/>
        <w:rPr>
          <w:rFonts w:ascii="Times New Roman" w:hAnsi="Times New Roman" w:eastAsia="黑体"/>
          <w:b w:val="0"/>
          <w:i w:val="0"/>
        </w:rPr>
      </w:pPr>
      <w:bookmarkStart w:id="71" w:name="_Toc13293"/>
      <w:r>
        <w:rPr>
          <w:rStyle w:val="177"/>
          <w:rFonts w:ascii="Times New Roman" w:hAnsi="Times New Roman" w:eastAsia="黑体"/>
          <w:b w:val="0"/>
          <w:i w:val="0"/>
        </w:rPr>
        <w:t>其他重要事项的情况说明</w:t>
      </w:r>
      <w:bookmarkEnd w:id="69"/>
      <w:bookmarkEnd w:id="70"/>
      <w:bookmarkEnd w:id="71"/>
    </w:p>
    <w:p w14:paraId="1E2A1D41">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b/>
          <w:bCs/>
          <w:szCs w:val="32"/>
        </w:rPr>
      </w:pPr>
      <w:bookmarkStart w:id="72" w:name="_Toc15377222"/>
      <w:bookmarkStart w:id="73" w:name="_Toc28998"/>
      <w:r>
        <w:rPr>
          <w:rFonts w:eastAsia="楷体_GB2312"/>
          <w:b/>
          <w:bCs/>
          <w:szCs w:val="32"/>
        </w:rPr>
        <w:t>（一）机关运行经费支出情况</w:t>
      </w:r>
      <w:bookmarkEnd w:id="72"/>
      <w:bookmarkEnd w:id="73"/>
    </w:p>
    <w:p w14:paraId="4D51A2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color w:val="000000"/>
          <w:szCs w:val="32"/>
        </w:rPr>
      </w:pPr>
      <w:bookmarkStart w:id="74" w:name="_Toc15377223"/>
      <w:r>
        <w:rPr>
          <w:rFonts w:hint="eastAsia" w:ascii="Times New Roman" w:hAnsi="Times New Roman"/>
          <w:color w:val="000000"/>
          <w:szCs w:val="32"/>
        </w:rPr>
        <w:t>2024</w:t>
      </w:r>
      <w:r>
        <w:rPr>
          <w:rFonts w:hint="eastAsia" w:ascii="仿宋_GB2312"/>
          <w:color w:val="000000"/>
          <w:szCs w:val="32"/>
        </w:rPr>
        <w:t>年度，</w:t>
      </w:r>
      <w:r>
        <w:rPr>
          <w:rFonts w:hint="eastAsia" w:ascii="仿宋_GB2312" w:hAnsi="仿宋_GB2312" w:cs="仿宋_GB2312"/>
          <w:color w:val="000000"/>
          <w:szCs w:val="32"/>
          <w:shd w:val="clear" w:fill="FFFFFF" w:themeFill="background1"/>
        </w:rPr>
        <w:t>遂宁市安居区科学技术协会</w:t>
      </w:r>
      <w:r>
        <w:rPr>
          <w:rFonts w:hint="eastAsia" w:ascii="仿宋_GB2312"/>
          <w:color w:val="000000"/>
          <w:szCs w:val="32"/>
          <w:shd w:val="clear" w:fill="FFFFFF" w:themeFill="background1"/>
        </w:rPr>
        <w:t>机关运行经费支出</w:t>
      </w:r>
      <w:r>
        <w:rPr>
          <w:rFonts w:hint="eastAsia" w:ascii="Times New Roman" w:hAnsi="Times New Roman"/>
          <w:color w:val="000000"/>
          <w:szCs w:val="32"/>
          <w:shd w:val="clear" w:fill="FFFFFF" w:themeFill="background1"/>
        </w:rPr>
        <w:t>15</w:t>
      </w:r>
      <w:r>
        <w:rPr>
          <w:rFonts w:hint="eastAsia" w:ascii="仿宋_GB2312"/>
          <w:color w:val="000000"/>
          <w:szCs w:val="32"/>
          <w:shd w:val="clear" w:fill="FFFFFF" w:themeFill="background1"/>
        </w:rPr>
        <w:t>.</w:t>
      </w:r>
      <w:r>
        <w:rPr>
          <w:rFonts w:hint="eastAsia" w:ascii="Times New Roman" w:hAnsi="Times New Roman"/>
          <w:color w:val="000000"/>
          <w:szCs w:val="32"/>
          <w:shd w:val="clear" w:fill="FFFFFF" w:themeFill="background1"/>
        </w:rPr>
        <w:t>8</w:t>
      </w:r>
      <w:r>
        <w:rPr>
          <w:rFonts w:hint="eastAsia" w:ascii="Times New Roman" w:hAnsi="Times New Roman"/>
          <w:color w:val="000000"/>
          <w:szCs w:val="32"/>
          <w:shd w:val="clear" w:fill="FFFFFF" w:themeFill="background1"/>
          <w:lang w:val="en-US" w:eastAsia="zh-CN"/>
        </w:rPr>
        <w:t>3</w:t>
      </w:r>
      <w:r>
        <w:rPr>
          <w:rFonts w:hint="eastAsia" w:ascii="仿宋_GB2312"/>
          <w:color w:val="000000"/>
          <w:szCs w:val="32"/>
          <w:shd w:val="clear" w:fill="FFFFFF" w:themeFill="background1"/>
        </w:rPr>
        <w:t>万元</w:t>
      </w:r>
      <w:r>
        <w:rPr>
          <w:rFonts w:hint="eastAsia" w:ascii="仿宋_GB2312"/>
          <w:color w:val="000000"/>
          <w:szCs w:val="32"/>
        </w:rPr>
        <w:t>。</w:t>
      </w:r>
      <w:r>
        <w:rPr>
          <w:rFonts w:hint="eastAsia" w:ascii="Times New Roman" w:hAnsi="Times New Roman" w:cs="仿宋_GB2312"/>
          <w:kern w:val="2"/>
          <w:szCs w:val="32"/>
        </w:rPr>
        <w:t>比2023年度减少2.83万元，下降15.17%。主要</w:t>
      </w:r>
      <w:r>
        <w:rPr>
          <w:rFonts w:hint="eastAsia" w:ascii="Times New Roman" w:hAnsi="Times New Roman" w:cs="仿宋_GB2312"/>
          <w:kern w:val="2"/>
          <w:szCs w:val="32"/>
          <w:lang w:eastAsia="zh-CN"/>
        </w:rPr>
        <w:t>变动</w:t>
      </w:r>
      <w:r>
        <w:rPr>
          <w:rFonts w:hint="eastAsia" w:ascii="Times New Roman" w:hAnsi="Times New Roman" w:cs="仿宋_GB2312"/>
          <w:kern w:val="2"/>
          <w:szCs w:val="32"/>
        </w:rPr>
        <w:t>原因是</w:t>
      </w:r>
      <w:r>
        <w:rPr>
          <w:rFonts w:hint="eastAsia" w:ascii="Times New Roman" w:hAnsi="Times New Roman" w:cs="仿宋_GB2312"/>
          <w:kern w:val="2"/>
          <w:szCs w:val="32"/>
          <w:lang w:eastAsia="zh-CN"/>
        </w:rPr>
        <w:t>单位厉行节约，缩减开支。其中</w:t>
      </w:r>
      <w:r>
        <w:rPr>
          <w:rFonts w:hint="eastAsia"/>
          <w:szCs w:val="32"/>
          <w:lang w:val="en-US" w:eastAsia="zh-CN"/>
        </w:rPr>
        <w:t>公务接待费减少</w:t>
      </w:r>
      <w:r>
        <w:rPr>
          <w:rFonts w:hint="eastAsia" w:ascii="Times New Roman" w:hAnsi="Times New Roman"/>
          <w:szCs w:val="32"/>
          <w:lang w:val="en-US" w:eastAsia="zh-CN"/>
        </w:rPr>
        <w:t>0</w:t>
      </w:r>
      <w:r>
        <w:rPr>
          <w:rFonts w:hint="eastAsia"/>
          <w:szCs w:val="32"/>
          <w:lang w:val="en-US" w:eastAsia="zh-CN"/>
        </w:rPr>
        <w:t>.</w:t>
      </w:r>
      <w:r>
        <w:rPr>
          <w:rFonts w:hint="eastAsia" w:ascii="Times New Roman" w:hAnsi="Times New Roman"/>
          <w:szCs w:val="32"/>
          <w:lang w:val="en-US" w:eastAsia="zh-CN"/>
        </w:rPr>
        <w:t>57</w:t>
      </w:r>
      <w:r>
        <w:rPr>
          <w:rFonts w:hint="eastAsia"/>
          <w:szCs w:val="32"/>
          <w:lang w:val="en-US" w:eastAsia="zh-CN"/>
        </w:rPr>
        <w:t>万元。</w:t>
      </w:r>
    </w:p>
    <w:p w14:paraId="55D19512">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b/>
          <w:bCs/>
          <w:szCs w:val="32"/>
        </w:rPr>
      </w:pPr>
      <w:bookmarkStart w:id="75" w:name="_Toc30155"/>
      <w:r>
        <w:rPr>
          <w:rFonts w:eastAsia="楷体_GB2312"/>
          <w:b/>
          <w:bCs/>
          <w:szCs w:val="32"/>
        </w:rPr>
        <w:t>（二）政府采购支出情况</w:t>
      </w:r>
      <w:bookmarkEnd w:id="74"/>
      <w:bookmarkEnd w:id="75"/>
    </w:p>
    <w:p w14:paraId="26EF5E96">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szCs w:val="32"/>
        </w:rPr>
      </w:pPr>
      <w:r>
        <w:rPr>
          <w:rFonts w:ascii="Times New Roman" w:hAnsi="Times New Roman"/>
          <w:szCs w:val="32"/>
        </w:rPr>
        <w:t>202</w:t>
      </w:r>
      <w:r>
        <w:rPr>
          <w:rFonts w:hint="eastAsia" w:ascii="Times New Roman" w:hAnsi="Times New Roman"/>
          <w:szCs w:val="32"/>
        </w:rPr>
        <w:t>4</w:t>
      </w:r>
      <w:r>
        <w:rPr>
          <w:szCs w:val="32"/>
        </w:rPr>
        <w:t>年度，</w:t>
      </w:r>
      <w:r>
        <w:rPr>
          <w:rFonts w:hint="eastAsia" w:ascii="仿宋_GB2312" w:hAnsi="仿宋_GB2312" w:cs="仿宋_GB2312"/>
          <w:color w:val="000000"/>
          <w:szCs w:val="32"/>
        </w:rPr>
        <w:t>遂宁市安居区科学技术协会</w:t>
      </w:r>
      <w:r>
        <w:rPr>
          <w:szCs w:val="32"/>
        </w:rPr>
        <w:t>政府采购支出总</w:t>
      </w:r>
      <w:r>
        <w:rPr>
          <w:rFonts w:hint="eastAsia"/>
          <w:szCs w:val="32"/>
          <w:lang w:val="en-US" w:eastAsia="zh-CN"/>
        </w:rPr>
        <w:t>1.26</w:t>
      </w:r>
      <w:r>
        <w:rPr>
          <w:szCs w:val="32"/>
        </w:rPr>
        <w:t>万元，其中：政府采购货物支出</w:t>
      </w:r>
      <w:r>
        <w:rPr>
          <w:rFonts w:hint="eastAsia"/>
          <w:szCs w:val="32"/>
          <w:lang w:val="en-US" w:eastAsia="zh-CN"/>
        </w:rPr>
        <w:t>1.26</w:t>
      </w:r>
      <w:r>
        <w:rPr>
          <w:szCs w:val="32"/>
        </w:rPr>
        <w:t>万元、政府采购工程支出</w:t>
      </w:r>
      <w:r>
        <w:rPr>
          <w:rFonts w:hint="eastAsia" w:ascii="Times New Roman" w:hAnsi="Times New Roman"/>
          <w:szCs w:val="32"/>
        </w:rPr>
        <w:t>0</w:t>
      </w:r>
      <w:r>
        <w:rPr>
          <w:szCs w:val="32"/>
        </w:rPr>
        <w:t>万元、政府采购服务支出</w:t>
      </w:r>
      <w:r>
        <w:rPr>
          <w:rFonts w:hint="eastAsia" w:ascii="Times New Roman" w:hAnsi="Times New Roman"/>
          <w:szCs w:val="32"/>
        </w:rPr>
        <w:t>0</w:t>
      </w:r>
      <w:r>
        <w:rPr>
          <w:szCs w:val="32"/>
        </w:rPr>
        <w:t>万元。授予中小企业合同金额</w:t>
      </w:r>
      <w:r>
        <w:rPr>
          <w:rFonts w:hint="eastAsia"/>
          <w:szCs w:val="32"/>
          <w:lang w:val="en-US" w:eastAsia="zh-CN"/>
        </w:rPr>
        <w:t>1.26</w:t>
      </w:r>
      <w:r>
        <w:rPr>
          <w:szCs w:val="32"/>
        </w:rPr>
        <w:t>万元，占政府采购支出总额的</w:t>
      </w:r>
      <w:r>
        <w:rPr>
          <w:rFonts w:hint="eastAsia"/>
          <w:szCs w:val="32"/>
          <w:lang w:val="en-US" w:eastAsia="zh-CN"/>
        </w:rPr>
        <w:t>10</w:t>
      </w:r>
      <w:r>
        <w:rPr>
          <w:rFonts w:hint="eastAsia" w:ascii="Times New Roman" w:hAnsi="Times New Roman"/>
          <w:szCs w:val="32"/>
        </w:rPr>
        <w:t>0</w:t>
      </w:r>
      <w:r>
        <w:rPr>
          <w:szCs w:val="32"/>
        </w:rPr>
        <w:t>%，其中：授予小微企业合同金额</w:t>
      </w:r>
      <w:r>
        <w:rPr>
          <w:rFonts w:hint="eastAsia" w:ascii="Times New Roman" w:hAnsi="Times New Roman"/>
          <w:szCs w:val="32"/>
        </w:rPr>
        <w:t>0</w:t>
      </w:r>
      <w:r>
        <w:rPr>
          <w:szCs w:val="32"/>
        </w:rPr>
        <w:t>万元，占政府采购支出总额的</w:t>
      </w:r>
      <w:r>
        <w:rPr>
          <w:rFonts w:hint="eastAsia" w:ascii="Times New Roman" w:hAnsi="Times New Roman"/>
          <w:szCs w:val="32"/>
        </w:rPr>
        <w:t>0</w:t>
      </w:r>
      <w:r>
        <w:rPr>
          <w:szCs w:val="32"/>
        </w:rPr>
        <w:t>%。</w:t>
      </w:r>
    </w:p>
    <w:p w14:paraId="03BDF8A2">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b/>
          <w:bCs/>
          <w:szCs w:val="32"/>
        </w:rPr>
      </w:pPr>
      <w:bookmarkStart w:id="76" w:name="_Toc15377224"/>
      <w:bookmarkStart w:id="77" w:name="_Toc21952"/>
      <w:r>
        <w:rPr>
          <w:rFonts w:eastAsia="楷体_GB2312"/>
          <w:b/>
          <w:bCs/>
          <w:szCs w:val="32"/>
        </w:rPr>
        <w:t>（三）国有资产占有使用情况</w:t>
      </w:r>
      <w:bookmarkEnd w:id="76"/>
      <w:bookmarkEnd w:id="77"/>
    </w:p>
    <w:p w14:paraId="38E37AEC">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rPr>
          <w:szCs w:val="32"/>
        </w:rPr>
      </w:pPr>
      <w:r>
        <w:rPr>
          <w:szCs w:val="32"/>
        </w:rPr>
        <w:t>截至</w:t>
      </w:r>
      <w:r>
        <w:rPr>
          <w:rFonts w:ascii="Times New Roman" w:hAnsi="Times New Roman"/>
          <w:szCs w:val="32"/>
        </w:rPr>
        <w:t>202</w:t>
      </w:r>
      <w:r>
        <w:rPr>
          <w:rFonts w:hint="eastAsia" w:ascii="Times New Roman" w:hAnsi="Times New Roman"/>
          <w:szCs w:val="32"/>
        </w:rPr>
        <w:t>4</w:t>
      </w:r>
      <w:r>
        <w:rPr>
          <w:szCs w:val="32"/>
        </w:rPr>
        <w:t>年</w:t>
      </w:r>
      <w:r>
        <w:rPr>
          <w:rFonts w:ascii="Times New Roman" w:hAnsi="Times New Roman"/>
          <w:szCs w:val="32"/>
        </w:rPr>
        <w:t>12</w:t>
      </w:r>
      <w:r>
        <w:rPr>
          <w:szCs w:val="32"/>
        </w:rPr>
        <w:t>月</w:t>
      </w:r>
      <w:r>
        <w:rPr>
          <w:rFonts w:ascii="Times New Roman" w:hAnsi="Times New Roman"/>
          <w:szCs w:val="32"/>
        </w:rPr>
        <w:t>31</w:t>
      </w:r>
      <w:r>
        <w:rPr>
          <w:szCs w:val="32"/>
        </w:rPr>
        <w:t>日，</w:t>
      </w:r>
      <w:r>
        <w:rPr>
          <w:rFonts w:hint="eastAsia" w:ascii="仿宋_GB2312" w:hAnsi="仿宋_GB2312" w:cs="仿宋_GB2312"/>
          <w:color w:val="000000"/>
          <w:szCs w:val="32"/>
        </w:rPr>
        <w:t>遂宁市安居区科学技术协会</w:t>
      </w:r>
      <w:r>
        <w:rPr>
          <w:szCs w:val="32"/>
        </w:rPr>
        <w:t>共有车辆</w:t>
      </w:r>
      <w:r>
        <w:rPr>
          <w:rFonts w:hint="eastAsia" w:ascii="Times New Roman" w:hAnsi="Times New Roman"/>
          <w:szCs w:val="32"/>
        </w:rPr>
        <w:t>1</w:t>
      </w:r>
      <w:r>
        <w:rPr>
          <w:szCs w:val="32"/>
        </w:rPr>
        <w:t>辆，其中：主要领导干部用车</w:t>
      </w:r>
      <w:r>
        <w:rPr>
          <w:rFonts w:hint="eastAsia" w:ascii="Times New Roman" w:hAnsi="Times New Roman"/>
          <w:szCs w:val="32"/>
        </w:rPr>
        <w:t>0</w:t>
      </w:r>
      <w:r>
        <w:rPr>
          <w:szCs w:val="32"/>
        </w:rPr>
        <w:t>辆、机要通信用车</w:t>
      </w:r>
      <w:r>
        <w:rPr>
          <w:rFonts w:hint="eastAsia" w:ascii="Times New Roman" w:hAnsi="Times New Roman"/>
          <w:szCs w:val="32"/>
        </w:rPr>
        <w:t>0</w:t>
      </w:r>
      <w:r>
        <w:rPr>
          <w:szCs w:val="32"/>
        </w:rPr>
        <w:t>辆、应急保障用车</w:t>
      </w:r>
      <w:r>
        <w:rPr>
          <w:rFonts w:hint="eastAsia" w:ascii="Times New Roman" w:hAnsi="Times New Roman"/>
          <w:szCs w:val="32"/>
        </w:rPr>
        <w:t>0</w:t>
      </w:r>
      <w:r>
        <w:rPr>
          <w:szCs w:val="32"/>
        </w:rPr>
        <w:t>辆、其他用车</w:t>
      </w:r>
      <w:r>
        <w:rPr>
          <w:rFonts w:hint="eastAsia" w:ascii="Times New Roman" w:hAnsi="Times New Roman"/>
          <w:szCs w:val="32"/>
        </w:rPr>
        <w:t>1</w:t>
      </w:r>
      <w:r>
        <w:rPr>
          <w:szCs w:val="32"/>
        </w:rPr>
        <w:t>辆，其他用车主要是</w:t>
      </w:r>
      <w:r>
        <w:rPr>
          <w:rFonts w:hint="eastAsia" w:ascii="仿宋_GB2312"/>
          <w:szCs w:val="32"/>
        </w:rPr>
        <w:t>用于全区科普宣传工作</w:t>
      </w:r>
      <w:r>
        <w:rPr>
          <w:szCs w:val="32"/>
        </w:rPr>
        <w:t>。单价</w:t>
      </w:r>
      <w:r>
        <w:rPr>
          <w:rFonts w:ascii="Times New Roman" w:hAnsi="Times New Roman"/>
          <w:szCs w:val="32"/>
        </w:rPr>
        <w:t>100</w:t>
      </w:r>
      <w:r>
        <w:rPr>
          <w:szCs w:val="32"/>
        </w:rPr>
        <w:t>万元以上设备（不含车辆）</w:t>
      </w:r>
      <w:r>
        <w:rPr>
          <w:rFonts w:hint="eastAsia" w:ascii="Times New Roman" w:hAnsi="Times New Roman"/>
          <w:szCs w:val="32"/>
        </w:rPr>
        <w:t>0</w:t>
      </w:r>
      <w:r>
        <w:rPr>
          <w:szCs w:val="32"/>
        </w:rPr>
        <w:t>台（套）。</w:t>
      </w:r>
    </w:p>
    <w:p w14:paraId="04F2EAD3">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b/>
          <w:bCs/>
          <w:szCs w:val="32"/>
        </w:rPr>
      </w:pPr>
      <w:bookmarkStart w:id="78" w:name="_Toc17351"/>
      <w:r>
        <w:rPr>
          <w:rFonts w:eastAsia="楷体_GB2312"/>
          <w:b/>
          <w:bCs/>
          <w:szCs w:val="32"/>
        </w:rPr>
        <w:t>（四）预算绩效管理情况</w:t>
      </w:r>
      <w:bookmarkEnd w:id="78"/>
    </w:p>
    <w:p w14:paraId="616CB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szCs w:val="32"/>
        </w:rPr>
      </w:pPr>
      <w:r>
        <w:rPr>
          <w:rFonts w:hint="eastAsia" w:ascii="仿宋_GB2312" w:hAnsi="仿宋_GB2312" w:cs="仿宋_GB2312"/>
          <w:szCs w:val="32"/>
        </w:rPr>
        <w:t>根据预算绩效管理要求，本部门在</w:t>
      </w:r>
      <w:r>
        <w:rPr>
          <w:rFonts w:hint="eastAsia" w:ascii="Times New Roman" w:hAnsi="Times New Roman" w:cs="仿宋_GB2312"/>
          <w:szCs w:val="32"/>
        </w:rPr>
        <w:t>2024</w:t>
      </w:r>
      <w:r>
        <w:rPr>
          <w:rFonts w:hint="eastAsia" w:ascii="仿宋_GB2312" w:hAnsi="仿宋_GB2312" w:cs="仿宋_GB2312"/>
          <w:szCs w:val="32"/>
        </w:rPr>
        <w:t>年度预算编制阶段，组织对天府科技云服务、科普活动经费项目</w:t>
      </w:r>
      <w:r>
        <w:rPr>
          <w:rFonts w:hint="eastAsia" w:ascii="Times New Roman" w:hAnsi="Times New Roman" w:cs="仿宋_GB2312"/>
          <w:szCs w:val="32"/>
        </w:rPr>
        <w:t>2</w:t>
      </w:r>
      <w:r>
        <w:rPr>
          <w:rFonts w:hint="eastAsia" w:ascii="仿宋_GB2312" w:hAnsi="仿宋_GB2312" w:cs="仿宋_GB2312"/>
          <w:szCs w:val="32"/>
        </w:rPr>
        <w:t>个项目开展了预算事前绩效评估，对该</w:t>
      </w:r>
      <w:r>
        <w:rPr>
          <w:rFonts w:hint="eastAsia" w:ascii="Times New Roman" w:hAnsi="Times New Roman" w:cs="仿宋_GB2312"/>
          <w:szCs w:val="32"/>
        </w:rPr>
        <w:t>2</w:t>
      </w:r>
      <w:r>
        <w:rPr>
          <w:rFonts w:hint="eastAsia" w:ascii="仿宋_GB2312" w:hAnsi="仿宋_GB2312" w:cs="仿宋_GB2312"/>
          <w:szCs w:val="32"/>
        </w:rPr>
        <w:t>个项目编制了绩效目标，预算执行过程中，并对该</w:t>
      </w:r>
      <w:r>
        <w:rPr>
          <w:rFonts w:hint="eastAsia" w:ascii="Times New Roman" w:hAnsi="Times New Roman" w:cs="仿宋_GB2312"/>
          <w:szCs w:val="32"/>
        </w:rPr>
        <w:t>2</w:t>
      </w:r>
      <w:r>
        <w:rPr>
          <w:rFonts w:hint="eastAsia" w:ascii="仿宋_GB2312" w:hAnsi="仿宋_GB2312" w:cs="仿宋_GB2312"/>
          <w:szCs w:val="32"/>
        </w:rPr>
        <w:t>个项目开展绩效监控。</w:t>
      </w:r>
    </w:p>
    <w:p w14:paraId="703D4A24">
      <w:pPr>
        <w:keepNext w:val="0"/>
        <w:keepLines w:val="0"/>
        <w:pageBreakBefore w:val="0"/>
        <w:widowControl w:val="0"/>
        <w:kinsoku/>
        <w:wordWrap/>
        <w:overflowPunct/>
        <w:topLinePunct w:val="0"/>
        <w:autoSpaceDE/>
        <w:autoSpaceDN/>
        <w:bidi w:val="0"/>
        <w:adjustRightInd/>
        <w:snapToGrid/>
        <w:spacing w:line="560" w:lineRule="exact"/>
        <w:ind w:firstLine="632"/>
        <w:textAlignment w:val="auto"/>
        <w:rPr>
          <w:szCs w:val="32"/>
        </w:rPr>
      </w:pPr>
      <w:r>
        <w:rPr>
          <w:rFonts w:ascii="Times New Roman" w:hAnsi="Times New Roman"/>
          <w:szCs w:val="32"/>
        </w:rPr>
        <w:t>组织对202</w:t>
      </w:r>
      <w:r>
        <w:rPr>
          <w:rFonts w:hint="eastAsia" w:ascii="Times New Roman" w:hAnsi="Times New Roman"/>
          <w:szCs w:val="32"/>
        </w:rPr>
        <w:t>4</w:t>
      </w:r>
      <w:r>
        <w:rPr>
          <w:rFonts w:ascii="Times New Roman" w:hAnsi="Times New Roman"/>
          <w:szCs w:val="32"/>
        </w:rPr>
        <w:t>年度一般公共预算、政府性基金预算、国有资本经营预算、社会保险基金预算以及资本资产、债券资金等全面开展绩效自评，形成</w:t>
      </w:r>
      <w:r>
        <w:rPr>
          <w:rFonts w:hint="eastAsia" w:ascii="仿宋_GB2312" w:hAnsi="仿宋_GB2312" w:cs="仿宋_GB2312"/>
          <w:szCs w:val="32"/>
        </w:rPr>
        <w:t>区科协</w:t>
      </w:r>
      <w:r>
        <w:rPr>
          <w:rFonts w:ascii="Times New Roman" w:hAnsi="Times New Roman"/>
          <w:szCs w:val="32"/>
        </w:rPr>
        <w:t>部门整体（含部门预算项目）绩效自评报告、</w:t>
      </w:r>
      <w:r>
        <w:rPr>
          <w:rFonts w:hint="eastAsia" w:ascii="Times New Roman" w:hAnsi="Times New Roman"/>
          <w:szCs w:val="32"/>
        </w:rPr>
        <w:t>科普活动</w:t>
      </w:r>
      <w:r>
        <w:rPr>
          <w:rFonts w:ascii="Times New Roman" w:hAnsi="Times New Roman"/>
          <w:szCs w:val="32"/>
        </w:rPr>
        <w:t>项目专项预算</w:t>
      </w:r>
      <w:r>
        <w:rPr>
          <w:rFonts w:hint="eastAsia" w:ascii="Times New Roman" w:hAnsi="Times New Roman"/>
          <w:szCs w:val="32"/>
          <w:lang w:eastAsia="zh-CN"/>
        </w:rPr>
        <w:t>，</w:t>
      </w:r>
      <w:r>
        <w:rPr>
          <w:rFonts w:ascii="Times New Roman" w:hAnsi="Times New Roman"/>
          <w:szCs w:val="32"/>
        </w:rPr>
        <w:t>其中，</w:t>
      </w:r>
      <w:r>
        <w:rPr>
          <w:rFonts w:hint="eastAsia" w:ascii="仿宋_GB2312" w:hAnsi="仿宋_GB2312" w:cs="仿宋_GB2312"/>
          <w:szCs w:val="32"/>
        </w:rPr>
        <w:t>区科协</w:t>
      </w:r>
      <w:r>
        <w:rPr>
          <w:rFonts w:ascii="仿宋_GB2312" w:hAnsi="仿宋_GB2312" w:cs="仿宋_GB2312"/>
          <w:szCs w:val="32"/>
        </w:rPr>
        <w:t>部门整体（含部门预算项目）绩效自评得分为</w:t>
      </w:r>
      <w:r>
        <w:rPr>
          <w:rFonts w:hint="eastAsia" w:ascii="Times New Roman" w:hAnsi="Times New Roman" w:cs="仿宋_GB2312"/>
          <w:szCs w:val="32"/>
        </w:rPr>
        <w:t>95</w:t>
      </w:r>
      <w:r>
        <w:rPr>
          <w:rFonts w:hint="eastAsia" w:ascii="仿宋_GB2312" w:hAnsi="仿宋_GB2312" w:cs="仿宋_GB2312"/>
          <w:szCs w:val="32"/>
        </w:rPr>
        <w:t>.</w:t>
      </w:r>
      <w:r>
        <w:rPr>
          <w:rFonts w:hint="eastAsia" w:ascii="Times New Roman" w:hAnsi="Times New Roman" w:cs="仿宋_GB2312"/>
          <w:szCs w:val="32"/>
        </w:rPr>
        <w:t>4</w:t>
      </w:r>
      <w:r>
        <w:rPr>
          <w:rFonts w:ascii="仿宋_GB2312" w:hAnsi="仿宋_GB2312" w:cs="仿宋_GB2312"/>
          <w:szCs w:val="32"/>
        </w:rPr>
        <w:t>分</w:t>
      </w:r>
      <w:r>
        <w:rPr>
          <w:rFonts w:hint="eastAsia" w:ascii="仿宋_GB2312" w:hAnsi="仿宋_GB2312" w:cs="仿宋_GB2312"/>
          <w:szCs w:val="32"/>
        </w:rPr>
        <w:t>。</w:t>
      </w:r>
      <w:r>
        <w:rPr>
          <w:rFonts w:ascii="仿宋_GB2312" w:hAnsi="仿宋_GB2312" w:cs="仿宋_GB2312"/>
          <w:szCs w:val="32"/>
        </w:rPr>
        <w:t>绩效自评综述：</w:t>
      </w:r>
      <w:r>
        <w:rPr>
          <w:rFonts w:hint="eastAsia" w:ascii="仿宋_GB2312" w:hAnsi="仿宋_GB2312" w:cs="仿宋_GB2312"/>
          <w:szCs w:val="32"/>
        </w:rPr>
        <w:t>区科协预算项目经费管理规范，支付合理，目标清晰，成效突出</w:t>
      </w:r>
      <w:r>
        <w:rPr>
          <w:rFonts w:ascii="仿宋_GB2312" w:hAnsi="仿宋_GB2312" w:cs="仿宋_GB2312"/>
          <w:szCs w:val="32"/>
        </w:rPr>
        <w:t>；</w:t>
      </w:r>
      <w:r>
        <w:rPr>
          <w:rFonts w:hint="eastAsia" w:ascii="仿宋_GB2312" w:hAnsi="仿宋_GB2312" w:cs="仿宋_GB2312"/>
          <w:szCs w:val="32"/>
        </w:rPr>
        <w:t>天府科技云服务</w:t>
      </w:r>
      <w:r>
        <w:rPr>
          <w:rFonts w:ascii="仿宋_GB2312" w:hAnsi="仿宋_GB2312" w:cs="仿宋_GB2312"/>
          <w:szCs w:val="32"/>
        </w:rPr>
        <w:t>专项预算项目绩效自评得分为</w:t>
      </w:r>
      <w:r>
        <w:rPr>
          <w:rFonts w:hint="eastAsia" w:ascii="Times New Roman" w:hAnsi="Times New Roman" w:cs="仿宋_GB2312"/>
          <w:szCs w:val="32"/>
        </w:rPr>
        <w:t>100</w:t>
      </w:r>
      <w:r>
        <w:rPr>
          <w:rFonts w:ascii="仿宋_GB2312" w:hAnsi="仿宋_GB2312" w:cs="仿宋_GB2312"/>
          <w:szCs w:val="32"/>
        </w:rPr>
        <w:t>分，绩效自评综述：</w:t>
      </w:r>
      <w:r>
        <w:rPr>
          <w:rFonts w:hint="eastAsia" w:ascii="仿宋_GB2312" w:hAnsi="仿宋_GB2312" w:cs="仿宋_GB2312"/>
          <w:szCs w:val="32"/>
        </w:rPr>
        <w:t>项目设立依据基本充分，均设定了各项目绩效目标。区科协建立了基本能全面覆盖的管理制度，各项目按照财政局相关要求稳步推进，并根据年度工作计划做好各项目工作。科普活动</w:t>
      </w:r>
      <w:r>
        <w:rPr>
          <w:rFonts w:ascii="仿宋_GB2312" w:hAnsi="仿宋_GB2312" w:cs="仿宋_GB2312"/>
          <w:szCs w:val="32"/>
        </w:rPr>
        <w:t>专项预算项目绩效自评得分为</w:t>
      </w:r>
      <w:r>
        <w:rPr>
          <w:rFonts w:hint="eastAsia" w:ascii="Times New Roman" w:hAnsi="Times New Roman" w:cs="仿宋_GB2312"/>
          <w:szCs w:val="32"/>
        </w:rPr>
        <w:t>100</w:t>
      </w:r>
      <w:r>
        <w:rPr>
          <w:rFonts w:ascii="仿宋_GB2312" w:hAnsi="仿宋_GB2312" w:cs="仿宋_GB2312"/>
          <w:szCs w:val="32"/>
        </w:rPr>
        <w:t>分，绩效自评综述：</w:t>
      </w:r>
      <w:r>
        <w:rPr>
          <w:rFonts w:hint="eastAsia" w:ascii="仿宋_GB2312" w:hAnsi="仿宋_GB2312" w:cs="仿宋_GB2312"/>
          <w:szCs w:val="32"/>
        </w:rPr>
        <w:t>项目经费严格按照专款专用原则，年初预算安排</w:t>
      </w:r>
      <w:r>
        <w:rPr>
          <w:rFonts w:hint="eastAsia" w:ascii="Times New Roman" w:hAnsi="Times New Roman" w:cs="仿宋_GB2312"/>
          <w:szCs w:val="32"/>
        </w:rPr>
        <w:t>10</w:t>
      </w:r>
      <w:r>
        <w:rPr>
          <w:rFonts w:hint="eastAsia" w:ascii="仿宋_GB2312" w:hAnsi="仿宋_GB2312" w:cs="仿宋_GB2312"/>
          <w:szCs w:val="32"/>
        </w:rPr>
        <w:t>万元，使用</w:t>
      </w:r>
      <w:r>
        <w:rPr>
          <w:rFonts w:hint="eastAsia" w:ascii="Times New Roman" w:hAnsi="Times New Roman" w:cs="仿宋_GB2312"/>
          <w:szCs w:val="32"/>
        </w:rPr>
        <w:t>10</w:t>
      </w:r>
      <w:r>
        <w:rPr>
          <w:rFonts w:hint="eastAsia" w:ascii="仿宋_GB2312" w:hAnsi="仿宋_GB2312" w:cs="仿宋_GB2312"/>
          <w:szCs w:val="32"/>
        </w:rPr>
        <w:t>万元。</w:t>
      </w:r>
      <w:r>
        <w:rPr>
          <w:rFonts w:hint="eastAsia" w:ascii="仿宋_GB2312" w:hAnsi="仿宋_GB2312" w:cs="仿宋_GB2312"/>
          <w:szCs w:val="32"/>
          <w:lang w:val="zh-CN"/>
        </w:rPr>
        <w:t>单位</w:t>
      </w:r>
      <w:r>
        <w:rPr>
          <w:rFonts w:ascii="仿宋_GB2312" w:hAnsi="仿宋_GB2312" w:cs="仿宋_GB2312"/>
          <w:szCs w:val="32"/>
        </w:rPr>
        <w:t>无截留、挤占、挪用、虚列支出等情况</w:t>
      </w:r>
      <w:r>
        <w:rPr>
          <w:rFonts w:hint="eastAsia" w:ascii="仿宋_GB2312" w:hAnsi="仿宋_GB2312" w:cs="仿宋_GB2312"/>
          <w:szCs w:val="32"/>
        </w:rPr>
        <w:t>。</w:t>
      </w:r>
      <w:r>
        <w:rPr>
          <w:rFonts w:ascii="仿宋_GB2312" w:hAnsi="仿宋_GB2312" w:cs="仿宋_GB2312"/>
          <w:szCs w:val="32"/>
        </w:rPr>
        <w:t>在建项目围绕工程进度和资金拨付进行</w:t>
      </w:r>
      <w:r>
        <w:rPr>
          <w:rFonts w:hint="eastAsia" w:ascii="仿宋_GB2312" w:hAnsi="仿宋_GB2312" w:cs="仿宋_GB2312"/>
          <w:szCs w:val="32"/>
        </w:rPr>
        <w:t>了</w:t>
      </w:r>
      <w:r>
        <w:rPr>
          <w:rFonts w:ascii="仿宋_GB2312" w:hAnsi="仿宋_GB2312" w:cs="仿宋_GB2312"/>
          <w:szCs w:val="32"/>
        </w:rPr>
        <w:t>绩效分析；建成项目围绕项目验收、功能实现、后续管护进行</w:t>
      </w:r>
      <w:r>
        <w:rPr>
          <w:rFonts w:hint="eastAsia" w:ascii="仿宋_GB2312" w:hAnsi="仿宋_GB2312" w:cs="仿宋_GB2312"/>
          <w:szCs w:val="32"/>
        </w:rPr>
        <w:t>了</w:t>
      </w:r>
      <w:r>
        <w:rPr>
          <w:rFonts w:ascii="仿宋_GB2312" w:hAnsi="仿宋_GB2312" w:cs="仿宋_GB2312"/>
          <w:szCs w:val="32"/>
          <w:lang w:val="zh-CN"/>
        </w:rPr>
        <w:t>绩效分析</w:t>
      </w:r>
      <w:r>
        <w:rPr>
          <w:rFonts w:ascii="Times New Roman" w:hAnsi="Times New Roman"/>
          <w:szCs w:val="32"/>
        </w:rPr>
        <w:t>。绩效自评报告详见附件。</w:t>
      </w:r>
    </w:p>
    <w:p w14:paraId="2E210E78">
      <w:pPr>
        <w:widowControl/>
        <w:ind w:firstLine="632"/>
        <w:jc w:val="left"/>
        <w:rPr>
          <w:color w:val="FF0000"/>
          <w:szCs w:val="32"/>
        </w:rPr>
      </w:pPr>
    </w:p>
    <w:p w14:paraId="000B9604">
      <w:pPr>
        <w:rPr>
          <w:rFonts w:eastAsia="方正小标宋简体"/>
          <w:sz w:val="44"/>
          <w:szCs w:val="44"/>
        </w:rPr>
      </w:pPr>
      <w:bookmarkStart w:id="79" w:name="_Toc3245"/>
      <w:bookmarkStart w:id="80" w:name="_Toc15396613"/>
      <w:bookmarkStart w:id="81" w:name="_Toc15377225"/>
      <w:r>
        <w:rPr>
          <w:rFonts w:eastAsia="方正小标宋简体"/>
          <w:sz w:val="44"/>
          <w:szCs w:val="44"/>
        </w:rPr>
        <w:br w:type="page"/>
      </w:r>
    </w:p>
    <w:p w14:paraId="2862A23B">
      <w:pPr>
        <w:spacing w:line="600" w:lineRule="exact"/>
        <w:jc w:val="center"/>
        <w:outlineLvl w:val="0"/>
        <w:rPr>
          <w:rFonts w:eastAsia="黑体"/>
          <w:b w:val="0"/>
          <w:bCs w:val="0"/>
        </w:rPr>
      </w:pPr>
      <w:r>
        <w:rPr>
          <w:rFonts w:eastAsia="方正小标宋简体"/>
          <w:sz w:val="44"/>
          <w:szCs w:val="44"/>
        </w:rPr>
        <w:t>第三部分 名</w:t>
      </w:r>
      <w:r>
        <w:rPr>
          <w:rStyle w:val="145"/>
          <w:rFonts w:eastAsia="方正小标宋简体"/>
          <w:b w:val="0"/>
          <w:bCs w:val="0"/>
        </w:rPr>
        <w:t>词解释</w:t>
      </w:r>
      <w:bookmarkEnd w:id="79"/>
      <w:bookmarkEnd w:id="80"/>
      <w:bookmarkEnd w:id="81"/>
    </w:p>
    <w:p w14:paraId="74FC3F80">
      <w:pPr>
        <w:spacing w:line="600" w:lineRule="exact"/>
        <w:jc w:val="left"/>
        <w:rPr>
          <w:sz w:val="44"/>
          <w:szCs w:val="44"/>
        </w:rPr>
      </w:pPr>
    </w:p>
    <w:p w14:paraId="4EF79598">
      <w:pPr>
        <w:pStyle w:val="75"/>
        <w:numPr>
          <w:ilvl w:val="0"/>
          <w:numId w:val="0"/>
        </w:numPr>
        <w:spacing w:line="560" w:lineRule="exact"/>
        <w:ind w:firstLine="632" w:firstLineChars="0"/>
        <w:rPr>
          <w:rFonts w:ascii="仿宋_GB2312" w:hAnsi="仿宋_GB2312" w:eastAsia="仿宋_GB2312" w:cs="仿宋_GB2312"/>
          <w:sz w:val="32"/>
          <w:szCs w:val="32"/>
        </w:rPr>
      </w:pPr>
      <w:r>
        <w:rPr>
          <w:rFonts w:hint="default" w:ascii="Times New Roman" w:hAnsi="Times New Roman" w:eastAsia="仿宋_GB2312" w:cs="Times New Roman"/>
          <w:color w:val="000000"/>
          <w:kern w:val="2"/>
          <w:sz w:val="32"/>
          <w:szCs w:val="32"/>
          <w:lang w:val="en-US" w:eastAsia="zh-CN" w:bidi="ar-SA"/>
        </w:rPr>
        <w:t>1、</w:t>
      </w:r>
      <w:r>
        <w:rPr>
          <w:rFonts w:hint="eastAsia" w:ascii="仿宋_GB2312" w:hAnsi="仿宋_GB2312" w:eastAsia="仿宋_GB2312" w:cs="仿宋_GB2312"/>
          <w:sz w:val="32"/>
          <w:szCs w:val="32"/>
        </w:rPr>
        <w:t>财政拨款收入：指单位从同级财政部门取得的财政预算资金。</w:t>
      </w:r>
    </w:p>
    <w:p w14:paraId="446CFB10">
      <w:pPr>
        <w:spacing w:line="600" w:lineRule="exact"/>
        <w:ind w:firstLine="640"/>
        <w:rPr>
          <w:rFonts w:ascii="仿宋_GB2312" w:hAnsi="仿宋_GB2312" w:cs="仿宋_GB2312"/>
          <w:kern w:val="2"/>
          <w:szCs w:val="32"/>
        </w:rPr>
      </w:pPr>
      <w:r>
        <w:rPr>
          <w:rFonts w:hint="eastAsia" w:ascii="Times New Roman" w:hAnsi="Times New Roman" w:cs="仿宋_GB2312"/>
          <w:kern w:val="2"/>
          <w:szCs w:val="32"/>
        </w:rPr>
        <w:t>2</w:t>
      </w:r>
      <w:r>
        <w:rPr>
          <w:rFonts w:hint="eastAsia" w:ascii="仿宋_GB2312" w:hAnsi="仿宋_GB2312" w:cs="仿宋_GB2312"/>
          <w:kern w:val="2"/>
          <w:szCs w:val="32"/>
        </w:rPr>
        <w:t xml:space="preserve">.使用非财政拨款结余（含专用结余）：指事业单位使用以前年度积累的非财政拨款结余弥补当年收支差额的金额。 </w:t>
      </w:r>
    </w:p>
    <w:p w14:paraId="787882FD">
      <w:pPr>
        <w:spacing w:line="600" w:lineRule="exact"/>
        <w:ind w:firstLine="640"/>
        <w:rPr>
          <w:rFonts w:ascii="仿宋_GB2312" w:hAnsi="仿宋_GB2312" w:cs="仿宋_GB2312"/>
          <w:kern w:val="2"/>
          <w:szCs w:val="32"/>
        </w:rPr>
      </w:pPr>
      <w:r>
        <w:rPr>
          <w:rFonts w:hint="eastAsia" w:ascii="Times New Roman" w:hAnsi="Times New Roman" w:cs="仿宋_GB2312"/>
          <w:kern w:val="2"/>
          <w:szCs w:val="32"/>
        </w:rPr>
        <w:t>3</w:t>
      </w:r>
      <w:r>
        <w:rPr>
          <w:rFonts w:hint="eastAsia" w:ascii="仿宋_GB2312" w:hAnsi="仿宋_GB2312" w:cs="仿宋_GB2312"/>
          <w:kern w:val="2"/>
          <w:szCs w:val="32"/>
        </w:rPr>
        <w:t xml:space="preserve">.年初结转和结余：指以前年度尚未完成、结转到本年按有关规定继续使用的资金。 </w:t>
      </w:r>
    </w:p>
    <w:p w14:paraId="74C0DAB3">
      <w:pPr>
        <w:spacing w:line="600" w:lineRule="exact"/>
        <w:ind w:firstLine="640"/>
        <w:rPr>
          <w:rFonts w:ascii="仿宋_GB2312" w:hAnsi="仿宋_GB2312" w:cs="仿宋_GB2312"/>
          <w:kern w:val="2"/>
          <w:szCs w:val="32"/>
        </w:rPr>
      </w:pPr>
      <w:r>
        <w:rPr>
          <w:rFonts w:hint="eastAsia" w:ascii="Times New Roman" w:hAnsi="Times New Roman" w:cs="仿宋_GB2312"/>
          <w:kern w:val="2"/>
          <w:szCs w:val="32"/>
        </w:rPr>
        <w:t>4</w:t>
      </w:r>
      <w:r>
        <w:rPr>
          <w:rFonts w:hint="eastAsia" w:ascii="仿宋_GB2312" w:hAnsi="仿宋_GB2312" w:cs="仿宋_GB2312"/>
          <w:kern w:val="2"/>
          <w:szCs w:val="32"/>
        </w:rPr>
        <w:t>.结余分配：指事业单位按照会计制度规定缴纳的所得税、提取的专用结余以及转入非财政拨款结余的金额等。</w:t>
      </w:r>
    </w:p>
    <w:p w14:paraId="14E5950E">
      <w:pPr>
        <w:pStyle w:val="75"/>
        <w:spacing w:line="560" w:lineRule="exact"/>
        <w:ind w:firstLine="640" w:firstLineChars="200"/>
        <w:rPr>
          <w:rFonts w:ascii="仿宋_GB2312" w:hAnsi="仿宋_GB2312" w:eastAsia="仿宋_GB2312" w:cs="仿宋_GB2312"/>
          <w:color w:val="auto"/>
          <w:kern w:val="2"/>
          <w:sz w:val="32"/>
          <w:szCs w:val="32"/>
        </w:rPr>
      </w:pPr>
      <w:r>
        <w:rPr>
          <w:rFonts w:hint="eastAsia" w:ascii="Times New Roman" w:hAnsi="Times New Roman" w:eastAsia="仿宋_GB2312" w:cs="仿宋_GB2312"/>
          <w:color w:val="auto"/>
          <w:kern w:val="2"/>
          <w:sz w:val="32"/>
          <w:szCs w:val="32"/>
        </w:rPr>
        <w:t>5</w:t>
      </w:r>
      <w:r>
        <w:rPr>
          <w:rFonts w:hint="eastAsia" w:ascii="仿宋_GB2312" w:hAnsi="仿宋_GB2312" w:eastAsia="仿宋_GB2312" w:cs="仿宋_GB2312"/>
          <w:color w:val="auto"/>
          <w:kern w:val="2"/>
          <w:sz w:val="32"/>
          <w:szCs w:val="32"/>
        </w:rPr>
        <w:t>.年末结转和结余：指单位按有关规定结转到下年或以后年度继续使用的资金。</w:t>
      </w:r>
    </w:p>
    <w:p w14:paraId="409482ED">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6.科学技术（206）科学技术管理事务（01）行政运行（01）：指行政单位（包括实行公务员管理的事业单位）的基本支出。</w:t>
      </w:r>
    </w:p>
    <w:p w14:paraId="67EABD2F">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7..科学技术支出（206）科学技术管理事务（01）其他科学技术管理事务支出（99）：反映除上述项目以外其他用于科学技术管理事务方面的支出。</w:t>
      </w:r>
    </w:p>
    <w:p w14:paraId="7C3B85A2">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8..科学技术支出（206）科学技术普及（07）科普活动（02）：指用于开展科普活动的支出。</w:t>
      </w:r>
    </w:p>
    <w:p w14:paraId="3095791E">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9.科学技术支出（206）科学技术普及（07）其他科学技术普及支出（99）：指除机构运行、科普活动、青少年科技活动、学术交流活动、科技馆站项目以外其他用于科学技术普及方面的支出。</w:t>
      </w:r>
    </w:p>
    <w:p w14:paraId="3C0B5495">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10.科学技术支出（206）其他科学技术支出（99）其他科学技术支出（99）：指除科学技术管理事务、基础研究、应用研究、社会科学、科学技术普及、科技交流与合作、重大科技合作项目外用于科技方面的支出。</w:t>
      </w:r>
    </w:p>
    <w:p w14:paraId="27506E76">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11.社会保障和就业（208）行政事业单位养老支出（05）机关事业单位基本养老保险缴费支出（05）：指机关事业单位实施养老保险制度由单位缴纳的基本养老保险费支出。</w:t>
      </w:r>
    </w:p>
    <w:p w14:paraId="597040A6">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12.社会保障和就业支出（208）其他社会保障和就业支出（99）其他社会保障和就业支出（99）：指除上述项目以外其他用于社会保障和就业方面的支出。</w:t>
      </w:r>
    </w:p>
    <w:p w14:paraId="45AB8A54">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13.卫生健康支出（210）行政事业单位医疗（11）行政单位医疗（01）：指财政部门安排的行政单位基本医疗保险缴费经费，未参加医疗保险的行政单位的公费医疗经费，按国家规定享受离休人员、红军老战士待遇人员的医疗经费。</w:t>
      </w:r>
    </w:p>
    <w:p w14:paraId="357B4EAC">
      <w:pPr>
        <w:pStyle w:val="75"/>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.卫生健康</w:t>
      </w:r>
      <w:r>
        <w:rPr>
          <w:rFonts w:hint="eastAsia" w:ascii="Times New Roman" w:hAnsi="Times New Roman" w:eastAsia="仿宋_GB2312" w:cs="Times New Roman"/>
          <w:color w:val="auto"/>
          <w:sz w:val="32"/>
          <w:szCs w:val="32"/>
        </w:rPr>
        <w:t>（210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行政事业单位医疗（11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公务员医疗补助（03）</w:t>
      </w:r>
      <w:r>
        <w:rPr>
          <w:rFonts w:ascii="Times New Roman" w:hAnsi="Times New Roman" w:eastAsia="仿宋_GB2312" w:cs="Times New Roman"/>
          <w:color w:val="auto"/>
          <w:sz w:val="32"/>
          <w:szCs w:val="32"/>
        </w:rPr>
        <w:t>：指</w:t>
      </w:r>
      <w:r>
        <w:rPr>
          <w:rFonts w:hint="eastAsia" w:ascii="Times New Roman" w:hAnsi="Times New Roman" w:eastAsia="仿宋_GB2312" w:cs="Times New Roman"/>
          <w:color w:val="auto"/>
          <w:sz w:val="32"/>
          <w:szCs w:val="32"/>
        </w:rPr>
        <w:t>财政部门安排的公务员医疗补助经费。</w:t>
      </w:r>
    </w:p>
    <w:p w14:paraId="79D05478">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15.住房保障支出（221）住房改革支出（02）住房公积金（01）：指行政事业单位按人力资源和社会保障部、财政部规定的基本工资和津贴补贴以及规定比例为职工缴纳的住房公积金。</w:t>
      </w:r>
    </w:p>
    <w:p w14:paraId="1721BBE6">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基本支出：指为保障机构正常运转、完成日常工作任务而发生的人员支出和公用支出。</w:t>
      </w:r>
    </w:p>
    <w:p w14:paraId="46571C89">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17</w:t>
      </w:r>
      <w:r>
        <w:rPr>
          <w:rFonts w:ascii="Times New Roman" w:hAnsi="Times New Roman" w:eastAsia="仿宋_GB2312" w:cs="Times New Roman"/>
          <w:color w:val="auto"/>
          <w:sz w:val="32"/>
          <w:szCs w:val="32"/>
        </w:rPr>
        <w:t xml:space="preserve">.项目支出：指在基本支出之外为完成特定行政任务和事业发展目标所发生的支出。 </w:t>
      </w:r>
    </w:p>
    <w:p w14:paraId="755751D5">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18</w:t>
      </w:r>
      <w:r>
        <w:rPr>
          <w:rFonts w:ascii="Times New Roman" w:hAnsi="Times New Roman" w:eastAsia="仿宋_GB2312" w:cs="Times New Roman"/>
          <w:color w:val="auto"/>
          <w:sz w:val="32"/>
          <w:szCs w:val="32"/>
        </w:rPr>
        <w:t>.经营支出：指事业单位在专业业务活动及其辅助活动之外开展非独立核算经营活动发生的支出。</w:t>
      </w:r>
    </w:p>
    <w:p w14:paraId="752985D3">
      <w:pPr>
        <w:pStyle w:val="75"/>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409D4F9">
      <w:pPr>
        <w:pStyle w:val="75"/>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w:t>
      </w:r>
    </w:p>
    <w:p w14:paraId="68DA4FC2">
      <w:pPr>
        <w:pStyle w:val="75"/>
        <w:spacing w:line="560" w:lineRule="exact"/>
        <w:ind w:firstLine="632"/>
        <w:rPr>
          <w:rFonts w:ascii="Times New Roman" w:hAnsi="Times New Roman" w:eastAsia="仿宋_GB2312" w:cs="Times New Roman"/>
          <w:sz w:val="32"/>
          <w:szCs w:val="32"/>
        </w:rPr>
      </w:pPr>
    </w:p>
    <w:p w14:paraId="0287FF37">
      <w:pPr>
        <w:spacing w:line="600" w:lineRule="exact"/>
        <w:jc w:val="center"/>
        <w:outlineLvl w:val="0"/>
        <w:rPr>
          <w:rFonts w:eastAsia="方正小标宋简体"/>
          <w:sz w:val="44"/>
          <w:szCs w:val="44"/>
        </w:rPr>
      </w:pPr>
      <w:bookmarkStart w:id="82" w:name="_Toc15396614"/>
      <w:bookmarkStart w:id="83" w:name="_Toc766"/>
      <w:bookmarkStart w:id="84" w:name="_Toc15377226"/>
    </w:p>
    <w:p w14:paraId="2EB64234">
      <w:pPr>
        <w:rPr>
          <w:rFonts w:eastAsia="方正小标宋简体"/>
          <w:sz w:val="44"/>
          <w:szCs w:val="44"/>
        </w:rPr>
      </w:pPr>
      <w:r>
        <w:rPr>
          <w:rFonts w:eastAsia="方正小标宋简体"/>
          <w:sz w:val="44"/>
          <w:szCs w:val="44"/>
        </w:rPr>
        <w:br w:type="page"/>
      </w:r>
    </w:p>
    <w:p w14:paraId="4CFC8370">
      <w:pPr>
        <w:spacing w:line="600" w:lineRule="exact"/>
        <w:jc w:val="center"/>
        <w:outlineLvl w:val="0"/>
        <w:rPr>
          <w:rFonts w:eastAsia="方正小标宋简体"/>
          <w:b w:val="0"/>
          <w:bCs w:val="0"/>
        </w:rPr>
      </w:pPr>
      <w:r>
        <w:rPr>
          <w:rFonts w:eastAsia="方正小标宋简体"/>
          <w:sz w:val="44"/>
          <w:szCs w:val="44"/>
        </w:rPr>
        <w:t>第</w:t>
      </w:r>
      <w:r>
        <w:rPr>
          <w:rStyle w:val="145"/>
          <w:rFonts w:eastAsia="方正小标宋简体"/>
          <w:b w:val="0"/>
          <w:bCs w:val="0"/>
        </w:rPr>
        <w:t>四部分 附件</w:t>
      </w:r>
      <w:bookmarkEnd w:id="82"/>
      <w:bookmarkEnd w:id="83"/>
    </w:p>
    <w:p w14:paraId="03DC477C">
      <w:pPr>
        <w:spacing w:line="572" w:lineRule="exact"/>
        <w:jc w:val="left"/>
        <w:rPr>
          <w:rFonts w:eastAsia="黑体"/>
          <w:color w:val="FF0000"/>
          <w:szCs w:val="32"/>
        </w:rPr>
      </w:pPr>
    </w:p>
    <w:p w14:paraId="04A8445B">
      <w:pPr>
        <w:spacing w:line="572" w:lineRule="exact"/>
        <w:jc w:val="left"/>
        <w:outlineLvl w:val="0"/>
        <w:rPr>
          <w:rFonts w:eastAsia="黑体"/>
          <w:sz w:val="44"/>
          <w:szCs w:val="44"/>
        </w:rPr>
      </w:pPr>
      <w:bookmarkStart w:id="85" w:name="_Toc20274"/>
      <w:r>
        <w:rPr>
          <w:rFonts w:eastAsia="黑体"/>
          <w:szCs w:val="32"/>
        </w:rPr>
        <w:t>附件</w:t>
      </w:r>
      <w:r>
        <w:rPr>
          <w:rFonts w:ascii="Times New Roman" w:hAnsi="Times New Roman" w:eastAsia="黑体"/>
          <w:szCs w:val="32"/>
        </w:rPr>
        <w:t>1</w:t>
      </w:r>
      <w:bookmarkEnd w:id="85"/>
    </w:p>
    <w:p w14:paraId="59513559">
      <w:pPr>
        <w:widowControl/>
        <w:spacing w:line="578" w:lineRule="exact"/>
        <w:contextualSpacing/>
        <w:jc w:val="center"/>
        <w:rPr>
          <w:rFonts w:eastAsia="方正小标宋简体"/>
          <w:sz w:val="44"/>
          <w:szCs w:val="44"/>
          <w:shd w:val="clear" w:color="auto" w:fill="FFFFFF"/>
        </w:rPr>
      </w:pPr>
      <w:r>
        <w:rPr>
          <w:rFonts w:eastAsia="方正小标宋简体"/>
          <w:sz w:val="44"/>
          <w:szCs w:val="44"/>
          <w:shd w:val="clear" w:color="auto" w:fill="FFFFFF"/>
        </w:rPr>
        <w:t>部门预算绩效评价报告</w:t>
      </w:r>
    </w:p>
    <w:p w14:paraId="2AED7B3F">
      <w:pPr>
        <w:widowControl/>
        <w:spacing w:line="578" w:lineRule="exact"/>
        <w:ind w:firstLine="472"/>
        <w:contextualSpacing/>
        <w:jc w:val="left"/>
        <w:rPr>
          <w:rFonts w:eastAsia="黑体"/>
          <w:color w:val="000000"/>
          <w:sz w:val="24"/>
          <w:szCs w:val="32"/>
          <w:shd w:val="clear" w:color="auto" w:fill="FFFFFF"/>
        </w:rPr>
      </w:pPr>
    </w:p>
    <w:p w14:paraId="1AB0C156">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黑体"/>
          <w:color w:val="000000"/>
          <w:szCs w:val="32"/>
          <w:shd w:val="clear" w:color="auto" w:fill="FFFFFF"/>
          <w:lang w:val="zh-CN"/>
        </w:rPr>
      </w:pPr>
      <w:r>
        <w:rPr>
          <w:rFonts w:eastAsia="黑体"/>
          <w:color w:val="000000"/>
          <w:szCs w:val="32"/>
          <w:shd w:val="clear" w:color="auto" w:fill="FFFFFF"/>
          <w:lang w:val="zh-CN"/>
        </w:rPr>
        <w:t>一、部门（单位）基本情况</w:t>
      </w:r>
    </w:p>
    <w:p w14:paraId="39751FE1">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（一）机构组成。</w:t>
      </w:r>
    </w:p>
    <w:p w14:paraId="651C4EF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color w:val="000000"/>
          <w:szCs w:val="32"/>
          <w:shd w:val="clear" w:color="auto" w:fill="FFFFFF"/>
        </w:rPr>
      </w:pPr>
      <w:r>
        <w:rPr>
          <w:rFonts w:hint="eastAsia" w:ascii="Times New Roman" w:hAnsi="Times New Roman"/>
          <w:szCs w:val="32"/>
        </w:rPr>
        <w:t>根据群团机构设立有关规定，经区委机构编制委员会2017年12月15日会议研究决定，设立区科学技术协会。2个内设机构：办公室、科普部。核定参公编制5个。</w:t>
      </w:r>
    </w:p>
    <w:p w14:paraId="12E4E972">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textAlignment w:val="auto"/>
        <w:rPr>
          <w:rFonts w:eastAsia="楷体_GB2312"/>
          <w:b/>
          <w:bCs/>
          <w:color w:val="000000"/>
          <w:szCs w:val="32"/>
          <w:shd w:val="clear" w:color="auto" w:fill="FFFFFF"/>
          <w:lang w:val="zh-CN"/>
        </w:rPr>
      </w:pPr>
      <w:r>
        <w:rPr>
          <w:rFonts w:hint="eastAsia" w:ascii="Calibri" w:hAnsi="Calibri" w:eastAsia="楷体_GB2312" w:cs="Times New Roman"/>
          <w:b/>
          <w:bCs/>
          <w:color w:val="000000"/>
          <w:kern w:val="2"/>
          <w:sz w:val="32"/>
          <w:szCs w:val="32"/>
          <w:shd w:val="clear" w:fill="FFFFFF"/>
          <w:lang w:val="zh-CN" w:eastAsia="zh-CN" w:bidi="ar-SA"/>
        </w:rPr>
        <w:t>（二）</w:t>
      </w:r>
      <w:r>
        <w:rPr>
          <w:rFonts w:eastAsia="楷体_GB2312"/>
          <w:b/>
          <w:bCs/>
          <w:color w:val="000000"/>
          <w:szCs w:val="32"/>
          <w:shd w:val="clear" w:color="auto" w:fill="FFFFFF"/>
          <w:lang w:val="zh-CN"/>
        </w:rPr>
        <w:t>机构职能</w:t>
      </w:r>
    </w:p>
    <w:p w14:paraId="36EA1EEE">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楷体_GB2312"/>
          <w:color w:val="000000"/>
          <w:szCs w:val="32"/>
          <w:shd w:val="clear" w:color="auto" w:fill="FFFFFF"/>
          <w:lang w:val="zh-CN"/>
        </w:rPr>
      </w:pPr>
      <w:r>
        <w:rPr>
          <w:rFonts w:ascii="Times New Roman" w:hAnsi="Times New Roman"/>
          <w:szCs w:val="32"/>
        </w:rPr>
        <w:t>弘扬科学精神、普及科学知识、传播科学思想和科学方法、捍卫科学尊严；推广先进技术，提高全民的科学文化素质。开展科学技术交流活动，推动科技工作者的交流与合作。对区级学（协）会、企业科协、农村专业技术协会进行指导与管理。承办上级科协、区委、</w:t>
      </w:r>
      <w:r>
        <w:rPr>
          <w:rFonts w:hint="eastAsia" w:ascii="Times New Roman" w:hAnsi="Times New Roman"/>
          <w:szCs w:val="32"/>
        </w:rPr>
        <w:t>区政府交办</w:t>
      </w:r>
      <w:r>
        <w:rPr>
          <w:rFonts w:ascii="Times New Roman" w:hAnsi="Times New Roman"/>
          <w:szCs w:val="32"/>
        </w:rPr>
        <w:t>的其他事项。</w:t>
      </w:r>
    </w:p>
    <w:p w14:paraId="7A6B5170">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szCs w:val="32"/>
        </w:rPr>
      </w:pPr>
      <w:r>
        <w:rPr>
          <w:rFonts w:eastAsia="楷体_GB2312"/>
          <w:b/>
          <w:bCs/>
          <w:szCs w:val="32"/>
          <w:shd w:val="clear" w:color="auto" w:fill="FFFFFF"/>
          <w:lang w:val="zh-CN"/>
        </w:rPr>
        <w:t>（三）人员概况</w:t>
      </w:r>
      <w:r>
        <w:rPr>
          <w:rFonts w:eastAsia="楷体_GB2312"/>
          <w:szCs w:val="32"/>
          <w:shd w:val="clear" w:color="auto" w:fill="FFFFFF"/>
          <w:lang w:val="zh-CN"/>
        </w:rPr>
        <w:t>。</w:t>
      </w:r>
      <w:r>
        <w:rPr>
          <w:szCs w:val="32"/>
        </w:rPr>
        <w:t>截至</w:t>
      </w:r>
      <w:r>
        <w:rPr>
          <w:rFonts w:ascii="Times New Roman" w:hAnsi="Times New Roman"/>
          <w:szCs w:val="32"/>
        </w:rPr>
        <w:t>202</w:t>
      </w:r>
      <w:r>
        <w:rPr>
          <w:rFonts w:hint="eastAsia" w:ascii="Times New Roman" w:hAnsi="Times New Roman"/>
          <w:szCs w:val="32"/>
        </w:rPr>
        <w:t>4</w:t>
      </w:r>
      <w:r>
        <w:rPr>
          <w:szCs w:val="32"/>
        </w:rPr>
        <w:t>年末，</w:t>
      </w:r>
      <w:r>
        <w:rPr>
          <w:rFonts w:ascii="Times New Roman" w:hAnsi="Times New Roman"/>
          <w:szCs w:val="32"/>
        </w:rPr>
        <w:t>区科协实有人员</w:t>
      </w:r>
      <w:r>
        <w:rPr>
          <w:rFonts w:hint="eastAsia" w:ascii="Times New Roman" w:hAnsi="Times New Roman"/>
          <w:szCs w:val="32"/>
        </w:rPr>
        <w:t>8</w:t>
      </w:r>
      <w:r>
        <w:rPr>
          <w:rFonts w:ascii="Times New Roman" w:hAnsi="Times New Roman"/>
          <w:szCs w:val="32"/>
        </w:rPr>
        <w:t>人，其中：行政在编人员</w:t>
      </w:r>
      <w:r>
        <w:rPr>
          <w:rFonts w:hint="eastAsia" w:ascii="Times New Roman" w:hAnsi="Times New Roman"/>
          <w:szCs w:val="32"/>
        </w:rPr>
        <w:t>6</w:t>
      </w:r>
      <w:r>
        <w:rPr>
          <w:rFonts w:ascii="Times New Roman" w:hAnsi="Times New Roman"/>
          <w:szCs w:val="32"/>
        </w:rPr>
        <w:t>人。</w:t>
      </w:r>
    </w:p>
    <w:p w14:paraId="0684534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黑体"/>
          <w:color w:val="000000"/>
          <w:szCs w:val="32"/>
          <w:shd w:val="clear" w:color="auto" w:fill="FFFFFF"/>
          <w:lang w:val="zh-CN"/>
        </w:rPr>
      </w:pPr>
      <w:r>
        <w:rPr>
          <w:rFonts w:eastAsia="黑体"/>
          <w:color w:val="000000"/>
          <w:szCs w:val="32"/>
          <w:shd w:val="clear" w:color="auto" w:fill="FFFFFF"/>
          <w:lang w:val="zh-CN"/>
        </w:rPr>
        <w:t>二、部门资金收支情况</w:t>
      </w:r>
    </w:p>
    <w:p w14:paraId="3346EFD4">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rFonts w:eastAsia="楷体_GB2312"/>
          <w:color w:val="000000"/>
          <w:szCs w:val="32"/>
          <w:shd w:val="clear" w:color="auto" w:fill="FFFFFF"/>
        </w:rPr>
      </w:pPr>
      <w:r>
        <w:rPr>
          <w:rFonts w:eastAsia="楷体_GB2312"/>
          <w:b/>
          <w:bCs/>
          <w:color w:val="000000"/>
          <w:szCs w:val="32"/>
          <w:shd w:val="clear" w:color="auto" w:fill="FFFFFF"/>
          <w:lang w:val="zh-CN"/>
        </w:rPr>
        <w:t>（一）收入情况</w:t>
      </w:r>
      <w:r>
        <w:rPr>
          <w:rFonts w:eastAsia="楷体_GB2312"/>
          <w:color w:val="000000"/>
          <w:szCs w:val="32"/>
          <w:shd w:val="clear" w:color="auto" w:fill="FFFFFF"/>
          <w:lang w:val="zh-CN"/>
        </w:rPr>
        <w:t>。</w:t>
      </w:r>
      <w:r>
        <w:rPr>
          <w:rFonts w:hint="eastAsia" w:ascii="仿宋" w:hAnsi="仿宋" w:eastAsia="仿宋" w:cs="仿宋"/>
          <w:color w:val="000000"/>
          <w:kern w:val="2"/>
          <w:szCs w:val="32"/>
        </w:rPr>
        <w:t>遂宁市安居区</w:t>
      </w:r>
      <w:r>
        <w:rPr>
          <w:rFonts w:hint="eastAsia" w:ascii="仿宋" w:hAnsi="仿宋" w:eastAsia="仿宋" w:cs="仿宋"/>
          <w:color w:val="000000"/>
        </w:rPr>
        <w:t>科学技术协会</w:t>
      </w:r>
      <w:r>
        <w:rPr>
          <w:rFonts w:ascii="Times New Roman" w:hAnsi="Times New Roman"/>
          <w:szCs w:val="32"/>
        </w:rPr>
        <w:t>202</w:t>
      </w:r>
      <w:r>
        <w:rPr>
          <w:rFonts w:hint="eastAsia" w:ascii="Times New Roman" w:hAnsi="Times New Roman"/>
          <w:szCs w:val="32"/>
        </w:rPr>
        <w:t>4</w:t>
      </w:r>
      <w:r>
        <w:rPr>
          <w:szCs w:val="32"/>
        </w:rPr>
        <w:t>年年初预算收入</w:t>
      </w:r>
      <w:r>
        <w:rPr>
          <w:rFonts w:hint="eastAsia" w:ascii="Times New Roman" w:hAnsi="Times New Roman"/>
          <w:szCs w:val="32"/>
        </w:rPr>
        <w:t>146</w:t>
      </w:r>
      <w:r>
        <w:rPr>
          <w:rFonts w:hint="eastAsia"/>
          <w:szCs w:val="32"/>
        </w:rPr>
        <w:t>.</w:t>
      </w:r>
      <w:r>
        <w:rPr>
          <w:rFonts w:hint="eastAsia" w:ascii="Times New Roman" w:hAnsi="Times New Roman"/>
          <w:szCs w:val="32"/>
        </w:rPr>
        <w:t>24</w:t>
      </w:r>
      <w:r>
        <w:rPr>
          <w:rFonts w:hint="eastAsia"/>
          <w:szCs w:val="32"/>
        </w:rPr>
        <w:t>万元</w:t>
      </w:r>
      <w:r>
        <w:rPr>
          <w:szCs w:val="32"/>
        </w:rPr>
        <w:t>、决算报表收入</w:t>
      </w:r>
      <w:r>
        <w:rPr>
          <w:rFonts w:hint="eastAsia" w:ascii="Times New Roman" w:hAnsi="Times New Roman"/>
          <w:szCs w:val="32"/>
        </w:rPr>
        <w:t>188</w:t>
      </w:r>
      <w:r>
        <w:rPr>
          <w:rFonts w:hint="eastAsia"/>
          <w:szCs w:val="32"/>
        </w:rPr>
        <w:t>.</w:t>
      </w:r>
      <w:r>
        <w:rPr>
          <w:rFonts w:hint="eastAsia" w:ascii="Times New Roman" w:hAnsi="Times New Roman"/>
          <w:szCs w:val="32"/>
        </w:rPr>
        <w:t>58</w:t>
      </w:r>
      <w:r>
        <w:rPr>
          <w:rFonts w:hint="eastAsia"/>
          <w:szCs w:val="32"/>
        </w:rPr>
        <w:t>万元</w:t>
      </w:r>
      <w:r>
        <w:rPr>
          <w:szCs w:val="32"/>
        </w:rPr>
        <w:t>。</w:t>
      </w:r>
    </w:p>
    <w:p w14:paraId="587D78BC">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szCs w:val="32"/>
          <w:lang w:val="zh-CN"/>
        </w:rPr>
      </w:pPr>
      <w:r>
        <w:rPr>
          <w:rFonts w:eastAsia="楷体_GB2312"/>
          <w:b/>
          <w:bCs/>
          <w:color w:val="000000"/>
          <w:szCs w:val="32"/>
          <w:shd w:val="clear" w:color="auto" w:fill="FFFFFF"/>
          <w:lang w:val="zh-CN"/>
        </w:rPr>
        <w:t>（二）支出情况。</w:t>
      </w:r>
      <w:r>
        <w:rPr>
          <w:rFonts w:hint="eastAsia" w:ascii="仿宋" w:hAnsi="仿宋" w:eastAsia="仿宋" w:cs="仿宋"/>
          <w:color w:val="000000"/>
          <w:kern w:val="2"/>
          <w:szCs w:val="32"/>
        </w:rPr>
        <w:t>遂宁市安居区区</w:t>
      </w:r>
      <w:r>
        <w:rPr>
          <w:rFonts w:hint="eastAsia" w:ascii="仿宋" w:hAnsi="仿宋" w:eastAsia="仿宋" w:cs="仿宋"/>
          <w:color w:val="000000"/>
        </w:rPr>
        <w:t>科学技术协会</w:t>
      </w:r>
      <w:r>
        <w:rPr>
          <w:rFonts w:ascii="Times New Roman" w:hAnsi="Times New Roman"/>
          <w:szCs w:val="32"/>
        </w:rPr>
        <w:t>202</w:t>
      </w:r>
      <w:r>
        <w:rPr>
          <w:rFonts w:hint="eastAsia" w:ascii="Times New Roman" w:hAnsi="Times New Roman"/>
          <w:szCs w:val="32"/>
        </w:rPr>
        <w:t>4</w:t>
      </w:r>
      <w:r>
        <w:rPr>
          <w:szCs w:val="32"/>
        </w:rPr>
        <w:t>年年初预算支出</w:t>
      </w:r>
      <w:r>
        <w:rPr>
          <w:rFonts w:hint="eastAsia" w:ascii="Times New Roman" w:hAnsi="Times New Roman"/>
          <w:szCs w:val="32"/>
        </w:rPr>
        <w:t>146</w:t>
      </w:r>
      <w:r>
        <w:rPr>
          <w:rFonts w:hint="eastAsia"/>
          <w:szCs w:val="32"/>
        </w:rPr>
        <w:t>.</w:t>
      </w:r>
      <w:r>
        <w:rPr>
          <w:rFonts w:hint="eastAsia" w:ascii="Times New Roman" w:hAnsi="Times New Roman"/>
          <w:szCs w:val="32"/>
        </w:rPr>
        <w:t>24</w:t>
      </w:r>
      <w:r>
        <w:rPr>
          <w:rFonts w:hint="eastAsia"/>
          <w:szCs w:val="32"/>
        </w:rPr>
        <w:t>万元</w:t>
      </w:r>
      <w:r>
        <w:rPr>
          <w:szCs w:val="32"/>
        </w:rPr>
        <w:t>、决算报表支出</w:t>
      </w:r>
      <w:r>
        <w:rPr>
          <w:rFonts w:hint="eastAsia" w:ascii="Times New Roman" w:hAnsi="Times New Roman"/>
          <w:szCs w:val="32"/>
        </w:rPr>
        <w:t>188</w:t>
      </w:r>
      <w:r>
        <w:rPr>
          <w:rFonts w:hint="eastAsia"/>
          <w:szCs w:val="32"/>
        </w:rPr>
        <w:t>.</w:t>
      </w:r>
      <w:r>
        <w:rPr>
          <w:rFonts w:hint="eastAsia" w:ascii="Times New Roman" w:hAnsi="Times New Roman"/>
          <w:szCs w:val="32"/>
        </w:rPr>
        <w:t>58</w:t>
      </w:r>
      <w:r>
        <w:rPr>
          <w:rFonts w:hint="eastAsia"/>
          <w:szCs w:val="32"/>
        </w:rPr>
        <w:t>万元</w:t>
      </w:r>
      <w:r>
        <w:rPr>
          <w:szCs w:val="32"/>
        </w:rPr>
        <w:t>。</w:t>
      </w:r>
    </w:p>
    <w:p w14:paraId="5746AB5C">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pPr>
      <w:r>
        <w:rPr>
          <w:rFonts w:eastAsia="楷体_GB2312"/>
          <w:b/>
          <w:bCs/>
          <w:color w:val="000000"/>
          <w:szCs w:val="32"/>
          <w:shd w:val="clear" w:color="auto" w:fill="FFFFFF"/>
          <w:lang w:val="zh-CN"/>
        </w:rPr>
        <w:t>（三）结余分配和结转结余情况。</w:t>
      </w:r>
      <w:r>
        <w:rPr>
          <w:rFonts w:hint="eastAsia" w:ascii="仿宋" w:hAnsi="仿宋" w:eastAsia="仿宋" w:cs="仿宋"/>
          <w:color w:val="000000"/>
          <w:kern w:val="2"/>
          <w:szCs w:val="32"/>
        </w:rPr>
        <w:t>遂宁市安居区区</w:t>
      </w:r>
      <w:r>
        <w:rPr>
          <w:rFonts w:hint="eastAsia" w:ascii="仿宋" w:hAnsi="仿宋" w:eastAsia="仿宋" w:cs="仿宋"/>
          <w:color w:val="000000"/>
        </w:rPr>
        <w:t>科学技术协会</w:t>
      </w:r>
      <w:r>
        <w:rPr>
          <w:rFonts w:ascii="Times New Roman" w:hAnsi="Times New Roman"/>
          <w:szCs w:val="32"/>
        </w:rPr>
        <w:t>202</w:t>
      </w:r>
      <w:r>
        <w:rPr>
          <w:rFonts w:hint="eastAsia" w:ascii="Times New Roman" w:hAnsi="Times New Roman"/>
          <w:szCs w:val="32"/>
        </w:rPr>
        <w:t>4</w:t>
      </w:r>
      <w:r>
        <w:rPr>
          <w:szCs w:val="32"/>
        </w:rPr>
        <w:t>年决算报表</w:t>
      </w:r>
      <w:r>
        <w:rPr>
          <w:rFonts w:hint="eastAsia"/>
          <w:szCs w:val="32"/>
        </w:rPr>
        <w:t>无</w:t>
      </w:r>
      <w:r>
        <w:rPr>
          <w:szCs w:val="32"/>
        </w:rPr>
        <w:t>结转结余情况。</w:t>
      </w:r>
    </w:p>
    <w:p w14:paraId="2B176CB0">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黑体"/>
          <w:color w:val="000000"/>
          <w:szCs w:val="32"/>
          <w:shd w:val="clear" w:color="auto" w:fill="FFFFFF"/>
          <w:lang w:val="zh-CN"/>
        </w:rPr>
      </w:pPr>
      <w:r>
        <w:rPr>
          <w:rFonts w:eastAsia="黑体"/>
          <w:color w:val="000000"/>
          <w:szCs w:val="32"/>
          <w:shd w:val="clear" w:color="auto" w:fill="FFFFFF"/>
          <w:lang w:val="zh-CN"/>
        </w:rPr>
        <w:t>三、部门预算绩效分析</w:t>
      </w:r>
    </w:p>
    <w:p w14:paraId="0487741C">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color w:val="000000"/>
          <w:szCs w:val="32"/>
          <w:shd w:val="clear" w:color="auto" w:fill="FFFFFF"/>
          <w:lang w:val="zh-CN"/>
        </w:rPr>
      </w:pPr>
      <w:r>
        <w:rPr>
          <w:rFonts w:eastAsia="楷体_GB2312"/>
          <w:b/>
          <w:bCs/>
          <w:color w:val="000000"/>
          <w:szCs w:val="32"/>
          <w:shd w:val="clear" w:color="auto" w:fill="FFFFFF"/>
          <w:lang w:val="zh-CN"/>
        </w:rPr>
        <w:t>（一）部门预算总体绩效分析。</w:t>
      </w:r>
      <w:r>
        <w:rPr>
          <w:szCs w:val="32"/>
          <w:lang w:val="zh-CN"/>
        </w:rPr>
        <w:t>根据部门预算绩效评价指标体系“总体绩效”涉及二、三级指标进行逐项绩效分析并评分，依次包括履职效能、预算管理、财务管理、资产管理、采购管理等情况。</w:t>
      </w:r>
    </w:p>
    <w:p w14:paraId="51ADEB92">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color w:val="000000"/>
          <w:szCs w:val="32"/>
          <w:shd w:val="clear" w:color="auto" w:fill="FFFFFF"/>
          <w:lang w:val="zh-CN"/>
        </w:rPr>
      </w:pPr>
      <w:r>
        <w:rPr>
          <w:rFonts w:ascii="Times New Roman" w:hAnsi="Times New Roman"/>
          <w:color w:val="000000"/>
          <w:szCs w:val="32"/>
          <w:shd w:val="clear" w:color="auto" w:fill="FFFFFF"/>
        </w:rPr>
        <w:t>1</w:t>
      </w:r>
      <w:r>
        <w:rPr>
          <w:rFonts w:hint="eastAsia"/>
          <w:color w:val="000000"/>
          <w:szCs w:val="32"/>
          <w:shd w:val="clear" w:color="auto" w:fill="FFFFFF"/>
        </w:rPr>
        <w:t>、</w:t>
      </w:r>
      <w:r>
        <w:rPr>
          <w:color w:val="000000"/>
          <w:szCs w:val="32"/>
          <w:shd w:val="clear" w:color="auto" w:fill="FFFFFF"/>
          <w:lang w:val="zh-CN"/>
        </w:rPr>
        <w:t>履职效能。</w:t>
      </w:r>
    </w:p>
    <w:p w14:paraId="55C11F68">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szCs w:val="32"/>
        </w:rPr>
      </w:pPr>
      <w:r>
        <w:rPr>
          <w:rFonts w:hint="eastAsia" w:ascii="Times New Roman" w:hAnsi="Times New Roman"/>
        </w:rPr>
        <w:t>依托天府科技云高质量推进科普工作“五进”活动，在农村、社区、校园、企业、机关全覆盖建立科普阵地，结合安居实际打造出2-3个具有特色亮点的基层科普活动室；进一步加强智慧科普传播体系建设，常态化联系各村（社区）智慧科普传播员，提升挖掘各地科普需求能力，促进智慧科普传播员发挥实效。组织开展培训；积极组织开展“科技之春”“全国科普日”“科普大篷车进校园（社区、农村）”、反邪教等科普活动10场次以上，持续提升全民科学素质。按照省、市科协关于天府科技云服务提质增量、示范引领的工作要求，进一步提高思想认识，围绕高质量发展，继续加大宣传动员，大力发动广大群众、企事业单位、学（协）会等入驻“天府科技云”平台，全面开展智慧科普工作；围绕“一单一策”“一人一策”，建立健全“保姆式”服务工作常态化运行机制；结合我区科技工作者、企事业单位“科技所能、科技所需”情况，引导“科技所能、科技所需”的精准对接，确保全面完成省市各项工作任务；积极深入企事业单位</w:t>
      </w:r>
      <w:r>
        <w:rPr>
          <w:rFonts w:ascii="Times New Roman" w:hAnsi="Times New Roman"/>
        </w:rPr>
        <w:t>大力宣传永不落幕“科创会”，做好“科创会”项目发掘、遴选和推荐工作。</w:t>
      </w:r>
      <w:r>
        <w:rPr>
          <w:rFonts w:hint="eastAsia" w:ascii="Times New Roman" w:hAnsi="Times New Roman"/>
        </w:rPr>
        <w:t>全面贯彻省、市、区委科技攻坚工作要求，继续深入实施全区人才战略部署，以</w:t>
      </w:r>
      <w:r>
        <w:rPr>
          <w:rFonts w:ascii="Times New Roman" w:hAnsi="Times New Roman"/>
        </w:rPr>
        <w:t>项目推介为途径，以成果展示为载体，</w:t>
      </w:r>
      <w:r>
        <w:rPr>
          <w:rFonts w:hint="eastAsia" w:ascii="Times New Roman" w:hAnsi="Times New Roman"/>
        </w:rPr>
        <w:t>加强院士（专家）工作站建设力度，</w:t>
      </w:r>
      <w:r>
        <w:rPr>
          <w:rFonts w:ascii="Times New Roman" w:hAnsi="Times New Roman"/>
        </w:rPr>
        <w:t>搭建展示交流、资源对接和项目孵化平台</w:t>
      </w:r>
      <w:r>
        <w:rPr>
          <w:rFonts w:hint="eastAsia" w:ascii="Times New Roman" w:hAnsi="Times New Roman"/>
        </w:rPr>
        <w:t>，为企业推进成果转化、人才培养、技术培训提供大力支持，全面</w:t>
      </w:r>
      <w:r>
        <w:rPr>
          <w:rFonts w:ascii="Times New Roman" w:hAnsi="Times New Roman"/>
        </w:rPr>
        <w:t>激发</w:t>
      </w:r>
      <w:r>
        <w:rPr>
          <w:rFonts w:hint="eastAsia" w:ascii="Times New Roman" w:hAnsi="Times New Roman"/>
        </w:rPr>
        <w:t>全区</w:t>
      </w:r>
      <w:r>
        <w:rPr>
          <w:rFonts w:ascii="Times New Roman" w:hAnsi="Times New Roman"/>
        </w:rPr>
        <w:t>人才创新创业热情</w:t>
      </w:r>
    </w:p>
    <w:p w14:paraId="0C0D1B0F">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eastAsia" w:ascii="Times New Roman" w:hAnsi="Times New Roman"/>
          <w:lang w:val="zh-CN"/>
        </w:rPr>
      </w:pPr>
      <w:r>
        <w:rPr>
          <w:rFonts w:hint="eastAsia" w:ascii="Times New Roman" w:hAnsi="Times New Roman"/>
        </w:rPr>
        <w:t>2、</w:t>
      </w:r>
      <w:r>
        <w:rPr>
          <w:rFonts w:hint="eastAsia" w:ascii="Times New Roman" w:hAnsi="Times New Roman"/>
          <w:lang w:val="zh-CN"/>
        </w:rPr>
        <w:t>预算管理。</w:t>
      </w:r>
      <w:r>
        <w:rPr>
          <w:rFonts w:hint="eastAsia" w:ascii="Times New Roman" w:hAnsi="Times New Roman"/>
        </w:rPr>
        <w:t>严格按照财政部门预算编制通知和有关要求，按时完成2024年预算编制工作，并按时提交部门预算草案和编制说明。按规定编制预算，预算编制全面、科学。</w:t>
      </w:r>
    </w:p>
    <w:p w14:paraId="64CE7CA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eastAsia" w:ascii="Times New Roman" w:hAnsi="Times New Roman"/>
        </w:rPr>
      </w:pPr>
      <w:r>
        <w:rPr>
          <w:rFonts w:hint="eastAsia" w:ascii="Times New Roman" w:hAnsi="Times New Roman"/>
        </w:rPr>
        <w:t>3、</w:t>
      </w:r>
      <w:r>
        <w:rPr>
          <w:rFonts w:hint="eastAsia" w:ascii="Times New Roman" w:hAnsi="Times New Roman"/>
          <w:lang w:val="zh-CN"/>
        </w:rPr>
        <w:t>财务管理。</w:t>
      </w:r>
      <w:r>
        <w:rPr>
          <w:rFonts w:hint="eastAsia" w:ascii="Times New Roman" w:hAnsi="Times New Roman"/>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00C091C8">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szCs w:val="32"/>
          <w:lang w:val="zh-CN"/>
        </w:rPr>
      </w:pPr>
      <w:r>
        <w:rPr>
          <w:rFonts w:ascii="Times New Roman" w:hAnsi="Times New Roman"/>
          <w:szCs w:val="32"/>
          <w:shd w:val="clear" w:color="auto" w:fill="FFFFFF"/>
        </w:rPr>
        <w:t>4</w:t>
      </w:r>
      <w:r>
        <w:rPr>
          <w:rFonts w:hint="eastAsia"/>
          <w:szCs w:val="32"/>
          <w:shd w:val="clear" w:color="auto" w:fill="FFFFFF"/>
        </w:rPr>
        <w:t>、</w:t>
      </w:r>
      <w:r>
        <w:rPr>
          <w:szCs w:val="32"/>
          <w:shd w:val="clear" w:color="auto" w:fill="FFFFFF"/>
          <w:lang w:val="zh-CN"/>
        </w:rPr>
        <w:t>资产管理。</w:t>
      </w:r>
      <w:r>
        <w:rPr>
          <w:szCs w:val="32"/>
          <w:lang w:val="zh-CN"/>
        </w:rPr>
        <w:t>围绕人均资产变化率、资产利用率、资产盘活率进行绩效分析。</w:t>
      </w:r>
    </w:p>
    <w:p w14:paraId="300C9B72">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szCs w:val="32"/>
          <w:shd w:val="clear" w:color="auto" w:fill="FFFFFF"/>
        </w:rPr>
      </w:pPr>
      <w:r>
        <w:rPr>
          <w:rFonts w:hint="eastAsia"/>
          <w:szCs w:val="32"/>
          <w:lang w:val="zh-CN"/>
        </w:rPr>
        <w:t>截止</w:t>
      </w:r>
      <w:r>
        <w:rPr>
          <w:rFonts w:hint="eastAsia" w:ascii="Times New Roman" w:hAnsi="Times New Roman"/>
          <w:szCs w:val="32"/>
        </w:rPr>
        <w:t>2024</w:t>
      </w:r>
      <w:r>
        <w:rPr>
          <w:rFonts w:hint="eastAsia"/>
          <w:szCs w:val="32"/>
        </w:rPr>
        <w:t>年末，资产总值</w:t>
      </w:r>
      <w:r>
        <w:rPr>
          <w:rFonts w:hint="eastAsia" w:ascii="Times New Roman" w:hAnsi="Times New Roman"/>
          <w:szCs w:val="32"/>
        </w:rPr>
        <w:t>106</w:t>
      </w:r>
      <w:r>
        <w:rPr>
          <w:rFonts w:hint="eastAsia"/>
          <w:szCs w:val="32"/>
        </w:rPr>
        <w:t>.</w:t>
      </w:r>
      <w:r>
        <w:rPr>
          <w:rFonts w:hint="eastAsia" w:ascii="Times New Roman" w:hAnsi="Times New Roman"/>
          <w:szCs w:val="32"/>
        </w:rPr>
        <w:t>79</w:t>
      </w:r>
      <w:r>
        <w:rPr>
          <w:rFonts w:hint="eastAsia"/>
          <w:szCs w:val="32"/>
        </w:rPr>
        <w:t>万元，比</w:t>
      </w:r>
      <w:r>
        <w:rPr>
          <w:rFonts w:hint="eastAsia" w:ascii="Times New Roman" w:hAnsi="Times New Roman"/>
          <w:szCs w:val="32"/>
        </w:rPr>
        <w:t>2023</w:t>
      </w:r>
      <w:r>
        <w:rPr>
          <w:rFonts w:hint="eastAsia"/>
          <w:szCs w:val="32"/>
        </w:rPr>
        <w:t>年减少</w:t>
      </w:r>
      <w:r>
        <w:rPr>
          <w:rFonts w:hint="eastAsia" w:ascii="Times New Roman" w:hAnsi="Times New Roman"/>
          <w:szCs w:val="32"/>
        </w:rPr>
        <w:t>0</w:t>
      </w:r>
      <w:r>
        <w:rPr>
          <w:rFonts w:hint="eastAsia"/>
          <w:szCs w:val="32"/>
        </w:rPr>
        <w:t>.</w:t>
      </w:r>
      <w:r>
        <w:rPr>
          <w:rFonts w:hint="eastAsia" w:ascii="Times New Roman" w:hAnsi="Times New Roman"/>
          <w:szCs w:val="32"/>
        </w:rPr>
        <w:t>58</w:t>
      </w:r>
      <w:r>
        <w:rPr>
          <w:rFonts w:hint="eastAsia"/>
          <w:szCs w:val="32"/>
        </w:rPr>
        <w:t>万元，下降</w:t>
      </w:r>
      <w:r>
        <w:rPr>
          <w:rFonts w:hint="eastAsia" w:ascii="Times New Roman" w:hAnsi="Times New Roman"/>
          <w:szCs w:val="32"/>
        </w:rPr>
        <w:t>0</w:t>
      </w:r>
      <w:r>
        <w:rPr>
          <w:rFonts w:hint="eastAsia"/>
          <w:szCs w:val="32"/>
        </w:rPr>
        <w:t>.</w:t>
      </w:r>
      <w:r>
        <w:rPr>
          <w:rFonts w:hint="eastAsia" w:ascii="Times New Roman" w:hAnsi="Times New Roman"/>
          <w:szCs w:val="32"/>
        </w:rPr>
        <w:t>54</w:t>
      </w:r>
      <w:r>
        <w:rPr>
          <w:rFonts w:hint="eastAsia"/>
          <w:szCs w:val="32"/>
        </w:rPr>
        <w:t>%。</w:t>
      </w:r>
      <w:r>
        <w:rPr>
          <w:rFonts w:hint="eastAsia"/>
          <w:szCs w:val="32"/>
          <w:lang w:val="zh-CN"/>
        </w:rPr>
        <w:t>为了提高资产利用率，保证资产管理的安全性，将资产管理的各个权利和责任明确，提升单位资产管理的科学性。建立闲置资产盘活台账，落实专人专责，加大对办公设备、办公家具等闲置可用资产的回收力度，进一步提高资产使用率。单位</w:t>
      </w:r>
      <w:r>
        <w:rPr>
          <w:szCs w:val="32"/>
        </w:rPr>
        <w:t>无截留、挤占、挪用、虚列支出等情况</w:t>
      </w:r>
      <w:r>
        <w:rPr>
          <w:rFonts w:hint="eastAsia"/>
          <w:szCs w:val="32"/>
        </w:rPr>
        <w:t>。</w:t>
      </w:r>
    </w:p>
    <w:p w14:paraId="36B73F4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楷体_GB2312"/>
          <w:color w:val="FF0000"/>
          <w:szCs w:val="32"/>
          <w:shd w:val="clear" w:color="auto" w:fill="FFFFFF"/>
          <w:lang w:val="zh-CN"/>
        </w:rPr>
      </w:pPr>
      <w:r>
        <w:rPr>
          <w:rFonts w:hint="eastAsia" w:ascii="Times New Roman" w:hAnsi="Times New Roman"/>
          <w:szCs w:val="32"/>
          <w:shd w:val="clear" w:color="auto" w:fill="FFFFFF"/>
        </w:rPr>
        <w:t>5</w:t>
      </w:r>
      <w:r>
        <w:rPr>
          <w:rFonts w:hint="eastAsia"/>
          <w:szCs w:val="32"/>
          <w:shd w:val="clear" w:color="auto" w:fill="FFFFFF"/>
        </w:rPr>
        <w:t>、</w:t>
      </w:r>
      <w:r>
        <w:rPr>
          <w:szCs w:val="32"/>
          <w:shd w:val="clear" w:color="auto" w:fill="FFFFFF"/>
          <w:lang w:val="zh-CN"/>
        </w:rPr>
        <w:t>采购管理。</w:t>
      </w:r>
      <w:r>
        <w:rPr>
          <w:rFonts w:hint="eastAsia"/>
          <w:szCs w:val="32"/>
        </w:rPr>
        <w:t>落实促进中小企业发展等政府采购政策，科学编制政府采购预算，建立本单位政府采购内部控制制度，实现“阳光采购”，确保采购过程公开透明，提高采购效率。</w:t>
      </w:r>
    </w:p>
    <w:p w14:paraId="226D5190">
      <w:pPr>
        <w:keepNext w:val="0"/>
        <w:keepLines w:val="0"/>
        <w:pageBreakBefore w:val="0"/>
        <w:widowControl w:val="0"/>
        <w:kinsoku/>
        <w:wordWrap/>
        <w:overflowPunct/>
        <w:topLinePunct w:val="0"/>
        <w:autoSpaceDE/>
        <w:autoSpaceDN/>
        <w:bidi w:val="0"/>
        <w:spacing w:line="560" w:lineRule="exact"/>
        <w:ind w:firstLine="643" w:firstLineChars="200"/>
        <w:contextualSpacing/>
        <w:jc w:val="both"/>
        <w:textAlignment w:val="auto"/>
        <w:rPr>
          <w:szCs w:val="32"/>
        </w:rPr>
      </w:pPr>
      <w:r>
        <w:rPr>
          <w:rFonts w:eastAsia="楷体_GB2312"/>
          <w:b/>
          <w:bCs/>
          <w:color w:val="000000"/>
          <w:szCs w:val="32"/>
          <w:shd w:val="clear" w:color="auto" w:fill="FFFFFF"/>
          <w:lang w:val="zh-CN"/>
        </w:rPr>
        <w:t>（二）部门预算项目绩效分析</w:t>
      </w:r>
      <w:r>
        <w:rPr>
          <w:rFonts w:eastAsia="楷体_GB2312"/>
          <w:color w:val="000000"/>
          <w:szCs w:val="32"/>
          <w:shd w:val="clear" w:color="auto" w:fill="FFFFFF"/>
          <w:lang w:val="zh-CN"/>
        </w:rPr>
        <w:t>。</w:t>
      </w:r>
      <w:r>
        <w:rPr>
          <w:szCs w:val="32"/>
          <w:lang w:val="zh-CN"/>
        </w:rPr>
        <w:t>填报以下数据，并根据部门预算绩效评价指标体系</w:t>
      </w:r>
      <w:r>
        <w:rPr>
          <w:rFonts w:hint="eastAsia"/>
          <w:szCs w:val="32"/>
          <w:lang w:val="zh-CN"/>
        </w:rPr>
        <w:t>“</w:t>
      </w:r>
      <w:r>
        <w:rPr>
          <w:szCs w:val="32"/>
          <w:lang w:val="zh-CN"/>
        </w:rPr>
        <w:t>项目绩效</w:t>
      </w:r>
      <w:r>
        <w:rPr>
          <w:rFonts w:hint="eastAsia"/>
          <w:szCs w:val="32"/>
          <w:lang w:val="zh-CN"/>
        </w:rPr>
        <w:t>”</w:t>
      </w:r>
      <w:r>
        <w:rPr>
          <w:szCs w:val="32"/>
          <w:lang w:val="zh-CN"/>
        </w:rPr>
        <w:t>涉及二、三级指标进行逐项绩效分析并评分，依次包括项目</w:t>
      </w:r>
      <w:r>
        <w:rPr>
          <w:szCs w:val="32"/>
        </w:rPr>
        <w:t>决策、项目执行、目标实现等情况。</w:t>
      </w:r>
    </w:p>
    <w:p w14:paraId="1B2A36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both"/>
        <w:textAlignment w:val="auto"/>
        <w:rPr>
          <w:rFonts w:ascii="仿宋" w:hAnsi="仿宋" w:eastAsia="仿宋" w:cs="仿宋"/>
          <w:szCs w:val="32"/>
          <w:lang w:val="zh-CN"/>
        </w:rPr>
      </w:pPr>
      <w:r>
        <w:rPr>
          <w:rFonts w:hint="eastAsia" w:ascii="仿宋" w:hAnsi="仿宋" w:eastAsia="仿宋" w:cs="仿宋"/>
          <w:szCs w:val="32"/>
        </w:rPr>
        <w:t>常年项目绩效分析。</w:t>
      </w:r>
      <w:r>
        <w:rPr>
          <w:rFonts w:hint="eastAsia" w:ascii="仿宋" w:hAnsi="仿宋" w:eastAsia="仿宋" w:cs="仿宋"/>
          <w:szCs w:val="32"/>
          <w:lang w:val="zh-CN"/>
        </w:rPr>
        <w:t>该类项目总数</w:t>
      </w:r>
      <w:r>
        <w:rPr>
          <w:rFonts w:hint="eastAsia" w:ascii="Times New Roman" w:hAnsi="Times New Roman" w:eastAsia="仿宋" w:cs="仿宋"/>
          <w:szCs w:val="32"/>
        </w:rPr>
        <w:t>2</w:t>
      </w:r>
      <w:r>
        <w:rPr>
          <w:rFonts w:hint="eastAsia" w:ascii="仿宋" w:hAnsi="仿宋" w:eastAsia="仿宋" w:cs="仿宋"/>
          <w:szCs w:val="32"/>
          <w:lang w:val="zh-CN"/>
        </w:rPr>
        <w:t>个，涉及预算总金额</w:t>
      </w:r>
      <w:r>
        <w:rPr>
          <w:rFonts w:hint="eastAsia" w:ascii="仿宋" w:hAnsi="仿宋" w:eastAsia="仿宋" w:cs="仿宋"/>
          <w:szCs w:val="32"/>
        </w:rPr>
        <w:t xml:space="preserve">   </w:t>
      </w:r>
      <w:r>
        <w:rPr>
          <w:rFonts w:hint="eastAsia" w:ascii="Times New Roman" w:hAnsi="Times New Roman" w:eastAsia="仿宋" w:cs="仿宋"/>
          <w:szCs w:val="32"/>
        </w:rPr>
        <w:t>18</w:t>
      </w:r>
      <w:r>
        <w:rPr>
          <w:rFonts w:hint="eastAsia" w:ascii="仿宋" w:hAnsi="仿宋" w:eastAsia="仿宋" w:cs="仿宋"/>
          <w:szCs w:val="32"/>
          <w:lang w:val="zh-CN"/>
        </w:rPr>
        <w:t>万元，</w:t>
      </w:r>
      <w:r>
        <w:rPr>
          <w:rFonts w:hint="eastAsia" w:ascii="Times New Roman" w:hAnsi="Times New Roman" w:eastAsia="仿宋" w:cs="仿宋"/>
          <w:szCs w:val="32"/>
          <w:lang w:val="zh-CN"/>
        </w:rPr>
        <w:t>1</w:t>
      </w:r>
      <w:r>
        <w:rPr>
          <w:rFonts w:hint="eastAsia" w:ascii="仿宋" w:hAnsi="仿宋" w:eastAsia="仿宋" w:cs="仿宋"/>
          <w:szCs w:val="32"/>
          <w:lang w:val="zh-CN"/>
        </w:rPr>
        <w:t>—</w:t>
      </w:r>
      <w:r>
        <w:rPr>
          <w:rFonts w:hint="eastAsia" w:ascii="Times New Roman" w:hAnsi="Times New Roman" w:eastAsia="仿宋" w:cs="仿宋"/>
          <w:szCs w:val="32"/>
          <w:lang w:val="zh-CN"/>
        </w:rPr>
        <w:t>1</w:t>
      </w:r>
      <w:r>
        <w:rPr>
          <w:rFonts w:hint="eastAsia" w:ascii="Times New Roman" w:hAnsi="Times New Roman" w:eastAsia="仿宋" w:cs="仿宋"/>
          <w:szCs w:val="32"/>
        </w:rPr>
        <w:t>2</w:t>
      </w:r>
      <w:r>
        <w:rPr>
          <w:rFonts w:hint="eastAsia" w:ascii="仿宋" w:hAnsi="仿宋" w:eastAsia="仿宋" w:cs="仿宋"/>
          <w:szCs w:val="32"/>
          <w:lang w:val="zh-CN"/>
        </w:rPr>
        <w:t>月预算执行总体进度为</w:t>
      </w:r>
      <w:r>
        <w:rPr>
          <w:rFonts w:hint="eastAsia" w:ascii="仿宋" w:hAnsi="仿宋" w:eastAsia="仿宋" w:cs="仿宋"/>
          <w:szCs w:val="32"/>
        </w:rPr>
        <w:t xml:space="preserve"> </w:t>
      </w:r>
      <w:r>
        <w:rPr>
          <w:rFonts w:hint="eastAsia" w:ascii="Times New Roman" w:hAnsi="Times New Roman" w:eastAsia="仿宋" w:cs="仿宋"/>
          <w:szCs w:val="32"/>
        </w:rPr>
        <w:t>100</w:t>
      </w:r>
      <w:r>
        <w:rPr>
          <w:rFonts w:hint="eastAsia" w:ascii="仿宋" w:hAnsi="仿宋" w:eastAsia="仿宋" w:cs="仿宋"/>
          <w:szCs w:val="32"/>
        </w:rPr>
        <w:t xml:space="preserve"> </w:t>
      </w:r>
      <w:r>
        <w:rPr>
          <w:rFonts w:hint="eastAsia" w:ascii="仿宋" w:hAnsi="仿宋" w:eastAsia="仿宋" w:cs="仿宋"/>
          <w:szCs w:val="32"/>
          <w:lang w:val="zh-CN"/>
        </w:rPr>
        <w:t>%，其中：预算结余率大于</w:t>
      </w:r>
      <w:r>
        <w:rPr>
          <w:rFonts w:hint="eastAsia" w:ascii="Times New Roman" w:hAnsi="Times New Roman" w:eastAsia="仿宋" w:cs="仿宋"/>
          <w:szCs w:val="32"/>
        </w:rPr>
        <w:t>10</w:t>
      </w:r>
      <w:r>
        <w:rPr>
          <w:rFonts w:hint="eastAsia" w:ascii="仿宋" w:hAnsi="仿宋" w:eastAsia="仿宋" w:cs="仿宋"/>
          <w:szCs w:val="32"/>
        </w:rPr>
        <w:t>%</w:t>
      </w:r>
      <w:r>
        <w:rPr>
          <w:rFonts w:hint="eastAsia" w:ascii="仿宋" w:hAnsi="仿宋" w:eastAsia="仿宋" w:cs="仿宋"/>
          <w:szCs w:val="32"/>
          <w:lang w:val="zh-CN"/>
        </w:rPr>
        <w:t>的项目共计</w:t>
      </w:r>
      <w:r>
        <w:rPr>
          <w:rFonts w:hint="eastAsia" w:ascii="仿宋" w:hAnsi="仿宋" w:eastAsia="仿宋" w:cs="仿宋"/>
          <w:szCs w:val="32"/>
        </w:rPr>
        <w:t xml:space="preserve"> </w:t>
      </w:r>
      <w:r>
        <w:rPr>
          <w:rFonts w:hint="eastAsia" w:ascii="Times New Roman" w:hAnsi="Times New Roman" w:eastAsia="仿宋" w:cs="仿宋"/>
          <w:szCs w:val="32"/>
        </w:rPr>
        <w:t>0</w:t>
      </w:r>
      <w:r>
        <w:rPr>
          <w:rFonts w:hint="eastAsia" w:ascii="仿宋" w:hAnsi="仿宋" w:eastAsia="仿宋" w:cs="仿宋"/>
          <w:szCs w:val="32"/>
        </w:rPr>
        <w:t xml:space="preserve"> </w:t>
      </w:r>
      <w:r>
        <w:rPr>
          <w:rFonts w:hint="eastAsia" w:ascii="仿宋" w:hAnsi="仿宋" w:eastAsia="仿宋" w:cs="仿宋"/>
          <w:szCs w:val="32"/>
          <w:lang w:val="zh-CN"/>
        </w:rPr>
        <w:t>个。</w:t>
      </w:r>
    </w:p>
    <w:p w14:paraId="25F5CB55">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szCs w:val="32"/>
          <w:lang w:val="zh-CN"/>
        </w:rPr>
      </w:pPr>
      <w:r>
        <w:rPr>
          <w:rFonts w:hint="eastAsia" w:ascii="仿宋" w:hAnsi="仿宋" w:eastAsia="仿宋" w:cs="仿宋"/>
          <w:szCs w:val="32"/>
        </w:rPr>
        <w:t>阶段（一次性）项目绩效分析。</w:t>
      </w:r>
      <w:r>
        <w:rPr>
          <w:rFonts w:hint="eastAsia" w:ascii="仿宋" w:hAnsi="仿宋" w:eastAsia="仿宋" w:cs="仿宋"/>
          <w:szCs w:val="32"/>
          <w:lang w:val="zh-CN"/>
        </w:rPr>
        <w:t>该类项目总数</w:t>
      </w:r>
      <w:r>
        <w:rPr>
          <w:rFonts w:hint="eastAsia" w:ascii="Times New Roman" w:hAnsi="Times New Roman" w:eastAsia="仿宋" w:cs="仿宋"/>
          <w:szCs w:val="32"/>
        </w:rPr>
        <w:t>0</w:t>
      </w:r>
      <w:r>
        <w:rPr>
          <w:rFonts w:hint="eastAsia" w:ascii="仿宋" w:hAnsi="仿宋" w:eastAsia="仿宋" w:cs="仿宋"/>
          <w:szCs w:val="32"/>
          <w:lang w:val="zh-CN"/>
        </w:rPr>
        <w:t>个，涉及预算总金额</w:t>
      </w:r>
      <w:r>
        <w:rPr>
          <w:rFonts w:hint="eastAsia" w:ascii="Times New Roman" w:hAnsi="Times New Roman" w:eastAsia="仿宋" w:cs="仿宋"/>
          <w:szCs w:val="32"/>
        </w:rPr>
        <w:t>0</w:t>
      </w:r>
      <w:r>
        <w:rPr>
          <w:rFonts w:hint="eastAsia" w:ascii="仿宋" w:hAnsi="仿宋" w:eastAsia="仿宋" w:cs="仿宋"/>
          <w:szCs w:val="32"/>
          <w:lang w:val="zh-CN"/>
        </w:rPr>
        <w:t>万元，</w:t>
      </w:r>
      <w:r>
        <w:rPr>
          <w:rFonts w:hint="eastAsia" w:ascii="Times New Roman" w:hAnsi="Times New Roman" w:eastAsia="仿宋" w:cs="仿宋"/>
          <w:szCs w:val="32"/>
          <w:lang w:val="zh-CN"/>
        </w:rPr>
        <w:t>1</w:t>
      </w:r>
      <w:r>
        <w:rPr>
          <w:rFonts w:hint="eastAsia" w:ascii="仿宋" w:hAnsi="仿宋" w:eastAsia="仿宋" w:cs="仿宋"/>
          <w:szCs w:val="32"/>
          <w:lang w:val="zh-CN"/>
        </w:rPr>
        <w:t>—</w:t>
      </w:r>
      <w:r>
        <w:rPr>
          <w:rFonts w:hint="eastAsia" w:ascii="Times New Roman" w:hAnsi="Times New Roman" w:eastAsia="仿宋" w:cs="仿宋"/>
          <w:szCs w:val="32"/>
          <w:lang w:val="zh-CN"/>
        </w:rPr>
        <w:t>1</w:t>
      </w:r>
      <w:r>
        <w:rPr>
          <w:rFonts w:hint="eastAsia" w:ascii="Times New Roman" w:hAnsi="Times New Roman" w:eastAsia="仿宋" w:cs="仿宋"/>
          <w:szCs w:val="32"/>
        </w:rPr>
        <w:t>2</w:t>
      </w:r>
      <w:r>
        <w:rPr>
          <w:rFonts w:hint="eastAsia" w:ascii="仿宋" w:hAnsi="仿宋" w:eastAsia="仿宋" w:cs="仿宋"/>
          <w:szCs w:val="32"/>
          <w:lang w:val="zh-CN"/>
        </w:rPr>
        <w:t>月预算执行总体进度为</w:t>
      </w:r>
      <w:r>
        <w:rPr>
          <w:rFonts w:hint="eastAsia" w:ascii="仿宋" w:hAnsi="仿宋" w:eastAsia="仿宋" w:cs="仿宋"/>
          <w:szCs w:val="32"/>
        </w:rPr>
        <w:t xml:space="preserve"> </w:t>
      </w:r>
      <w:r>
        <w:rPr>
          <w:rFonts w:hint="eastAsia" w:ascii="Times New Roman" w:hAnsi="Times New Roman" w:eastAsia="仿宋" w:cs="仿宋"/>
          <w:szCs w:val="32"/>
        </w:rPr>
        <w:t>100</w:t>
      </w:r>
      <w:r>
        <w:rPr>
          <w:rFonts w:hint="eastAsia" w:ascii="仿宋" w:hAnsi="仿宋" w:eastAsia="仿宋" w:cs="仿宋"/>
          <w:szCs w:val="32"/>
        </w:rPr>
        <w:t xml:space="preserve"> </w:t>
      </w:r>
      <w:r>
        <w:rPr>
          <w:rFonts w:hint="eastAsia" w:ascii="仿宋" w:hAnsi="仿宋" w:eastAsia="仿宋" w:cs="仿宋"/>
          <w:szCs w:val="32"/>
          <w:lang w:val="zh-CN"/>
        </w:rPr>
        <w:t>%，其中：预算结余率大于</w:t>
      </w:r>
      <w:r>
        <w:rPr>
          <w:rFonts w:hint="eastAsia" w:ascii="Times New Roman" w:hAnsi="Times New Roman" w:eastAsia="仿宋" w:cs="仿宋"/>
          <w:szCs w:val="32"/>
        </w:rPr>
        <w:t>10</w:t>
      </w:r>
      <w:r>
        <w:rPr>
          <w:rFonts w:hint="eastAsia" w:ascii="仿宋" w:hAnsi="仿宋" w:eastAsia="仿宋" w:cs="仿宋"/>
          <w:szCs w:val="32"/>
        </w:rPr>
        <w:t>%</w:t>
      </w:r>
      <w:r>
        <w:rPr>
          <w:rFonts w:hint="eastAsia" w:ascii="仿宋" w:hAnsi="仿宋" w:eastAsia="仿宋" w:cs="仿宋"/>
          <w:szCs w:val="32"/>
          <w:lang w:val="zh-CN"/>
        </w:rPr>
        <w:t>的项目共计</w:t>
      </w:r>
      <w:r>
        <w:rPr>
          <w:rFonts w:hint="eastAsia" w:ascii="Times New Roman" w:hAnsi="Times New Roman" w:eastAsia="仿宋" w:cs="仿宋"/>
          <w:szCs w:val="32"/>
        </w:rPr>
        <w:t>0</w:t>
      </w:r>
      <w:r>
        <w:rPr>
          <w:rFonts w:hint="eastAsia" w:ascii="仿宋" w:hAnsi="仿宋" w:eastAsia="仿宋" w:cs="仿宋"/>
          <w:szCs w:val="32"/>
          <w:lang w:val="zh-CN"/>
        </w:rPr>
        <w:t>个。</w:t>
      </w:r>
    </w:p>
    <w:p w14:paraId="0A75F3BC">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ascii="仿宋" w:hAnsi="仿宋" w:eastAsia="仿宋" w:cs="仿宋"/>
          <w:color w:val="000000"/>
          <w:szCs w:val="32"/>
          <w:shd w:val="clear" w:color="auto" w:fill="FFFFFF"/>
          <w:lang w:val="zh-CN"/>
        </w:rPr>
      </w:pPr>
      <w:r>
        <w:rPr>
          <w:rFonts w:hint="eastAsia" w:ascii="Times New Roman" w:hAnsi="Times New Roman"/>
          <w:color w:val="000000"/>
          <w:szCs w:val="32"/>
          <w:shd w:val="clear" w:color="auto" w:fill="FFFFFF"/>
        </w:rPr>
        <w:t>1</w:t>
      </w:r>
      <w:r>
        <w:rPr>
          <w:rFonts w:hint="eastAsia"/>
          <w:color w:val="000000"/>
          <w:szCs w:val="32"/>
          <w:shd w:val="clear" w:color="auto" w:fill="FFFFFF"/>
        </w:rPr>
        <w:t>、</w:t>
      </w:r>
      <w:r>
        <w:rPr>
          <w:color w:val="000000"/>
          <w:szCs w:val="32"/>
          <w:shd w:val="clear" w:color="auto" w:fill="FFFFFF"/>
          <w:lang w:val="zh-CN"/>
        </w:rPr>
        <w:t>项目决策。</w:t>
      </w:r>
      <w:r>
        <w:rPr>
          <w:rFonts w:hint="eastAsia" w:ascii="Times New Roman" w:hAnsi="Times New Roman"/>
          <w:szCs w:val="32"/>
        </w:rPr>
        <w:t>牢牢把握主题教育“学思想、强党性、重实践、建新功”总要求，坚持把“实”字贯穿始终，不断推进主题教育走深走实；从严从紧，抓好党风廉政建设、从常从长，抓好意识形态工作；履职尽责，全面提升科协组织服务能力；开展科普活动，全力精准服务全民科学素质提升。</w:t>
      </w:r>
    </w:p>
    <w:p w14:paraId="1601099D">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pPr>
      <w:r>
        <w:rPr>
          <w:rFonts w:hint="eastAsia" w:ascii="Times New Roman" w:hAnsi="Times New Roman"/>
          <w:color w:val="000000"/>
          <w:szCs w:val="32"/>
          <w:shd w:val="clear" w:color="auto" w:fill="FFFFFF"/>
        </w:rPr>
        <w:t>2</w:t>
      </w:r>
      <w:r>
        <w:rPr>
          <w:rFonts w:hint="eastAsia"/>
          <w:color w:val="000000"/>
          <w:szCs w:val="32"/>
          <w:shd w:val="clear" w:color="auto" w:fill="FFFFFF"/>
        </w:rPr>
        <w:t>、</w:t>
      </w:r>
      <w:r>
        <w:rPr>
          <w:color w:val="000000"/>
          <w:szCs w:val="32"/>
          <w:shd w:val="clear" w:color="auto" w:fill="FFFFFF"/>
        </w:rPr>
        <w:t>项目执行</w:t>
      </w:r>
      <w:r>
        <w:rPr>
          <w:color w:val="000000"/>
          <w:szCs w:val="32"/>
          <w:shd w:val="clear" w:color="auto" w:fill="FFFFFF"/>
          <w:lang w:val="zh-CN"/>
        </w:rPr>
        <w:t>。</w:t>
      </w:r>
      <w:r>
        <w:rPr>
          <w:rFonts w:hint="eastAsia"/>
          <w:color w:val="000000"/>
        </w:rPr>
        <w:t>项目资金年初预算</w:t>
      </w:r>
      <w:r>
        <w:rPr>
          <w:rFonts w:hint="eastAsia" w:ascii="Times New Roman" w:hAnsi="Times New Roman"/>
          <w:color w:val="000000"/>
        </w:rPr>
        <w:t>18</w:t>
      </w:r>
      <w:r>
        <w:rPr>
          <w:rFonts w:hint="eastAsia" w:ascii="仿宋" w:hAnsi="仿宋" w:eastAsia="仿宋"/>
          <w:color w:val="000000"/>
          <w:szCs w:val="32"/>
        </w:rPr>
        <w:t>万元，使用</w:t>
      </w:r>
      <w:r>
        <w:rPr>
          <w:rFonts w:hint="eastAsia" w:ascii="Times New Roman" w:hAnsi="Times New Roman" w:eastAsia="仿宋"/>
          <w:color w:val="000000"/>
          <w:szCs w:val="32"/>
        </w:rPr>
        <w:t>17</w:t>
      </w:r>
      <w:r>
        <w:rPr>
          <w:rFonts w:hint="eastAsia" w:ascii="仿宋" w:hAnsi="仿宋" w:eastAsia="仿宋"/>
          <w:color w:val="000000"/>
          <w:szCs w:val="32"/>
        </w:rPr>
        <w:t>.</w:t>
      </w:r>
      <w:r>
        <w:rPr>
          <w:rFonts w:hint="eastAsia" w:ascii="Times New Roman" w:hAnsi="Times New Roman" w:eastAsia="仿宋"/>
          <w:color w:val="000000"/>
          <w:szCs w:val="32"/>
        </w:rPr>
        <w:t>89</w:t>
      </w:r>
      <w:r>
        <w:rPr>
          <w:rFonts w:hint="eastAsia" w:ascii="仿宋" w:hAnsi="仿宋" w:eastAsia="仿宋"/>
          <w:color w:val="000000"/>
          <w:szCs w:val="32"/>
        </w:rPr>
        <w:t>万元（其中：预算支出</w:t>
      </w:r>
      <w:r>
        <w:rPr>
          <w:rFonts w:hint="eastAsia" w:ascii="Times New Roman" w:hAnsi="Times New Roman" w:eastAsia="仿宋"/>
          <w:color w:val="000000"/>
          <w:szCs w:val="32"/>
        </w:rPr>
        <w:t>18</w:t>
      </w:r>
      <w:r>
        <w:rPr>
          <w:rFonts w:hint="eastAsia" w:ascii="仿宋" w:hAnsi="仿宋" w:eastAsia="仿宋"/>
          <w:color w:val="000000"/>
          <w:szCs w:val="32"/>
        </w:rPr>
        <w:t>万元，年度调减预算</w:t>
      </w:r>
      <w:r>
        <w:rPr>
          <w:rFonts w:hint="eastAsia" w:ascii="Times New Roman" w:hAnsi="Times New Roman" w:eastAsia="仿宋"/>
          <w:color w:val="000000"/>
          <w:szCs w:val="32"/>
        </w:rPr>
        <w:t>0</w:t>
      </w:r>
      <w:r>
        <w:rPr>
          <w:rFonts w:hint="eastAsia" w:ascii="仿宋" w:hAnsi="仿宋" w:eastAsia="仿宋"/>
          <w:color w:val="000000"/>
          <w:szCs w:val="32"/>
        </w:rPr>
        <w:t>.</w:t>
      </w:r>
      <w:r>
        <w:rPr>
          <w:rFonts w:hint="eastAsia" w:ascii="Times New Roman" w:hAnsi="Times New Roman" w:eastAsia="仿宋"/>
          <w:color w:val="000000"/>
          <w:szCs w:val="32"/>
        </w:rPr>
        <w:t>11</w:t>
      </w:r>
      <w:r>
        <w:rPr>
          <w:rFonts w:hint="eastAsia" w:ascii="仿宋" w:hAnsi="仿宋" w:eastAsia="仿宋"/>
          <w:color w:val="000000"/>
          <w:szCs w:val="32"/>
        </w:rPr>
        <w:t>万元)。</w:t>
      </w:r>
    </w:p>
    <w:p w14:paraId="3217906E">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楷体_GB2312"/>
          <w:color w:val="000000"/>
          <w:szCs w:val="32"/>
          <w:shd w:val="clear" w:color="auto" w:fill="FFFFFF"/>
          <w:lang w:val="zh-CN"/>
        </w:rPr>
      </w:pPr>
      <w:r>
        <w:rPr>
          <w:rFonts w:ascii="Times New Roman" w:hAnsi="Times New Roman"/>
          <w:color w:val="000000"/>
          <w:szCs w:val="32"/>
          <w:shd w:val="clear" w:color="auto" w:fill="FFFFFF"/>
        </w:rPr>
        <w:t>3</w:t>
      </w:r>
      <w:r>
        <w:rPr>
          <w:rFonts w:hint="eastAsia"/>
          <w:color w:val="000000"/>
          <w:szCs w:val="32"/>
          <w:shd w:val="clear" w:color="auto" w:fill="FFFFFF"/>
        </w:rPr>
        <w:t>、</w:t>
      </w:r>
      <w:r>
        <w:rPr>
          <w:color w:val="000000"/>
          <w:szCs w:val="32"/>
          <w:shd w:val="clear" w:color="auto" w:fill="FFFFFF"/>
          <w:lang w:val="zh-CN"/>
        </w:rPr>
        <w:t>目标实现。</w:t>
      </w:r>
      <w:r>
        <w:rPr>
          <w:rFonts w:hint="eastAsia" w:ascii="Times New Roman" w:hAnsi="Times New Roman"/>
          <w:szCs w:val="19"/>
        </w:rPr>
        <w:t>全区累计科技工作者注册达</w:t>
      </w:r>
      <w:r>
        <w:rPr>
          <w:rFonts w:ascii="Times New Roman" w:hAnsi="Times New Roman"/>
          <w:szCs w:val="19"/>
        </w:rPr>
        <w:t>7905</w:t>
      </w:r>
      <w:r>
        <w:rPr>
          <w:rFonts w:hint="eastAsia" w:ascii="Times New Roman" w:hAnsi="Times New Roman"/>
          <w:szCs w:val="19"/>
        </w:rPr>
        <w:t>人，提供“一人一策”“一单一策”“保姆式”服务</w:t>
      </w:r>
      <w:r>
        <w:rPr>
          <w:rFonts w:ascii="Times New Roman" w:hAnsi="Times New Roman"/>
          <w:szCs w:val="19"/>
        </w:rPr>
        <w:t>6040</w:t>
      </w:r>
      <w:r>
        <w:rPr>
          <w:rFonts w:hint="eastAsia" w:ascii="Times New Roman" w:hAnsi="Times New Roman"/>
          <w:szCs w:val="19"/>
        </w:rPr>
        <w:t>单，打造示范工作室</w:t>
      </w:r>
      <w:r>
        <w:rPr>
          <w:rFonts w:ascii="Times New Roman" w:hAnsi="Times New Roman"/>
          <w:szCs w:val="19"/>
        </w:rPr>
        <w:t>8</w:t>
      </w:r>
      <w:r>
        <w:rPr>
          <w:rFonts w:hint="eastAsia" w:ascii="Times New Roman" w:hAnsi="Times New Roman"/>
          <w:szCs w:val="19"/>
        </w:rPr>
        <w:t>个；新增科技所能发布量</w:t>
      </w:r>
      <w:r>
        <w:rPr>
          <w:rFonts w:ascii="Times New Roman" w:hAnsi="Times New Roman"/>
          <w:szCs w:val="19"/>
        </w:rPr>
        <w:t>479</w:t>
      </w:r>
      <w:r>
        <w:rPr>
          <w:rFonts w:hint="eastAsia" w:ascii="Times New Roman" w:hAnsi="Times New Roman"/>
          <w:szCs w:val="19"/>
        </w:rPr>
        <w:t>条、科技需求发布量</w:t>
      </w:r>
      <w:r>
        <w:rPr>
          <w:rFonts w:ascii="Times New Roman" w:hAnsi="Times New Roman"/>
          <w:szCs w:val="19"/>
        </w:rPr>
        <w:t>1312</w:t>
      </w:r>
      <w:r>
        <w:rPr>
          <w:rFonts w:hint="eastAsia" w:ascii="Times New Roman" w:hAnsi="Times New Roman"/>
          <w:szCs w:val="19"/>
        </w:rPr>
        <w:t>条，实现交易订单</w:t>
      </w:r>
      <w:r>
        <w:rPr>
          <w:rFonts w:ascii="Times New Roman" w:hAnsi="Times New Roman"/>
          <w:szCs w:val="19"/>
        </w:rPr>
        <w:t>66</w:t>
      </w:r>
      <w:r>
        <w:rPr>
          <w:rFonts w:hint="eastAsia" w:ascii="Times New Roman" w:hAnsi="Times New Roman"/>
          <w:szCs w:val="19"/>
        </w:rPr>
        <w:t>个，上报云服务典型案例</w:t>
      </w:r>
      <w:r>
        <w:rPr>
          <w:rFonts w:ascii="Times New Roman" w:hAnsi="Times New Roman"/>
          <w:szCs w:val="19"/>
        </w:rPr>
        <w:t>41</w:t>
      </w:r>
      <w:r>
        <w:rPr>
          <w:rFonts w:hint="eastAsia" w:ascii="Times New Roman" w:hAnsi="Times New Roman"/>
          <w:szCs w:val="19"/>
        </w:rPr>
        <w:t>个；积极开展智慧科普传播，累计实现传播浏览量达</w:t>
      </w:r>
      <w:r>
        <w:rPr>
          <w:rFonts w:ascii="Times New Roman" w:hAnsi="Times New Roman"/>
          <w:szCs w:val="19"/>
        </w:rPr>
        <w:t>1100</w:t>
      </w:r>
      <w:r>
        <w:rPr>
          <w:rFonts w:hint="eastAsia" w:ascii="Times New Roman" w:hAnsi="Times New Roman"/>
          <w:szCs w:val="19"/>
        </w:rPr>
        <w:t>余万次；精准科普覆盖率达</w:t>
      </w:r>
      <w:r>
        <w:rPr>
          <w:rFonts w:ascii="Times New Roman" w:hAnsi="Times New Roman"/>
          <w:szCs w:val="19"/>
        </w:rPr>
        <w:t>2.51% </w:t>
      </w:r>
      <w:r>
        <w:rPr>
          <w:rFonts w:hint="eastAsia" w:ascii="Times New Roman" w:hAnsi="Times New Roman"/>
          <w:szCs w:val="19"/>
        </w:rPr>
        <w:t>、人均科普服务量达</w:t>
      </w:r>
      <w:r>
        <w:rPr>
          <w:rFonts w:ascii="Times New Roman" w:hAnsi="Times New Roman"/>
          <w:szCs w:val="19"/>
        </w:rPr>
        <w:t>25.57</w:t>
      </w:r>
      <w:r>
        <w:rPr>
          <w:rFonts w:hint="eastAsia" w:ascii="Times New Roman" w:hAnsi="Times New Roman"/>
          <w:szCs w:val="19"/>
        </w:rPr>
        <w:t>次、精准科普服务群众数</w:t>
      </w:r>
      <w:r>
        <w:rPr>
          <w:rFonts w:ascii="Times New Roman" w:hAnsi="Times New Roman"/>
          <w:szCs w:val="19"/>
        </w:rPr>
        <w:t>10838</w:t>
      </w:r>
      <w:r>
        <w:rPr>
          <w:rFonts w:hint="eastAsia" w:ascii="Times New Roman" w:hAnsi="Times New Roman"/>
          <w:szCs w:val="19"/>
        </w:rPr>
        <w:t>人，分列全市第</w:t>
      </w:r>
      <w:r>
        <w:rPr>
          <w:rFonts w:ascii="Times New Roman" w:hAnsi="Times New Roman"/>
          <w:szCs w:val="19"/>
        </w:rPr>
        <w:t>2</w:t>
      </w:r>
      <w:r>
        <w:rPr>
          <w:rFonts w:hint="eastAsia" w:ascii="Times New Roman" w:hAnsi="Times New Roman"/>
          <w:szCs w:val="19"/>
        </w:rPr>
        <w:t>、</w:t>
      </w:r>
      <w:r>
        <w:rPr>
          <w:rFonts w:ascii="Times New Roman" w:hAnsi="Times New Roman"/>
          <w:szCs w:val="19"/>
        </w:rPr>
        <w:t>1</w:t>
      </w:r>
      <w:r>
        <w:rPr>
          <w:rFonts w:hint="eastAsia" w:ascii="Times New Roman" w:hAnsi="Times New Roman"/>
          <w:szCs w:val="19"/>
        </w:rPr>
        <w:t>、</w:t>
      </w:r>
      <w:r>
        <w:rPr>
          <w:rFonts w:ascii="Times New Roman" w:hAnsi="Times New Roman"/>
          <w:szCs w:val="19"/>
        </w:rPr>
        <w:t>2</w:t>
      </w:r>
      <w:r>
        <w:rPr>
          <w:rFonts w:hint="eastAsia" w:ascii="Times New Roman" w:hAnsi="Times New Roman"/>
          <w:szCs w:val="19"/>
        </w:rPr>
        <w:t>、</w:t>
      </w:r>
      <w:r>
        <w:rPr>
          <w:rFonts w:ascii="Times New Roman" w:hAnsi="Times New Roman"/>
          <w:szCs w:val="19"/>
        </w:rPr>
        <w:t>1</w:t>
      </w:r>
      <w:r>
        <w:rPr>
          <w:rFonts w:hint="eastAsia" w:ascii="Times New Roman" w:hAnsi="Times New Roman"/>
          <w:szCs w:val="19"/>
        </w:rPr>
        <w:t>位，全省第</w:t>
      </w:r>
      <w:r>
        <w:rPr>
          <w:rFonts w:ascii="Times New Roman" w:hAnsi="Times New Roman"/>
          <w:szCs w:val="19"/>
        </w:rPr>
        <w:t>16</w:t>
      </w:r>
      <w:r>
        <w:rPr>
          <w:rFonts w:hint="eastAsia" w:ascii="Times New Roman" w:hAnsi="Times New Roman"/>
          <w:szCs w:val="19"/>
        </w:rPr>
        <w:t>、</w:t>
      </w:r>
      <w:r>
        <w:rPr>
          <w:rFonts w:ascii="Times New Roman" w:hAnsi="Times New Roman"/>
          <w:szCs w:val="19"/>
        </w:rPr>
        <w:t>57</w:t>
      </w:r>
      <w:r>
        <w:rPr>
          <w:rFonts w:hint="eastAsia" w:ascii="Times New Roman" w:hAnsi="Times New Roman"/>
          <w:szCs w:val="19"/>
        </w:rPr>
        <w:t>、</w:t>
      </w:r>
      <w:r>
        <w:rPr>
          <w:rFonts w:ascii="Times New Roman" w:hAnsi="Times New Roman"/>
          <w:szCs w:val="19"/>
        </w:rPr>
        <w:t>26</w:t>
      </w:r>
      <w:r>
        <w:rPr>
          <w:rFonts w:hint="eastAsia" w:ascii="Times New Roman" w:hAnsi="Times New Roman"/>
          <w:szCs w:val="19"/>
        </w:rPr>
        <w:t>、</w:t>
      </w:r>
      <w:r>
        <w:rPr>
          <w:rFonts w:ascii="Times New Roman" w:hAnsi="Times New Roman"/>
          <w:szCs w:val="19"/>
        </w:rPr>
        <w:t>40</w:t>
      </w:r>
      <w:r>
        <w:rPr>
          <w:rFonts w:hint="eastAsia" w:ascii="Times New Roman" w:hAnsi="Times New Roman"/>
          <w:szCs w:val="19"/>
        </w:rPr>
        <w:t>位；发布科普活动及动态</w:t>
      </w:r>
      <w:r>
        <w:rPr>
          <w:rFonts w:ascii="Times New Roman" w:hAnsi="Times New Roman"/>
          <w:szCs w:val="19"/>
        </w:rPr>
        <w:t>160</w:t>
      </w:r>
      <w:r>
        <w:rPr>
          <w:rFonts w:hint="eastAsia" w:ascii="Times New Roman" w:hAnsi="Times New Roman"/>
          <w:szCs w:val="19"/>
        </w:rPr>
        <w:t>余条，全面完成市科协工作任务。</w:t>
      </w:r>
      <w:r>
        <w:rPr>
          <w:rFonts w:hint="eastAsia" w:ascii="Times New Roman" w:hAnsi="Times New Roman"/>
          <w:kern w:val="2"/>
          <w:szCs w:val="19"/>
        </w:rPr>
        <w:t>2024年，深入四川江淮汽车有</w:t>
      </w:r>
      <w:r>
        <w:rPr>
          <w:rFonts w:hint="eastAsia" w:ascii="Times New Roman" w:hAnsi="Times New Roman"/>
        </w:rPr>
        <w:t>限公司、四川晨光博达新材料有限公司、安居区人民医院等20余家企业征集30余个科创项目参加省科协第三届科创会，3个科创项目现场达成意向性合作协议，签约金额100余万元，荣获最佳科创产品奖3项、最佳高新技术推广项目奖2项。</w:t>
      </w:r>
      <w:r>
        <w:rPr>
          <w:rFonts w:hint="eastAsia" w:ascii="Times New Roman" w:hAnsi="Times New Roman"/>
          <w:kern w:val="2"/>
          <w:szCs w:val="19"/>
        </w:rPr>
        <w:t>2024年，</w:t>
      </w:r>
      <w:r>
        <w:rPr>
          <w:rFonts w:hint="eastAsia"/>
          <w:kern w:val="2"/>
          <w:szCs w:val="19"/>
        </w:rPr>
        <w:t>区科协聚焦院士（专家）工作站建设，落实专人深入企业开展院士（专家）工作站建设工作，</w:t>
      </w:r>
      <w:r>
        <w:rPr>
          <w:rFonts w:hint="eastAsia" w:ascii="Times New Roman" w:hAnsi="Times New Roman"/>
          <w:kern w:val="2"/>
          <w:szCs w:val="19"/>
        </w:rPr>
        <w:t>组织20余家相关企事业单位召开院士（专家）工作站建设专题会议2次，</w:t>
      </w:r>
      <w:r>
        <w:rPr>
          <w:rFonts w:hint="eastAsia"/>
          <w:kern w:val="2"/>
          <w:szCs w:val="19"/>
        </w:rPr>
        <w:t>推动四川广发辐照有限公司、啸驰电气股份有限公司、</w:t>
      </w:r>
      <w:r>
        <w:rPr>
          <w:rFonts w:hint="eastAsia" w:ascii="Times New Roman" w:hAnsi="Times New Roman"/>
          <w:kern w:val="2"/>
          <w:szCs w:val="19"/>
        </w:rPr>
        <w:t>524</w:t>
      </w:r>
      <w:r>
        <w:rPr>
          <w:rFonts w:hint="eastAsia"/>
          <w:kern w:val="2"/>
          <w:szCs w:val="19"/>
        </w:rPr>
        <w:t>红苕协会与四川大学、西南科技大学、省农科院等高等院校专家团队签定合作协议，</w:t>
      </w:r>
      <w:r>
        <w:rPr>
          <w:rFonts w:hint="eastAsia" w:ascii="Times New Roman" w:hAnsi="Times New Roman"/>
          <w:kern w:val="2"/>
          <w:szCs w:val="19"/>
        </w:rPr>
        <w:t>指导啸驰电气股份有限公司成功</w:t>
      </w:r>
      <w:r>
        <w:rPr>
          <w:rFonts w:hint="eastAsia"/>
          <w:kern w:val="2"/>
          <w:szCs w:val="19"/>
        </w:rPr>
        <w:t>入选</w:t>
      </w:r>
      <w:r>
        <w:rPr>
          <w:rFonts w:hint="eastAsia" w:ascii="Times New Roman" w:hAnsi="Times New Roman"/>
          <w:kern w:val="2"/>
          <w:szCs w:val="19"/>
        </w:rPr>
        <w:t>遂宁市第七批市级专家工作站</w:t>
      </w:r>
      <w:r>
        <w:rPr>
          <w:rFonts w:hint="eastAsia"/>
          <w:kern w:val="2"/>
          <w:szCs w:val="19"/>
        </w:rPr>
        <w:t>。</w:t>
      </w:r>
      <w:r>
        <w:rPr>
          <w:rFonts w:hint="eastAsia" w:ascii="Times New Roman" w:hAnsi="Times New Roman"/>
          <w:kern w:val="2"/>
        </w:rPr>
        <w:t>2024年，组织全区农技协开展新技术新品种示范推广培训20余场，推广白芷、大豆、524红苕种植等新型实用技术10余项，培训群众1000余人次。完成全区329个村全覆盖注册智慧科普传播员，全面构建起“扎根基层、服务群众、全域覆盖、高效协同”智慧科普传播体系，依托天府科技云服务智慧科普直达，实现有效科普传播传播10万余次；通过实施基层科协组织和创新能力建设，指导新建四川盛弘辉新能源科技有限公司企业科协、遂宁市安居区蔬菜产业互助协会，打造龙港社区科普活动室，协同推进基层治理，夯实了基层科协组织阵地，助力乡村振兴。</w:t>
      </w:r>
    </w:p>
    <w:p w14:paraId="7D1632FA">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color w:val="FF0000"/>
          <w:szCs w:val="32"/>
          <w:lang w:bidi="ar"/>
        </w:rPr>
      </w:pPr>
      <w:r>
        <w:rPr>
          <w:rFonts w:eastAsia="楷体_GB2312"/>
          <w:b/>
          <w:bCs/>
          <w:color w:val="000000"/>
          <w:szCs w:val="32"/>
          <w:shd w:val="clear" w:color="auto" w:fill="FFFFFF"/>
          <w:lang w:val="zh-CN"/>
        </w:rPr>
        <w:t>（</w:t>
      </w:r>
      <w:r>
        <w:rPr>
          <w:rFonts w:hint="eastAsia" w:eastAsia="楷体_GB2312"/>
          <w:b/>
          <w:bCs/>
          <w:color w:val="000000"/>
          <w:szCs w:val="32"/>
          <w:shd w:val="clear" w:color="auto" w:fill="FFFFFF"/>
          <w:lang w:val="zh-CN"/>
        </w:rPr>
        <w:t>三</w:t>
      </w:r>
      <w:r>
        <w:rPr>
          <w:rFonts w:eastAsia="楷体_GB2312"/>
          <w:b/>
          <w:bCs/>
          <w:color w:val="000000"/>
          <w:szCs w:val="32"/>
          <w:shd w:val="clear" w:color="auto" w:fill="FFFFFF"/>
          <w:lang w:val="zh-CN"/>
        </w:rPr>
        <w:t>）绩效结果应用情况</w:t>
      </w:r>
      <w:r>
        <w:rPr>
          <w:rFonts w:eastAsia="楷体_GB2312"/>
          <w:color w:val="000000"/>
          <w:szCs w:val="32"/>
          <w:shd w:val="clear" w:color="auto" w:fill="FFFFFF"/>
          <w:lang w:val="zh-CN"/>
        </w:rPr>
        <w:t>。</w:t>
      </w:r>
      <w:r>
        <w:rPr>
          <w:rFonts w:hint="eastAsia" w:ascii="仿宋" w:hAnsi="仿宋" w:eastAsia="仿宋" w:cs="仿宋"/>
          <w:color w:val="000000"/>
          <w:szCs w:val="32"/>
          <w:lang w:val="zh-CN"/>
        </w:rPr>
        <w:t>在今后编制预算时，</w:t>
      </w:r>
      <w:r>
        <w:rPr>
          <w:rFonts w:hint="eastAsia" w:ascii="仿宋" w:hAnsi="仿宋" w:eastAsia="仿宋" w:cs="仿宋"/>
          <w:color w:val="000000"/>
          <w:szCs w:val="32"/>
        </w:rPr>
        <w:t>根据信息公开</w:t>
      </w:r>
      <w:r>
        <w:rPr>
          <w:rFonts w:hint="eastAsia" w:ascii="仿宋" w:hAnsi="仿宋" w:eastAsia="仿宋" w:cs="仿宋"/>
          <w:color w:val="000000"/>
          <w:szCs w:val="32"/>
          <w:lang w:val="zh-CN"/>
        </w:rPr>
        <w:t>按要求将</w:t>
      </w:r>
      <w:r>
        <w:rPr>
          <w:rFonts w:hint="eastAsia" w:ascii="仿宋" w:hAnsi="仿宋" w:eastAsia="仿宋" w:cs="仿宋"/>
          <w:color w:val="000000"/>
          <w:szCs w:val="32"/>
        </w:rPr>
        <w:t>我单位</w:t>
      </w:r>
      <w:r>
        <w:rPr>
          <w:rFonts w:hint="eastAsia" w:ascii="仿宋" w:hAnsi="仿宋" w:eastAsia="仿宋" w:cs="仿宋"/>
          <w:color w:val="000000"/>
          <w:szCs w:val="32"/>
          <w:lang w:val="zh-CN"/>
        </w:rPr>
        <w:t>整体绩效自评情况和</w:t>
      </w:r>
      <w:r>
        <w:rPr>
          <w:rFonts w:hint="eastAsia" w:ascii="仿宋" w:hAnsi="仿宋" w:eastAsia="仿宋" w:cs="仿宋"/>
          <w:color w:val="000000"/>
          <w:szCs w:val="32"/>
        </w:rPr>
        <w:t>自</w:t>
      </w:r>
      <w:r>
        <w:rPr>
          <w:rFonts w:hint="eastAsia" w:ascii="仿宋" w:hAnsi="仿宋" w:eastAsia="仿宋" w:cs="仿宋"/>
          <w:color w:val="000000"/>
          <w:szCs w:val="32"/>
          <w:lang w:val="zh-CN"/>
        </w:rPr>
        <w:t>行组织的评价情况向社会公开；根据整改</w:t>
      </w:r>
      <w:r>
        <w:rPr>
          <w:rFonts w:hint="eastAsia" w:ascii="仿宋" w:hAnsi="仿宋" w:eastAsia="仿宋" w:cs="仿宋"/>
          <w:color w:val="000000"/>
          <w:szCs w:val="32"/>
        </w:rPr>
        <w:t>反馈</w:t>
      </w:r>
      <w:r>
        <w:rPr>
          <w:rFonts w:hint="eastAsia" w:ascii="仿宋" w:hAnsi="仿宋" w:eastAsia="仿宋" w:cs="仿宋"/>
          <w:color w:val="000000"/>
          <w:szCs w:val="32"/>
          <w:lang w:val="zh-CN"/>
        </w:rPr>
        <w:t>问题、完善政策、改进管理的情况</w:t>
      </w:r>
      <w:r>
        <w:rPr>
          <w:rFonts w:hint="eastAsia" w:ascii="仿宋" w:hAnsi="仿宋" w:eastAsia="仿宋" w:cs="仿宋"/>
          <w:color w:val="000000"/>
          <w:szCs w:val="32"/>
        </w:rPr>
        <w:t>并及时向财政部门反馈结果应用情况</w:t>
      </w:r>
      <w:r>
        <w:rPr>
          <w:rFonts w:hint="eastAsia" w:ascii="仿宋" w:hAnsi="仿宋" w:eastAsia="仿宋" w:cs="仿宋"/>
          <w:color w:val="000000"/>
          <w:szCs w:val="32"/>
          <w:lang w:val="zh-CN"/>
        </w:rPr>
        <w:t>；将绩效自评价结果作为改进预算管理和安排以后年度预算的重要依据</w:t>
      </w:r>
      <w:r>
        <w:rPr>
          <w:rFonts w:hint="eastAsia" w:ascii="仿宋_GB2312" w:cs="仿宋"/>
          <w:color w:val="000000"/>
          <w:szCs w:val="32"/>
          <w:lang w:val="zh-CN"/>
        </w:rPr>
        <w:t>。</w:t>
      </w:r>
    </w:p>
    <w:p w14:paraId="50D23E44">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eastAsia="黑体"/>
          <w:color w:val="000000"/>
          <w:szCs w:val="32"/>
          <w:shd w:val="clear" w:color="auto" w:fill="FFFFFF"/>
          <w:lang w:val="zh-CN"/>
        </w:rPr>
      </w:pPr>
      <w:r>
        <w:rPr>
          <w:rFonts w:eastAsia="黑体"/>
          <w:color w:val="000000"/>
          <w:szCs w:val="32"/>
          <w:shd w:val="clear" w:color="auto" w:fill="FFFFFF"/>
          <w:lang w:val="zh-CN"/>
        </w:rPr>
        <w:t>四、评价结论及建议</w:t>
      </w:r>
    </w:p>
    <w:p w14:paraId="5EDC4778">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eastAsia="楷体_GB2312"/>
          <w:b/>
          <w:bCs/>
          <w:color w:val="000000"/>
          <w:szCs w:val="32"/>
          <w:shd w:val="clear" w:color="auto" w:fill="FFFFFF"/>
          <w:lang w:val="zh-CN"/>
        </w:rPr>
      </w:pPr>
      <w:r>
        <w:rPr>
          <w:rFonts w:eastAsia="楷体_GB2312"/>
          <w:b/>
          <w:bCs/>
          <w:color w:val="000000"/>
          <w:szCs w:val="32"/>
          <w:shd w:val="clear" w:color="auto" w:fill="FFFFFF"/>
          <w:lang w:val="zh-CN"/>
        </w:rPr>
        <w:t>（一）评价结论。</w:t>
      </w:r>
    </w:p>
    <w:p w14:paraId="4A3A0415">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szCs w:val="32"/>
        </w:rPr>
      </w:pPr>
      <w:r>
        <w:rPr>
          <w:rFonts w:hint="eastAsia" w:ascii="仿宋" w:hAnsi="仿宋" w:eastAsia="仿宋" w:cs="仿宋"/>
          <w:color w:val="000000"/>
          <w:szCs w:val="32"/>
        </w:rPr>
        <w:t>项目目标申报科学合理，资金使用合规，绩效目标完成情况良好，自评得分</w:t>
      </w:r>
      <w:r>
        <w:rPr>
          <w:rFonts w:hint="eastAsia" w:ascii="Times New Roman" w:hAnsi="Times New Roman" w:eastAsia="仿宋" w:cs="仿宋"/>
          <w:color w:val="000000"/>
          <w:szCs w:val="32"/>
        </w:rPr>
        <w:t>95</w:t>
      </w:r>
      <w:r>
        <w:rPr>
          <w:rFonts w:hint="eastAsia" w:ascii="仿宋" w:hAnsi="仿宋" w:eastAsia="仿宋" w:cs="仿宋"/>
          <w:color w:val="000000"/>
          <w:szCs w:val="32"/>
        </w:rPr>
        <w:t>.</w:t>
      </w:r>
      <w:r>
        <w:rPr>
          <w:rFonts w:hint="eastAsia" w:ascii="Times New Roman" w:hAnsi="Times New Roman" w:eastAsia="仿宋" w:cs="仿宋"/>
          <w:color w:val="000000"/>
          <w:szCs w:val="32"/>
        </w:rPr>
        <w:t>4</w:t>
      </w:r>
      <w:r>
        <w:rPr>
          <w:rFonts w:hint="eastAsia" w:ascii="仿宋" w:hAnsi="仿宋" w:eastAsia="仿宋" w:cs="仿宋"/>
          <w:color w:val="000000"/>
          <w:szCs w:val="32"/>
        </w:rPr>
        <w:t>分</w:t>
      </w:r>
      <w:r>
        <w:rPr>
          <w:szCs w:val="32"/>
          <w:shd w:val="clear" w:color="auto" w:fill="FFFFFF"/>
        </w:rPr>
        <w:t>。</w:t>
      </w:r>
    </w:p>
    <w:p w14:paraId="667E3F1C">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b/>
          <w:bCs/>
          <w:szCs w:val="32"/>
        </w:rPr>
      </w:pPr>
      <w:r>
        <w:rPr>
          <w:rFonts w:hint="eastAsia" w:eastAsia="楷体_GB2312"/>
          <w:b/>
          <w:bCs/>
          <w:color w:val="000000"/>
          <w:szCs w:val="32"/>
          <w:shd w:val="clear" w:color="auto" w:fill="FFFFFF"/>
          <w:lang w:val="zh-CN"/>
        </w:rPr>
        <w:t>（二）</w:t>
      </w:r>
      <w:r>
        <w:rPr>
          <w:rFonts w:eastAsia="楷体_GB2312"/>
          <w:b/>
          <w:bCs/>
          <w:color w:val="000000"/>
          <w:szCs w:val="32"/>
          <w:shd w:val="clear" w:color="auto" w:fill="FFFFFF"/>
          <w:lang w:val="zh-CN"/>
        </w:rPr>
        <w:t>存在问题。</w:t>
      </w:r>
    </w:p>
    <w:p w14:paraId="3B6ED4F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 w:hAnsi="仿宋" w:eastAsia="仿宋" w:cs="仿宋"/>
          <w:color w:val="000000"/>
          <w:szCs w:val="32"/>
          <w:shd w:val="clear" w:color="auto" w:fill="FFFFFF"/>
        </w:rPr>
      </w:pPr>
      <w:r>
        <w:rPr>
          <w:rFonts w:hint="eastAsia" w:ascii="仿宋" w:hAnsi="仿宋" w:eastAsia="仿宋" w:cs="仿宋"/>
          <w:color w:val="000000"/>
          <w:szCs w:val="32"/>
        </w:rPr>
        <w:t>部门整体支出绩效目标需进一步细化。业务类支出未能根据部门职能及当年度工作规划等进行细化，不利于部门整体支出绩效评价工作的开展。</w:t>
      </w:r>
    </w:p>
    <w:p w14:paraId="4C5B97FE">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contextualSpacing/>
        <w:jc w:val="both"/>
        <w:textAlignment w:val="auto"/>
        <w:rPr>
          <w:szCs w:val="32"/>
          <w:shd w:val="clear" w:color="auto" w:fill="FFFFFF"/>
        </w:rPr>
      </w:pPr>
      <w:r>
        <w:rPr>
          <w:rFonts w:hint="eastAsia" w:eastAsia="楷体_GB2312"/>
          <w:b/>
          <w:bCs/>
          <w:color w:val="000000"/>
          <w:szCs w:val="32"/>
          <w:shd w:val="clear" w:color="auto" w:fill="FFFFFF"/>
          <w:lang w:val="en-US" w:eastAsia="zh-CN"/>
        </w:rPr>
        <w:t>（三）</w:t>
      </w:r>
      <w:r>
        <w:rPr>
          <w:rFonts w:eastAsia="楷体_GB2312"/>
          <w:b/>
          <w:bCs/>
          <w:color w:val="000000"/>
          <w:szCs w:val="32"/>
          <w:shd w:val="clear" w:color="auto" w:fill="FFFFFF"/>
          <w:lang w:val="zh-CN"/>
        </w:rPr>
        <w:t>改进建议。</w:t>
      </w:r>
      <w:bookmarkStart w:id="86" w:name="_Hlk110546638"/>
      <w:r>
        <w:rPr>
          <w:rFonts w:hint="eastAsia"/>
          <w:szCs w:val="32"/>
          <w:shd w:val="clear" w:color="auto" w:fill="FFFFFF"/>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84"/>
    </w:p>
    <w:p w14:paraId="6084F809">
      <w:pPr>
        <w:pStyle w:val="46"/>
        <w:spacing w:line="560" w:lineRule="exact"/>
        <w:rPr>
          <w:rFonts w:hint="eastAsia" w:ascii="Times New Roman"/>
          <w:lang w:val="zh-CN"/>
        </w:rPr>
      </w:pPr>
    </w:p>
    <w:p w14:paraId="119AB88C">
      <w:pPr>
        <w:pStyle w:val="46"/>
        <w:spacing w:line="560" w:lineRule="exact"/>
        <w:ind w:left="0" w:leftChars="0" w:firstLine="640" w:firstLineChars="200"/>
        <w:rPr>
          <w:rFonts w:hint="eastAsia" w:ascii="Times New Roman"/>
          <w:lang w:val="zh-CN"/>
        </w:rPr>
      </w:pPr>
      <w:r>
        <w:rPr>
          <w:rFonts w:hint="eastAsia" w:ascii="Times New Roman"/>
          <w:lang w:val="zh-CN"/>
        </w:rPr>
        <w:t>附表：</w:t>
      </w:r>
      <w:r>
        <w:rPr>
          <w:rFonts w:hint="eastAsia" w:ascii="Times New Roman"/>
          <w:lang w:val="en-US" w:eastAsia="zh-CN"/>
        </w:rPr>
        <w:t>1.</w:t>
      </w:r>
      <w:r>
        <w:rPr>
          <w:rFonts w:hint="eastAsia" w:ascii="Times New Roman"/>
          <w:lang w:val="zh-CN"/>
        </w:rPr>
        <w:t>部门整体支出绩效自评表</w:t>
      </w:r>
    </w:p>
    <w:p w14:paraId="71BB0811">
      <w:pPr>
        <w:pStyle w:val="46"/>
        <w:spacing w:line="560" w:lineRule="exact"/>
        <w:ind w:left="0" w:leftChars="0" w:firstLine="1600" w:firstLineChars="500"/>
        <w:rPr>
          <w:rFonts w:hint="eastAsia" w:ascii="Times New Roman"/>
          <w:lang w:val="zh-CN"/>
        </w:rPr>
      </w:pPr>
      <w:r>
        <w:rPr>
          <w:rFonts w:hint="eastAsia" w:ascii="Times New Roman"/>
          <w:lang w:val="en-US" w:eastAsia="zh-CN"/>
        </w:rPr>
        <w:t>2.</w:t>
      </w:r>
      <w:r>
        <w:rPr>
          <w:rFonts w:ascii="Times New Roman"/>
        </w:rPr>
        <w:t>部门预算项目支出绩效自评表（</w:t>
      </w:r>
      <w:r>
        <w:rPr>
          <w:rFonts w:ascii="Times New Roman" w:hAnsi="Times New Roman"/>
        </w:rPr>
        <w:t>202</w:t>
      </w:r>
      <w:r>
        <w:rPr>
          <w:rFonts w:hint="eastAsia" w:ascii="Times New Roman" w:hAnsi="Times New Roman"/>
        </w:rPr>
        <w:t>4</w:t>
      </w:r>
      <w:r>
        <w:rPr>
          <w:rFonts w:ascii="Times New Roman"/>
        </w:rPr>
        <w:t>年度）</w:t>
      </w:r>
    </w:p>
    <w:p w14:paraId="29D072A5">
      <w:pPr>
        <w:pStyle w:val="46"/>
        <w:spacing w:line="560" w:lineRule="exact"/>
        <w:rPr>
          <w:rFonts w:ascii="Times New Roman"/>
          <w:lang w:val="zh-CN"/>
        </w:rPr>
      </w:pPr>
    </w:p>
    <w:p w14:paraId="0D277520">
      <w:pPr>
        <w:pStyle w:val="46"/>
        <w:spacing w:line="560" w:lineRule="exact"/>
        <w:rPr>
          <w:rFonts w:ascii="Times New Roman"/>
          <w:lang w:val="zh-CN"/>
        </w:rPr>
        <w:sectPr>
          <w:footerReference r:id="rId6" w:type="default"/>
          <w:pgSz w:w="11905" w:h="16838"/>
          <w:pgMar w:top="2098" w:right="1474" w:bottom="1984" w:left="1587" w:header="851" w:footer="1587" w:gutter="0"/>
          <w:pgNumType w:fmt="decimal" w:start="1"/>
          <w:cols w:space="0" w:num="1"/>
          <w:rtlGutter w:val="0"/>
          <w:docGrid w:linePitch="0" w:charSpace="0"/>
        </w:sectPr>
      </w:pPr>
    </w:p>
    <w:p w14:paraId="4974E222">
      <w:pPr>
        <w:pStyle w:val="46"/>
        <w:spacing w:line="560" w:lineRule="exact"/>
        <w:ind w:left="0" w:leftChars="0" w:firstLine="0" w:firstLineChars="0"/>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color w:val="000000"/>
          <w:sz w:val="44"/>
          <w:szCs w:val="44"/>
        </w:rPr>
        <w:t>部门整体支出绩效自评表</w:t>
      </w:r>
    </w:p>
    <w:tbl>
      <w:tblPr>
        <w:tblStyle w:val="35"/>
        <w:tblW w:w="9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768"/>
        <w:gridCol w:w="1643"/>
        <w:gridCol w:w="768"/>
        <w:gridCol w:w="1414"/>
        <w:gridCol w:w="2262"/>
        <w:gridCol w:w="768"/>
        <w:gridCol w:w="1256"/>
      </w:tblGrid>
      <w:tr w14:paraId="78D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961" w:type="dxa"/>
            <w:gridSpan w:val="4"/>
            <w:shd w:val="clear" w:color="auto" w:fill="auto"/>
            <w:noWrap/>
            <w:vAlign w:val="center"/>
          </w:tcPr>
          <w:p w14:paraId="66E4853B">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绩效指标</w:t>
            </w:r>
          </w:p>
        </w:tc>
        <w:tc>
          <w:tcPr>
            <w:tcW w:w="1414" w:type="dxa"/>
            <w:vMerge w:val="restart"/>
            <w:shd w:val="clear" w:color="auto" w:fill="auto"/>
            <w:noWrap/>
            <w:vAlign w:val="center"/>
          </w:tcPr>
          <w:p w14:paraId="5C6D587E">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指标解释</w:t>
            </w:r>
          </w:p>
        </w:tc>
        <w:tc>
          <w:tcPr>
            <w:tcW w:w="2262" w:type="dxa"/>
            <w:vMerge w:val="restart"/>
            <w:shd w:val="clear" w:color="auto" w:fill="auto"/>
            <w:noWrap/>
            <w:vAlign w:val="center"/>
          </w:tcPr>
          <w:p w14:paraId="5EC979C3">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评分说明</w:t>
            </w:r>
          </w:p>
        </w:tc>
        <w:tc>
          <w:tcPr>
            <w:tcW w:w="768" w:type="dxa"/>
            <w:vMerge w:val="restart"/>
            <w:shd w:val="clear" w:color="auto" w:fill="auto"/>
            <w:noWrap/>
            <w:vAlign w:val="center"/>
          </w:tcPr>
          <w:p w14:paraId="295A8E34">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自评得分</w:t>
            </w:r>
          </w:p>
        </w:tc>
        <w:tc>
          <w:tcPr>
            <w:tcW w:w="1256" w:type="dxa"/>
            <w:vMerge w:val="restart"/>
            <w:shd w:val="clear" w:color="auto" w:fill="auto"/>
            <w:noWrap/>
            <w:vAlign w:val="center"/>
          </w:tcPr>
          <w:p w14:paraId="2A43C96E">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备注</w:t>
            </w:r>
          </w:p>
        </w:tc>
      </w:tr>
      <w:tr w14:paraId="5254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82" w:type="dxa"/>
            <w:shd w:val="clear" w:color="auto" w:fill="auto"/>
            <w:noWrap/>
            <w:vAlign w:val="center"/>
          </w:tcPr>
          <w:p w14:paraId="7301D72F">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一级指标</w:t>
            </w:r>
          </w:p>
        </w:tc>
        <w:tc>
          <w:tcPr>
            <w:tcW w:w="768" w:type="dxa"/>
            <w:shd w:val="clear" w:color="auto" w:fill="auto"/>
            <w:noWrap/>
            <w:vAlign w:val="center"/>
          </w:tcPr>
          <w:p w14:paraId="2A4C7D6B">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二级指标</w:t>
            </w:r>
          </w:p>
        </w:tc>
        <w:tc>
          <w:tcPr>
            <w:tcW w:w="1643" w:type="dxa"/>
            <w:shd w:val="clear" w:color="auto" w:fill="auto"/>
            <w:noWrap/>
            <w:vAlign w:val="center"/>
          </w:tcPr>
          <w:p w14:paraId="4D4CA40F">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三级指标</w:t>
            </w:r>
          </w:p>
        </w:tc>
        <w:tc>
          <w:tcPr>
            <w:tcW w:w="768" w:type="dxa"/>
            <w:shd w:val="clear" w:color="auto" w:fill="auto"/>
            <w:noWrap/>
            <w:vAlign w:val="center"/>
          </w:tcPr>
          <w:p w14:paraId="07F02694">
            <w:pPr>
              <w:widowControl/>
              <w:jc w:val="left"/>
              <w:rPr>
                <w:rFonts w:ascii="宋体" w:hAnsi="宋体" w:eastAsia="宋体" w:cs="宋体"/>
                <w:b/>
                <w:bCs/>
                <w:color w:val="000000"/>
                <w:sz w:val="22"/>
                <w:szCs w:val="22"/>
              </w:rPr>
            </w:pPr>
            <w:r>
              <w:rPr>
                <w:rFonts w:hint="eastAsia" w:ascii="宋体" w:hAnsi="宋体" w:eastAsia="宋体" w:cs="宋体"/>
                <w:b/>
                <w:bCs/>
                <w:color w:val="000000"/>
                <w:sz w:val="22"/>
                <w:szCs w:val="22"/>
              </w:rPr>
              <w:t>指标分值</w:t>
            </w:r>
          </w:p>
        </w:tc>
        <w:tc>
          <w:tcPr>
            <w:tcW w:w="1414" w:type="dxa"/>
            <w:vMerge w:val="continue"/>
            <w:vAlign w:val="center"/>
          </w:tcPr>
          <w:p w14:paraId="674ADDCC">
            <w:pPr>
              <w:widowControl/>
              <w:jc w:val="left"/>
              <w:rPr>
                <w:rFonts w:ascii="宋体" w:hAnsi="宋体" w:eastAsia="宋体" w:cs="宋体"/>
                <w:b/>
                <w:bCs/>
                <w:color w:val="000000"/>
                <w:sz w:val="22"/>
                <w:szCs w:val="22"/>
              </w:rPr>
            </w:pPr>
          </w:p>
        </w:tc>
        <w:tc>
          <w:tcPr>
            <w:tcW w:w="2262" w:type="dxa"/>
            <w:vMerge w:val="continue"/>
            <w:vAlign w:val="center"/>
          </w:tcPr>
          <w:p w14:paraId="4DA5DF4D">
            <w:pPr>
              <w:widowControl/>
              <w:jc w:val="left"/>
              <w:rPr>
                <w:rFonts w:ascii="宋体" w:hAnsi="宋体" w:eastAsia="宋体" w:cs="宋体"/>
                <w:b/>
                <w:bCs/>
                <w:color w:val="000000"/>
                <w:sz w:val="22"/>
                <w:szCs w:val="22"/>
              </w:rPr>
            </w:pPr>
          </w:p>
        </w:tc>
        <w:tc>
          <w:tcPr>
            <w:tcW w:w="768" w:type="dxa"/>
            <w:vMerge w:val="continue"/>
            <w:vAlign w:val="center"/>
          </w:tcPr>
          <w:p w14:paraId="46EE68EF">
            <w:pPr>
              <w:widowControl/>
              <w:jc w:val="left"/>
              <w:rPr>
                <w:rFonts w:ascii="宋体" w:hAnsi="宋体" w:eastAsia="宋体" w:cs="宋体"/>
                <w:b/>
                <w:bCs/>
                <w:color w:val="000000"/>
                <w:sz w:val="22"/>
                <w:szCs w:val="22"/>
              </w:rPr>
            </w:pPr>
          </w:p>
        </w:tc>
        <w:tc>
          <w:tcPr>
            <w:tcW w:w="1256" w:type="dxa"/>
            <w:vMerge w:val="continue"/>
            <w:vAlign w:val="center"/>
          </w:tcPr>
          <w:p w14:paraId="7211D5A0">
            <w:pPr>
              <w:widowControl/>
              <w:jc w:val="left"/>
              <w:rPr>
                <w:rFonts w:ascii="宋体" w:hAnsi="宋体" w:eastAsia="宋体" w:cs="宋体"/>
                <w:b/>
                <w:bCs/>
                <w:color w:val="000000"/>
                <w:sz w:val="22"/>
                <w:szCs w:val="22"/>
              </w:rPr>
            </w:pPr>
          </w:p>
        </w:tc>
      </w:tr>
      <w:tr w14:paraId="6228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2" w:type="dxa"/>
            <w:vMerge w:val="restart"/>
            <w:shd w:val="clear" w:color="auto" w:fill="auto"/>
            <w:vAlign w:val="center"/>
          </w:tcPr>
          <w:p w14:paraId="20677293">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总体绩效</w:t>
            </w:r>
            <w:r>
              <w:rPr>
                <w:rFonts w:hint="eastAsia" w:ascii="宋体" w:hAnsi="宋体" w:eastAsia="宋体" w:cs="宋体"/>
                <w:b/>
                <w:bCs/>
                <w:color w:val="000000"/>
                <w:sz w:val="22"/>
                <w:szCs w:val="22"/>
              </w:rPr>
              <w:br w:type="textWrapping"/>
            </w:r>
            <w:r>
              <w:rPr>
                <w:rFonts w:hint="eastAsia" w:ascii="宋体" w:hAnsi="宋体" w:eastAsia="宋体" w:cs="宋体"/>
                <w:b/>
                <w:bCs/>
                <w:color w:val="000000"/>
                <w:sz w:val="22"/>
                <w:szCs w:val="22"/>
              </w:rPr>
              <w:t>（</w:t>
            </w:r>
            <w:r>
              <w:rPr>
                <w:rFonts w:hint="eastAsia" w:ascii="Times New Roman" w:hAnsi="Times New Roman" w:eastAsia="宋体" w:cs="宋体"/>
                <w:b/>
                <w:bCs/>
                <w:color w:val="000000"/>
                <w:sz w:val="22"/>
                <w:szCs w:val="22"/>
              </w:rPr>
              <w:t>56</w:t>
            </w:r>
            <w:r>
              <w:rPr>
                <w:rFonts w:hint="eastAsia" w:ascii="宋体" w:hAnsi="宋体" w:eastAsia="宋体" w:cs="宋体"/>
                <w:b/>
                <w:bCs/>
                <w:color w:val="000000"/>
                <w:sz w:val="22"/>
                <w:szCs w:val="22"/>
              </w:rPr>
              <w:t>分）</w:t>
            </w:r>
          </w:p>
        </w:tc>
        <w:tc>
          <w:tcPr>
            <w:tcW w:w="768" w:type="dxa"/>
            <w:vMerge w:val="restart"/>
            <w:shd w:val="clear" w:color="auto" w:fill="auto"/>
            <w:vAlign w:val="center"/>
          </w:tcPr>
          <w:p w14:paraId="00700CDB">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履职效能</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10</w:t>
            </w:r>
            <w:r>
              <w:rPr>
                <w:rFonts w:hint="eastAsia" w:ascii="宋体" w:hAnsi="宋体" w:eastAsia="宋体" w:cs="宋体"/>
                <w:color w:val="000000"/>
                <w:sz w:val="22"/>
                <w:szCs w:val="22"/>
              </w:rPr>
              <w:t>分）</w:t>
            </w:r>
          </w:p>
        </w:tc>
        <w:tc>
          <w:tcPr>
            <w:tcW w:w="1643" w:type="dxa"/>
            <w:shd w:val="clear" w:color="auto" w:fill="auto"/>
            <w:vAlign w:val="center"/>
          </w:tcPr>
          <w:p w14:paraId="61D51E2A">
            <w:pPr>
              <w:widowControl/>
              <w:jc w:val="center"/>
              <w:rPr>
                <w:rFonts w:ascii="宋体" w:hAnsi="宋体" w:eastAsia="宋体" w:cs="宋体"/>
                <w:sz w:val="22"/>
                <w:szCs w:val="22"/>
              </w:rPr>
            </w:pPr>
            <w:r>
              <w:rPr>
                <w:rFonts w:hint="eastAsia" w:ascii="宋体" w:hAnsi="宋体" w:eastAsia="宋体" w:cs="宋体"/>
                <w:sz w:val="22"/>
                <w:szCs w:val="22"/>
              </w:rPr>
              <w:t>科普活动经费履职效果</w:t>
            </w:r>
          </w:p>
        </w:tc>
        <w:tc>
          <w:tcPr>
            <w:tcW w:w="768" w:type="dxa"/>
            <w:vMerge w:val="restart"/>
            <w:shd w:val="clear" w:color="auto" w:fill="auto"/>
            <w:noWrap/>
            <w:vAlign w:val="center"/>
          </w:tcPr>
          <w:p w14:paraId="1FF1B6AA">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10</w:t>
            </w:r>
          </w:p>
        </w:tc>
        <w:tc>
          <w:tcPr>
            <w:tcW w:w="1414" w:type="dxa"/>
            <w:vMerge w:val="restart"/>
            <w:shd w:val="clear" w:color="auto" w:fill="auto"/>
            <w:vAlign w:val="center"/>
          </w:tcPr>
          <w:p w14:paraId="7A16BD3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部门整体绩效目标中选定</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个核心职能目标，反映该项职能目标完成效果情况</w:t>
            </w:r>
          </w:p>
        </w:tc>
        <w:tc>
          <w:tcPr>
            <w:tcW w:w="2262" w:type="dxa"/>
            <w:vMerge w:val="restart"/>
            <w:shd w:val="clear" w:color="auto" w:fill="auto"/>
            <w:vAlign w:val="center"/>
          </w:tcPr>
          <w:p w14:paraId="5911E14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部门整体绩效目标中选定</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个可量化计算、可评价的核心职能目标，分别设定指标分值、指标解释、评分方法和评分说明，总分值不超过</w:t>
            </w:r>
            <w:r>
              <w:rPr>
                <w:rFonts w:hint="eastAsia" w:ascii="Times New Roman" w:hAnsi="Times New Roman" w:eastAsia="宋体" w:cs="宋体"/>
                <w:color w:val="000000"/>
                <w:sz w:val="22"/>
                <w:szCs w:val="22"/>
              </w:rPr>
              <w:t>10</w:t>
            </w:r>
            <w:r>
              <w:rPr>
                <w:rFonts w:hint="eastAsia" w:ascii="宋体" w:hAnsi="宋体" w:eastAsia="宋体" w:cs="宋体"/>
                <w:color w:val="000000"/>
                <w:sz w:val="22"/>
                <w:szCs w:val="22"/>
              </w:rPr>
              <w:t>分。该项指标得分=年终完成履职效果目标数量÷年初目标设置总数×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%×指标分值。履职效能总分为各项履职效果得分的和。</w:t>
            </w:r>
          </w:p>
        </w:tc>
        <w:tc>
          <w:tcPr>
            <w:tcW w:w="768" w:type="dxa"/>
            <w:shd w:val="clear" w:color="auto" w:fill="auto"/>
            <w:noWrap/>
            <w:vAlign w:val="center"/>
          </w:tcPr>
          <w:p w14:paraId="49218161">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p>
        </w:tc>
        <w:tc>
          <w:tcPr>
            <w:tcW w:w="1256" w:type="dxa"/>
            <w:shd w:val="clear" w:color="auto" w:fill="auto"/>
            <w:noWrap/>
            <w:vAlign w:val="center"/>
          </w:tcPr>
          <w:p w14:paraId="3A12004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7CEB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82" w:type="dxa"/>
            <w:vMerge w:val="continue"/>
            <w:vAlign w:val="center"/>
          </w:tcPr>
          <w:p w14:paraId="2EFEAC49">
            <w:pPr>
              <w:widowControl/>
              <w:jc w:val="left"/>
              <w:rPr>
                <w:rFonts w:ascii="宋体" w:hAnsi="宋体" w:eastAsia="宋体" w:cs="宋体"/>
                <w:b/>
                <w:bCs/>
                <w:color w:val="000000"/>
                <w:sz w:val="22"/>
                <w:szCs w:val="22"/>
              </w:rPr>
            </w:pPr>
          </w:p>
        </w:tc>
        <w:tc>
          <w:tcPr>
            <w:tcW w:w="768" w:type="dxa"/>
            <w:vMerge w:val="continue"/>
            <w:vAlign w:val="center"/>
          </w:tcPr>
          <w:p w14:paraId="03AF0E91">
            <w:pPr>
              <w:widowControl/>
              <w:jc w:val="left"/>
              <w:rPr>
                <w:rFonts w:ascii="宋体" w:hAnsi="宋体" w:eastAsia="宋体" w:cs="宋体"/>
                <w:color w:val="000000"/>
                <w:sz w:val="22"/>
                <w:szCs w:val="22"/>
              </w:rPr>
            </w:pPr>
          </w:p>
        </w:tc>
        <w:tc>
          <w:tcPr>
            <w:tcW w:w="1643" w:type="dxa"/>
            <w:shd w:val="clear" w:color="auto" w:fill="auto"/>
            <w:vAlign w:val="center"/>
          </w:tcPr>
          <w:p w14:paraId="17896FEF">
            <w:pPr>
              <w:widowControl/>
              <w:jc w:val="center"/>
              <w:rPr>
                <w:rFonts w:ascii="宋体" w:hAnsi="宋体" w:eastAsia="宋体" w:cs="宋体"/>
                <w:sz w:val="22"/>
                <w:szCs w:val="22"/>
              </w:rPr>
            </w:pPr>
            <w:r>
              <w:rPr>
                <w:rFonts w:hint="eastAsia" w:ascii="宋体" w:hAnsi="宋体" w:eastAsia="宋体" w:cs="宋体"/>
                <w:sz w:val="22"/>
                <w:szCs w:val="22"/>
              </w:rPr>
              <w:t>天府科技云服务履职效果</w:t>
            </w:r>
          </w:p>
        </w:tc>
        <w:tc>
          <w:tcPr>
            <w:tcW w:w="768" w:type="dxa"/>
            <w:vMerge w:val="continue"/>
            <w:vAlign w:val="center"/>
          </w:tcPr>
          <w:p w14:paraId="09424E3E">
            <w:pPr>
              <w:widowControl/>
              <w:jc w:val="left"/>
              <w:rPr>
                <w:rFonts w:ascii="宋体" w:hAnsi="宋体" w:eastAsia="宋体" w:cs="宋体"/>
                <w:color w:val="000000"/>
                <w:sz w:val="22"/>
                <w:szCs w:val="22"/>
              </w:rPr>
            </w:pPr>
          </w:p>
        </w:tc>
        <w:tc>
          <w:tcPr>
            <w:tcW w:w="1414" w:type="dxa"/>
            <w:vMerge w:val="continue"/>
            <w:vAlign w:val="center"/>
          </w:tcPr>
          <w:p w14:paraId="7996D6CF">
            <w:pPr>
              <w:widowControl/>
              <w:jc w:val="left"/>
              <w:rPr>
                <w:rFonts w:ascii="宋体" w:hAnsi="宋体" w:eastAsia="宋体" w:cs="宋体"/>
                <w:color w:val="000000"/>
                <w:sz w:val="22"/>
                <w:szCs w:val="22"/>
              </w:rPr>
            </w:pPr>
          </w:p>
        </w:tc>
        <w:tc>
          <w:tcPr>
            <w:tcW w:w="2262" w:type="dxa"/>
            <w:vMerge w:val="continue"/>
            <w:vAlign w:val="center"/>
          </w:tcPr>
          <w:p w14:paraId="059F3D01">
            <w:pPr>
              <w:widowControl/>
              <w:jc w:val="left"/>
              <w:rPr>
                <w:rFonts w:ascii="宋体" w:hAnsi="宋体" w:eastAsia="宋体" w:cs="宋体"/>
                <w:color w:val="000000"/>
                <w:sz w:val="22"/>
                <w:szCs w:val="22"/>
              </w:rPr>
            </w:pPr>
          </w:p>
        </w:tc>
        <w:tc>
          <w:tcPr>
            <w:tcW w:w="768" w:type="dxa"/>
            <w:shd w:val="clear" w:color="auto" w:fill="auto"/>
            <w:noWrap/>
            <w:vAlign w:val="center"/>
          </w:tcPr>
          <w:p w14:paraId="40843396">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p>
        </w:tc>
        <w:tc>
          <w:tcPr>
            <w:tcW w:w="1256" w:type="dxa"/>
            <w:shd w:val="clear" w:color="auto" w:fill="auto"/>
            <w:noWrap/>
            <w:vAlign w:val="center"/>
          </w:tcPr>
          <w:p w14:paraId="0855C8F2">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2755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82" w:type="dxa"/>
            <w:vMerge w:val="continue"/>
            <w:vAlign w:val="center"/>
          </w:tcPr>
          <w:p w14:paraId="6298E756">
            <w:pPr>
              <w:widowControl/>
              <w:jc w:val="left"/>
              <w:rPr>
                <w:rFonts w:ascii="宋体" w:hAnsi="宋体" w:eastAsia="宋体" w:cs="宋体"/>
                <w:b/>
                <w:bCs/>
                <w:color w:val="000000"/>
                <w:sz w:val="22"/>
                <w:szCs w:val="22"/>
              </w:rPr>
            </w:pPr>
          </w:p>
        </w:tc>
        <w:tc>
          <w:tcPr>
            <w:tcW w:w="768" w:type="dxa"/>
            <w:vMerge w:val="continue"/>
            <w:vAlign w:val="center"/>
          </w:tcPr>
          <w:p w14:paraId="1B741547">
            <w:pPr>
              <w:widowControl/>
              <w:jc w:val="left"/>
              <w:rPr>
                <w:rFonts w:ascii="宋体" w:hAnsi="宋体" w:eastAsia="宋体" w:cs="宋体"/>
                <w:color w:val="000000"/>
                <w:sz w:val="22"/>
                <w:szCs w:val="22"/>
              </w:rPr>
            </w:pPr>
          </w:p>
        </w:tc>
        <w:tc>
          <w:tcPr>
            <w:tcW w:w="1643" w:type="dxa"/>
            <w:shd w:val="clear" w:color="auto" w:fill="auto"/>
            <w:vAlign w:val="center"/>
          </w:tcPr>
          <w:p w14:paraId="4F399C73">
            <w:pPr>
              <w:widowControl/>
              <w:jc w:val="center"/>
              <w:rPr>
                <w:rFonts w:ascii="宋体" w:hAnsi="宋体" w:eastAsia="宋体" w:cs="宋体"/>
                <w:sz w:val="22"/>
                <w:szCs w:val="22"/>
              </w:rPr>
            </w:pPr>
            <w:r>
              <w:rPr>
                <w:rFonts w:hint="eastAsia" w:ascii="宋体" w:hAnsi="宋体" w:eastAsia="宋体" w:cs="宋体"/>
                <w:sz w:val="22"/>
                <w:szCs w:val="22"/>
              </w:rPr>
              <w:t>天府科技云服务（</w:t>
            </w:r>
            <w:r>
              <w:rPr>
                <w:rFonts w:hint="eastAsia" w:ascii="Times New Roman" w:hAnsi="Times New Roman" w:eastAsia="宋体" w:cs="宋体"/>
                <w:sz w:val="22"/>
                <w:szCs w:val="22"/>
              </w:rPr>
              <w:t>2023</w:t>
            </w:r>
            <w:r>
              <w:rPr>
                <w:rFonts w:hint="eastAsia" w:ascii="宋体" w:hAnsi="宋体" w:eastAsia="宋体" w:cs="宋体"/>
                <w:sz w:val="22"/>
                <w:szCs w:val="22"/>
              </w:rPr>
              <w:t>年）履职效果</w:t>
            </w:r>
          </w:p>
        </w:tc>
        <w:tc>
          <w:tcPr>
            <w:tcW w:w="768" w:type="dxa"/>
            <w:vMerge w:val="continue"/>
            <w:vAlign w:val="center"/>
          </w:tcPr>
          <w:p w14:paraId="5A53ABDA">
            <w:pPr>
              <w:widowControl/>
              <w:jc w:val="left"/>
              <w:rPr>
                <w:rFonts w:ascii="宋体" w:hAnsi="宋体" w:eastAsia="宋体" w:cs="宋体"/>
                <w:color w:val="000000"/>
                <w:sz w:val="22"/>
                <w:szCs w:val="22"/>
              </w:rPr>
            </w:pPr>
          </w:p>
        </w:tc>
        <w:tc>
          <w:tcPr>
            <w:tcW w:w="1414" w:type="dxa"/>
            <w:vMerge w:val="continue"/>
            <w:vAlign w:val="center"/>
          </w:tcPr>
          <w:p w14:paraId="6CB02235">
            <w:pPr>
              <w:widowControl/>
              <w:jc w:val="left"/>
              <w:rPr>
                <w:rFonts w:ascii="宋体" w:hAnsi="宋体" w:eastAsia="宋体" w:cs="宋体"/>
                <w:color w:val="000000"/>
                <w:sz w:val="22"/>
                <w:szCs w:val="22"/>
              </w:rPr>
            </w:pPr>
          </w:p>
        </w:tc>
        <w:tc>
          <w:tcPr>
            <w:tcW w:w="2262" w:type="dxa"/>
            <w:vMerge w:val="continue"/>
            <w:vAlign w:val="center"/>
          </w:tcPr>
          <w:p w14:paraId="7847C4E1">
            <w:pPr>
              <w:widowControl/>
              <w:jc w:val="left"/>
              <w:rPr>
                <w:rFonts w:ascii="宋体" w:hAnsi="宋体" w:eastAsia="宋体" w:cs="宋体"/>
                <w:color w:val="000000"/>
                <w:sz w:val="22"/>
                <w:szCs w:val="22"/>
              </w:rPr>
            </w:pPr>
          </w:p>
        </w:tc>
        <w:tc>
          <w:tcPr>
            <w:tcW w:w="768" w:type="dxa"/>
            <w:shd w:val="clear" w:color="auto" w:fill="auto"/>
            <w:noWrap/>
            <w:vAlign w:val="center"/>
          </w:tcPr>
          <w:p w14:paraId="7E84227D">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p>
        </w:tc>
        <w:tc>
          <w:tcPr>
            <w:tcW w:w="1256" w:type="dxa"/>
            <w:shd w:val="clear" w:color="auto" w:fill="auto"/>
            <w:noWrap/>
            <w:vAlign w:val="center"/>
          </w:tcPr>
          <w:p w14:paraId="16D3F51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49C1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82" w:type="dxa"/>
            <w:vMerge w:val="continue"/>
            <w:vAlign w:val="center"/>
          </w:tcPr>
          <w:p w14:paraId="7D6DC01A">
            <w:pPr>
              <w:widowControl/>
              <w:jc w:val="left"/>
              <w:rPr>
                <w:rFonts w:ascii="宋体" w:hAnsi="宋体" w:eastAsia="宋体" w:cs="宋体"/>
                <w:b/>
                <w:bCs/>
                <w:color w:val="000000"/>
                <w:sz w:val="22"/>
                <w:szCs w:val="22"/>
              </w:rPr>
            </w:pPr>
          </w:p>
        </w:tc>
        <w:tc>
          <w:tcPr>
            <w:tcW w:w="768" w:type="dxa"/>
            <w:vMerge w:val="continue"/>
            <w:vAlign w:val="center"/>
          </w:tcPr>
          <w:p w14:paraId="3CC85384">
            <w:pPr>
              <w:widowControl/>
              <w:jc w:val="left"/>
              <w:rPr>
                <w:rFonts w:ascii="宋体" w:hAnsi="宋体" w:eastAsia="宋体" w:cs="宋体"/>
                <w:color w:val="000000"/>
                <w:sz w:val="22"/>
                <w:szCs w:val="22"/>
              </w:rPr>
            </w:pPr>
          </w:p>
        </w:tc>
        <w:tc>
          <w:tcPr>
            <w:tcW w:w="1643" w:type="dxa"/>
            <w:shd w:val="clear" w:color="auto" w:fill="auto"/>
            <w:vAlign w:val="center"/>
          </w:tcPr>
          <w:p w14:paraId="4CCEFD20">
            <w:pPr>
              <w:widowControl/>
              <w:jc w:val="center"/>
              <w:rPr>
                <w:rFonts w:ascii="宋体" w:hAnsi="宋体" w:eastAsia="宋体" w:cs="宋体"/>
                <w:sz w:val="22"/>
                <w:szCs w:val="22"/>
              </w:rPr>
            </w:pPr>
            <w:r>
              <w:rPr>
                <w:rFonts w:hint="eastAsia" w:ascii="宋体" w:hAnsi="宋体" w:eastAsia="宋体" w:cs="宋体"/>
                <w:sz w:val="22"/>
                <w:szCs w:val="22"/>
              </w:rPr>
              <w:t>科普活动经费（</w:t>
            </w:r>
            <w:r>
              <w:rPr>
                <w:rFonts w:hint="eastAsia" w:ascii="Times New Roman" w:hAnsi="Times New Roman" w:eastAsia="宋体" w:cs="宋体"/>
                <w:sz w:val="22"/>
                <w:szCs w:val="22"/>
              </w:rPr>
              <w:t>2023</w:t>
            </w:r>
            <w:r>
              <w:rPr>
                <w:rFonts w:hint="eastAsia" w:ascii="宋体" w:hAnsi="宋体" w:eastAsia="宋体" w:cs="宋体"/>
                <w:sz w:val="22"/>
                <w:szCs w:val="22"/>
              </w:rPr>
              <w:t>年）履职效果</w:t>
            </w:r>
          </w:p>
        </w:tc>
        <w:tc>
          <w:tcPr>
            <w:tcW w:w="768" w:type="dxa"/>
            <w:vMerge w:val="continue"/>
            <w:vAlign w:val="center"/>
          </w:tcPr>
          <w:p w14:paraId="35553664">
            <w:pPr>
              <w:widowControl/>
              <w:jc w:val="left"/>
              <w:rPr>
                <w:rFonts w:ascii="宋体" w:hAnsi="宋体" w:eastAsia="宋体" w:cs="宋体"/>
                <w:color w:val="000000"/>
                <w:sz w:val="22"/>
                <w:szCs w:val="22"/>
              </w:rPr>
            </w:pPr>
          </w:p>
        </w:tc>
        <w:tc>
          <w:tcPr>
            <w:tcW w:w="1414" w:type="dxa"/>
            <w:vMerge w:val="continue"/>
            <w:vAlign w:val="center"/>
          </w:tcPr>
          <w:p w14:paraId="0881B39C">
            <w:pPr>
              <w:widowControl/>
              <w:jc w:val="left"/>
              <w:rPr>
                <w:rFonts w:ascii="宋体" w:hAnsi="宋体" w:eastAsia="宋体" w:cs="宋体"/>
                <w:color w:val="000000"/>
                <w:sz w:val="22"/>
                <w:szCs w:val="22"/>
              </w:rPr>
            </w:pPr>
          </w:p>
        </w:tc>
        <w:tc>
          <w:tcPr>
            <w:tcW w:w="2262" w:type="dxa"/>
            <w:vMerge w:val="continue"/>
            <w:vAlign w:val="center"/>
          </w:tcPr>
          <w:p w14:paraId="643EB8FB">
            <w:pPr>
              <w:widowControl/>
              <w:jc w:val="left"/>
              <w:rPr>
                <w:rFonts w:ascii="宋体" w:hAnsi="宋体" w:eastAsia="宋体" w:cs="宋体"/>
                <w:color w:val="000000"/>
                <w:sz w:val="22"/>
                <w:szCs w:val="22"/>
              </w:rPr>
            </w:pPr>
          </w:p>
        </w:tc>
        <w:tc>
          <w:tcPr>
            <w:tcW w:w="768" w:type="dxa"/>
            <w:shd w:val="clear" w:color="auto" w:fill="auto"/>
            <w:noWrap/>
            <w:vAlign w:val="center"/>
          </w:tcPr>
          <w:p w14:paraId="023DD859">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p>
        </w:tc>
        <w:tc>
          <w:tcPr>
            <w:tcW w:w="1256" w:type="dxa"/>
            <w:shd w:val="clear" w:color="auto" w:fill="auto"/>
            <w:noWrap/>
            <w:vAlign w:val="center"/>
          </w:tcPr>
          <w:p w14:paraId="7E58E808">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142C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82" w:type="dxa"/>
            <w:vMerge w:val="continue"/>
            <w:vAlign w:val="center"/>
          </w:tcPr>
          <w:p w14:paraId="796BCE41">
            <w:pPr>
              <w:widowControl/>
              <w:jc w:val="left"/>
              <w:rPr>
                <w:rFonts w:ascii="宋体" w:hAnsi="宋体" w:eastAsia="宋体" w:cs="宋体"/>
                <w:b/>
                <w:bCs/>
                <w:color w:val="000000"/>
                <w:sz w:val="22"/>
                <w:szCs w:val="22"/>
              </w:rPr>
            </w:pPr>
          </w:p>
        </w:tc>
        <w:tc>
          <w:tcPr>
            <w:tcW w:w="768" w:type="dxa"/>
            <w:vMerge w:val="continue"/>
            <w:vAlign w:val="center"/>
          </w:tcPr>
          <w:p w14:paraId="5E47AEEB">
            <w:pPr>
              <w:widowControl/>
              <w:jc w:val="left"/>
              <w:rPr>
                <w:rFonts w:ascii="宋体" w:hAnsi="宋体" w:eastAsia="宋体" w:cs="宋体"/>
                <w:color w:val="000000"/>
                <w:sz w:val="22"/>
                <w:szCs w:val="22"/>
              </w:rPr>
            </w:pPr>
          </w:p>
        </w:tc>
        <w:tc>
          <w:tcPr>
            <w:tcW w:w="1643" w:type="dxa"/>
            <w:shd w:val="clear" w:color="auto" w:fill="auto"/>
            <w:noWrap/>
            <w:vAlign w:val="center"/>
          </w:tcPr>
          <w:p w14:paraId="2397EF3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768" w:type="dxa"/>
            <w:vMerge w:val="continue"/>
            <w:vAlign w:val="center"/>
          </w:tcPr>
          <w:p w14:paraId="64D0435E">
            <w:pPr>
              <w:widowControl/>
              <w:jc w:val="left"/>
              <w:rPr>
                <w:rFonts w:ascii="宋体" w:hAnsi="宋体" w:eastAsia="宋体" w:cs="宋体"/>
                <w:color w:val="000000"/>
                <w:sz w:val="22"/>
                <w:szCs w:val="22"/>
              </w:rPr>
            </w:pPr>
          </w:p>
        </w:tc>
        <w:tc>
          <w:tcPr>
            <w:tcW w:w="1414" w:type="dxa"/>
            <w:vMerge w:val="continue"/>
            <w:vAlign w:val="center"/>
          </w:tcPr>
          <w:p w14:paraId="2EC28AE5">
            <w:pPr>
              <w:widowControl/>
              <w:jc w:val="left"/>
              <w:rPr>
                <w:rFonts w:ascii="宋体" w:hAnsi="宋体" w:eastAsia="宋体" w:cs="宋体"/>
                <w:color w:val="000000"/>
                <w:sz w:val="22"/>
                <w:szCs w:val="22"/>
              </w:rPr>
            </w:pPr>
          </w:p>
        </w:tc>
        <w:tc>
          <w:tcPr>
            <w:tcW w:w="2262" w:type="dxa"/>
            <w:vMerge w:val="continue"/>
            <w:vAlign w:val="center"/>
          </w:tcPr>
          <w:p w14:paraId="37F66142">
            <w:pPr>
              <w:widowControl/>
              <w:jc w:val="left"/>
              <w:rPr>
                <w:rFonts w:ascii="宋体" w:hAnsi="宋体" w:eastAsia="宋体" w:cs="宋体"/>
                <w:color w:val="000000"/>
                <w:sz w:val="22"/>
                <w:szCs w:val="22"/>
              </w:rPr>
            </w:pPr>
          </w:p>
        </w:tc>
        <w:tc>
          <w:tcPr>
            <w:tcW w:w="768" w:type="dxa"/>
            <w:shd w:val="clear" w:color="auto" w:fill="auto"/>
            <w:noWrap/>
            <w:vAlign w:val="center"/>
          </w:tcPr>
          <w:p w14:paraId="59ED9F5D">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03E26BA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4F2C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782" w:type="dxa"/>
            <w:vMerge w:val="continue"/>
            <w:vAlign w:val="center"/>
          </w:tcPr>
          <w:p w14:paraId="4AB33B8C">
            <w:pPr>
              <w:widowControl/>
              <w:jc w:val="left"/>
              <w:rPr>
                <w:rFonts w:ascii="宋体" w:hAnsi="宋体" w:eastAsia="宋体" w:cs="宋体"/>
                <w:b/>
                <w:bCs/>
                <w:color w:val="000000"/>
                <w:sz w:val="22"/>
                <w:szCs w:val="22"/>
              </w:rPr>
            </w:pPr>
          </w:p>
        </w:tc>
        <w:tc>
          <w:tcPr>
            <w:tcW w:w="768" w:type="dxa"/>
            <w:vMerge w:val="restart"/>
            <w:shd w:val="clear" w:color="auto" w:fill="auto"/>
            <w:vAlign w:val="center"/>
          </w:tcPr>
          <w:p w14:paraId="22DFBF4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预算管理</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31</w:t>
            </w:r>
            <w:r>
              <w:rPr>
                <w:rFonts w:hint="eastAsia" w:ascii="宋体" w:hAnsi="宋体" w:eastAsia="宋体" w:cs="宋体"/>
                <w:color w:val="000000"/>
                <w:sz w:val="22"/>
                <w:szCs w:val="22"/>
              </w:rPr>
              <w:t>分）</w:t>
            </w:r>
          </w:p>
        </w:tc>
        <w:tc>
          <w:tcPr>
            <w:tcW w:w="1643" w:type="dxa"/>
            <w:shd w:val="clear" w:color="auto" w:fill="auto"/>
            <w:noWrap/>
            <w:vAlign w:val="center"/>
          </w:tcPr>
          <w:p w14:paraId="550C9FC4">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预算编制质量</w:t>
            </w:r>
          </w:p>
        </w:tc>
        <w:tc>
          <w:tcPr>
            <w:tcW w:w="768" w:type="dxa"/>
            <w:shd w:val="clear" w:color="auto" w:fill="auto"/>
            <w:noWrap/>
            <w:vAlign w:val="center"/>
          </w:tcPr>
          <w:p w14:paraId="26DB440F">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8</w:t>
            </w:r>
          </w:p>
        </w:tc>
        <w:tc>
          <w:tcPr>
            <w:tcW w:w="1414" w:type="dxa"/>
            <w:shd w:val="clear" w:color="auto" w:fill="auto"/>
            <w:vAlign w:val="center"/>
          </w:tcPr>
          <w:p w14:paraId="7A611D5F">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部门是否严格按要求编制年初部门预算，年初预算编制的科学性和准确性</w:t>
            </w:r>
          </w:p>
        </w:tc>
        <w:tc>
          <w:tcPr>
            <w:tcW w:w="2262" w:type="dxa"/>
            <w:shd w:val="clear" w:color="auto" w:fill="auto"/>
            <w:vAlign w:val="center"/>
          </w:tcPr>
          <w:p w14:paraId="1DF7B07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-财政拨款预算偏离度）×</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。偏离度=|预算执行数-调整预算数|÷调整预算数。</w:t>
            </w:r>
          </w:p>
        </w:tc>
        <w:tc>
          <w:tcPr>
            <w:tcW w:w="768" w:type="dxa"/>
            <w:shd w:val="clear" w:color="auto" w:fill="auto"/>
            <w:noWrap/>
            <w:vAlign w:val="center"/>
          </w:tcPr>
          <w:p w14:paraId="05459BCB">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8</w:t>
            </w:r>
          </w:p>
        </w:tc>
        <w:tc>
          <w:tcPr>
            <w:tcW w:w="1256" w:type="dxa"/>
            <w:shd w:val="clear" w:color="auto" w:fill="auto"/>
            <w:noWrap/>
            <w:vAlign w:val="center"/>
          </w:tcPr>
          <w:p w14:paraId="7683B10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370A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782" w:type="dxa"/>
            <w:vMerge w:val="continue"/>
            <w:vAlign w:val="center"/>
          </w:tcPr>
          <w:p w14:paraId="5DBEE9D7">
            <w:pPr>
              <w:widowControl/>
              <w:jc w:val="left"/>
              <w:rPr>
                <w:rFonts w:ascii="宋体" w:hAnsi="宋体" w:eastAsia="宋体" w:cs="宋体"/>
                <w:b/>
                <w:bCs/>
                <w:color w:val="000000"/>
                <w:sz w:val="22"/>
                <w:szCs w:val="22"/>
              </w:rPr>
            </w:pPr>
          </w:p>
        </w:tc>
        <w:tc>
          <w:tcPr>
            <w:tcW w:w="768" w:type="dxa"/>
            <w:vMerge w:val="continue"/>
            <w:vAlign w:val="center"/>
          </w:tcPr>
          <w:p w14:paraId="07F8C7E9">
            <w:pPr>
              <w:widowControl/>
              <w:jc w:val="left"/>
              <w:rPr>
                <w:rFonts w:ascii="宋体" w:hAnsi="宋体" w:eastAsia="宋体" w:cs="宋体"/>
                <w:color w:val="000000"/>
                <w:sz w:val="22"/>
                <w:szCs w:val="22"/>
              </w:rPr>
            </w:pPr>
          </w:p>
        </w:tc>
        <w:tc>
          <w:tcPr>
            <w:tcW w:w="1643" w:type="dxa"/>
            <w:shd w:val="clear" w:color="auto" w:fill="auto"/>
            <w:noWrap/>
            <w:vAlign w:val="center"/>
          </w:tcPr>
          <w:p w14:paraId="386D2F78">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支出执行进度</w:t>
            </w:r>
          </w:p>
        </w:tc>
        <w:tc>
          <w:tcPr>
            <w:tcW w:w="768" w:type="dxa"/>
            <w:shd w:val="clear" w:color="auto" w:fill="auto"/>
            <w:noWrap/>
            <w:vAlign w:val="center"/>
          </w:tcPr>
          <w:p w14:paraId="2AA4A318">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9</w:t>
            </w:r>
          </w:p>
        </w:tc>
        <w:tc>
          <w:tcPr>
            <w:tcW w:w="1414" w:type="dxa"/>
            <w:shd w:val="clear" w:color="auto" w:fill="auto"/>
            <w:vAlign w:val="center"/>
          </w:tcPr>
          <w:p w14:paraId="7CD5A2D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至</w:t>
            </w:r>
            <w:r>
              <w:rPr>
                <w:rFonts w:hint="eastAsia" w:ascii="Times New Roman" w:hAnsi="Times New Roman" w:eastAsia="宋体" w:cs="宋体"/>
                <w:color w:val="000000"/>
                <w:sz w:val="22"/>
                <w:szCs w:val="22"/>
              </w:rPr>
              <w:t>12</w:t>
            </w:r>
            <w:r>
              <w:rPr>
                <w:rFonts w:hint="eastAsia" w:ascii="宋体" w:hAnsi="宋体" w:eastAsia="宋体" w:cs="宋体"/>
                <w:color w:val="000000"/>
                <w:sz w:val="22"/>
                <w:szCs w:val="22"/>
              </w:rPr>
              <w:t>月预算执行情况</w:t>
            </w:r>
          </w:p>
        </w:tc>
        <w:tc>
          <w:tcPr>
            <w:tcW w:w="2262" w:type="dxa"/>
            <w:shd w:val="clear" w:color="auto" w:fill="auto"/>
            <w:vAlign w:val="center"/>
          </w:tcPr>
          <w:p w14:paraId="11433F66">
            <w:pPr>
              <w:widowControl/>
              <w:jc w:val="left"/>
              <w:rPr>
                <w:rFonts w:ascii="宋体" w:hAnsi="宋体" w:eastAsia="宋体" w:cs="宋体"/>
                <w:sz w:val="22"/>
                <w:szCs w:val="22"/>
              </w:rPr>
            </w:pPr>
            <w:r>
              <w:rPr>
                <w:rFonts w:hint="eastAsia" w:ascii="宋体" w:hAnsi="宋体" w:eastAsia="宋体" w:cs="宋体"/>
                <w:sz w:val="22"/>
                <w:szCs w:val="22"/>
              </w:rPr>
              <w:t>该项指标得分=中省转移支付资金</w:t>
            </w:r>
            <w:r>
              <w:rPr>
                <w:rFonts w:hint="eastAsia" w:ascii="Times New Roman" w:hAnsi="Times New Roman" w:eastAsia="宋体" w:cs="宋体"/>
                <w:sz w:val="22"/>
                <w:szCs w:val="22"/>
              </w:rPr>
              <w:t>1</w:t>
            </w:r>
            <w:r>
              <w:rPr>
                <w:rFonts w:hint="eastAsia" w:ascii="宋体" w:hAnsi="宋体" w:eastAsia="宋体" w:cs="宋体"/>
                <w:sz w:val="22"/>
                <w:szCs w:val="22"/>
              </w:rPr>
              <w:t>至</w:t>
            </w:r>
            <w:r>
              <w:rPr>
                <w:rFonts w:hint="eastAsia" w:ascii="Times New Roman" w:hAnsi="Times New Roman" w:eastAsia="宋体" w:cs="宋体"/>
                <w:sz w:val="22"/>
                <w:szCs w:val="22"/>
              </w:rPr>
              <w:t>12</w:t>
            </w:r>
            <w:r>
              <w:rPr>
                <w:rFonts w:hint="eastAsia" w:ascii="宋体" w:hAnsi="宋体" w:eastAsia="宋体" w:cs="宋体"/>
                <w:sz w:val="22"/>
                <w:szCs w:val="22"/>
              </w:rPr>
              <w:t>月实际支出数÷</w:t>
            </w:r>
            <w:r>
              <w:rPr>
                <w:rFonts w:hint="eastAsia" w:ascii="Times New Roman" w:hAnsi="Times New Roman" w:eastAsia="宋体" w:cs="宋体"/>
                <w:sz w:val="22"/>
                <w:szCs w:val="22"/>
              </w:rPr>
              <w:t>1</w:t>
            </w:r>
            <w:r>
              <w:rPr>
                <w:rFonts w:hint="eastAsia" w:ascii="宋体" w:hAnsi="宋体" w:eastAsia="宋体" w:cs="宋体"/>
                <w:sz w:val="22"/>
                <w:szCs w:val="22"/>
              </w:rPr>
              <w:t>-</w:t>
            </w:r>
            <w:r>
              <w:rPr>
                <w:rFonts w:hint="eastAsia" w:ascii="Times New Roman" w:hAnsi="Times New Roman" w:eastAsia="宋体" w:cs="宋体"/>
                <w:sz w:val="22"/>
                <w:szCs w:val="22"/>
              </w:rPr>
              <w:t>12</w:t>
            </w:r>
            <w:r>
              <w:rPr>
                <w:rFonts w:hint="eastAsia" w:ascii="宋体" w:hAnsi="宋体" w:eastAsia="宋体" w:cs="宋体"/>
                <w:sz w:val="22"/>
                <w:szCs w:val="22"/>
              </w:rPr>
              <w:t>月部门预算数*</w:t>
            </w:r>
            <w:r>
              <w:rPr>
                <w:rFonts w:hint="eastAsia" w:ascii="Times New Roman" w:hAnsi="Times New Roman" w:eastAsia="宋体" w:cs="宋体"/>
                <w:sz w:val="22"/>
                <w:szCs w:val="22"/>
              </w:rPr>
              <w:t>3</w:t>
            </w:r>
            <w:r>
              <w:rPr>
                <w:rFonts w:hint="eastAsia" w:ascii="宋体" w:hAnsi="宋体" w:eastAsia="宋体" w:cs="宋体"/>
                <w:sz w:val="22"/>
                <w:szCs w:val="22"/>
              </w:rPr>
              <w:t>+专项债券资金实际支出数÷</w:t>
            </w:r>
            <w:r>
              <w:rPr>
                <w:rFonts w:hint="eastAsia" w:ascii="Times New Roman" w:hAnsi="Times New Roman" w:eastAsia="宋体" w:cs="宋体"/>
                <w:sz w:val="22"/>
                <w:szCs w:val="22"/>
              </w:rPr>
              <w:t>1</w:t>
            </w:r>
            <w:r>
              <w:rPr>
                <w:rFonts w:hint="eastAsia" w:ascii="宋体" w:hAnsi="宋体" w:eastAsia="宋体" w:cs="宋体"/>
                <w:sz w:val="22"/>
                <w:szCs w:val="22"/>
              </w:rPr>
              <w:t>-</w:t>
            </w:r>
            <w:r>
              <w:rPr>
                <w:rFonts w:hint="eastAsia" w:ascii="Times New Roman" w:hAnsi="Times New Roman" w:eastAsia="宋体" w:cs="宋体"/>
                <w:sz w:val="22"/>
                <w:szCs w:val="22"/>
              </w:rPr>
              <w:t>12</w:t>
            </w:r>
            <w:r>
              <w:rPr>
                <w:rFonts w:hint="eastAsia" w:ascii="宋体" w:hAnsi="宋体" w:eastAsia="宋体" w:cs="宋体"/>
                <w:sz w:val="22"/>
                <w:szCs w:val="22"/>
              </w:rPr>
              <w:t>月部门预算数*</w:t>
            </w:r>
            <w:r>
              <w:rPr>
                <w:rFonts w:hint="eastAsia" w:ascii="Times New Roman" w:hAnsi="Times New Roman" w:eastAsia="宋体" w:cs="宋体"/>
                <w:sz w:val="22"/>
                <w:szCs w:val="22"/>
              </w:rPr>
              <w:t>3</w:t>
            </w:r>
            <w:r>
              <w:rPr>
                <w:rFonts w:hint="eastAsia" w:ascii="宋体" w:hAnsi="宋体" w:eastAsia="宋体" w:cs="宋体"/>
                <w:sz w:val="22"/>
                <w:szCs w:val="22"/>
              </w:rPr>
              <w:t>+专项预算项目</w:t>
            </w:r>
            <w:r>
              <w:rPr>
                <w:rFonts w:hint="eastAsia" w:ascii="Times New Roman" w:hAnsi="Times New Roman" w:eastAsia="宋体" w:cs="宋体"/>
                <w:sz w:val="22"/>
                <w:szCs w:val="22"/>
              </w:rPr>
              <w:t>1</w:t>
            </w:r>
            <w:r>
              <w:rPr>
                <w:rFonts w:hint="eastAsia" w:ascii="宋体" w:hAnsi="宋体" w:eastAsia="宋体" w:cs="宋体"/>
                <w:sz w:val="22"/>
                <w:szCs w:val="22"/>
              </w:rPr>
              <w:t>至</w:t>
            </w:r>
            <w:r>
              <w:rPr>
                <w:rFonts w:hint="eastAsia" w:ascii="Times New Roman" w:hAnsi="Times New Roman" w:eastAsia="宋体" w:cs="宋体"/>
                <w:sz w:val="22"/>
                <w:szCs w:val="22"/>
              </w:rPr>
              <w:t>12</w:t>
            </w:r>
            <w:r>
              <w:rPr>
                <w:rFonts w:hint="eastAsia" w:ascii="宋体" w:hAnsi="宋体" w:eastAsia="宋体" w:cs="宋体"/>
                <w:sz w:val="22"/>
                <w:szCs w:val="22"/>
              </w:rPr>
              <w:t>月实际支出数÷</w:t>
            </w:r>
            <w:r>
              <w:rPr>
                <w:rFonts w:hint="eastAsia" w:ascii="Times New Roman" w:hAnsi="Times New Roman" w:eastAsia="宋体" w:cs="宋体"/>
                <w:sz w:val="22"/>
                <w:szCs w:val="22"/>
              </w:rPr>
              <w:t>1</w:t>
            </w:r>
            <w:r>
              <w:rPr>
                <w:rFonts w:hint="eastAsia" w:ascii="宋体" w:hAnsi="宋体" w:eastAsia="宋体" w:cs="宋体"/>
                <w:sz w:val="22"/>
                <w:szCs w:val="22"/>
              </w:rPr>
              <w:t>-</w:t>
            </w:r>
            <w:r>
              <w:rPr>
                <w:rFonts w:hint="eastAsia" w:ascii="Times New Roman" w:hAnsi="Times New Roman" w:eastAsia="宋体" w:cs="宋体"/>
                <w:sz w:val="22"/>
                <w:szCs w:val="22"/>
              </w:rPr>
              <w:t>12</w:t>
            </w:r>
            <w:r>
              <w:rPr>
                <w:rFonts w:hint="eastAsia" w:ascii="宋体" w:hAnsi="宋体" w:eastAsia="宋体" w:cs="宋体"/>
                <w:sz w:val="22"/>
                <w:szCs w:val="22"/>
              </w:rPr>
              <w:t>月预算数*</w:t>
            </w:r>
            <w:r>
              <w:rPr>
                <w:rFonts w:hint="eastAsia" w:ascii="Times New Roman" w:hAnsi="Times New Roman" w:eastAsia="宋体" w:cs="宋体"/>
                <w:sz w:val="22"/>
                <w:szCs w:val="22"/>
              </w:rPr>
              <w:t>3</w:t>
            </w:r>
            <w:r>
              <w:rPr>
                <w:rFonts w:hint="eastAsia" w:ascii="宋体" w:hAnsi="宋体" w:eastAsia="宋体" w:cs="宋体"/>
                <w:sz w:val="22"/>
                <w:szCs w:val="22"/>
              </w:rPr>
              <w:t>。</w:t>
            </w:r>
          </w:p>
        </w:tc>
        <w:tc>
          <w:tcPr>
            <w:tcW w:w="768" w:type="dxa"/>
            <w:shd w:val="clear" w:color="auto" w:fill="auto"/>
            <w:noWrap/>
            <w:vAlign w:val="center"/>
          </w:tcPr>
          <w:p w14:paraId="6EAD21D4">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9</w:t>
            </w:r>
          </w:p>
        </w:tc>
        <w:tc>
          <w:tcPr>
            <w:tcW w:w="1256" w:type="dxa"/>
            <w:shd w:val="clear" w:color="auto" w:fill="auto"/>
            <w:vAlign w:val="center"/>
          </w:tcPr>
          <w:p w14:paraId="32D314CA">
            <w:pPr>
              <w:widowControl/>
              <w:jc w:val="left"/>
              <w:rPr>
                <w:rFonts w:ascii="宋体" w:hAnsi="宋体" w:eastAsia="宋体" w:cs="宋体"/>
                <w:color w:val="FF0000"/>
                <w:sz w:val="22"/>
                <w:szCs w:val="22"/>
              </w:rPr>
            </w:pPr>
            <w:r>
              <w:rPr>
                <w:rFonts w:hint="eastAsia" w:ascii="宋体" w:hAnsi="宋体" w:eastAsia="宋体" w:cs="宋体"/>
                <w:color w:val="000000" w:themeColor="text1"/>
                <w:sz w:val="22"/>
                <w:szCs w:val="22"/>
                <w14:textFill>
                  <w14:solidFill>
                    <w14:schemeClr w14:val="tx1"/>
                  </w14:solidFill>
                </w14:textFill>
              </w:rPr>
              <w:t>中省转移支付资金、专项债券资金、专项预算项目各自调整预算数（预算数）为分母，执行数（完成数）</w:t>
            </w:r>
          </w:p>
        </w:tc>
      </w:tr>
      <w:tr w14:paraId="4478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82" w:type="dxa"/>
            <w:vMerge w:val="continue"/>
            <w:vAlign w:val="center"/>
          </w:tcPr>
          <w:p w14:paraId="4142255E">
            <w:pPr>
              <w:widowControl/>
              <w:jc w:val="left"/>
              <w:rPr>
                <w:rFonts w:ascii="宋体" w:hAnsi="宋体" w:eastAsia="宋体" w:cs="宋体"/>
                <w:b/>
                <w:bCs/>
                <w:color w:val="000000"/>
                <w:sz w:val="22"/>
                <w:szCs w:val="22"/>
              </w:rPr>
            </w:pPr>
          </w:p>
        </w:tc>
        <w:tc>
          <w:tcPr>
            <w:tcW w:w="768" w:type="dxa"/>
            <w:vMerge w:val="continue"/>
            <w:vAlign w:val="center"/>
          </w:tcPr>
          <w:p w14:paraId="39BB4A28">
            <w:pPr>
              <w:widowControl/>
              <w:jc w:val="left"/>
              <w:rPr>
                <w:rFonts w:ascii="宋体" w:hAnsi="宋体" w:eastAsia="宋体" w:cs="宋体"/>
                <w:color w:val="000000"/>
                <w:sz w:val="22"/>
                <w:szCs w:val="22"/>
              </w:rPr>
            </w:pPr>
          </w:p>
        </w:tc>
        <w:tc>
          <w:tcPr>
            <w:tcW w:w="1643" w:type="dxa"/>
            <w:shd w:val="clear" w:color="auto" w:fill="auto"/>
            <w:noWrap/>
            <w:vAlign w:val="center"/>
          </w:tcPr>
          <w:p w14:paraId="2B529F9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预算年终结余</w:t>
            </w:r>
          </w:p>
        </w:tc>
        <w:tc>
          <w:tcPr>
            <w:tcW w:w="768" w:type="dxa"/>
            <w:shd w:val="clear" w:color="auto" w:fill="auto"/>
            <w:noWrap/>
            <w:vAlign w:val="center"/>
          </w:tcPr>
          <w:p w14:paraId="7249622B">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8</w:t>
            </w:r>
          </w:p>
        </w:tc>
        <w:tc>
          <w:tcPr>
            <w:tcW w:w="1414" w:type="dxa"/>
            <w:shd w:val="clear" w:color="auto" w:fill="auto"/>
            <w:vAlign w:val="center"/>
          </w:tcPr>
          <w:p w14:paraId="38D40E7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部门整体年终预算结余情况</w:t>
            </w:r>
          </w:p>
        </w:tc>
        <w:tc>
          <w:tcPr>
            <w:tcW w:w="2262" w:type="dxa"/>
            <w:shd w:val="clear" w:color="auto" w:fill="auto"/>
            <w:vAlign w:val="center"/>
          </w:tcPr>
          <w:p w14:paraId="26254D4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-部门整体预算结余率）×</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部门整体预算结余率为当年年终部门预算注销金额和结转金额占部门预算总金额的比率。</w:t>
            </w:r>
          </w:p>
        </w:tc>
        <w:tc>
          <w:tcPr>
            <w:tcW w:w="768" w:type="dxa"/>
            <w:shd w:val="clear" w:color="auto" w:fill="auto"/>
            <w:noWrap/>
            <w:vAlign w:val="center"/>
          </w:tcPr>
          <w:p w14:paraId="7437DB20">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8</w:t>
            </w:r>
          </w:p>
        </w:tc>
        <w:tc>
          <w:tcPr>
            <w:tcW w:w="1256" w:type="dxa"/>
            <w:shd w:val="clear" w:color="auto" w:fill="auto"/>
            <w:noWrap/>
            <w:vAlign w:val="center"/>
          </w:tcPr>
          <w:p w14:paraId="22C1B2F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75C8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82" w:type="dxa"/>
            <w:vMerge w:val="continue"/>
            <w:vAlign w:val="center"/>
          </w:tcPr>
          <w:p w14:paraId="09B56944">
            <w:pPr>
              <w:widowControl/>
              <w:jc w:val="left"/>
              <w:rPr>
                <w:rFonts w:ascii="宋体" w:hAnsi="宋体" w:eastAsia="宋体" w:cs="宋体"/>
                <w:b/>
                <w:bCs/>
                <w:color w:val="000000"/>
                <w:sz w:val="22"/>
                <w:szCs w:val="22"/>
              </w:rPr>
            </w:pPr>
          </w:p>
        </w:tc>
        <w:tc>
          <w:tcPr>
            <w:tcW w:w="768" w:type="dxa"/>
            <w:vMerge w:val="continue"/>
            <w:vAlign w:val="center"/>
          </w:tcPr>
          <w:p w14:paraId="601EE96E">
            <w:pPr>
              <w:widowControl/>
              <w:jc w:val="left"/>
              <w:rPr>
                <w:rFonts w:ascii="宋体" w:hAnsi="宋体" w:eastAsia="宋体" w:cs="宋体"/>
                <w:color w:val="000000"/>
                <w:sz w:val="22"/>
                <w:szCs w:val="22"/>
              </w:rPr>
            </w:pPr>
          </w:p>
        </w:tc>
        <w:tc>
          <w:tcPr>
            <w:tcW w:w="1643" w:type="dxa"/>
            <w:shd w:val="clear" w:color="auto" w:fill="auto"/>
            <w:noWrap/>
            <w:vAlign w:val="center"/>
          </w:tcPr>
          <w:p w14:paraId="6D87E448">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严控一般性支出</w:t>
            </w:r>
          </w:p>
        </w:tc>
        <w:tc>
          <w:tcPr>
            <w:tcW w:w="768" w:type="dxa"/>
            <w:shd w:val="clear" w:color="auto" w:fill="auto"/>
            <w:noWrap/>
            <w:vAlign w:val="center"/>
          </w:tcPr>
          <w:p w14:paraId="700C8ABB">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414" w:type="dxa"/>
            <w:shd w:val="clear" w:color="auto" w:fill="auto"/>
            <w:vAlign w:val="center"/>
          </w:tcPr>
          <w:p w14:paraId="601F4FB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部门严控“三公”经费、会议、培训、差旅、办节办展、办公设备购置、信息网络及软件购置更新、课题经费等</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项一般性支出情况</w:t>
            </w:r>
          </w:p>
        </w:tc>
        <w:tc>
          <w:tcPr>
            <w:tcW w:w="2262" w:type="dxa"/>
            <w:shd w:val="clear" w:color="auto" w:fill="auto"/>
            <w:vAlign w:val="center"/>
          </w:tcPr>
          <w:p w14:paraId="6775FA6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该项指标得分=基础分值+加分值。</w:t>
            </w:r>
            <w:r>
              <w:rPr>
                <w:rFonts w:hint="eastAsia" w:ascii="宋体" w:hAnsi="宋体" w:eastAsia="宋体" w:cs="宋体"/>
                <w:color w:val="000000"/>
                <w:sz w:val="22"/>
                <w:szCs w:val="22"/>
              </w:rPr>
              <w:br w:type="textWrapping"/>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.基础分值。一般性支出财政拨款年初预算较上年实现压减得</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分；一般性支出财政拨款预算执行较上年实现压减得</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分。</w:t>
            </w:r>
            <w:r>
              <w:rPr>
                <w:rFonts w:hint="eastAsia" w:ascii="宋体" w:hAnsi="宋体" w:eastAsia="宋体" w:cs="宋体"/>
                <w:color w:val="000000"/>
                <w:sz w:val="22"/>
                <w:szCs w:val="22"/>
              </w:rPr>
              <w:br w:type="textWrapping"/>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.加分值。一般性支出财政拨款年初预算较上年每压减</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%得</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分，累计不超过</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分；一般性支出财政拨款预算执行较上年每压减</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%得</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分，累计不超过</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分。</w:t>
            </w:r>
          </w:p>
        </w:tc>
        <w:tc>
          <w:tcPr>
            <w:tcW w:w="768" w:type="dxa"/>
            <w:shd w:val="clear" w:color="auto" w:fill="auto"/>
            <w:noWrap/>
            <w:vAlign w:val="center"/>
          </w:tcPr>
          <w:p w14:paraId="4AA4A7D8">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256" w:type="dxa"/>
            <w:shd w:val="clear" w:color="auto" w:fill="auto"/>
            <w:noWrap/>
            <w:vAlign w:val="center"/>
          </w:tcPr>
          <w:p w14:paraId="143B595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334B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82" w:type="dxa"/>
            <w:vMerge w:val="continue"/>
            <w:vAlign w:val="center"/>
          </w:tcPr>
          <w:p w14:paraId="63CC8447">
            <w:pPr>
              <w:widowControl/>
              <w:jc w:val="left"/>
              <w:rPr>
                <w:rFonts w:ascii="宋体" w:hAnsi="宋体" w:eastAsia="宋体" w:cs="宋体"/>
                <w:b/>
                <w:bCs/>
                <w:color w:val="000000"/>
                <w:sz w:val="22"/>
                <w:szCs w:val="22"/>
              </w:rPr>
            </w:pPr>
          </w:p>
        </w:tc>
        <w:tc>
          <w:tcPr>
            <w:tcW w:w="768" w:type="dxa"/>
            <w:vMerge w:val="restart"/>
            <w:shd w:val="clear" w:color="auto" w:fill="auto"/>
            <w:vAlign w:val="center"/>
          </w:tcPr>
          <w:p w14:paraId="531C828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资产管理</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9</w:t>
            </w:r>
            <w:r>
              <w:rPr>
                <w:rFonts w:hint="eastAsia" w:ascii="宋体" w:hAnsi="宋体" w:eastAsia="宋体" w:cs="宋体"/>
                <w:color w:val="000000"/>
                <w:sz w:val="22"/>
                <w:szCs w:val="22"/>
              </w:rPr>
              <w:t>分）</w:t>
            </w:r>
          </w:p>
        </w:tc>
        <w:tc>
          <w:tcPr>
            <w:tcW w:w="1643" w:type="dxa"/>
            <w:shd w:val="clear" w:color="auto" w:fill="auto"/>
            <w:noWrap/>
            <w:vAlign w:val="center"/>
          </w:tcPr>
          <w:p w14:paraId="1D58B9F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人均资产变化率</w:t>
            </w:r>
          </w:p>
        </w:tc>
        <w:tc>
          <w:tcPr>
            <w:tcW w:w="768" w:type="dxa"/>
            <w:shd w:val="clear" w:color="auto" w:fill="auto"/>
            <w:noWrap/>
            <w:vAlign w:val="center"/>
          </w:tcPr>
          <w:p w14:paraId="46B5A911">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414" w:type="dxa"/>
            <w:shd w:val="clear" w:color="auto" w:fill="auto"/>
            <w:vAlign w:val="center"/>
          </w:tcPr>
          <w:p w14:paraId="492D1913">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部门人均资产变化情况</w:t>
            </w:r>
          </w:p>
        </w:tc>
        <w:tc>
          <w:tcPr>
            <w:tcW w:w="2262" w:type="dxa"/>
            <w:shd w:val="clear" w:color="auto" w:fill="auto"/>
            <w:vAlign w:val="center"/>
          </w:tcPr>
          <w:p w14:paraId="59C78D3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部门人均资产变化率Y=（</w:t>
            </w:r>
            <w:r>
              <w:rPr>
                <w:rFonts w:hint="eastAsia" w:ascii="Times New Roman" w:hAnsi="Times New Roman" w:eastAsia="宋体" w:cs="宋体"/>
                <w:color w:val="000000"/>
                <w:sz w:val="22"/>
                <w:szCs w:val="22"/>
              </w:rPr>
              <w:t>2024</w:t>
            </w:r>
            <w:r>
              <w:rPr>
                <w:rFonts w:hint="eastAsia" w:ascii="宋体" w:hAnsi="宋体" w:eastAsia="宋体" w:cs="宋体"/>
                <w:color w:val="000000"/>
                <w:sz w:val="22"/>
                <w:szCs w:val="22"/>
              </w:rPr>
              <w:t>年行政事业单位人均占有资产-</w:t>
            </w:r>
            <w:r>
              <w:rPr>
                <w:rFonts w:hint="eastAsia" w:ascii="Times New Roman" w:hAnsi="Times New Roman" w:eastAsia="宋体" w:cs="宋体"/>
                <w:color w:val="000000"/>
                <w:sz w:val="22"/>
                <w:szCs w:val="22"/>
              </w:rPr>
              <w:t>2023</w:t>
            </w:r>
            <w:r>
              <w:rPr>
                <w:rFonts w:hint="eastAsia" w:ascii="宋体" w:hAnsi="宋体" w:eastAsia="宋体" w:cs="宋体"/>
                <w:color w:val="000000"/>
                <w:sz w:val="22"/>
                <w:szCs w:val="22"/>
              </w:rPr>
              <w:t>年行政事业单位人均占有资产）÷</w:t>
            </w:r>
            <w:r>
              <w:rPr>
                <w:rFonts w:hint="eastAsia" w:ascii="Times New Roman" w:hAnsi="Times New Roman" w:eastAsia="宋体" w:cs="宋体"/>
                <w:color w:val="000000"/>
                <w:sz w:val="22"/>
                <w:szCs w:val="22"/>
              </w:rPr>
              <w:t>2023</w:t>
            </w:r>
            <w:r>
              <w:rPr>
                <w:rFonts w:hint="eastAsia" w:ascii="宋体" w:hAnsi="宋体" w:eastAsia="宋体" w:cs="宋体"/>
                <w:color w:val="000000"/>
                <w:sz w:val="22"/>
                <w:szCs w:val="22"/>
              </w:rPr>
              <w:t>年行政事业单位人均占有资产×</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%。行政事业单位人均占有资产=（固定资产净值+无形资产净值）÷行政事业单位编制内实有人数。</w:t>
            </w:r>
            <w:r>
              <w:rPr>
                <w:rFonts w:hint="eastAsia" w:ascii="Times New Roman" w:hAnsi="Times New Roman" w:eastAsia="宋体" w:cs="宋体"/>
                <w:color w:val="000000" w:themeColor="text1"/>
                <w:sz w:val="22"/>
                <w:szCs w:val="22"/>
                <w14:textFill>
                  <w14:solidFill>
                    <w14:schemeClr w14:val="tx1"/>
                  </w14:solidFill>
                </w14:textFill>
              </w:rPr>
              <w:t>2024</w:t>
            </w:r>
            <w:r>
              <w:rPr>
                <w:rFonts w:hint="eastAsia" w:ascii="宋体" w:hAnsi="宋体" w:eastAsia="宋体" w:cs="宋体"/>
                <w:color w:val="000000" w:themeColor="text1"/>
                <w:sz w:val="22"/>
                <w:szCs w:val="22"/>
                <w14:textFill>
                  <w14:solidFill>
                    <w14:schemeClr w14:val="tx1"/>
                  </w14:solidFill>
                </w14:textFill>
              </w:rPr>
              <w:t>年市直行政事业单位人均资产变化率平均值N为-</w:t>
            </w:r>
            <w:r>
              <w:rPr>
                <w:rFonts w:hint="eastAsia" w:ascii="Times New Roman" w:hAnsi="Times New Roman" w:eastAsia="宋体" w:cs="宋体"/>
                <w:color w:val="000000" w:themeColor="text1"/>
                <w:sz w:val="22"/>
                <w:szCs w:val="22"/>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63</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sz w:val="22"/>
                <w:szCs w:val="22"/>
              </w:rPr>
              <w:t>，Y≤N，得</w:t>
            </w:r>
            <w:r>
              <w:rPr>
                <w:rFonts w:hint="eastAsia" w:ascii="Times New Roman" w:hAnsi="Times New Roman" w:eastAsia="宋体" w:cs="宋体"/>
                <w:color w:val="000000"/>
                <w:sz w:val="22"/>
                <w:szCs w:val="22"/>
              </w:rPr>
              <w:t>3</w:t>
            </w:r>
            <w:r>
              <w:rPr>
                <w:rFonts w:hint="eastAsia" w:ascii="宋体" w:hAnsi="宋体" w:eastAsia="宋体" w:cs="宋体"/>
                <w:color w:val="000000"/>
                <w:sz w:val="22"/>
                <w:szCs w:val="22"/>
              </w:rPr>
              <w:t>分；N＜Y≤</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N（即-</w:t>
            </w:r>
            <w:r>
              <w:rPr>
                <w:rFonts w:hint="eastAsia" w:ascii="Times New Roman" w:hAnsi="Times New Roman" w:eastAsia="宋体" w:cs="宋体"/>
                <w:color w:val="000000"/>
                <w:sz w:val="22"/>
                <w:szCs w:val="22"/>
              </w:rPr>
              <w:t>3</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704</w:t>
            </w:r>
            <w:r>
              <w:rPr>
                <w:rFonts w:hint="eastAsia" w:ascii="宋体" w:hAnsi="宋体" w:eastAsia="宋体" w:cs="宋体"/>
                <w:color w:val="000000"/>
                <w:sz w:val="22"/>
                <w:szCs w:val="22"/>
              </w:rPr>
              <w:t>%），得</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分；</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N＜Y≤</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N（即-</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32</w:t>
            </w:r>
            <w:r>
              <w:rPr>
                <w:rFonts w:hint="eastAsia" w:ascii="宋体" w:hAnsi="宋体" w:eastAsia="宋体" w:cs="宋体"/>
                <w:color w:val="000000"/>
                <w:sz w:val="22"/>
                <w:szCs w:val="22"/>
              </w:rPr>
              <w:t>%），得</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分；Y＞</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N，得</w:t>
            </w:r>
            <w:r>
              <w:rPr>
                <w:rFonts w:hint="eastAsia" w:ascii="Times New Roman" w:hAnsi="Times New Roman" w:eastAsia="宋体" w:cs="宋体"/>
                <w:color w:val="000000"/>
                <w:sz w:val="22"/>
                <w:szCs w:val="22"/>
              </w:rPr>
              <w:t>0</w:t>
            </w:r>
            <w:r>
              <w:rPr>
                <w:rFonts w:hint="eastAsia" w:ascii="宋体" w:hAnsi="宋体" w:eastAsia="宋体" w:cs="宋体"/>
                <w:color w:val="000000"/>
                <w:sz w:val="22"/>
                <w:szCs w:val="22"/>
              </w:rPr>
              <w:t>分。</w:t>
            </w:r>
          </w:p>
        </w:tc>
        <w:tc>
          <w:tcPr>
            <w:tcW w:w="768" w:type="dxa"/>
            <w:shd w:val="clear" w:color="auto" w:fill="auto"/>
            <w:noWrap/>
            <w:vAlign w:val="center"/>
          </w:tcPr>
          <w:p w14:paraId="7D351CC3">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p>
        </w:tc>
        <w:tc>
          <w:tcPr>
            <w:tcW w:w="1256" w:type="dxa"/>
            <w:shd w:val="clear" w:color="auto" w:fill="auto"/>
            <w:noWrap/>
            <w:vAlign w:val="center"/>
          </w:tcPr>
          <w:p w14:paraId="5E5B75B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14AC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782" w:type="dxa"/>
            <w:vMerge w:val="continue"/>
            <w:vAlign w:val="center"/>
          </w:tcPr>
          <w:p w14:paraId="4BB1B826">
            <w:pPr>
              <w:widowControl/>
              <w:jc w:val="left"/>
              <w:rPr>
                <w:rFonts w:ascii="宋体" w:hAnsi="宋体" w:eastAsia="宋体" w:cs="宋体"/>
                <w:b/>
                <w:bCs/>
                <w:color w:val="000000"/>
                <w:sz w:val="22"/>
                <w:szCs w:val="22"/>
              </w:rPr>
            </w:pPr>
          </w:p>
        </w:tc>
        <w:tc>
          <w:tcPr>
            <w:tcW w:w="768" w:type="dxa"/>
            <w:vMerge w:val="continue"/>
            <w:vAlign w:val="center"/>
          </w:tcPr>
          <w:p w14:paraId="79E2B3F3">
            <w:pPr>
              <w:widowControl/>
              <w:jc w:val="left"/>
              <w:rPr>
                <w:rFonts w:ascii="宋体" w:hAnsi="宋体" w:eastAsia="宋体" w:cs="宋体"/>
                <w:color w:val="000000"/>
                <w:sz w:val="22"/>
                <w:szCs w:val="22"/>
              </w:rPr>
            </w:pPr>
          </w:p>
        </w:tc>
        <w:tc>
          <w:tcPr>
            <w:tcW w:w="1643" w:type="dxa"/>
            <w:shd w:val="clear" w:color="auto" w:fill="auto"/>
            <w:noWrap/>
            <w:vAlign w:val="center"/>
          </w:tcPr>
          <w:p w14:paraId="7ECC5EB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资产利用率</w:t>
            </w:r>
          </w:p>
        </w:tc>
        <w:tc>
          <w:tcPr>
            <w:tcW w:w="768" w:type="dxa"/>
            <w:shd w:val="clear" w:color="auto" w:fill="auto"/>
            <w:noWrap/>
            <w:vAlign w:val="center"/>
          </w:tcPr>
          <w:p w14:paraId="42A34B58">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414" w:type="dxa"/>
            <w:shd w:val="clear" w:color="auto" w:fill="auto"/>
            <w:vAlign w:val="center"/>
          </w:tcPr>
          <w:p w14:paraId="05C0FC94">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部门资产超最低使用年限情况</w:t>
            </w:r>
          </w:p>
        </w:tc>
        <w:tc>
          <w:tcPr>
            <w:tcW w:w="2262" w:type="dxa"/>
            <w:shd w:val="clear" w:color="auto" w:fill="auto"/>
            <w:vAlign w:val="center"/>
          </w:tcPr>
          <w:p w14:paraId="2461C69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该项指标得分=（超最低使用年限的办公家具账面原值÷办公家具账面原值×</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w:t>
            </w:r>
            <w:r>
              <w:rPr>
                <w:rFonts w:hint="eastAsia" w:ascii="宋体" w:hAnsi="宋体" w:eastAsia="宋体" w:cs="宋体"/>
                <w:color w:val="000000" w:themeColor="text1"/>
                <w:sz w:val="22"/>
                <w:szCs w:val="22"/>
                <w14:textFill>
                  <w14:solidFill>
                    <w14:schemeClr w14:val="tx1"/>
                  </w14:solidFill>
                </w14:textFill>
              </w:rPr>
              <w:t>省级平均值办公家具为N=</w:t>
            </w:r>
            <w:r>
              <w:rPr>
                <w:rFonts w:hint="eastAsia" w:ascii="Times New Roman" w:hAnsi="Times New Roman" w:eastAsia="宋体" w:cs="宋体"/>
                <w:color w:val="000000" w:themeColor="text1"/>
                <w:sz w:val="22"/>
                <w:szCs w:val="22"/>
                <w14:textFill>
                  <w14:solidFill>
                    <w14:schemeClr w14:val="tx1"/>
                  </w14:solidFill>
                </w14:textFill>
              </w:rPr>
              <w:t>16</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77</w:t>
            </w:r>
            <w:r>
              <w:rPr>
                <w:rFonts w:hint="eastAsia" w:ascii="宋体" w:hAnsi="宋体" w:eastAsia="宋体" w:cs="宋体"/>
                <w:color w:val="000000" w:themeColor="text1"/>
                <w:sz w:val="22"/>
                <w:szCs w:val="22"/>
                <w14:textFill>
                  <w14:solidFill>
                    <w14:schemeClr w14:val="tx1"/>
                  </w14:solidFill>
                </w14:textFill>
              </w:rPr>
              <w:t>%。Y≥N，得</w:t>
            </w:r>
            <w:r>
              <w:rPr>
                <w:rFonts w:hint="eastAsia" w:ascii="Times New Roman" w:hAnsi="Times New Roman"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分；</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N≤Y＜N，得</w:t>
            </w:r>
            <w:r>
              <w:rPr>
                <w:rFonts w:hint="eastAsia" w:ascii="Times New Roman" w:hAnsi="Times New Roman"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分；</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N≤Y＜</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N，得</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分；Y＜</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N，得</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分。</w:t>
            </w:r>
            <w:r>
              <w:rPr>
                <w:rFonts w:hint="eastAsia" w:ascii="宋体" w:hAnsi="宋体" w:eastAsia="宋体" w:cs="宋体"/>
                <w:color w:val="000000"/>
                <w:sz w:val="22"/>
                <w:szCs w:val="22"/>
              </w:rPr>
              <w:t>+（超最低使用年限的办公设备账面原值÷办公设备账面原值×</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w:t>
            </w:r>
            <w:r>
              <w:rPr>
                <w:rFonts w:hint="eastAsia" w:ascii="宋体" w:hAnsi="宋体" w:eastAsia="宋体" w:cs="宋体"/>
                <w:color w:val="000000" w:themeColor="text1"/>
                <w:sz w:val="22"/>
                <w:szCs w:val="22"/>
                <w14:textFill>
                  <w14:solidFill>
                    <w14:schemeClr w14:val="tx1"/>
                  </w14:solidFill>
                </w14:textFill>
              </w:rPr>
              <w:t>省级平均值办公设备为N=</w:t>
            </w:r>
            <w:r>
              <w:rPr>
                <w:rFonts w:hint="eastAsia" w:ascii="Times New Roman" w:hAnsi="Times New Roman" w:eastAsia="宋体" w:cs="宋体"/>
                <w:color w:val="000000" w:themeColor="text1"/>
                <w:sz w:val="22"/>
                <w:szCs w:val="22"/>
                <w14:textFill>
                  <w14:solidFill>
                    <w14:schemeClr w14:val="tx1"/>
                  </w14:solidFill>
                </w14:textFill>
              </w:rPr>
              <w:t>41</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20</w:t>
            </w:r>
            <w:r>
              <w:rPr>
                <w:rFonts w:hint="eastAsia" w:ascii="宋体" w:hAnsi="宋体" w:eastAsia="宋体" w:cs="宋体"/>
                <w:color w:val="000000" w:themeColor="text1"/>
                <w:sz w:val="22"/>
                <w:szCs w:val="22"/>
                <w14:textFill>
                  <w14:solidFill>
                    <w14:schemeClr w14:val="tx1"/>
                  </w14:solidFill>
                </w14:textFill>
              </w:rPr>
              <w:t>%。Y≥N，得</w:t>
            </w:r>
            <w:r>
              <w:rPr>
                <w:rFonts w:hint="eastAsia" w:ascii="Times New Roman" w:hAnsi="Times New Roman"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分；</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N≤Y＜N，得</w:t>
            </w:r>
            <w:r>
              <w:rPr>
                <w:rFonts w:hint="eastAsia" w:ascii="Times New Roman" w:hAnsi="Times New Roman"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分；</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N≤Y＜</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N，得</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分；Y＜</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w:t>
            </w:r>
            <w:r>
              <w:rPr>
                <w:rFonts w:hint="eastAsia" w:ascii="Times New Roman" w:hAnsi="Times New Roman"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N，得</w:t>
            </w:r>
            <w:r>
              <w:rPr>
                <w:rFonts w:hint="eastAsia" w:ascii="Times New Roman" w:hAnsi="Times New Roman" w:eastAsia="宋体" w:cs="宋体"/>
                <w:color w:val="000000" w:themeColor="text1"/>
                <w:sz w:val="22"/>
                <w:szCs w:val="22"/>
                <w14:textFill>
                  <w14:solidFill>
                    <w14:schemeClr w14:val="tx1"/>
                  </w14:solidFill>
                </w14:textFill>
              </w:rPr>
              <w:t>0</w:t>
            </w:r>
            <w:r>
              <w:rPr>
                <w:rFonts w:hint="eastAsia" w:ascii="宋体" w:hAnsi="宋体" w:eastAsia="宋体" w:cs="宋体"/>
                <w:color w:val="000000" w:themeColor="text1"/>
                <w:sz w:val="22"/>
                <w:szCs w:val="22"/>
                <w14:textFill>
                  <w14:solidFill>
                    <w14:schemeClr w14:val="tx1"/>
                  </w14:solidFill>
                </w14:textFill>
              </w:rPr>
              <w:t>分。</w:t>
            </w:r>
          </w:p>
        </w:tc>
        <w:tc>
          <w:tcPr>
            <w:tcW w:w="768" w:type="dxa"/>
            <w:shd w:val="clear" w:color="auto" w:fill="auto"/>
            <w:noWrap/>
            <w:vAlign w:val="center"/>
          </w:tcPr>
          <w:p w14:paraId="4B257926">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256" w:type="dxa"/>
            <w:shd w:val="clear" w:color="auto" w:fill="auto"/>
            <w:noWrap/>
            <w:vAlign w:val="center"/>
          </w:tcPr>
          <w:p w14:paraId="295A6946">
            <w:pPr>
              <w:widowControl/>
              <w:jc w:val="left"/>
              <w:rPr>
                <w:rFonts w:ascii="宋体" w:hAnsi="宋体" w:eastAsia="宋体" w:cs="宋体"/>
                <w:color w:val="FF0000"/>
                <w:sz w:val="22"/>
                <w:szCs w:val="22"/>
              </w:rPr>
            </w:pPr>
            <w:r>
              <w:rPr>
                <w:rFonts w:hint="eastAsia" w:ascii="宋体" w:hAnsi="宋体" w:eastAsia="宋体" w:cs="宋体"/>
                <w:color w:val="FF0000"/>
                <w:sz w:val="22"/>
                <w:szCs w:val="22"/>
              </w:rPr>
              <w:t>　</w:t>
            </w:r>
          </w:p>
        </w:tc>
      </w:tr>
      <w:tr w14:paraId="057A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782" w:type="dxa"/>
            <w:vMerge w:val="continue"/>
            <w:vAlign w:val="center"/>
          </w:tcPr>
          <w:p w14:paraId="24D569EC">
            <w:pPr>
              <w:widowControl/>
              <w:jc w:val="left"/>
              <w:rPr>
                <w:rFonts w:ascii="宋体" w:hAnsi="宋体" w:eastAsia="宋体" w:cs="宋体"/>
                <w:b/>
                <w:bCs/>
                <w:color w:val="000000"/>
                <w:sz w:val="22"/>
                <w:szCs w:val="22"/>
              </w:rPr>
            </w:pPr>
          </w:p>
        </w:tc>
        <w:tc>
          <w:tcPr>
            <w:tcW w:w="768" w:type="dxa"/>
            <w:vMerge w:val="continue"/>
            <w:vAlign w:val="center"/>
          </w:tcPr>
          <w:p w14:paraId="0C621F0E">
            <w:pPr>
              <w:widowControl/>
              <w:jc w:val="left"/>
              <w:rPr>
                <w:rFonts w:ascii="宋体" w:hAnsi="宋体" w:eastAsia="宋体" w:cs="宋体"/>
                <w:color w:val="000000"/>
                <w:sz w:val="22"/>
                <w:szCs w:val="22"/>
              </w:rPr>
            </w:pPr>
          </w:p>
        </w:tc>
        <w:tc>
          <w:tcPr>
            <w:tcW w:w="1643" w:type="dxa"/>
            <w:shd w:val="clear" w:color="auto" w:fill="auto"/>
            <w:noWrap/>
            <w:vAlign w:val="center"/>
          </w:tcPr>
          <w:p w14:paraId="2CC8889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资产盘活率</w:t>
            </w:r>
          </w:p>
        </w:tc>
        <w:tc>
          <w:tcPr>
            <w:tcW w:w="768" w:type="dxa"/>
            <w:shd w:val="clear" w:color="auto" w:fill="auto"/>
            <w:noWrap/>
            <w:vAlign w:val="center"/>
          </w:tcPr>
          <w:p w14:paraId="097F9EA6">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414" w:type="dxa"/>
            <w:shd w:val="clear" w:color="auto" w:fill="auto"/>
            <w:vAlign w:val="center"/>
          </w:tcPr>
          <w:p w14:paraId="7C2795C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部门闲置一年以上的资产盘活情况</w:t>
            </w:r>
          </w:p>
        </w:tc>
        <w:tc>
          <w:tcPr>
            <w:tcW w:w="2262" w:type="dxa"/>
            <w:shd w:val="clear" w:color="auto" w:fill="auto"/>
            <w:vAlign w:val="center"/>
          </w:tcPr>
          <w:p w14:paraId="6E216E4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部门闲置资产占比变化率=(本年闲置资产账面价值÷本年总资产账面价值)÷(上一年度闲置资产账面价值÷上一年度总资产账面价值)×</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%，变化率在</w:t>
            </w:r>
            <w:r>
              <w:rPr>
                <w:rFonts w:hint="eastAsia" w:ascii="Times New Roman" w:hAnsi="Times New Roman" w:eastAsia="宋体" w:cs="宋体"/>
                <w:color w:val="000000"/>
                <w:sz w:val="22"/>
                <w:szCs w:val="22"/>
              </w:rPr>
              <w:t>60</w:t>
            </w:r>
            <w:r>
              <w:rPr>
                <w:rFonts w:hint="eastAsia" w:ascii="宋体" w:hAnsi="宋体" w:eastAsia="宋体" w:cs="宋体"/>
                <w:color w:val="000000"/>
                <w:sz w:val="22"/>
                <w:szCs w:val="22"/>
              </w:rPr>
              <w:t>%以下的得</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分，</w:t>
            </w:r>
            <w:r>
              <w:rPr>
                <w:rFonts w:hint="eastAsia" w:ascii="Times New Roman" w:hAnsi="Times New Roman" w:eastAsia="宋体" w:cs="宋体"/>
                <w:color w:val="000000"/>
                <w:sz w:val="22"/>
                <w:szCs w:val="22"/>
              </w:rPr>
              <w:t>60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80</w:t>
            </w:r>
            <w:r>
              <w:rPr>
                <w:rFonts w:hint="eastAsia" w:ascii="宋体" w:hAnsi="宋体" w:eastAsia="宋体" w:cs="宋体"/>
                <w:color w:val="000000"/>
                <w:sz w:val="22"/>
                <w:szCs w:val="22"/>
              </w:rPr>
              <w:t>%的得</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8</w:t>
            </w:r>
            <w:r>
              <w:rPr>
                <w:rFonts w:hint="eastAsia" w:ascii="宋体" w:hAnsi="宋体" w:eastAsia="宋体" w:cs="宋体"/>
                <w:color w:val="000000"/>
                <w:sz w:val="22"/>
                <w:szCs w:val="22"/>
              </w:rPr>
              <w:t>分，</w:t>
            </w:r>
            <w:r>
              <w:rPr>
                <w:rFonts w:hint="eastAsia" w:ascii="Times New Roman" w:hAnsi="Times New Roman" w:eastAsia="宋体" w:cs="宋体"/>
                <w:color w:val="000000"/>
                <w:sz w:val="22"/>
                <w:szCs w:val="22"/>
              </w:rPr>
              <w:t>80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%的得</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分，</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%以上的不得分。两年均无闲置资产或上年度有闲置资产评价年度无闲置资产的，该项指标得</w:t>
            </w:r>
            <w:r>
              <w:rPr>
                <w:rFonts w:hint="eastAsia" w:ascii="Times New Roman" w:hAnsi="Times New Roman" w:eastAsia="宋体" w:cs="宋体"/>
                <w:color w:val="000000"/>
                <w:sz w:val="22"/>
                <w:szCs w:val="22"/>
              </w:rPr>
              <w:t>3</w:t>
            </w:r>
            <w:r>
              <w:rPr>
                <w:rFonts w:hint="eastAsia" w:ascii="宋体" w:hAnsi="宋体" w:eastAsia="宋体" w:cs="宋体"/>
                <w:color w:val="000000"/>
                <w:sz w:val="22"/>
                <w:szCs w:val="22"/>
              </w:rPr>
              <w:t>分。</w:t>
            </w:r>
          </w:p>
        </w:tc>
        <w:tc>
          <w:tcPr>
            <w:tcW w:w="768" w:type="dxa"/>
            <w:shd w:val="clear" w:color="auto" w:fill="auto"/>
            <w:noWrap/>
            <w:vAlign w:val="center"/>
          </w:tcPr>
          <w:p w14:paraId="7C5146A0">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p>
        </w:tc>
        <w:tc>
          <w:tcPr>
            <w:tcW w:w="1256" w:type="dxa"/>
            <w:shd w:val="clear" w:color="auto" w:fill="auto"/>
            <w:noWrap/>
            <w:vAlign w:val="center"/>
          </w:tcPr>
          <w:p w14:paraId="6481833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0EEA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82" w:type="dxa"/>
            <w:vMerge w:val="continue"/>
            <w:vAlign w:val="center"/>
          </w:tcPr>
          <w:p w14:paraId="4AF4F8CB">
            <w:pPr>
              <w:widowControl/>
              <w:jc w:val="left"/>
              <w:rPr>
                <w:rFonts w:ascii="宋体" w:hAnsi="宋体" w:eastAsia="宋体" w:cs="宋体"/>
                <w:b/>
                <w:bCs/>
                <w:color w:val="000000"/>
                <w:sz w:val="22"/>
                <w:szCs w:val="22"/>
              </w:rPr>
            </w:pPr>
          </w:p>
        </w:tc>
        <w:tc>
          <w:tcPr>
            <w:tcW w:w="768" w:type="dxa"/>
            <w:vMerge w:val="restart"/>
            <w:shd w:val="clear" w:color="auto" w:fill="auto"/>
            <w:vAlign w:val="center"/>
          </w:tcPr>
          <w:p w14:paraId="6C8DFA0A">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采购管理</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分）</w:t>
            </w:r>
          </w:p>
        </w:tc>
        <w:tc>
          <w:tcPr>
            <w:tcW w:w="1643" w:type="dxa"/>
            <w:shd w:val="clear" w:color="auto" w:fill="auto"/>
            <w:noWrap/>
            <w:vAlign w:val="center"/>
          </w:tcPr>
          <w:p w14:paraId="0A69F36F">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支持中小企业发展</w:t>
            </w:r>
          </w:p>
        </w:tc>
        <w:tc>
          <w:tcPr>
            <w:tcW w:w="768" w:type="dxa"/>
            <w:shd w:val="clear" w:color="auto" w:fill="auto"/>
            <w:noWrap/>
            <w:vAlign w:val="center"/>
          </w:tcPr>
          <w:p w14:paraId="7AC5AB4D">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414" w:type="dxa"/>
            <w:shd w:val="clear" w:color="auto" w:fill="auto"/>
            <w:vAlign w:val="center"/>
          </w:tcPr>
          <w:p w14:paraId="059F81A5">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部门是否严格执行政府采购促进中小企业发展相关管理办法</w:t>
            </w:r>
          </w:p>
        </w:tc>
        <w:tc>
          <w:tcPr>
            <w:tcW w:w="2262" w:type="dxa"/>
            <w:shd w:val="clear" w:color="auto" w:fill="auto"/>
            <w:vAlign w:val="center"/>
          </w:tcPr>
          <w:p w14:paraId="139EC18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对适宜由中小企业提供的采购项目和采购包，预留采购份额专门面向中小企业采购，并在采购预算中单独列示，不符合要求的扣</w:t>
            </w:r>
            <w:r>
              <w:rPr>
                <w:rFonts w:hint="eastAsia" w:ascii="Times New Roman" w:hAnsi="Times New Roman" w:eastAsia="宋体" w:cs="宋体"/>
                <w:color w:val="000000"/>
                <w:sz w:val="22"/>
                <w:szCs w:val="22"/>
              </w:rPr>
              <w:t>3</w:t>
            </w:r>
            <w:r>
              <w:rPr>
                <w:rFonts w:hint="eastAsia" w:ascii="宋体" w:hAnsi="宋体" w:eastAsia="宋体" w:cs="宋体"/>
                <w:color w:val="000000"/>
                <w:sz w:val="22"/>
                <w:szCs w:val="22"/>
              </w:rPr>
              <w:t>分。</w:t>
            </w:r>
          </w:p>
        </w:tc>
        <w:tc>
          <w:tcPr>
            <w:tcW w:w="768" w:type="dxa"/>
            <w:shd w:val="clear" w:color="auto" w:fill="auto"/>
            <w:noWrap/>
            <w:vAlign w:val="center"/>
          </w:tcPr>
          <w:p w14:paraId="2369D1FA">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47C33BE2">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5615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82" w:type="dxa"/>
            <w:vMerge w:val="continue"/>
            <w:vAlign w:val="center"/>
          </w:tcPr>
          <w:p w14:paraId="2B61900A">
            <w:pPr>
              <w:widowControl/>
              <w:jc w:val="left"/>
              <w:rPr>
                <w:rFonts w:ascii="宋体" w:hAnsi="宋体" w:eastAsia="宋体" w:cs="宋体"/>
                <w:b/>
                <w:bCs/>
                <w:color w:val="000000"/>
                <w:sz w:val="22"/>
                <w:szCs w:val="22"/>
              </w:rPr>
            </w:pPr>
          </w:p>
        </w:tc>
        <w:tc>
          <w:tcPr>
            <w:tcW w:w="768" w:type="dxa"/>
            <w:vMerge w:val="continue"/>
            <w:vAlign w:val="center"/>
          </w:tcPr>
          <w:p w14:paraId="6AA28EE4">
            <w:pPr>
              <w:widowControl/>
              <w:jc w:val="left"/>
              <w:rPr>
                <w:rFonts w:ascii="宋体" w:hAnsi="宋体" w:eastAsia="宋体" w:cs="宋体"/>
                <w:color w:val="000000"/>
                <w:sz w:val="22"/>
                <w:szCs w:val="22"/>
              </w:rPr>
            </w:pPr>
          </w:p>
        </w:tc>
        <w:tc>
          <w:tcPr>
            <w:tcW w:w="1643" w:type="dxa"/>
            <w:shd w:val="clear" w:color="auto" w:fill="auto"/>
            <w:noWrap/>
            <w:vAlign w:val="center"/>
          </w:tcPr>
          <w:p w14:paraId="6F9D99F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采购执行率</w:t>
            </w:r>
          </w:p>
        </w:tc>
        <w:tc>
          <w:tcPr>
            <w:tcW w:w="768" w:type="dxa"/>
            <w:shd w:val="clear" w:color="auto" w:fill="auto"/>
            <w:noWrap/>
            <w:vAlign w:val="center"/>
          </w:tcPr>
          <w:p w14:paraId="2BFF14B6">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414" w:type="dxa"/>
            <w:shd w:val="clear" w:color="auto" w:fill="auto"/>
            <w:vAlign w:val="center"/>
          </w:tcPr>
          <w:p w14:paraId="4BF1A04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部门政府采购项目资金支付比例情况</w:t>
            </w:r>
          </w:p>
        </w:tc>
        <w:tc>
          <w:tcPr>
            <w:tcW w:w="2262" w:type="dxa"/>
            <w:shd w:val="clear" w:color="auto" w:fill="auto"/>
            <w:vAlign w:val="center"/>
          </w:tcPr>
          <w:p w14:paraId="679567B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该项指标得分=当年政府采购实际支付总金额÷（当年政府采购总预算数-当年已完成采购项目节约金额）×</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3</w:t>
            </w:r>
            <w:r>
              <w:rPr>
                <w:rFonts w:hint="eastAsia" w:ascii="宋体" w:hAnsi="宋体" w:eastAsia="宋体" w:cs="宋体"/>
                <w:color w:val="000000"/>
                <w:sz w:val="22"/>
                <w:szCs w:val="22"/>
              </w:rPr>
              <w:t>。</w:t>
            </w:r>
          </w:p>
        </w:tc>
        <w:tc>
          <w:tcPr>
            <w:tcW w:w="768" w:type="dxa"/>
            <w:shd w:val="clear" w:color="auto" w:fill="auto"/>
            <w:noWrap/>
            <w:vAlign w:val="center"/>
          </w:tcPr>
          <w:p w14:paraId="1C3076F9">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3</w:t>
            </w:r>
          </w:p>
        </w:tc>
        <w:tc>
          <w:tcPr>
            <w:tcW w:w="1256" w:type="dxa"/>
            <w:shd w:val="clear" w:color="auto" w:fill="auto"/>
            <w:noWrap/>
            <w:vAlign w:val="center"/>
          </w:tcPr>
          <w:p w14:paraId="68721FA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46E4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782" w:type="dxa"/>
            <w:vMerge w:val="restart"/>
            <w:shd w:val="clear" w:color="auto" w:fill="auto"/>
            <w:vAlign w:val="center"/>
          </w:tcPr>
          <w:p w14:paraId="1F1DA15F">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项目绩效</w:t>
            </w:r>
            <w:r>
              <w:rPr>
                <w:rFonts w:hint="eastAsia" w:ascii="宋体" w:hAnsi="宋体" w:eastAsia="宋体" w:cs="宋体"/>
                <w:b/>
                <w:bCs/>
                <w:color w:val="000000"/>
                <w:sz w:val="22"/>
                <w:szCs w:val="22"/>
              </w:rPr>
              <w:br w:type="textWrapping"/>
            </w:r>
            <w:r>
              <w:rPr>
                <w:rFonts w:hint="eastAsia" w:ascii="宋体" w:hAnsi="宋体" w:eastAsia="宋体" w:cs="宋体"/>
                <w:b/>
                <w:bCs/>
                <w:color w:val="000000"/>
                <w:sz w:val="22"/>
                <w:szCs w:val="22"/>
              </w:rPr>
              <w:t>（</w:t>
            </w:r>
            <w:r>
              <w:rPr>
                <w:rFonts w:hint="eastAsia" w:ascii="Times New Roman" w:hAnsi="Times New Roman" w:eastAsia="宋体" w:cs="宋体"/>
                <w:b/>
                <w:bCs/>
                <w:color w:val="000000"/>
                <w:sz w:val="22"/>
                <w:szCs w:val="22"/>
              </w:rPr>
              <w:t>44</w:t>
            </w:r>
            <w:r>
              <w:rPr>
                <w:rFonts w:hint="eastAsia" w:ascii="宋体" w:hAnsi="宋体" w:eastAsia="宋体" w:cs="宋体"/>
                <w:b/>
                <w:bCs/>
                <w:color w:val="000000"/>
                <w:sz w:val="22"/>
                <w:szCs w:val="22"/>
              </w:rPr>
              <w:t>分）</w:t>
            </w:r>
          </w:p>
        </w:tc>
        <w:tc>
          <w:tcPr>
            <w:tcW w:w="768" w:type="dxa"/>
            <w:vMerge w:val="restart"/>
            <w:shd w:val="clear" w:color="auto" w:fill="auto"/>
            <w:vAlign w:val="center"/>
          </w:tcPr>
          <w:p w14:paraId="1C52530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项目决策</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12</w:t>
            </w:r>
            <w:r>
              <w:rPr>
                <w:rFonts w:hint="eastAsia" w:ascii="宋体" w:hAnsi="宋体" w:eastAsia="宋体" w:cs="宋体"/>
                <w:color w:val="000000"/>
                <w:sz w:val="22"/>
                <w:szCs w:val="22"/>
              </w:rPr>
              <w:t>分）</w:t>
            </w:r>
          </w:p>
        </w:tc>
        <w:tc>
          <w:tcPr>
            <w:tcW w:w="1643" w:type="dxa"/>
            <w:shd w:val="clear" w:color="auto" w:fill="auto"/>
            <w:noWrap/>
            <w:vAlign w:val="center"/>
          </w:tcPr>
          <w:p w14:paraId="2429F0E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决策程序</w:t>
            </w:r>
          </w:p>
        </w:tc>
        <w:tc>
          <w:tcPr>
            <w:tcW w:w="768" w:type="dxa"/>
            <w:shd w:val="clear" w:color="auto" w:fill="auto"/>
            <w:noWrap/>
            <w:vAlign w:val="center"/>
          </w:tcPr>
          <w:p w14:paraId="08ADFF45">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414" w:type="dxa"/>
            <w:shd w:val="clear" w:color="auto" w:fill="auto"/>
            <w:vAlign w:val="center"/>
          </w:tcPr>
          <w:p w14:paraId="49102D3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部门预算项目设立是否按规定履行评估论证、申报程序</w:t>
            </w:r>
          </w:p>
        </w:tc>
        <w:tc>
          <w:tcPr>
            <w:tcW w:w="2262" w:type="dxa"/>
            <w:shd w:val="clear" w:color="auto" w:fill="auto"/>
            <w:vAlign w:val="center"/>
          </w:tcPr>
          <w:p w14:paraId="0BD63878">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-部门未履行事前评估程序的部门预算阶段项目（含一次性项目）数量÷应该开展部门预算阶段项目（含一次性项目）总数×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。抽评的部门预算阶段项目（含一次性项目）总数</w:t>
            </w:r>
            <w:r>
              <w:rPr>
                <w:rFonts w:hint="eastAsia" w:ascii="Times New Roman" w:hAnsi="Times New Roman" w:eastAsia="宋体" w:cs="宋体"/>
                <w:color w:val="000000"/>
                <w:sz w:val="22"/>
                <w:szCs w:val="22"/>
              </w:rPr>
              <w:t>10</w:t>
            </w:r>
            <w:r>
              <w:rPr>
                <w:rFonts w:hint="eastAsia" w:ascii="宋体" w:hAnsi="宋体" w:eastAsia="宋体" w:cs="宋体"/>
                <w:color w:val="000000"/>
                <w:sz w:val="22"/>
                <w:szCs w:val="22"/>
              </w:rPr>
              <w:t>个以下的全部纳入，每增加</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个多纳入</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个，最多不超过</w:t>
            </w:r>
            <w:r>
              <w:rPr>
                <w:rFonts w:hint="eastAsia" w:ascii="Times New Roman" w:hAnsi="Times New Roman" w:eastAsia="宋体" w:cs="宋体"/>
                <w:color w:val="000000"/>
                <w:sz w:val="22"/>
                <w:szCs w:val="22"/>
              </w:rPr>
              <w:t>30</w:t>
            </w:r>
            <w:r>
              <w:rPr>
                <w:rFonts w:hint="eastAsia" w:ascii="宋体" w:hAnsi="宋体" w:eastAsia="宋体" w:cs="宋体"/>
                <w:color w:val="000000"/>
                <w:sz w:val="22"/>
                <w:szCs w:val="22"/>
              </w:rPr>
              <w:t>个，下同。若无部门预算阶段项目（含一次性项目），则主要查看部门预算项目整体决策程序。</w:t>
            </w:r>
          </w:p>
        </w:tc>
        <w:tc>
          <w:tcPr>
            <w:tcW w:w="768" w:type="dxa"/>
            <w:shd w:val="clear" w:color="auto" w:fill="auto"/>
            <w:noWrap/>
            <w:vAlign w:val="center"/>
          </w:tcPr>
          <w:p w14:paraId="322EDCBE">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256" w:type="dxa"/>
            <w:shd w:val="clear" w:color="auto" w:fill="auto"/>
            <w:noWrap/>
            <w:vAlign w:val="center"/>
          </w:tcPr>
          <w:p w14:paraId="3E7CF0E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83D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782" w:type="dxa"/>
            <w:vMerge w:val="continue"/>
            <w:vAlign w:val="center"/>
          </w:tcPr>
          <w:p w14:paraId="39344F30">
            <w:pPr>
              <w:widowControl/>
              <w:jc w:val="left"/>
              <w:rPr>
                <w:rFonts w:ascii="宋体" w:hAnsi="宋体" w:eastAsia="宋体" w:cs="宋体"/>
                <w:b/>
                <w:bCs/>
                <w:color w:val="000000"/>
                <w:sz w:val="22"/>
                <w:szCs w:val="22"/>
              </w:rPr>
            </w:pPr>
          </w:p>
        </w:tc>
        <w:tc>
          <w:tcPr>
            <w:tcW w:w="768" w:type="dxa"/>
            <w:vMerge w:val="continue"/>
            <w:vAlign w:val="center"/>
          </w:tcPr>
          <w:p w14:paraId="685E1E2E">
            <w:pPr>
              <w:widowControl/>
              <w:jc w:val="left"/>
              <w:rPr>
                <w:rFonts w:ascii="宋体" w:hAnsi="宋体" w:eastAsia="宋体" w:cs="宋体"/>
                <w:color w:val="000000"/>
                <w:sz w:val="22"/>
                <w:szCs w:val="22"/>
              </w:rPr>
            </w:pPr>
          </w:p>
        </w:tc>
        <w:tc>
          <w:tcPr>
            <w:tcW w:w="1643" w:type="dxa"/>
            <w:shd w:val="clear" w:color="auto" w:fill="auto"/>
            <w:noWrap/>
            <w:vAlign w:val="center"/>
          </w:tcPr>
          <w:p w14:paraId="57C153E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目标设置</w:t>
            </w:r>
          </w:p>
        </w:tc>
        <w:tc>
          <w:tcPr>
            <w:tcW w:w="768" w:type="dxa"/>
            <w:shd w:val="clear" w:color="auto" w:fill="auto"/>
            <w:noWrap/>
            <w:vAlign w:val="center"/>
          </w:tcPr>
          <w:p w14:paraId="42F0B738">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414" w:type="dxa"/>
            <w:shd w:val="clear" w:color="auto" w:fill="auto"/>
            <w:vAlign w:val="center"/>
          </w:tcPr>
          <w:p w14:paraId="2A184C1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部门预算项目绩效目标与计划期内的任务量、预算安排的资金量匹配情况，绩效目标设置是否科学合理、规范完整、量化细化、预算匹配</w:t>
            </w:r>
          </w:p>
        </w:tc>
        <w:tc>
          <w:tcPr>
            <w:tcW w:w="2262" w:type="dxa"/>
            <w:shd w:val="clear" w:color="auto" w:fill="auto"/>
            <w:vAlign w:val="center"/>
          </w:tcPr>
          <w:p w14:paraId="2361C013">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-绩效目标与计划期内的任务量、预算安排不相匹配的部门预算阶段项目（含一次性项目）数量÷部门预算阶段项目（含一次性项目）总数×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。若无部门预算阶段项目（含一次性项目），则抽评涉及核心业务、资金量大的其他部门预算项目，下同。</w:t>
            </w:r>
          </w:p>
        </w:tc>
        <w:tc>
          <w:tcPr>
            <w:tcW w:w="768" w:type="dxa"/>
            <w:shd w:val="clear" w:color="auto" w:fill="auto"/>
            <w:noWrap/>
            <w:vAlign w:val="center"/>
          </w:tcPr>
          <w:p w14:paraId="03DEFE15">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256" w:type="dxa"/>
            <w:shd w:val="clear" w:color="auto" w:fill="auto"/>
            <w:noWrap/>
            <w:vAlign w:val="center"/>
          </w:tcPr>
          <w:p w14:paraId="340971A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0D8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82" w:type="dxa"/>
            <w:vMerge w:val="continue"/>
            <w:vAlign w:val="center"/>
          </w:tcPr>
          <w:p w14:paraId="4C77A190">
            <w:pPr>
              <w:widowControl/>
              <w:jc w:val="left"/>
              <w:rPr>
                <w:rFonts w:ascii="宋体" w:hAnsi="宋体" w:eastAsia="宋体" w:cs="宋体"/>
                <w:b/>
                <w:bCs/>
                <w:color w:val="000000"/>
                <w:sz w:val="22"/>
                <w:szCs w:val="22"/>
              </w:rPr>
            </w:pPr>
          </w:p>
        </w:tc>
        <w:tc>
          <w:tcPr>
            <w:tcW w:w="768" w:type="dxa"/>
            <w:vMerge w:val="continue"/>
            <w:vAlign w:val="center"/>
          </w:tcPr>
          <w:p w14:paraId="18B1CC45">
            <w:pPr>
              <w:widowControl/>
              <w:jc w:val="left"/>
              <w:rPr>
                <w:rFonts w:ascii="宋体" w:hAnsi="宋体" w:eastAsia="宋体" w:cs="宋体"/>
                <w:color w:val="000000"/>
                <w:sz w:val="22"/>
                <w:szCs w:val="22"/>
              </w:rPr>
            </w:pPr>
          </w:p>
        </w:tc>
        <w:tc>
          <w:tcPr>
            <w:tcW w:w="1643" w:type="dxa"/>
            <w:shd w:val="clear" w:color="auto" w:fill="auto"/>
            <w:noWrap/>
            <w:vAlign w:val="center"/>
          </w:tcPr>
          <w:p w14:paraId="458A9C3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项目入库</w:t>
            </w:r>
          </w:p>
        </w:tc>
        <w:tc>
          <w:tcPr>
            <w:tcW w:w="768" w:type="dxa"/>
            <w:shd w:val="clear" w:color="auto" w:fill="auto"/>
            <w:noWrap/>
            <w:vAlign w:val="center"/>
          </w:tcPr>
          <w:p w14:paraId="403C1F27">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414" w:type="dxa"/>
            <w:shd w:val="clear" w:color="auto" w:fill="auto"/>
            <w:vAlign w:val="center"/>
          </w:tcPr>
          <w:p w14:paraId="30F86204">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部门预算项目是否在规定时间完成项目入库</w:t>
            </w:r>
          </w:p>
        </w:tc>
        <w:tc>
          <w:tcPr>
            <w:tcW w:w="2262" w:type="dxa"/>
            <w:shd w:val="clear" w:color="auto" w:fill="auto"/>
            <w:vAlign w:val="center"/>
          </w:tcPr>
          <w:p w14:paraId="0C40709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-规定时间未入财政库部门预算阶段项目（含一次性项目）数量÷最终安排部门预算阶段项目（含一次性项目）总数×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。（默认满分）</w:t>
            </w:r>
          </w:p>
        </w:tc>
        <w:tc>
          <w:tcPr>
            <w:tcW w:w="768" w:type="dxa"/>
            <w:shd w:val="clear" w:color="auto" w:fill="auto"/>
            <w:noWrap/>
            <w:vAlign w:val="center"/>
          </w:tcPr>
          <w:p w14:paraId="3AE33CEA">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256" w:type="dxa"/>
            <w:shd w:val="clear" w:color="auto" w:fill="auto"/>
            <w:noWrap/>
            <w:vAlign w:val="center"/>
          </w:tcPr>
          <w:p w14:paraId="3E0F5C5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2E112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782" w:type="dxa"/>
            <w:vMerge w:val="continue"/>
            <w:vAlign w:val="center"/>
          </w:tcPr>
          <w:p w14:paraId="056C5F00">
            <w:pPr>
              <w:widowControl/>
              <w:jc w:val="left"/>
              <w:rPr>
                <w:rFonts w:ascii="宋体" w:hAnsi="宋体" w:eastAsia="宋体" w:cs="宋体"/>
                <w:b/>
                <w:bCs/>
                <w:color w:val="000000"/>
                <w:sz w:val="22"/>
                <w:szCs w:val="22"/>
              </w:rPr>
            </w:pPr>
          </w:p>
        </w:tc>
        <w:tc>
          <w:tcPr>
            <w:tcW w:w="768" w:type="dxa"/>
            <w:vMerge w:val="restart"/>
            <w:shd w:val="clear" w:color="auto" w:fill="auto"/>
            <w:vAlign w:val="center"/>
          </w:tcPr>
          <w:p w14:paraId="732F97F8">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项目执行</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15</w:t>
            </w:r>
            <w:r>
              <w:rPr>
                <w:rFonts w:hint="eastAsia" w:ascii="宋体" w:hAnsi="宋体" w:eastAsia="宋体" w:cs="宋体"/>
                <w:color w:val="000000"/>
                <w:sz w:val="22"/>
                <w:szCs w:val="22"/>
              </w:rPr>
              <w:t>分）</w:t>
            </w:r>
          </w:p>
        </w:tc>
        <w:tc>
          <w:tcPr>
            <w:tcW w:w="1643" w:type="dxa"/>
            <w:shd w:val="clear" w:color="auto" w:fill="auto"/>
            <w:noWrap/>
            <w:vAlign w:val="center"/>
          </w:tcPr>
          <w:p w14:paraId="156A0333">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执行同向</w:t>
            </w:r>
          </w:p>
        </w:tc>
        <w:tc>
          <w:tcPr>
            <w:tcW w:w="768" w:type="dxa"/>
            <w:shd w:val="clear" w:color="auto" w:fill="auto"/>
            <w:noWrap/>
            <w:vAlign w:val="center"/>
          </w:tcPr>
          <w:p w14:paraId="4E59E91A">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5</w:t>
            </w:r>
          </w:p>
        </w:tc>
        <w:tc>
          <w:tcPr>
            <w:tcW w:w="1414" w:type="dxa"/>
            <w:shd w:val="clear" w:color="auto" w:fill="auto"/>
            <w:vAlign w:val="center"/>
          </w:tcPr>
          <w:p w14:paraId="6008B8F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部门预算项目实际列支内容是否与绩效目标设置方向相符</w:t>
            </w:r>
          </w:p>
        </w:tc>
        <w:tc>
          <w:tcPr>
            <w:tcW w:w="2262" w:type="dxa"/>
            <w:shd w:val="clear" w:color="auto" w:fill="auto"/>
            <w:vAlign w:val="center"/>
          </w:tcPr>
          <w:p w14:paraId="42CF7BB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-实际列支内容与绩效目标设置方向不相符的部门预算阶段项目（含一次性项目）数量÷部门预算阶段项目（含一次性项目）总数×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w:t>
            </w:r>
          </w:p>
        </w:tc>
        <w:tc>
          <w:tcPr>
            <w:tcW w:w="768" w:type="dxa"/>
            <w:shd w:val="clear" w:color="auto" w:fill="auto"/>
            <w:noWrap/>
            <w:vAlign w:val="center"/>
          </w:tcPr>
          <w:p w14:paraId="61EBCC93">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5</w:t>
            </w:r>
          </w:p>
        </w:tc>
        <w:tc>
          <w:tcPr>
            <w:tcW w:w="1256" w:type="dxa"/>
            <w:shd w:val="clear" w:color="auto" w:fill="auto"/>
            <w:noWrap/>
            <w:vAlign w:val="center"/>
          </w:tcPr>
          <w:p w14:paraId="34A728A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11CF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82" w:type="dxa"/>
            <w:vMerge w:val="continue"/>
            <w:vAlign w:val="center"/>
          </w:tcPr>
          <w:p w14:paraId="0823CA76">
            <w:pPr>
              <w:widowControl/>
              <w:jc w:val="left"/>
              <w:rPr>
                <w:rFonts w:ascii="宋体" w:hAnsi="宋体" w:eastAsia="宋体" w:cs="宋体"/>
                <w:b/>
                <w:bCs/>
                <w:color w:val="000000"/>
                <w:sz w:val="22"/>
                <w:szCs w:val="22"/>
              </w:rPr>
            </w:pPr>
          </w:p>
        </w:tc>
        <w:tc>
          <w:tcPr>
            <w:tcW w:w="768" w:type="dxa"/>
            <w:vMerge w:val="continue"/>
            <w:vAlign w:val="center"/>
          </w:tcPr>
          <w:p w14:paraId="6F5CF48E">
            <w:pPr>
              <w:widowControl/>
              <w:jc w:val="left"/>
              <w:rPr>
                <w:rFonts w:ascii="宋体" w:hAnsi="宋体" w:eastAsia="宋体" w:cs="宋体"/>
                <w:color w:val="000000"/>
                <w:sz w:val="22"/>
                <w:szCs w:val="22"/>
              </w:rPr>
            </w:pPr>
          </w:p>
        </w:tc>
        <w:tc>
          <w:tcPr>
            <w:tcW w:w="1643" w:type="dxa"/>
            <w:shd w:val="clear" w:color="auto" w:fill="auto"/>
            <w:noWrap/>
            <w:vAlign w:val="center"/>
          </w:tcPr>
          <w:p w14:paraId="36489BFF">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项目调整</w:t>
            </w:r>
          </w:p>
        </w:tc>
        <w:tc>
          <w:tcPr>
            <w:tcW w:w="768" w:type="dxa"/>
            <w:shd w:val="clear" w:color="auto" w:fill="auto"/>
            <w:noWrap/>
            <w:vAlign w:val="center"/>
          </w:tcPr>
          <w:p w14:paraId="5E705256">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414" w:type="dxa"/>
            <w:shd w:val="clear" w:color="auto" w:fill="auto"/>
            <w:vAlign w:val="center"/>
          </w:tcPr>
          <w:p w14:paraId="4DE5723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部门预算项目是否采取对应调整措施</w:t>
            </w:r>
          </w:p>
        </w:tc>
        <w:tc>
          <w:tcPr>
            <w:tcW w:w="2262" w:type="dxa"/>
            <w:shd w:val="clear" w:color="auto" w:fill="auto"/>
            <w:vAlign w:val="center"/>
          </w:tcPr>
          <w:p w14:paraId="44EEEB3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w:t>
            </w:r>
            <w:r>
              <w:rPr>
                <w:rFonts w:hint="eastAsia" w:ascii="Times New Roman" w:hAnsi="Times New Roman" w:eastAsia="宋体" w:cs="宋体"/>
                <w:color w:val="000000"/>
                <w:sz w:val="22"/>
                <w:szCs w:val="22"/>
              </w:rPr>
              <w:t>4</w:t>
            </w:r>
            <w:r>
              <w:rPr>
                <w:rFonts w:hint="eastAsia" w:ascii="宋体" w:hAnsi="宋体" w:eastAsia="宋体" w:cs="宋体"/>
                <w:color w:val="000000"/>
                <w:sz w:val="22"/>
                <w:szCs w:val="22"/>
              </w:rPr>
              <w:t>-应采取未采取收回预算、调整目标等处置措施的部门预算阶段项目（含一次性项目）数量÷应采取收回预算、调整目标等处置措施的部门预算阶段项目（含一次性项目）总数×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w:t>
            </w:r>
          </w:p>
        </w:tc>
        <w:tc>
          <w:tcPr>
            <w:tcW w:w="768" w:type="dxa"/>
            <w:shd w:val="clear" w:color="auto" w:fill="auto"/>
            <w:noWrap/>
            <w:vAlign w:val="center"/>
          </w:tcPr>
          <w:p w14:paraId="32DC8F2F">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256" w:type="dxa"/>
            <w:shd w:val="clear" w:color="auto" w:fill="auto"/>
            <w:noWrap/>
            <w:vAlign w:val="center"/>
          </w:tcPr>
          <w:p w14:paraId="400DFF83">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AC9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82" w:type="dxa"/>
            <w:vMerge w:val="continue"/>
            <w:vAlign w:val="center"/>
          </w:tcPr>
          <w:p w14:paraId="22CEF1F8">
            <w:pPr>
              <w:widowControl/>
              <w:jc w:val="left"/>
              <w:rPr>
                <w:rFonts w:ascii="宋体" w:hAnsi="宋体" w:eastAsia="宋体" w:cs="宋体"/>
                <w:b/>
                <w:bCs/>
                <w:color w:val="000000"/>
                <w:sz w:val="22"/>
                <w:szCs w:val="22"/>
              </w:rPr>
            </w:pPr>
          </w:p>
        </w:tc>
        <w:tc>
          <w:tcPr>
            <w:tcW w:w="768" w:type="dxa"/>
            <w:vMerge w:val="continue"/>
            <w:vAlign w:val="center"/>
          </w:tcPr>
          <w:p w14:paraId="02B0D1B4">
            <w:pPr>
              <w:widowControl/>
              <w:jc w:val="left"/>
              <w:rPr>
                <w:rFonts w:ascii="宋体" w:hAnsi="宋体" w:eastAsia="宋体" w:cs="宋体"/>
                <w:color w:val="000000"/>
                <w:sz w:val="22"/>
                <w:szCs w:val="22"/>
              </w:rPr>
            </w:pPr>
          </w:p>
        </w:tc>
        <w:tc>
          <w:tcPr>
            <w:tcW w:w="1643" w:type="dxa"/>
            <w:shd w:val="clear" w:color="auto" w:fill="auto"/>
            <w:noWrap/>
            <w:vAlign w:val="center"/>
          </w:tcPr>
          <w:p w14:paraId="35B40912">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执行结果</w:t>
            </w:r>
          </w:p>
        </w:tc>
        <w:tc>
          <w:tcPr>
            <w:tcW w:w="768" w:type="dxa"/>
            <w:shd w:val="clear" w:color="auto" w:fill="auto"/>
            <w:noWrap/>
            <w:vAlign w:val="center"/>
          </w:tcPr>
          <w:p w14:paraId="02BF2049">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414" w:type="dxa"/>
            <w:shd w:val="clear" w:color="auto" w:fill="auto"/>
            <w:vAlign w:val="center"/>
          </w:tcPr>
          <w:p w14:paraId="6BF5120F">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部门预算项目预算执行情况</w:t>
            </w:r>
          </w:p>
        </w:tc>
        <w:tc>
          <w:tcPr>
            <w:tcW w:w="2262" w:type="dxa"/>
            <w:shd w:val="clear" w:color="auto" w:fill="auto"/>
            <w:vAlign w:val="center"/>
          </w:tcPr>
          <w:p w14:paraId="26519C2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该项指标得分=预算结余率小于</w:t>
            </w:r>
            <w:r>
              <w:rPr>
                <w:rFonts w:hint="eastAsia" w:ascii="Times New Roman" w:hAnsi="Times New Roman" w:eastAsia="宋体" w:cs="宋体"/>
                <w:color w:val="000000"/>
                <w:sz w:val="22"/>
                <w:szCs w:val="22"/>
              </w:rPr>
              <w:t>10</w:t>
            </w:r>
            <w:r>
              <w:rPr>
                <w:rFonts w:hint="eastAsia" w:ascii="宋体" w:hAnsi="宋体" w:eastAsia="宋体" w:cs="宋体"/>
                <w:color w:val="000000"/>
                <w:sz w:val="22"/>
                <w:szCs w:val="22"/>
              </w:rPr>
              <w:t>%的常年项目数量÷部门预算常年项目总数×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+预算结余率小于</w:t>
            </w:r>
            <w:r>
              <w:rPr>
                <w:rFonts w:hint="eastAsia" w:ascii="Times New Roman" w:hAnsi="Times New Roman" w:eastAsia="宋体" w:cs="宋体"/>
                <w:color w:val="000000"/>
                <w:sz w:val="22"/>
                <w:szCs w:val="22"/>
              </w:rPr>
              <w:t>10</w:t>
            </w:r>
            <w:r>
              <w:rPr>
                <w:rFonts w:hint="eastAsia" w:ascii="宋体" w:hAnsi="宋体" w:eastAsia="宋体" w:cs="宋体"/>
                <w:color w:val="000000"/>
                <w:sz w:val="22"/>
                <w:szCs w:val="22"/>
              </w:rPr>
              <w:t>%的一次性项目和阶段项目数量÷部门预算一次性项目和阶段项目总数×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r>
              <w:rPr>
                <w:rFonts w:hint="eastAsia" w:ascii="宋体" w:hAnsi="宋体" w:eastAsia="宋体" w:cs="宋体"/>
                <w:color w:val="000000"/>
                <w:sz w:val="22"/>
                <w:szCs w:val="22"/>
              </w:rPr>
              <w:t>。</w:t>
            </w:r>
          </w:p>
        </w:tc>
        <w:tc>
          <w:tcPr>
            <w:tcW w:w="768" w:type="dxa"/>
            <w:shd w:val="clear" w:color="auto" w:fill="auto"/>
            <w:noWrap/>
            <w:vAlign w:val="center"/>
          </w:tcPr>
          <w:p w14:paraId="63168D40">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4</w:t>
            </w:r>
          </w:p>
        </w:tc>
        <w:tc>
          <w:tcPr>
            <w:tcW w:w="1256" w:type="dxa"/>
            <w:shd w:val="clear" w:color="auto" w:fill="auto"/>
            <w:noWrap/>
            <w:vAlign w:val="center"/>
          </w:tcPr>
          <w:p w14:paraId="696A42F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88C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82" w:type="dxa"/>
            <w:vMerge w:val="continue"/>
            <w:vAlign w:val="center"/>
          </w:tcPr>
          <w:p w14:paraId="4C56ADE8">
            <w:pPr>
              <w:widowControl/>
              <w:jc w:val="left"/>
              <w:rPr>
                <w:rFonts w:ascii="宋体" w:hAnsi="宋体" w:eastAsia="宋体" w:cs="宋体"/>
                <w:b/>
                <w:bCs/>
                <w:color w:val="000000"/>
                <w:sz w:val="22"/>
                <w:szCs w:val="22"/>
              </w:rPr>
            </w:pPr>
          </w:p>
        </w:tc>
        <w:tc>
          <w:tcPr>
            <w:tcW w:w="768" w:type="dxa"/>
            <w:vMerge w:val="restart"/>
            <w:shd w:val="clear" w:color="auto" w:fill="auto"/>
            <w:vAlign w:val="center"/>
          </w:tcPr>
          <w:p w14:paraId="06A4DA07">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目标实现</w:t>
            </w:r>
            <w:r>
              <w:rPr>
                <w:rFonts w:hint="eastAsia" w:ascii="宋体" w:hAnsi="宋体" w:eastAsia="宋体" w:cs="宋体"/>
                <w:color w:val="000000"/>
                <w:sz w:val="22"/>
                <w:szCs w:val="22"/>
              </w:rPr>
              <w:br w:type="textWrapping"/>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17</w:t>
            </w:r>
            <w:r>
              <w:rPr>
                <w:rFonts w:hint="eastAsia" w:ascii="宋体" w:hAnsi="宋体" w:eastAsia="宋体" w:cs="宋体"/>
                <w:color w:val="000000"/>
                <w:sz w:val="22"/>
                <w:szCs w:val="22"/>
              </w:rPr>
              <w:t>分）</w:t>
            </w:r>
          </w:p>
        </w:tc>
        <w:tc>
          <w:tcPr>
            <w:tcW w:w="1643" w:type="dxa"/>
            <w:shd w:val="clear" w:color="auto" w:fill="auto"/>
            <w:noWrap/>
            <w:vAlign w:val="center"/>
          </w:tcPr>
          <w:p w14:paraId="73793DA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目标完成</w:t>
            </w:r>
          </w:p>
        </w:tc>
        <w:tc>
          <w:tcPr>
            <w:tcW w:w="768" w:type="dxa"/>
            <w:shd w:val="clear" w:color="auto" w:fill="auto"/>
            <w:noWrap/>
            <w:vAlign w:val="center"/>
          </w:tcPr>
          <w:p w14:paraId="3C4FCDB8">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414" w:type="dxa"/>
            <w:shd w:val="clear" w:color="auto" w:fill="auto"/>
            <w:vAlign w:val="center"/>
          </w:tcPr>
          <w:p w14:paraId="2A31DCD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部门预算项目绩效目标数量指标完成情况</w:t>
            </w:r>
          </w:p>
        </w:tc>
        <w:tc>
          <w:tcPr>
            <w:tcW w:w="2262" w:type="dxa"/>
            <w:shd w:val="clear" w:color="auto" w:fill="auto"/>
            <w:vAlign w:val="center"/>
          </w:tcPr>
          <w:p w14:paraId="470C38B2">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该项指标得分=完成绩效目标数量指标的部门预算阶段项目（含一次性项目）数量÷部门预算阶段项目（含一次性项目）总数×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w:t>
            </w:r>
          </w:p>
        </w:tc>
        <w:tc>
          <w:tcPr>
            <w:tcW w:w="768" w:type="dxa"/>
            <w:shd w:val="clear" w:color="auto" w:fill="auto"/>
            <w:noWrap/>
            <w:vAlign w:val="center"/>
          </w:tcPr>
          <w:p w14:paraId="2C42D6E3">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256" w:type="dxa"/>
            <w:shd w:val="clear" w:color="auto" w:fill="auto"/>
            <w:noWrap/>
            <w:vAlign w:val="center"/>
          </w:tcPr>
          <w:p w14:paraId="07AD06F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16B4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782" w:type="dxa"/>
            <w:vMerge w:val="continue"/>
            <w:vAlign w:val="center"/>
          </w:tcPr>
          <w:p w14:paraId="4A89492A">
            <w:pPr>
              <w:widowControl/>
              <w:jc w:val="left"/>
              <w:rPr>
                <w:rFonts w:ascii="宋体" w:hAnsi="宋体" w:eastAsia="宋体" w:cs="宋体"/>
                <w:b/>
                <w:bCs/>
                <w:color w:val="000000"/>
                <w:sz w:val="22"/>
                <w:szCs w:val="22"/>
              </w:rPr>
            </w:pPr>
          </w:p>
        </w:tc>
        <w:tc>
          <w:tcPr>
            <w:tcW w:w="768" w:type="dxa"/>
            <w:vMerge w:val="continue"/>
            <w:vAlign w:val="center"/>
          </w:tcPr>
          <w:p w14:paraId="54E36AF4">
            <w:pPr>
              <w:widowControl/>
              <w:jc w:val="left"/>
              <w:rPr>
                <w:rFonts w:ascii="宋体" w:hAnsi="宋体" w:eastAsia="宋体" w:cs="宋体"/>
                <w:color w:val="000000"/>
                <w:sz w:val="22"/>
                <w:szCs w:val="22"/>
              </w:rPr>
            </w:pPr>
          </w:p>
        </w:tc>
        <w:tc>
          <w:tcPr>
            <w:tcW w:w="1643" w:type="dxa"/>
            <w:shd w:val="clear" w:color="auto" w:fill="auto"/>
            <w:noWrap/>
            <w:vAlign w:val="center"/>
          </w:tcPr>
          <w:p w14:paraId="74368D9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目标偏离</w:t>
            </w:r>
          </w:p>
        </w:tc>
        <w:tc>
          <w:tcPr>
            <w:tcW w:w="768" w:type="dxa"/>
            <w:shd w:val="clear" w:color="auto" w:fill="auto"/>
            <w:noWrap/>
            <w:vAlign w:val="center"/>
          </w:tcPr>
          <w:p w14:paraId="16B48C44">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414" w:type="dxa"/>
            <w:shd w:val="clear" w:color="auto" w:fill="auto"/>
            <w:vAlign w:val="center"/>
          </w:tcPr>
          <w:p w14:paraId="0399060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部门预算项目绩效目标数量指标实现程度与预期目标的偏离情况</w:t>
            </w:r>
          </w:p>
        </w:tc>
        <w:tc>
          <w:tcPr>
            <w:tcW w:w="2262" w:type="dxa"/>
            <w:shd w:val="clear" w:color="auto" w:fill="auto"/>
            <w:vAlign w:val="center"/>
          </w:tcPr>
          <w:p w14:paraId="518BEE5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该项指标得分=已完成预期指标值的数量指标中偏离度在</w:t>
            </w:r>
            <w:r>
              <w:rPr>
                <w:rFonts w:hint="eastAsia" w:ascii="Times New Roman" w:hAnsi="Times New Roman" w:eastAsia="宋体" w:cs="宋体"/>
                <w:color w:val="000000"/>
                <w:sz w:val="22"/>
                <w:szCs w:val="22"/>
              </w:rPr>
              <w:t>30</w:t>
            </w:r>
            <w:r>
              <w:rPr>
                <w:rFonts w:hint="eastAsia" w:ascii="宋体" w:hAnsi="宋体" w:eastAsia="宋体" w:cs="宋体"/>
                <w:color w:val="000000"/>
                <w:sz w:val="22"/>
                <w:szCs w:val="22"/>
              </w:rPr>
              <w:t>%内的指标个数÷已完成预期指标值的数量指标个数×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6</w:t>
            </w:r>
            <w:r>
              <w:rPr>
                <w:rFonts w:hint="eastAsia" w:ascii="宋体" w:hAnsi="宋体" w:eastAsia="宋体" w:cs="宋体"/>
                <w:color w:val="000000"/>
                <w:sz w:val="22"/>
                <w:szCs w:val="22"/>
              </w:rPr>
              <w:t>。偏离度=|（绩效指标实际完成值-设定预期指标值）÷设定预期指标值|。部门预算阶段项目（含一次性项目）绩效目标实际完成值偏离预期指标</w:t>
            </w:r>
            <w:r>
              <w:rPr>
                <w:rFonts w:hint="eastAsia" w:ascii="Times New Roman" w:hAnsi="Times New Roman" w:eastAsia="宋体" w:cs="宋体"/>
                <w:color w:val="000000"/>
                <w:sz w:val="22"/>
                <w:szCs w:val="22"/>
              </w:rPr>
              <w:t>30</w:t>
            </w:r>
            <w:r>
              <w:rPr>
                <w:rFonts w:hint="eastAsia" w:ascii="宋体" w:hAnsi="宋体" w:eastAsia="宋体" w:cs="宋体"/>
                <w:color w:val="000000"/>
                <w:sz w:val="22"/>
                <w:szCs w:val="22"/>
              </w:rPr>
              <w:t>%以上（含</w:t>
            </w:r>
            <w:r>
              <w:rPr>
                <w:rFonts w:hint="eastAsia" w:ascii="Times New Roman" w:hAnsi="Times New Roman" w:eastAsia="宋体" w:cs="宋体"/>
                <w:color w:val="000000"/>
                <w:sz w:val="22"/>
                <w:szCs w:val="22"/>
              </w:rPr>
              <w:t>30</w:t>
            </w:r>
            <w:r>
              <w:rPr>
                <w:rFonts w:hint="eastAsia" w:ascii="宋体" w:hAnsi="宋体" w:eastAsia="宋体" w:cs="宋体"/>
                <w:color w:val="000000"/>
                <w:sz w:val="22"/>
                <w:szCs w:val="22"/>
              </w:rPr>
              <w:t>%）的，不计分。</w:t>
            </w:r>
          </w:p>
        </w:tc>
        <w:tc>
          <w:tcPr>
            <w:tcW w:w="768" w:type="dxa"/>
            <w:shd w:val="clear" w:color="auto" w:fill="auto"/>
            <w:noWrap/>
            <w:vAlign w:val="center"/>
          </w:tcPr>
          <w:p w14:paraId="37D6508D">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6</w:t>
            </w:r>
          </w:p>
        </w:tc>
        <w:tc>
          <w:tcPr>
            <w:tcW w:w="1256" w:type="dxa"/>
            <w:shd w:val="clear" w:color="auto" w:fill="auto"/>
            <w:noWrap/>
            <w:vAlign w:val="center"/>
          </w:tcPr>
          <w:p w14:paraId="3611B73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31AC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82" w:type="dxa"/>
            <w:vMerge w:val="continue"/>
            <w:vAlign w:val="center"/>
          </w:tcPr>
          <w:p w14:paraId="7069796D">
            <w:pPr>
              <w:widowControl/>
              <w:jc w:val="left"/>
              <w:rPr>
                <w:rFonts w:ascii="宋体" w:hAnsi="宋体" w:eastAsia="宋体" w:cs="宋体"/>
                <w:b/>
                <w:bCs/>
                <w:color w:val="000000"/>
                <w:sz w:val="22"/>
                <w:szCs w:val="22"/>
              </w:rPr>
            </w:pPr>
          </w:p>
        </w:tc>
        <w:tc>
          <w:tcPr>
            <w:tcW w:w="768" w:type="dxa"/>
            <w:vMerge w:val="continue"/>
            <w:vAlign w:val="center"/>
          </w:tcPr>
          <w:p w14:paraId="1160B139">
            <w:pPr>
              <w:widowControl/>
              <w:jc w:val="left"/>
              <w:rPr>
                <w:rFonts w:ascii="宋体" w:hAnsi="宋体" w:eastAsia="宋体" w:cs="宋体"/>
                <w:color w:val="000000"/>
                <w:sz w:val="22"/>
                <w:szCs w:val="22"/>
              </w:rPr>
            </w:pPr>
          </w:p>
        </w:tc>
        <w:tc>
          <w:tcPr>
            <w:tcW w:w="1643" w:type="dxa"/>
            <w:shd w:val="clear" w:color="auto" w:fill="auto"/>
            <w:noWrap/>
            <w:vAlign w:val="center"/>
          </w:tcPr>
          <w:p w14:paraId="3056AAB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实现效果</w:t>
            </w:r>
          </w:p>
        </w:tc>
        <w:tc>
          <w:tcPr>
            <w:tcW w:w="768" w:type="dxa"/>
            <w:shd w:val="clear" w:color="auto" w:fill="auto"/>
            <w:noWrap/>
            <w:vAlign w:val="center"/>
          </w:tcPr>
          <w:p w14:paraId="7C270A39">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5</w:t>
            </w:r>
          </w:p>
        </w:tc>
        <w:tc>
          <w:tcPr>
            <w:tcW w:w="1414" w:type="dxa"/>
            <w:shd w:val="clear" w:color="auto" w:fill="auto"/>
            <w:vAlign w:val="center"/>
          </w:tcPr>
          <w:p w14:paraId="74DE6E5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部门预算项目绩效目标效益指标实施效果</w:t>
            </w:r>
          </w:p>
        </w:tc>
        <w:tc>
          <w:tcPr>
            <w:tcW w:w="2262" w:type="dxa"/>
            <w:shd w:val="clear" w:color="auto" w:fill="auto"/>
            <w:vAlign w:val="center"/>
          </w:tcPr>
          <w:p w14:paraId="2A0C1B52">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该项指标得分=完成绩效目标效益指标的部门预算阶段项目（含一次性项目）数量÷部门预算阶段项目（含一次性项目）总数×</w:t>
            </w:r>
            <w:r>
              <w:rPr>
                <w:rFonts w:hint="eastAsia" w:ascii="Times New Roman" w:hAnsi="Times New Roman" w:eastAsia="宋体" w:cs="宋体"/>
                <w:color w:val="000000"/>
                <w:sz w:val="22"/>
                <w:szCs w:val="22"/>
              </w:rPr>
              <w:t>100</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5</w:t>
            </w:r>
            <w:r>
              <w:rPr>
                <w:rFonts w:hint="eastAsia" w:ascii="宋体" w:hAnsi="宋体" w:eastAsia="宋体" w:cs="宋体"/>
                <w:color w:val="000000"/>
                <w:sz w:val="22"/>
                <w:szCs w:val="22"/>
              </w:rPr>
              <w:t>。</w:t>
            </w:r>
          </w:p>
        </w:tc>
        <w:tc>
          <w:tcPr>
            <w:tcW w:w="768" w:type="dxa"/>
            <w:shd w:val="clear" w:color="auto" w:fill="auto"/>
            <w:noWrap/>
            <w:vAlign w:val="center"/>
          </w:tcPr>
          <w:p w14:paraId="456F4D0F">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5</w:t>
            </w:r>
          </w:p>
        </w:tc>
        <w:tc>
          <w:tcPr>
            <w:tcW w:w="1256" w:type="dxa"/>
            <w:shd w:val="clear" w:color="auto" w:fill="auto"/>
            <w:noWrap/>
            <w:vAlign w:val="center"/>
          </w:tcPr>
          <w:p w14:paraId="37389A14">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C42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2" w:type="dxa"/>
            <w:vMerge w:val="restart"/>
            <w:shd w:val="clear" w:color="auto" w:fill="auto"/>
            <w:noWrap/>
            <w:vAlign w:val="center"/>
          </w:tcPr>
          <w:p w14:paraId="2ECBEEC7">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扣分项</w:t>
            </w:r>
          </w:p>
        </w:tc>
        <w:tc>
          <w:tcPr>
            <w:tcW w:w="768" w:type="dxa"/>
            <w:vMerge w:val="restart"/>
            <w:shd w:val="clear" w:color="auto" w:fill="auto"/>
            <w:noWrap/>
            <w:vAlign w:val="center"/>
          </w:tcPr>
          <w:p w14:paraId="03B5A3B5">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财务管理</w:t>
            </w:r>
          </w:p>
        </w:tc>
        <w:tc>
          <w:tcPr>
            <w:tcW w:w="1643" w:type="dxa"/>
            <w:shd w:val="clear" w:color="auto" w:fill="auto"/>
            <w:noWrap/>
            <w:vAlign w:val="center"/>
          </w:tcPr>
          <w:p w14:paraId="3A0E3A6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财务管理制度</w:t>
            </w:r>
          </w:p>
        </w:tc>
        <w:tc>
          <w:tcPr>
            <w:tcW w:w="768" w:type="dxa"/>
            <w:shd w:val="clear" w:color="auto" w:fill="auto"/>
            <w:noWrap/>
            <w:vAlign w:val="center"/>
          </w:tcPr>
          <w:p w14:paraId="312A4AC7">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p>
        </w:tc>
        <w:tc>
          <w:tcPr>
            <w:tcW w:w="1414" w:type="dxa"/>
            <w:shd w:val="clear" w:color="auto" w:fill="auto"/>
            <w:vAlign w:val="center"/>
          </w:tcPr>
          <w:p w14:paraId="53E53D26">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部门财务管理制度建立情况</w:t>
            </w:r>
          </w:p>
        </w:tc>
        <w:tc>
          <w:tcPr>
            <w:tcW w:w="2262" w:type="dxa"/>
            <w:shd w:val="clear" w:color="auto" w:fill="auto"/>
            <w:vAlign w:val="center"/>
          </w:tcPr>
          <w:p w14:paraId="7E77389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部门未制定内部财务管理制度等制度机制的,财务管理制度未得到落实，发现一处扣</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分，扣完为止。</w:t>
            </w:r>
          </w:p>
        </w:tc>
        <w:tc>
          <w:tcPr>
            <w:tcW w:w="768" w:type="dxa"/>
            <w:shd w:val="clear" w:color="auto" w:fill="auto"/>
            <w:noWrap/>
            <w:vAlign w:val="center"/>
          </w:tcPr>
          <w:p w14:paraId="6358986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663E5D3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6915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2" w:type="dxa"/>
            <w:vMerge w:val="continue"/>
            <w:vAlign w:val="center"/>
          </w:tcPr>
          <w:p w14:paraId="565F02B4">
            <w:pPr>
              <w:widowControl/>
              <w:jc w:val="left"/>
              <w:rPr>
                <w:rFonts w:ascii="宋体" w:hAnsi="宋体" w:eastAsia="宋体" w:cs="宋体"/>
                <w:b/>
                <w:bCs/>
                <w:color w:val="000000"/>
                <w:sz w:val="22"/>
                <w:szCs w:val="22"/>
              </w:rPr>
            </w:pPr>
          </w:p>
        </w:tc>
        <w:tc>
          <w:tcPr>
            <w:tcW w:w="768" w:type="dxa"/>
            <w:vMerge w:val="continue"/>
            <w:vAlign w:val="center"/>
          </w:tcPr>
          <w:p w14:paraId="12292E44">
            <w:pPr>
              <w:widowControl/>
              <w:jc w:val="left"/>
              <w:rPr>
                <w:rFonts w:ascii="宋体" w:hAnsi="宋体" w:eastAsia="宋体" w:cs="宋体"/>
                <w:color w:val="000000"/>
                <w:sz w:val="22"/>
                <w:szCs w:val="22"/>
              </w:rPr>
            </w:pPr>
          </w:p>
        </w:tc>
        <w:tc>
          <w:tcPr>
            <w:tcW w:w="1643" w:type="dxa"/>
            <w:shd w:val="clear" w:color="auto" w:fill="auto"/>
            <w:noWrap/>
            <w:vAlign w:val="center"/>
          </w:tcPr>
          <w:p w14:paraId="403C886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财务岗位设置</w:t>
            </w:r>
          </w:p>
        </w:tc>
        <w:tc>
          <w:tcPr>
            <w:tcW w:w="768" w:type="dxa"/>
            <w:shd w:val="clear" w:color="auto" w:fill="auto"/>
            <w:noWrap/>
            <w:vAlign w:val="center"/>
          </w:tcPr>
          <w:p w14:paraId="06E0FA16">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p>
        </w:tc>
        <w:tc>
          <w:tcPr>
            <w:tcW w:w="1414" w:type="dxa"/>
            <w:shd w:val="clear" w:color="auto" w:fill="auto"/>
            <w:vAlign w:val="center"/>
          </w:tcPr>
          <w:p w14:paraId="2DBCDC9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部门财务岗位设置是否符合相关财务管理制度要求</w:t>
            </w:r>
          </w:p>
        </w:tc>
        <w:tc>
          <w:tcPr>
            <w:tcW w:w="2262" w:type="dxa"/>
            <w:shd w:val="clear" w:color="auto" w:fill="auto"/>
            <w:vAlign w:val="center"/>
          </w:tcPr>
          <w:p w14:paraId="1250D70C">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部门未合理设置财务工作岗位，职责权限不明确，未严格实行不相容岗位分离，发现一处扣</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分，扣完为止。</w:t>
            </w:r>
          </w:p>
        </w:tc>
        <w:tc>
          <w:tcPr>
            <w:tcW w:w="768" w:type="dxa"/>
            <w:shd w:val="clear" w:color="auto" w:fill="auto"/>
            <w:noWrap/>
            <w:vAlign w:val="center"/>
          </w:tcPr>
          <w:p w14:paraId="1AFA470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01D5B53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7C1A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2" w:type="dxa"/>
            <w:vMerge w:val="continue"/>
            <w:vAlign w:val="center"/>
          </w:tcPr>
          <w:p w14:paraId="5390D802">
            <w:pPr>
              <w:widowControl/>
              <w:jc w:val="left"/>
              <w:rPr>
                <w:rFonts w:ascii="宋体" w:hAnsi="宋体" w:eastAsia="宋体" w:cs="宋体"/>
                <w:b/>
                <w:bCs/>
                <w:color w:val="000000"/>
                <w:sz w:val="22"/>
                <w:szCs w:val="22"/>
              </w:rPr>
            </w:pPr>
          </w:p>
        </w:tc>
        <w:tc>
          <w:tcPr>
            <w:tcW w:w="768" w:type="dxa"/>
            <w:vMerge w:val="continue"/>
            <w:vAlign w:val="center"/>
          </w:tcPr>
          <w:p w14:paraId="2A96982E">
            <w:pPr>
              <w:widowControl/>
              <w:jc w:val="left"/>
              <w:rPr>
                <w:rFonts w:ascii="宋体" w:hAnsi="宋体" w:eastAsia="宋体" w:cs="宋体"/>
                <w:color w:val="000000"/>
                <w:sz w:val="22"/>
                <w:szCs w:val="22"/>
              </w:rPr>
            </w:pPr>
          </w:p>
        </w:tc>
        <w:tc>
          <w:tcPr>
            <w:tcW w:w="1643" w:type="dxa"/>
            <w:shd w:val="clear" w:color="auto" w:fill="auto"/>
            <w:noWrap/>
            <w:vAlign w:val="center"/>
          </w:tcPr>
          <w:p w14:paraId="35EAA4B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资金使用规范</w:t>
            </w:r>
          </w:p>
        </w:tc>
        <w:tc>
          <w:tcPr>
            <w:tcW w:w="768" w:type="dxa"/>
            <w:shd w:val="clear" w:color="auto" w:fill="auto"/>
            <w:noWrap/>
            <w:vAlign w:val="center"/>
          </w:tcPr>
          <w:p w14:paraId="70CA8F9F">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p>
        </w:tc>
        <w:tc>
          <w:tcPr>
            <w:tcW w:w="1414" w:type="dxa"/>
            <w:shd w:val="clear" w:color="auto" w:fill="auto"/>
            <w:vAlign w:val="center"/>
          </w:tcPr>
          <w:p w14:paraId="332B5761">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部门资金使用是否符合相关财务管理制度规定</w:t>
            </w:r>
          </w:p>
        </w:tc>
        <w:tc>
          <w:tcPr>
            <w:tcW w:w="2262" w:type="dxa"/>
            <w:shd w:val="clear" w:color="auto" w:fill="auto"/>
            <w:vAlign w:val="center"/>
          </w:tcPr>
          <w:p w14:paraId="34AAF68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部门资金使用不符合相关财务管理制度规定的，发现一处扣</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分，扣完为止。</w:t>
            </w:r>
          </w:p>
        </w:tc>
        <w:tc>
          <w:tcPr>
            <w:tcW w:w="768" w:type="dxa"/>
            <w:shd w:val="clear" w:color="auto" w:fill="auto"/>
            <w:noWrap/>
            <w:vAlign w:val="center"/>
          </w:tcPr>
          <w:p w14:paraId="313C32B1">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3DC47ECB">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050A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782" w:type="dxa"/>
            <w:vMerge w:val="continue"/>
            <w:vAlign w:val="center"/>
          </w:tcPr>
          <w:p w14:paraId="77AE68C6">
            <w:pPr>
              <w:widowControl/>
              <w:jc w:val="left"/>
              <w:rPr>
                <w:rFonts w:ascii="宋体" w:hAnsi="宋体" w:eastAsia="宋体" w:cs="宋体"/>
                <w:b/>
                <w:bCs/>
                <w:color w:val="000000"/>
                <w:sz w:val="22"/>
                <w:szCs w:val="22"/>
              </w:rPr>
            </w:pPr>
          </w:p>
        </w:tc>
        <w:tc>
          <w:tcPr>
            <w:tcW w:w="2411" w:type="dxa"/>
            <w:gridSpan w:val="2"/>
            <w:shd w:val="clear" w:color="auto" w:fill="auto"/>
            <w:noWrap/>
            <w:vAlign w:val="center"/>
          </w:tcPr>
          <w:p w14:paraId="53904AE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预算绩效存在问题</w:t>
            </w:r>
          </w:p>
        </w:tc>
        <w:tc>
          <w:tcPr>
            <w:tcW w:w="768" w:type="dxa"/>
            <w:shd w:val="clear" w:color="auto" w:fill="auto"/>
            <w:noWrap/>
            <w:vAlign w:val="center"/>
          </w:tcPr>
          <w:p w14:paraId="2A6004BC">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p>
        </w:tc>
        <w:tc>
          <w:tcPr>
            <w:tcW w:w="1414" w:type="dxa"/>
            <w:shd w:val="clear" w:color="auto" w:fill="auto"/>
            <w:vAlign w:val="center"/>
          </w:tcPr>
          <w:p w14:paraId="07AA030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预算管理和绩效管理工作存在问题</w:t>
            </w:r>
          </w:p>
        </w:tc>
        <w:tc>
          <w:tcPr>
            <w:tcW w:w="2262" w:type="dxa"/>
            <w:shd w:val="clear" w:color="auto" w:fill="auto"/>
            <w:vAlign w:val="center"/>
          </w:tcPr>
          <w:p w14:paraId="30060050">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依据评价年度人大监督、巡视巡察、审计监督、财会监督等结果以及评价指标体系涉及的履职效果、预算管理、财务管理、资产管理、采购管理、项目绩效等方面出现的问题，每有一个问题点扣</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分，扣完为止。</w:t>
            </w:r>
          </w:p>
        </w:tc>
        <w:tc>
          <w:tcPr>
            <w:tcW w:w="768" w:type="dxa"/>
            <w:shd w:val="clear" w:color="auto" w:fill="auto"/>
            <w:noWrap/>
            <w:vAlign w:val="center"/>
          </w:tcPr>
          <w:p w14:paraId="765A66C9">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67CA8369">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12DE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82" w:type="dxa"/>
            <w:vMerge w:val="continue"/>
            <w:vAlign w:val="center"/>
          </w:tcPr>
          <w:p w14:paraId="728BC86D">
            <w:pPr>
              <w:widowControl/>
              <w:jc w:val="left"/>
              <w:rPr>
                <w:rFonts w:ascii="宋体" w:hAnsi="宋体" w:eastAsia="宋体" w:cs="宋体"/>
                <w:b/>
                <w:bCs/>
                <w:color w:val="000000"/>
                <w:sz w:val="22"/>
                <w:szCs w:val="22"/>
              </w:rPr>
            </w:pPr>
          </w:p>
        </w:tc>
        <w:tc>
          <w:tcPr>
            <w:tcW w:w="2411" w:type="dxa"/>
            <w:gridSpan w:val="2"/>
            <w:shd w:val="clear" w:color="auto" w:fill="auto"/>
            <w:noWrap/>
            <w:vAlign w:val="center"/>
          </w:tcPr>
          <w:p w14:paraId="08834962">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被评价部门配合度</w:t>
            </w:r>
          </w:p>
        </w:tc>
        <w:tc>
          <w:tcPr>
            <w:tcW w:w="768" w:type="dxa"/>
            <w:shd w:val="clear" w:color="auto" w:fill="auto"/>
            <w:noWrap/>
            <w:vAlign w:val="center"/>
          </w:tcPr>
          <w:p w14:paraId="0A29EA74">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2</w:t>
            </w:r>
          </w:p>
        </w:tc>
        <w:tc>
          <w:tcPr>
            <w:tcW w:w="1414" w:type="dxa"/>
            <w:shd w:val="clear" w:color="auto" w:fill="auto"/>
            <w:vAlign w:val="center"/>
          </w:tcPr>
          <w:p w14:paraId="30F4A8DE">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被评价对象工作配合情况</w:t>
            </w:r>
          </w:p>
        </w:tc>
        <w:tc>
          <w:tcPr>
            <w:tcW w:w="2262" w:type="dxa"/>
            <w:shd w:val="clear" w:color="auto" w:fill="auto"/>
            <w:vAlign w:val="center"/>
          </w:tcPr>
          <w:p w14:paraId="05FD1F3F">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评价工作开展过程中，被评价对象拖延推诿、提交资料不及时等拒不配合评价工作的，每发现一次扣</w:t>
            </w:r>
            <w:r>
              <w:rPr>
                <w:rFonts w:hint="eastAsia" w:ascii="Times New Roman" w:hAnsi="Times New Roman" w:eastAsia="宋体" w:cs="宋体"/>
                <w:color w:val="000000"/>
                <w:sz w:val="22"/>
                <w:szCs w:val="22"/>
              </w:rPr>
              <w:t>1</w:t>
            </w:r>
            <w:r>
              <w:rPr>
                <w:rFonts w:hint="eastAsia" w:ascii="宋体" w:hAnsi="宋体" w:eastAsia="宋体" w:cs="宋体"/>
                <w:color w:val="000000"/>
                <w:sz w:val="22"/>
                <w:szCs w:val="22"/>
              </w:rPr>
              <w:t>分，扣完为止。</w:t>
            </w:r>
          </w:p>
        </w:tc>
        <w:tc>
          <w:tcPr>
            <w:tcW w:w="768" w:type="dxa"/>
            <w:shd w:val="clear" w:color="auto" w:fill="auto"/>
            <w:noWrap/>
            <w:vAlign w:val="center"/>
          </w:tcPr>
          <w:p w14:paraId="1BD077E3">
            <w:pPr>
              <w:widowControl/>
              <w:jc w:val="center"/>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256" w:type="dxa"/>
            <w:shd w:val="clear" w:color="auto" w:fill="auto"/>
            <w:noWrap/>
            <w:vAlign w:val="center"/>
          </w:tcPr>
          <w:p w14:paraId="4D6010F7">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r w14:paraId="417A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193" w:type="dxa"/>
            <w:gridSpan w:val="3"/>
            <w:shd w:val="clear" w:color="auto" w:fill="auto"/>
            <w:noWrap/>
            <w:vAlign w:val="center"/>
          </w:tcPr>
          <w:p w14:paraId="16F21C08">
            <w:pPr>
              <w:widowControl/>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分值</w:t>
            </w:r>
          </w:p>
        </w:tc>
        <w:tc>
          <w:tcPr>
            <w:tcW w:w="768" w:type="dxa"/>
            <w:shd w:val="clear" w:color="auto" w:fill="auto"/>
            <w:noWrap/>
            <w:vAlign w:val="center"/>
          </w:tcPr>
          <w:p w14:paraId="6A8C0B4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1414" w:type="dxa"/>
            <w:shd w:val="clear" w:color="auto" w:fill="auto"/>
            <w:noWrap/>
            <w:vAlign w:val="center"/>
          </w:tcPr>
          <w:p w14:paraId="40F346B4">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2262" w:type="dxa"/>
            <w:shd w:val="clear" w:color="auto" w:fill="auto"/>
            <w:noWrap/>
            <w:vAlign w:val="center"/>
          </w:tcPr>
          <w:p w14:paraId="1CB307CD">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c>
          <w:tcPr>
            <w:tcW w:w="768" w:type="dxa"/>
            <w:shd w:val="clear" w:color="auto" w:fill="auto"/>
            <w:noWrap/>
            <w:vAlign w:val="center"/>
          </w:tcPr>
          <w:p w14:paraId="46195E14">
            <w:pPr>
              <w:widowControl/>
              <w:jc w:val="center"/>
              <w:rPr>
                <w:rFonts w:ascii="宋体" w:hAnsi="宋体" w:eastAsia="宋体" w:cs="宋体"/>
                <w:color w:val="000000"/>
                <w:sz w:val="22"/>
                <w:szCs w:val="22"/>
              </w:rPr>
            </w:pPr>
            <w:r>
              <w:rPr>
                <w:rFonts w:hint="eastAsia" w:ascii="Times New Roman" w:hAnsi="Times New Roman" w:eastAsia="宋体" w:cs="宋体"/>
                <w:color w:val="000000"/>
                <w:sz w:val="22"/>
                <w:szCs w:val="22"/>
              </w:rPr>
              <w:t>95</w:t>
            </w:r>
            <w:r>
              <w:rPr>
                <w:rFonts w:hint="eastAsia" w:ascii="宋体" w:hAnsi="宋体" w:eastAsia="宋体" w:cs="宋体"/>
                <w:color w:val="000000"/>
                <w:sz w:val="22"/>
                <w:szCs w:val="22"/>
              </w:rPr>
              <w:t>.</w:t>
            </w:r>
            <w:r>
              <w:rPr>
                <w:rFonts w:hint="eastAsia" w:ascii="Times New Roman" w:hAnsi="Times New Roman" w:eastAsia="宋体" w:cs="宋体"/>
                <w:color w:val="000000"/>
                <w:sz w:val="22"/>
                <w:szCs w:val="22"/>
              </w:rPr>
              <w:t>4</w:t>
            </w:r>
          </w:p>
        </w:tc>
        <w:tc>
          <w:tcPr>
            <w:tcW w:w="1256" w:type="dxa"/>
            <w:shd w:val="clear" w:color="auto" w:fill="auto"/>
            <w:noWrap/>
            <w:vAlign w:val="center"/>
          </w:tcPr>
          <w:p w14:paraId="6FE2A30A">
            <w:pPr>
              <w:widowControl/>
              <w:jc w:val="left"/>
              <w:rPr>
                <w:rFonts w:ascii="宋体" w:hAnsi="宋体" w:eastAsia="宋体" w:cs="宋体"/>
                <w:color w:val="000000"/>
                <w:sz w:val="22"/>
                <w:szCs w:val="22"/>
              </w:rPr>
            </w:pPr>
            <w:r>
              <w:rPr>
                <w:rFonts w:hint="eastAsia" w:ascii="宋体" w:hAnsi="宋体" w:eastAsia="宋体" w:cs="宋体"/>
                <w:color w:val="000000"/>
                <w:sz w:val="22"/>
                <w:szCs w:val="22"/>
              </w:rPr>
              <w:t>　</w:t>
            </w:r>
          </w:p>
        </w:tc>
      </w:tr>
    </w:tbl>
    <w:p w14:paraId="72064CA0">
      <w:pPr>
        <w:pStyle w:val="46"/>
        <w:spacing w:line="560" w:lineRule="exact"/>
        <w:rPr>
          <w:rFonts w:ascii="Times New Roman"/>
          <w:lang w:val="zh-CN"/>
        </w:rPr>
      </w:pPr>
    </w:p>
    <w:p w14:paraId="2BAD6DDE">
      <w:pPr>
        <w:pStyle w:val="46"/>
        <w:spacing w:line="560" w:lineRule="exact"/>
        <w:ind w:firstLine="0"/>
        <w:rPr>
          <w:rFonts w:ascii="Times New Roman"/>
          <w:lang w:val="zh-CN"/>
        </w:rPr>
      </w:pPr>
    </w:p>
    <w:p w14:paraId="41D9EFD4">
      <w:pPr>
        <w:pStyle w:val="46"/>
        <w:spacing w:line="560" w:lineRule="exact"/>
        <w:ind w:firstLine="0"/>
        <w:rPr>
          <w:rFonts w:ascii="Times New Roman"/>
          <w:lang w:val="zh-CN"/>
        </w:rPr>
        <w:sectPr>
          <w:pgSz w:w="11905" w:h="16838"/>
          <w:pgMar w:top="2098" w:right="1474" w:bottom="1984" w:left="1587" w:header="851" w:footer="1587" w:gutter="0"/>
          <w:pgNumType w:fmt="decimal"/>
          <w:cols w:space="0" w:num="1"/>
          <w:rtlGutter w:val="0"/>
          <w:docGrid w:linePitch="0" w:charSpace="0"/>
        </w:sectPr>
      </w:pPr>
    </w:p>
    <w:p w14:paraId="79DC2C5A">
      <w:pPr>
        <w:pStyle w:val="46"/>
        <w:ind w:firstLine="0"/>
        <w:jc w:val="center"/>
        <w:rPr>
          <w:rFonts w:ascii="Times New Roman" w:eastAsia="黑体"/>
          <w:shd w:val="clear" w:color="auto" w:fill="FFFFFF"/>
          <w:lang w:val="zh-CN"/>
        </w:rPr>
      </w:pPr>
      <w:r>
        <w:rPr>
          <w:rFonts w:hint="eastAsia" w:ascii="方正小标宋简体" w:hAnsi="方正小标宋简体" w:eastAsia="方正小标宋简体" w:cs="方正小标宋简体"/>
          <w:b w:val="0"/>
          <w:bCs w:val="0"/>
          <w:color w:val="000000"/>
          <w:sz w:val="44"/>
          <w:szCs w:val="44"/>
        </w:rPr>
        <w:t>部门预算项目支出绩效自评表（2024年度）</w:t>
      </w:r>
    </w:p>
    <w:tbl>
      <w:tblPr>
        <w:tblStyle w:val="35"/>
        <w:tblW w:w="0" w:type="auto"/>
        <w:tblInd w:w="0" w:type="dxa"/>
        <w:tblLayout w:type="autofit"/>
        <w:tblCellMar>
          <w:top w:w="0" w:type="dxa"/>
          <w:left w:w="108" w:type="dxa"/>
          <w:bottom w:w="0" w:type="dxa"/>
          <w:right w:w="108" w:type="dxa"/>
        </w:tblCellMar>
      </w:tblPr>
      <w:tblGrid>
        <w:gridCol w:w="696"/>
        <w:gridCol w:w="1005"/>
        <w:gridCol w:w="888"/>
        <w:gridCol w:w="1044"/>
        <w:gridCol w:w="456"/>
        <w:gridCol w:w="1017"/>
        <w:gridCol w:w="456"/>
        <w:gridCol w:w="1056"/>
        <w:gridCol w:w="576"/>
        <w:gridCol w:w="576"/>
        <w:gridCol w:w="1290"/>
      </w:tblGrid>
      <w:tr w14:paraId="09D91194">
        <w:tblPrEx>
          <w:tblCellMar>
            <w:top w:w="0" w:type="dxa"/>
            <w:left w:w="108" w:type="dxa"/>
            <w:bottom w:w="0" w:type="dxa"/>
            <w:right w:w="108" w:type="dxa"/>
          </w:tblCellMar>
        </w:tblPrEx>
        <w:trPr>
          <w:trHeight w:val="904" w:hRule="atLeast"/>
        </w:trPr>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44AE1">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项目名称</w:t>
            </w:r>
          </w:p>
        </w:tc>
        <w:tc>
          <w:tcPr>
            <w:tcW w:w="7359" w:type="dxa"/>
            <w:gridSpan w:val="9"/>
            <w:tcBorders>
              <w:top w:val="single" w:color="000000" w:sz="4" w:space="0"/>
              <w:left w:val="nil"/>
              <w:bottom w:val="single" w:color="000000" w:sz="4" w:space="0"/>
              <w:right w:val="single" w:color="000000" w:sz="4" w:space="0"/>
            </w:tcBorders>
            <w:shd w:val="clear" w:color="auto" w:fill="auto"/>
            <w:vAlign w:val="center"/>
          </w:tcPr>
          <w:p w14:paraId="41B09ECA">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51090422T000000404619-科普活动经费</w:t>
            </w:r>
          </w:p>
        </w:tc>
      </w:tr>
      <w:tr w14:paraId="2C356F17">
        <w:tblPrEx>
          <w:tblCellMar>
            <w:top w:w="0" w:type="dxa"/>
            <w:left w:w="108" w:type="dxa"/>
            <w:bottom w:w="0" w:type="dxa"/>
            <w:right w:w="108" w:type="dxa"/>
          </w:tblCellMar>
        </w:tblPrEx>
        <w:trPr>
          <w:trHeight w:val="559" w:hRule="atLeast"/>
        </w:trPr>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072A9">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主管部门</w:t>
            </w:r>
          </w:p>
        </w:tc>
        <w:tc>
          <w:tcPr>
            <w:tcW w:w="3861" w:type="dxa"/>
            <w:gridSpan w:val="5"/>
            <w:tcBorders>
              <w:top w:val="single" w:color="000000" w:sz="4" w:space="0"/>
              <w:left w:val="nil"/>
              <w:bottom w:val="single" w:color="000000" w:sz="4" w:space="0"/>
              <w:right w:val="single" w:color="000000" w:sz="4" w:space="0"/>
            </w:tcBorders>
            <w:shd w:val="clear" w:color="auto" w:fill="auto"/>
            <w:vAlign w:val="center"/>
          </w:tcPr>
          <w:p w14:paraId="4E9A5FA8">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遂宁市安居区科学技术协会部门</w:t>
            </w:r>
          </w:p>
        </w:tc>
        <w:tc>
          <w:tcPr>
            <w:tcW w:w="1056" w:type="dxa"/>
            <w:tcBorders>
              <w:top w:val="nil"/>
              <w:left w:val="nil"/>
              <w:bottom w:val="nil"/>
              <w:right w:val="nil"/>
            </w:tcBorders>
            <w:shd w:val="clear" w:color="auto" w:fill="auto"/>
            <w:vAlign w:val="center"/>
          </w:tcPr>
          <w:p w14:paraId="6582C5E2">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实施单位 （盖章）</w:t>
            </w:r>
          </w:p>
        </w:tc>
        <w:tc>
          <w:tcPr>
            <w:tcW w:w="2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848D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遂宁市安居区科学技术协会</w:t>
            </w:r>
          </w:p>
        </w:tc>
      </w:tr>
      <w:tr w14:paraId="77746CEC">
        <w:tblPrEx>
          <w:tblCellMar>
            <w:top w:w="0" w:type="dxa"/>
            <w:left w:w="108" w:type="dxa"/>
            <w:bottom w:w="0" w:type="dxa"/>
            <w:right w:w="108" w:type="dxa"/>
          </w:tblCellMar>
        </w:tblPrEx>
        <w:trPr>
          <w:trHeight w:val="514" w:hRule="atLeast"/>
        </w:trPr>
        <w:tc>
          <w:tcPr>
            <w:tcW w:w="696" w:type="dxa"/>
            <w:vMerge w:val="restart"/>
            <w:tcBorders>
              <w:top w:val="nil"/>
              <w:left w:val="single" w:color="000000" w:sz="4" w:space="0"/>
              <w:bottom w:val="single" w:color="000000" w:sz="4" w:space="0"/>
              <w:right w:val="single" w:color="000000" w:sz="4" w:space="0"/>
            </w:tcBorders>
            <w:shd w:val="clear" w:color="auto" w:fill="auto"/>
            <w:vAlign w:val="center"/>
          </w:tcPr>
          <w:p w14:paraId="64E9E2D9">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项目基本情况</w:t>
            </w:r>
          </w:p>
        </w:tc>
        <w:tc>
          <w:tcPr>
            <w:tcW w:w="1005" w:type="dxa"/>
            <w:vMerge w:val="restart"/>
            <w:tcBorders>
              <w:top w:val="nil"/>
              <w:left w:val="single" w:color="000000" w:sz="4" w:space="0"/>
              <w:bottom w:val="single" w:color="000000" w:sz="4" w:space="0"/>
              <w:right w:val="single" w:color="000000" w:sz="4" w:space="0"/>
            </w:tcBorders>
            <w:shd w:val="clear" w:color="auto" w:fill="auto"/>
            <w:vAlign w:val="center"/>
          </w:tcPr>
          <w:p w14:paraId="692F28A3">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1.项目年度目标完成情况</w:t>
            </w:r>
          </w:p>
        </w:tc>
        <w:tc>
          <w:tcPr>
            <w:tcW w:w="3861" w:type="dxa"/>
            <w:gridSpan w:val="5"/>
            <w:tcBorders>
              <w:top w:val="single" w:color="000000" w:sz="4" w:space="0"/>
              <w:left w:val="nil"/>
              <w:bottom w:val="single" w:color="000000" w:sz="4" w:space="0"/>
              <w:right w:val="single" w:color="000000" w:sz="4" w:space="0"/>
            </w:tcBorders>
            <w:shd w:val="clear" w:color="auto" w:fill="auto"/>
            <w:vAlign w:val="center"/>
          </w:tcPr>
          <w:p w14:paraId="2BD29E1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项目年度目标</w:t>
            </w:r>
          </w:p>
        </w:tc>
        <w:tc>
          <w:tcPr>
            <w:tcW w:w="3498" w:type="dxa"/>
            <w:gridSpan w:val="4"/>
            <w:tcBorders>
              <w:top w:val="single" w:color="000000" w:sz="4" w:space="0"/>
              <w:left w:val="nil"/>
              <w:bottom w:val="single" w:color="000000" w:sz="4" w:space="0"/>
              <w:right w:val="single" w:color="000000" w:sz="4" w:space="0"/>
            </w:tcBorders>
            <w:shd w:val="clear" w:color="auto" w:fill="auto"/>
            <w:vAlign w:val="center"/>
          </w:tcPr>
          <w:p w14:paraId="3DFD7BE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年度目标完成情况</w:t>
            </w:r>
          </w:p>
        </w:tc>
      </w:tr>
      <w:tr w14:paraId="6D03EF78">
        <w:tblPrEx>
          <w:tblCellMar>
            <w:top w:w="0" w:type="dxa"/>
            <w:left w:w="108" w:type="dxa"/>
            <w:bottom w:w="0" w:type="dxa"/>
            <w:right w:w="108" w:type="dxa"/>
          </w:tblCellMar>
        </w:tblPrEx>
        <w:trPr>
          <w:trHeight w:val="1920" w:hRule="atLeast"/>
        </w:trPr>
        <w:tc>
          <w:tcPr>
            <w:tcW w:w="696" w:type="dxa"/>
            <w:vMerge w:val="continue"/>
            <w:tcBorders>
              <w:top w:val="nil"/>
              <w:left w:val="single" w:color="000000" w:sz="4" w:space="0"/>
              <w:bottom w:val="single" w:color="000000" w:sz="4" w:space="0"/>
              <w:right w:val="single" w:color="000000" w:sz="4" w:space="0"/>
            </w:tcBorders>
            <w:vAlign w:val="center"/>
          </w:tcPr>
          <w:p w14:paraId="7A5A42EA">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31A03102">
            <w:pPr>
              <w:widowControl/>
              <w:jc w:val="left"/>
              <w:rPr>
                <w:rFonts w:hint="eastAsia" w:asciiTheme="minorEastAsia" w:hAnsiTheme="minorEastAsia" w:eastAsiaTheme="minorEastAsia" w:cstheme="minorEastAsia"/>
                <w:color w:val="000000"/>
                <w:sz w:val="22"/>
                <w:szCs w:val="22"/>
              </w:rPr>
            </w:pPr>
          </w:p>
        </w:tc>
        <w:tc>
          <w:tcPr>
            <w:tcW w:w="3861" w:type="dxa"/>
            <w:gridSpan w:val="5"/>
            <w:tcBorders>
              <w:top w:val="single" w:color="000000" w:sz="4" w:space="0"/>
              <w:left w:val="nil"/>
              <w:bottom w:val="single" w:color="000000" w:sz="4" w:space="0"/>
              <w:right w:val="single" w:color="000000" w:sz="4" w:space="0"/>
            </w:tcBorders>
            <w:shd w:val="clear" w:color="auto" w:fill="auto"/>
            <w:vAlign w:val="center"/>
          </w:tcPr>
          <w:p w14:paraId="7CC29549">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联合团委、关工委、教育局、经科局、农业农村局等单位开展科普大篷车进校园、社区、企业等科普教育活动及实用技术培训活动12场次。利用科普宣传月、周、日对群众开展科普宣传活动。对科普大篷车进行运行维护、车载产品保养维修、维护等。</w:t>
            </w:r>
          </w:p>
        </w:tc>
        <w:tc>
          <w:tcPr>
            <w:tcW w:w="3498" w:type="dxa"/>
            <w:gridSpan w:val="4"/>
            <w:tcBorders>
              <w:top w:val="single" w:color="000000" w:sz="4" w:space="0"/>
              <w:left w:val="nil"/>
              <w:bottom w:val="single" w:color="000000" w:sz="4" w:space="0"/>
              <w:right w:val="single" w:color="000000" w:sz="4" w:space="0"/>
            </w:tcBorders>
            <w:shd w:val="clear" w:color="auto" w:fill="auto"/>
            <w:vAlign w:val="center"/>
          </w:tcPr>
          <w:p w14:paraId="770C8213">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2024年，累计开展系列主题科普活动20余场，开展科普大篷车进校园（社区）15次、开展科普实验秀5场，发放科普宣传资料20000余份，参与群众达2万余人次</w:t>
            </w:r>
          </w:p>
        </w:tc>
      </w:tr>
      <w:tr w14:paraId="7EAB15BC">
        <w:tblPrEx>
          <w:tblCellMar>
            <w:top w:w="0" w:type="dxa"/>
            <w:left w:w="108" w:type="dxa"/>
            <w:bottom w:w="0" w:type="dxa"/>
            <w:right w:w="108" w:type="dxa"/>
          </w:tblCellMar>
        </w:tblPrEx>
        <w:trPr>
          <w:trHeight w:val="1680" w:hRule="atLeast"/>
        </w:trPr>
        <w:tc>
          <w:tcPr>
            <w:tcW w:w="696" w:type="dxa"/>
            <w:vMerge w:val="continue"/>
            <w:tcBorders>
              <w:top w:val="nil"/>
              <w:left w:val="single" w:color="000000" w:sz="4" w:space="0"/>
              <w:bottom w:val="single" w:color="000000" w:sz="4" w:space="0"/>
              <w:right w:val="single" w:color="000000" w:sz="4" w:space="0"/>
            </w:tcBorders>
            <w:vAlign w:val="center"/>
          </w:tcPr>
          <w:p w14:paraId="4D1A814C">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45705FAA">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2.项目实施内容及过程概述</w:t>
            </w:r>
          </w:p>
        </w:tc>
        <w:tc>
          <w:tcPr>
            <w:tcW w:w="7359" w:type="dxa"/>
            <w:gridSpan w:val="9"/>
            <w:tcBorders>
              <w:top w:val="single" w:color="000000" w:sz="4" w:space="0"/>
              <w:left w:val="nil"/>
              <w:bottom w:val="single" w:color="000000" w:sz="4" w:space="0"/>
              <w:right w:val="single" w:color="000000" w:sz="4" w:space="0"/>
            </w:tcBorders>
            <w:shd w:val="clear" w:color="auto" w:fill="auto"/>
            <w:vAlign w:val="center"/>
          </w:tcPr>
          <w:p w14:paraId="02F4CF44">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2024年，累计开展系列主题科普活动20余场，开展科普大篷车进校园（社区）15次、开展科普实验秀5场，发放科普宣传资料20000余份，参与群众达2万余人次</w:t>
            </w:r>
          </w:p>
        </w:tc>
      </w:tr>
      <w:tr w14:paraId="062887DB">
        <w:tblPrEx>
          <w:tblCellMar>
            <w:top w:w="0" w:type="dxa"/>
            <w:left w:w="108" w:type="dxa"/>
            <w:bottom w:w="0" w:type="dxa"/>
            <w:right w:w="108" w:type="dxa"/>
          </w:tblCellMar>
        </w:tblPrEx>
        <w:trPr>
          <w:trHeight w:val="694" w:hRule="atLeast"/>
        </w:trPr>
        <w:tc>
          <w:tcPr>
            <w:tcW w:w="696" w:type="dxa"/>
            <w:vMerge w:val="restart"/>
            <w:tcBorders>
              <w:top w:val="nil"/>
              <w:left w:val="single" w:color="000000" w:sz="4" w:space="0"/>
              <w:bottom w:val="single" w:color="000000" w:sz="4" w:space="0"/>
              <w:right w:val="single" w:color="000000" w:sz="4" w:space="0"/>
            </w:tcBorders>
            <w:shd w:val="clear" w:color="auto" w:fill="auto"/>
            <w:vAlign w:val="center"/>
          </w:tcPr>
          <w:p w14:paraId="3FCDEA3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预算执行情况（10分）</w:t>
            </w:r>
          </w:p>
        </w:tc>
        <w:tc>
          <w:tcPr>
            <w:tcW w:w="1005" w:type="dxa"/>
            <w:tcBorders>
              <w:top w:val="nil"/>
              <w:left w:val="nil"/>
              <w:bottom w:val="single" w:color="000000" w:sz="4" w:space="0"/>
              <w:right w:val="single" w:color="000000" w:sz="4" w:space="0"/>
            </w:tcBorders>
            <w:shd w:val="clear" w:color="auto" w:fill="auto"/>
            <w:vAlign w:val="center"/>
          </w:tcPr>
          <w:p w14:paraId="597CA29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年度预算数（万元）</w:t>
            </w:r>
          </w:p>
        </w:tc>
        <w:tc>
          <w:tcPr>
            <w:tcW w:w="888" w:type="dxa"/>
            <w:tcBorders>
              <w:top w:val="nil"/>
              <w:left w:val="nil"/>
              <w:bottom w:val="single" w:color="000000" w:sz="4" w:space="0"/>
              <w:right w:val="single" w:color="000000" w:sz="4" w:space="0"/>
            </w:tcBorders>
            <w:shd w:val="clear" w:color="auto" w:fill="auto"/>
            <w:vAlign w:val="center"/>
          </w:tcPr>
          <w:p w14:paraId="6C378D3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年初预算</w:t>
            </w:r>
          </w:p>
        </w:tc>
        <w:tc>
          <w:tcPr>
            <w:tcW w:w="1044" w:type="dxa"/>
            <w:tcBorders>
              <w:top w:val="nil"/>
              <w:left w:val="nil"/>
              <w:bottom w:val="single" w:color="000000" w:sz="4" w:space="0"/>
              <w:right w:val="single" w:color="000000" w:sz="4" w:space="0"/>
            </w:tcBorders>
            <w:shd w:val="clear" w:color="auto" w:fill="auto"/>
            <w:vAlign w:val="center"/>
          </w:tcPr>
          <w:p w14:paraId="3577648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调整后预算数</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3955357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预算执行数</w:t>
            </w:r>
          </w:p>
        </w:tc>
        <w:tc>
          <w:tcPr>
            <w:tcW w:w="1056" w:type="dxa"/>
            <w:tcBorders>
              <w:top w:val="nil"/>
              <w:left w:val="nil"/>
              <w:bottom w:val="single" w:color="000000" w:sz="4" w:space="0"/>
              <w:right w:val="single" w:color="000000" w:sz="4" w:space="0"/>
            </w:tcBorders>
            <w:shd w:val="clear" w:color="auto" w:fill="auto"/>
            <w:vAlign w:val="center"/>
          </w:tcPr>
          <w:p w14:paraId="216F5E6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预算执行率</w:t>
            </w:r>
          </w:p>
        </w:tc>
        <w:tc>
          <w:tcPr>
            <w:tcW w:w="576" w:type="dxa"/>
            <w:tcBorders>
              <w:top w:val="nil"/>
              <w:left w:val="nil"/>
              <w:bottom w:val="single" w:color="000000" w:sz="4" w:space="0"/>
              <w:right w:val="single" w:color="000000" w:sz="4" w:space="0"/>
            </w:tcBorders>
            <w:shd w:val="clear" w:color="auto" w:fill="auto"/>
            <w:vAlign w:val="center"/>
          </w:tcPr>
          <w:p w14:paraId="257AFB6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权重</w:t>
            </w:r>
          </w:p>
        </w:tc>
        <w:tc>
          <w:tcPr>
            <w:tcW w:w="576" w:type="dxa"/>
            <w:tcBorders>
              <w:top w:val="nil"/>
              <w:left w:val="nil"/>
              <w:bottom w:val="single" w:color="000000" w:sz="4" w:space="0"/>
              <w:right w:val="single" w:color="000000" w:sz="4" w:space="0"/>
            </w:tcBorders>
            <w:shd w:val="clear" w:color="auto" w:fill="auto"/>
            <w:vAlign w:val="center"/>
          </w:tcPr>
          <w:p w14:paraId="7480832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290" w:type="dxa"/>
            <w:tcBorders>
              <w:top w:val="nil"/>
              <w:left w:val="nil"/>
              <w:bottom w:val="single" w:color="000000" w:sz="4" w:space="0"/>
              <w:right w:val="single" w:color="000000" w:sz="4" w:space="0"/>
            </w:tcBorders>
            <w:shd w:val="clear" w:color="auto" w:fill="auto"/>
            <w:vAlign w:val="center"/>
          </w:tcPr>
          <w:p w14:paraId="3A809D9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原因</w:t>
            </w:r>
          </w:p>
        </w:tc>
      </w:tr>
      <w:tr w14:paraId="37DA12D3">
        <w:tblPrEx>
          <w:tblCellMar>
            <w:top w:w="0" w:type="dxa"/>
            <w:left w:w="108" w:type="dxa"/>
            <w:bottom w:w="0" w:type="dxa"/>
            <w:right w:w="108" w:type="dxa"/>
          </w:tblCellMar>
        </w:tblPrEx>
        <w:trPr>
          <w:trHeight w:val="619" w:hRule="atLeast"/>
        </w:trPr>
        <w:tc>
          <w:tcPr>
            <w:tcW w:w="696" w:type="dxa"/>
            <w:vMerge w:val="continue"/>
            <w:tcBorders>
              <w:top w:val="nil"/>
              <w:left w:val="single" w:color="000000" w:sz="4" w:space="0"/>
              <w:bottom w:val="single" w:color="000000" w:sz="4" w:space="0"/>
              <w:right w:val="single" w:color="000000" w:sz="4" w:space="0"/>
            </w:tcBorders>
            <w:vAlign w:val="center"/>
          </w:tcPr>
          <w:p w14:paraId="1E2113BB">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45A1DE5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总额</w:t>
            </w:r>
          </w:p>
        </w:tc>
        <w:tc>
          <w:tcPr>
            <w:tcW w:w="888" w:type="dxa"/>
            <w:tcBorders>
              <w:top w:val="nil"/>
              <w:left w:val="nil"/>
              <w:bottom w:val="single" w:color="000000" w:sz="4" w:space="0"/>
              <w:right w:val="single" w:color="000000" w:sz="4" w:space="0"/>
            </w:tcBorders>
            <w:shd w:val="clear" w:color="auto" w:fill="auto"/>
            <w:vAlign w:val="center"/>
          </w:tcPr>
          <w:p w14:paraId="21080A9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10.00</w:t>
            </w:r>
          </w:p>
        </w:tc>
        <w:tc>
          <w:tcPr>
            <w:tcW w:w="1044" w:type="dxa"/>
            <w:tcBorders>
              <w:top w:val="nil"/>
              <w:left w:val="nil"/>
              <w:bottom w:val="single" w:color="000000" w:sz="4" w:space="0"/>
              <w:right w:val="single" w:color="000000" w:sz="4" w:space="0"/>
            </w:tcBorders>
            <w:shd w:val="clear" w:color="auto" w:fill="auto"/>
            <w:vAlign w:val="center"/>
          </w:tcPr>
          <w:p w14:paraId="38D38A3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9.89</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5788943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9.89</w:t>
            </w:r>
          </w:p>
        </w:tc>
        <w:tc>
          <w:tcPr>
            <w:tcW w:w="1056" w:type="dxa"/>
            <w:tcBorders>
              <w:top w:val="nil"/>
              <w:left w:val="nil"/>
              <w:bottom w:val="single" w:color="000000" w:sz="4" w:space="0"/>
              <w:right w:val="single" w:color="000000" w:sz="4" w:space="0"/>
            </w:tcBorders>
            <w:shd w:val="clear" w:color="auto" w:fill="auto"/>
            <w:vAlign w:val="center"/>
          </w:tcPr>
          <w:p w14:paraId="40A446B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100.00%</w:t>
            </w:r>
          </w:p>
        </w:tc>
        <w:tc>
          <w:tcPr>
            <w:tcW w:w="576" w:type="dxa"/>
            <w:tcBorders>
              <w:top w:val="nil"/>
              <w:left w:val="nil"/>
              <w:bottom w:val="single" w:color="000000" w:sz="4" w:space="0"/>
              <w:right w:val="single" w:color="000000" w:sz="4" w:space="0"/>
            </w:tcBorders>
            <w:shd w:val="clear" w:color="auto" w:fill="auto"/>
            <w:vAlign w:val="center"/>
          </w:tcPr>
          <w:p w14:paraId="0B300EC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24E74FF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vMerge w:val="restart"/>
            <w:tcBorders>
              <w:top w:val="nil"/>
              <w:left w:val="single" w:color="000000" w:sz="4" w:space="0"/>
              <w:bottom w:val="single" w:color="000000" w:sz="4" w:space="0"/>
              <w:right w:val="single" w:color="000000" w:sz="4" w:space="0"/>
            </w:tcBorders>
            <w:shd w:val="clear" w:color="auto" w:fill="auto"/>
            <w:vAlign w:val="center"/>
          </w:tcPr>
          <w:p w14:paraId="10D826D9">
            <w:pPr>
              <w:widowControl/>
              <w:jc w:val="left"/>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61393D62">
        <w:tblPrEx>
          <w:tblCellMar>
            <w:top w:w="0" w:type="dxa"/>
            <w:left w:w="108" w:type="dxa"/>
            <w:bottom w:w="0" w:type="dxa"/>
            <w:right w:w="108" w:type="dxa"/>
          </w:tblCellMar>
        </w:tblPrEx>
        <w:trPr>
          <w:trHeight w:val="402" w:hRule="atLeast"/>
        </w:trPr>
        <w:tc>
          <w:tcPr>
            <w:tcW w:w="696" w:type="dxa"/>
            <w:vMerge w:val="continue"/>
            <w:tcBorders>
              <w:top w:val="nil"/>
              <w:left w:val="single" w:color="000000" w:sz="4" w:space="0"/>
              <w:bottom w:val="single" w:color="000000" w:sz="4" w:space="0"/>
              <w:right w:val="single" w:color="000000" w:sz="4" w:space="0"/>
            </w:tcBorders>
            <w:vAlign w:val="center"/>
          </w:tcPr>
          <w:p w14:paraId="60F28061">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43F844A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其中：财政资金</w:t>
            </w:r>
          </w:p>
        </w:tc>
        <w:tc>
          <w:tcPr>
            <w:tcW w:w="888" w:type="dxa"/>
            <w:tcBorders>
              <w:top w:val="nil"/>
              <w:left w:val="nil"/>
              <w:bottom w:val="single" w:color="000000" w:sz="4" w:space="0"/>
              <w:right w:val="single" w:color="000000" w:sz="4" w:space="0"/>
            </w:tcBorders>
            <w:shd w:val="clear" w:color="auto" w:fill="auto"/>
            <w:vAlign w:val="center"/>
          </w:tcPr>
          <w:p w14:paraId="30CC47A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10.00</w:t>
            </w:r>
          </w:p>
        </w:tc>
        <w:tc>
          <w:tcPr>
            <w:tcW w:w="1044" w:type="dxa"/>
            <w:tcBorders>
              <w:top w:val="nil"/>
              <w:left w:val="nil"/>
              <w:bottom w:val="single" w:color="000000" w:sz="4" w:space="0"/>
              <w:right w:val="single" w:color="000000" w:sz="4" w:space="0"/>
            </w:tcBorders>
            <w:shd w:val="clear" w:color="auto" w:fill="auto"/>
            <w:vAlign w:val="center"/>
          </w:tcPr>
          <w:p w14:paraId="2C5C5B4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9.89</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5529F1E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9.89</w:t>
            </w:r>
          </w:p>
        </w:tc>
        <w:tc>
          <w:tcPr>
            <w:tcW w:w="1056" w:type="dxa"/>
            <w:tcBorders>
              <w:top w:val="nil"/>
              <w:left w:val="nil"/>
              <w:bottom w:val="single" w:color="000000" w:sz="4" w:space="0"/>
              <w:right w:val="single" w:color="000000" w:sz="4" w:space="0"/>
            </w:tcBorders>
            <w:shd w:val="clear" w:color="auto" w:fill="auto"/>
            <w:vAlign w:val="center"/>
          </w:tcPr>
          <w:p w14:paraId="4DD4D5B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100.00%</w:t>
            </w:r>
          </w:p>
        </w:tc>
        <w:tc>
          <w:tcPr>
            <w:tcW w:w="576" w:type="dxa"/>
            <w:tcBorders>
              <w:top w:val="nil"/>
              <w:left w:val="nil"/>
              <w:bottom w:val="single" w:color="000000" w:sz="4" w:space="0"/>
              <w:right w:val="single" w:color="000000" w:sz="4" w:space="0"/>
            </w:tcBorders>
            <w:shd w:val="clear" w:color="auto" w:fill="auto"/>
            <w:vAlign w:val="center"/>
          </w:tcPr>
          <w:p w14:paraId="2AB7DC9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tcBorders>
              <w:top w:val="nil"/>
              <w:left w:val="nil"/>
              <w:bottom w:val="single" w:color="000000" w:sz="4" w:space="0"/>
              <w:right w:val="single" w:color="000000" w:sz="4" w:space="0"/>
            </w:tcBorders>
            <w:shd w:val="clear" w:color="auto" w:fill="auto"/>
            <w:vAlign w:val="center"/>
          </w:tcPr>
          <w:p w14:paraId="4E240D0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290" w:type="dxa"/>
            <w:vMerge w:val="continue"/>
            <w:tcBorders>
              <w:top w:val="nil"/>
              <w:left w:val="single" w:color="000000" w:sz="4" w:space="0"/>
              <w:bottom w:val="single" w:color="000000" w:sz="4" w:space="0"/>
              <w:right w:val="single" w:color="000000" w:sz="4" w:space="0"/>
            </w:tcBorders>
            <w:vAlign w:val="center"/>
          </w:tcPr>
          <w:p w14:paraId="46A11505">
            <w:pPr>
              <w:widowControl/>
              <w:jc w:val="left"/>
              <w:rPr>
                <w:rFonts w:hint="eastAsia" w:asciiTheme="minorEastAsia" w:hAnsiTheme="minorEastAsia" w:eastAsiaTheme="minorEastAsia" w:cstheme="minorEastAsia"/>
                <w:i/>
                <w:iCs/>
                <w:color w:val="000000"/>
                <w:sz w:val="22"/>
                <w:szCs w:val="22"/>
              </w:rPr>
            </w:pPr>
          </w:p>
        </w:tc>
      </w:tr>
      <w:tr w14:paraId="69A9ED2C">
        <w:tblPrEx>
          <w:tblCellMar>
            <w:top w:w="0" w:type="dxa"/>
            <w:left w:w="108" w:type="dxa"/>
            <w:bottom w:w="0" w:type="dxa"/>
            <w:right w:w="108" w:type="dxa"/>
          </w:tblCellMar>
        </w:tblPrEx>
        <w:trPr>
          <w:trHeight w:val="402" w:hRule="atLeast"/>
        </w:trPr>
        <w:tc>
          <w:tcPr>
            <w:tcW w:w="696" w:type="dxa"/>
            <w:vMerge w:val="continue"/>
            <w:tcBorders>
              <w:top w:val="nil"/>
              <w:left w:val="single" w:color="000000" w:sz="4" w:space="0"/>
              <w:bottom w:val="single" w:color="000000" w:sz="4" w:space="0"/>
              <w:right w:val="single" w:color="000000" w:sz="4" w:space="0"/>
            </w:tcBorders>
            <w:vAlign w:val="center"/>
          </w:tcPr>
          <w:p w14:paraId="6682A620">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2EBB721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财政专户管理资金</w:t>
            </w:r>
          </w:p>
        </w:tc>
        <w:tc>
          <w:tcPr>
            <w:tcW w:w="888" w:type="dxa"/>
            <w:tcBorders>
              <w:top w:val="nil"/>
              <w:left w:val="nil"/>
              <w:bottom w:val="single" w:color="000000" w:sz="4" w:space="0"/>
              <w:right w:val="single" w:color="000000" w:sz="4" w:space="0"/>
            </w:tcBorders>
            <w:shd w:val="clear" w:color="auto" w:fill="auto"/>
            <w:vAlign w:val="center"/>
          </w:tcPr>
          <w:p w14:paraId="2A9FC8A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44" w:type="dxa"/>
            <w:tcBorders>
              <w:top w:val="nil"/>
              <w:left w:val="nil"/>
              <w:bottom w:val="single" w:color="000000" w:sz="4" w:space="0"/>
              <w:right w:val="single" w:color="000000" w:sz="4" w:space="0"/>
            </w:tcBorders>
            <w:shd w:val="clear" w:color="auto" w:fill="auto"/>
            <w:vAlign w:val="center"/>
          </w:tcPr>
          <w:p w14:paraId="3F662BD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56256CF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56" w:type="dxa"/>
            <w:tcBorders>
              <w:top w:val="nil"/>
              <w:left w:val="nil"/>
              <w:bottom w:val="single" w:color="000000" w:sz="4" w:space="0"/>
              <w:right w:val="single" w:color="000000" w:sz="4" w:space="0"/>
            </w:tcBorders>
            <w:shd w:val="clear" w:color="auto" w:fill="auto"/>
            <w:vAlign w:val="center"/>
          </w:tcPr>
          <w:p w14:paraId="3DF6EC1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576" w:type="dxa"/>
            <w:tcBorders>
              <w:top w:val="nil"/>
              <w:left w:val="nil"/>
              <w:bottom w:val="single" w:color="000000" w:sz="4" w:space="0"/>
              <w:right w:val="single" w:color="000000" w:sz="4" w:space="0"/>
            </w:tcBorders>
            <w:shd w:val="clear" w:color="auto" w:fill="auto"/>
            <w:vAlign w:val="center"/>
          </w:tcPr>
          <w:p w14:paraId="5C544F1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tcBorders>
              <w:top w:val="nil"/>
              <w:left w:val="nil"/>
              <w:bottom w:val="single" w:color="000000" w:sz="4" w:space="0"/>
              <w:right w:val="single" w:color="000000" w:sz="4" w:space="0"/>
            </w:tcBorders>
            <w:shd w:val="clear" w:color="auto" w:fill="auto"/>
            <w:vAlign w:val="center"/>
          </w:tcPr>
          <w:p w14:paraId="5F2B6E2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290" w:type="dxa"/>
            <w:vMerge w:val="continue"/>
            <w:tcBorders>
              <w:top w:val="nil"/>
              <w:left w:val="single" w:color="000000" w:sz="4" w:space="0"/>
              <w:bottom w:val="single" w:color="000000" w:sz="4" w:space="0"/>
              <w:right w:val="single" w:color="000000" w:sz="4" w:space="0"/>
            </w:tcBorders>
            <w:vAlign w:val="center"/>
          </w:tcPr>
          <w:p w14:paraId="71E9BA59">
            <w:pPr>
              <w:widowControl/>
              <w:jc w:val="left"/>
              <w:rPr>
                <w:rFonts w:hint="eastAsia" w:asciiTheme="minorEastAsia" w:hAnsiTheme="minorEastAsia" w:eastAsiaTheme="minorEastAsia" w:cstheme="minorEastAsia"/>
                <w:i/>
                <w:iCs/>
                <w:color w:val="000000"/>
                <w:sz w:val="22"/>
                <w:szCs w:val="22"/>
              </w:rPr>
            </w:pPr>
          </w:p>
        </w:tc>
      </w:tr>
      <w:tr w14:paraId="04B4F89A">
        <w:tblPrEx>
          <w:tblCellMar>
            <w:top w:w="0" w:type="dxa"/>
            <w:left w:w="108" w:type="dxa"/>
            <w:bottom w:w="0" w:type="dxa"/>
            <w:right w:w="108" w:type="dxa"/>
          </w:tblCellMar>
        </w:tblPrEx>
        <w:trPr>
          <w:trHeight w:val="402" w:hRule="atLeast"/>
        </w:trPr>
        <w:tc>
          <w:tcPr>
            <w:tcW w:w="696" w:type="dxa"/>
            <w:vMerge w:val="continue"/>
            <w:tcBorders>
              <w:top w:val="nil"/>
              <w:left w:val="single" w:color="000000" w:sz="4" w:space="0"/>
              <w:bottom w:val="single" w:color="000000" w:sz="4" w:space="0"/>
              <w:right w:val="single" w:color="000000" w:sz="4" w:space="0"/>
            </w:tcBorders>
            <w:vAlign w:val="center"/>
          </w:tcPr>
          <w:p w14:paraId="30C2B4A8">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4BE38DF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单位资金</w:t>
            </w:r>
          </w:p>
        </w:tc>
        <w:tc>
          <w:tcPr>
            <w:tcW w:w="888" w:type="dxa"/>
            <w:tcBorders>
              <w:top w:val="nil"/>
              <w:left w:val="nil"/>
              <w:bottom w:val="single" w:color="000000" w:sz="4" w:space="0"/>
              <w:right w:val="single" w:color="000000" w:sz="4" w:space="0"/>
            </w:tcBorders>
            <w:shd w:val="clear" w:color="auto" w:fill="auto"/>
            <w:vAlign w:val="center"/>
          </w:tcPr>
          <w:p w14:paraId="44D8B3B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44" w:type="dxa"/>
            <w:tcBorders>
              <w:top w:val="nil"/>
              <w:left w:val="nil"/>
              <w:bottom w:val="single" w:color="000000" w:sz="4" w:space="0"/>
              <w:right w:val="single" w:color="000000" w:sz="4" w:space="0"/>
            </w:tcBorders>
            <w:shd w:val="clear" w:color="auto" w:fill="auto"/>
            <w:vAlign w:val="center"/>
          </w:tcPr>
          <w:p w14:paraId="7B7A8FA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618E3B2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56" w:type="dxa"/>
            <w:tcBorders>
              <w:top w:val="nil"/>
              <w:left w:val="nil"/>
              <w:bottom w:val="single" w:color="000000" w:sz="4" w:space="0"/>
              <w:right w:val="single" w:color="000000" w:sz="4" w:space="0"/>
            </w:tcBorders>
            <w:shd w:val="clear" w:color="auto" w:fill="auto"/>
            <w:vAlign w:val="center"/>
          </w:tcPr>
          <w:p w14:paraId="08515F3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576" w:type="dxa"/>
            <w:tcBorders>
              <w:top w:val="nil"/>
              <w:left w:val="nil"/>
              <w:bottom w:val="single" w:color="000000" w:sz="4" w:space="0"/>
              <w:right w:val="single" w:color="000000" w:sz="4" w:space="0"/>
            </w:tcBorders>
            <w:shd w:val="clear" w:color="auto" w:fill="auto"/>
            <w:vAlign w:val="center"/>
          </w:tcPr>
          <w:p w14:paraId="38928D3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tcBorders>
              <w:top w:val="nil"/>
              <w:left w:val="nil"/>
              <w:bottom w:val="single" w:color="000000" w:sz="4" w:space="0"/>
              <w:right w:val="single" w:color="000000" w:sz="4" w:space="0"/>
            </w:tcBorders>
            <w:shd w:val="clear" w:color="auto" w:fill="auto"/>
            <w:vAlign w:val="center"/>
          </w:tcPr>
          <w:p w14:paraId="01B5E51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290" w:type="dxa"/>
            <w:vMerge w:val="continue"/>
            <w:tcBorders>
              <w:top w:val="nil"/>
              <w:left w:val="single" w:color="000000" w:sz="4" w:space="0"/>
              <w:bottom w:val="single" w:color="000000" w:sz="4" w:space="0"/>
              <w:right w:val="single" w:color="000000" w:sz="4" w:space="0"/>
            </w:tcBorders>
            <w:vAlign w:val="center"/>
          </w:tcPr>
          <w:p w14:paraId="5C14864D">
            <w:pPr>
              <w:widowControl/>
              <w:jc w:val="left"/>
              <w:rPr>
                <w:rFonts w:hint="eastAsia" w:asciiTheme="minorEastAsia" w:hAnsiTheme="minorEastAsia" w:eastAsiaTheme="minorEastAsia" w:cstheme="minorEastAsia"/>
                <w:i/>
                <w:iCs/>
                <w:color w:val="000000"/>
                <w:sz w:val="22"/>
                <w:szCs w:val="22"/>
              </w:rPr>
            </w:pPr>
          </w:p>
        </w:tc>
      </w:tr>
      <w:tr w14:paraId="62BED945">
        <w:tblPrEx>
          <w:tblCellMar>
            <w:top w:w="0" w:type="dxa"/>
            <w:left w:w="108" w:type="dxa"/>
            <w:bottom w:w="0" w:type="dxa"/>
            <w:right w:w="108" w:type="dxa"/>
          </w:tblCellMar>
        </w:tblPrEx>
        <w:trPr>
          <w:trHeight w:val="402" w:hRule="atLeast"/>
        </w:trPr>
        <w:tc>
          <w:tcPr>
            <w:tcW w:w="696" w:type="dxa"/>
            <w:vMerge w:val="continue"/>
            <w:tcBorders>
              <w:top w:val="nil"/>
              <w:left w:val="single" w:color="000000" w:sz="4" w:space="0"/>
              <w:bottom w:val="single" w:color="000000" w:sz="4" w:space="0"/>
              <w:right w:val="single" w:color="000000" w:sz="4" w:space="0"/>
            </w:tcBorders>
            <w:vAlign w:val="center"/>
          </w:tcPr>
          <w:p w14:paraId="3A787AD8">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73AAC9B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其他资金</w:t>
            </w:r>
          </w:p>
        </w:tc>
        <w:tc>
          <w:tcPr>
            <w:tcW w:w="888" w:type="dxa"/>
            <w:tcBorders>
              <w:top w:val="nil"/>
              <w:left w:val="nil"/>
              <w:bottom w:val="single" w:color="000000" w:sz="4" w:space="0"/>
              <w:right w:val="single" w:color="000000" w:sz="4" w:space="0"/>
            </w:tcBorders>
            <w:shd w:val="clear" w:color="auto" w:fill="auto"/>
            <w:vAlign w:val="center"/>
          </w:tcPr>
          <w:p w14:paraId="608F8873">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1044" w:type="dxa"/>
            <w:tcBorders>
              <w:top w:val="nil"/>
              <w:left w:val="nil"/>
              <w:bottom w:val="single" w:color="000000" w:sz="4" w:space="0"/>
              <w:right w:val="single" w:color="000000" w:sz="4" w:space="0"/>
            </w:tcBorders>
            <w:shd w:val="clear" w:color="auto" w:fill="auto"/>
            <w:vAlign w:val="center"/>
          </w:tcPr>
          <w:p w14:paraId="3748C3EA">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1929" w:type="dxa"/>
            <w:gridSpan w:val="3"/>
            <w:tcBorders>
              <w:top w:val="single" w:color="000000" w:sz="4" w:space="0"/>
              <w:left w:val="nil"/>
              <w:bottom w:val="single" w:color="000000" w:sz="4" w:space="0"/>
              <w:right w:val="single" w:color="000000" w:sz="4" w:space="0"/>
            </w:tcBorders>
            <w:shd w:val="clear" w:color="auto" w:fill="auto"/>
            <w:vAlign w:val="center"/>
          </w:tcPr>
          <w:p w14:paraId="294267B1">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1056" w:type="dxa"/>
            <w:tcBorders>
              <w:top w:val="nil"/>
              <w:left w:val="nil"/>
              <w:bottom w:val="single" w:color="000000" w:sz="4" w:space="0"/>
              <w:right w:val="single" w:color="000000" w:sz="4" w:space="0"/>
            </w:tcBorders>
            <w:shd w:val="clear" w:color="auto" w:fill="auto"/>
            <w:vAlign w:val="center"/>
          </w:tcPr>
          <w:p w14:paraId="1B62CB1E">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3738717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tcBorders>
              <w:top w:val="nil"/>
              <w:left w:val="nil"/>
              <w:bottom w:val="single" w:color="000000" w:sz="4" w:space="0"/>
              <w:right w:val="single" w:color="000000" w:sz="4" w:space="0"/>
            </w:tcBorders>
            <w:shd w:val="clear" w:color="auto" w:fill="auto"/>
            <w:vAlign w:val="center"/>
          </w:tcPr>
          <w:p w14:paraId="3A6A002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290" w:type="dxa"/>
            <w:vMerge w:val="continue"/>
            <w:tcBorders>
              <w:top w:val="nil"/>
              <w:left w:val="single" w:color="000000" w:sz="4" w:space="0"/>
              <w:bottom w:val="single" w:color="000000" w:sz="4" w:space="0"/>
              <w:right w:val="single" w:color="000000" w:sz="4" w:space="0"/>
            </w:tcBorders>
            <w:vAlign w:val="center"/>
          </w:tcPr>
          <w:p w14:paraId="6861553B">
            <w:pPr>
              <w:widowControl/>
              <w:jc w:val="left"/>
              <w:rPr>
                <w:rFonts w:hint="eastAsia" w:asciiTheme="minorEastAsia" w:hAnsiTheme="minorEastAsia" w:eastAsiaTheme="minorEastAsia" w:cstheme="minorEastAsia"/>
                <w:i/>
                <w:iCs/>
                <w:color w:val="000000"/>
                <w:sz w:val="22"/>
                <w:szCs w:val="22"/>
              </w:rPr>
            </w:pPr>
          </w:p>
        </w:tc>
      </w:tr>
      <w:tr w14:paraId="28B71206">
        <w:tblPrEx>
          <w:tblCellMar>
            <w:top w:w="0" w:type="dxa"/>
            <w:left w:w="108" w:type="dxa"/>
            <w:bottom w:w="0" w:type="dxa"/>
            <w:right w:w="108" w:type="dxa"/>
          </w:tblCellMar>
        </w:tblPrEx>
        <w:trPr>
          <w:trHeight w:val="660" w:hRule="atLeast"/>
        </w:trPr>
        <w:tc>
          <w:tcPr>
            <w:tcW w:w="696" w:type="dxa"/>
            <w:vMerge w:val="restart"/>
            <w:tcBorders>
              <w:top w:val="nil"/>
              <w:left w:val="single" w:color="000000" w:sz="4" w:space="0"/>
              <w:bottom w:val="single" w:color="000000" w:sz="4" w:space="0"/>
              <w:right w:val="single" w:color="000000" w:sz="4" w:space="0"/>
            </w:tcBorders>
            <w:shd w:val="clear" w:color="auto" w:fill="auto"/>
            <w:vAlign w:val="center"/>
          </w:tcPr>
          <w:p w14:paraId="7F9A3AD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绩效指标（90分）</w:t>
            </w:r>
          </w:p>
        </w:tc>
        <w:tc>
          <w:tcPr>
            <w:tcW w:w="1005" w:type="dxa"/>
            <w:tcBorders>
              <w:top w:val="nil"/>
              <w:left w:val="nil"/>
              <w:bottom w:val="single" w:color="000000" w:sz="4" w:space="0"/>
              <w:right w:val="single" w:color="000000" w:sz="4" w:space="0"/>
            </w:tcBorders>
            <w:shd w:val="clear" w:color="auto" w:fill="auto"/>
            <w:vAlign w:val="center"/>
          </w:tcPr>
          <w:p w14:paraId="7BE5ABD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888" w:type="dxa"/>
            <w:tcBorders>
              <w:top w:val="nil"/>
              <w:left w:val="nil"/>
              <w:bottom w:val="single" w:color="000000" w:sz="4" w:space="0"/>
              <w:right w:val="single" w:color="000000" w:sz="4" w:space="0"/>
            </w:tcBorders>
            <w:shd w:val="clear" w:color="auto" w:fill="auto"/>
            <w:vAlign w:val="center"/>
          </w:tcPr>
          <w:p w14:paraId="1BE256D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044" w:type="dxa"/>
            <w:tcBorders>
              <w:top w:val="nil"/>
              <w:left w:val="nil"/>
              <w:bottom w:val="single" w:color="000000" w:sz="4" w:space="0"/>
              <w:right w:val="single" w:color="000000" w:sz="4" w:space="0"/>
            </w:tcBorders>
            <w:shd w:val="clear" w:color="auto" w:fill="auto"/>
            <w:vAlign w:val="center"/>
          </w:tcPr>
          <w:p w14:paraId="73C328F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456" w:type="dxa"/>
            <w:tcBorders>
              <w:top w:val="nil"/>
              <w:left w:val="nil"/>
              <w:bottom w:val="single" w:color="000000" w:sz="4" w:space="0"/>
              <w:right w:val="single" w:color="000000" w:sz="4" w:space="0"/>
            </w:tcBorders>
            <w:shd w:val="clear" w:color="auto" w:fill="auto"/>
            <w:vAlign w:val="center"/>
          </w:tcPr>
          <w:p w14:paraId="3E45C13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指标性质</w:t>
            </w:r>
          </w:p>
        </w:tc>
        <w:tc>
          <w:tcPr>
            <w:tcW w:w="1017" w:type="dxa"/>
            <w:tcBorders>
              <w:top w:val="nil"/>
              <w:left w:val="nil"/>
              <w:bottom w:val="single" w:color="000000" w:sz="4" w:space="0"/>
              <w:right w:val="single" w:color="000000" w:sz="4" w:space="0"/>
            </w:tcBorders>
            <w:shd w:val="clear" w:color="auto" w:fill="auto"/>
            <w:vAlign w:val="center"/>
          </w:tcPr>
          <w:p w14:paraId="1745346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456" w:type="dxa"/>
            <w:tcBorders>
              <w:top w:val="nil"/>
              <w:left w:val="nil"/>
              <w:bottom w:val="single" w:color="000000" w:sz="4" w:space="0"/>
              <w:right w:val="single" w:color="000000" w:sz="4" w:space="0"/>
            </w:tcBorders>
            <w:shd w:val="clear" w:color="auto" w:fill="auto"/>
            <w:vAlign w:val="center"/>
          </w:tcPr>
          <w:p w14:paraId="4B2BE80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度量单位</w:t>
            </w:r>
          </w:p>
        </w:tc>
        <w:tc>
          <w:tcPr>
            <w:tcW w:w="1056" w:type="dxa"/>
            <w:tcBorders>
              <w:top w:val="nil"/>
              <w:left w:val="nil"/>
              <w:bottom w:val="single" w:color="000000" w:sz="4" w:space="0"/>
              <w:right w:val="single" w:color="000000" w:sz="4" w:space="0"/>
            </w:tcBorders>
            <w:shd w:val="clear" w:color="auto" w:fill="auto"/>
            <w:vAlign w:val="center"/>
          </w:tcPr>
          <w:p w14:paraId="56C255C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576" w:type="dxa"/>
            <w:tcBorders>
              <w:top w:val="nil"/>
              <w:left w:val="nil"/>
              <w:bottom w:val="single" w:color="000000" w:sz="4" w:space="0"/>
              <w:right w:val="single" w:color="000000" w:sz="4" w:space="0"/>
            </w:tcBorders>
            <w:shd w:val="clear" w:color="auto" w:fill="auto"/>
            <w:vAlign w:val="center"/>
          </w:tcPr>
          <w:p w14:paraId="5AEA939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权重</w:t>
            </w:r>
          </w:p>
        </w:tc>
        <w:tc>
          <w:tcPr>
            <w:tcW w:w="576" w:type="dxa"/>
            <w:tcBorders>
              <w:top w:val="nil"/>
              <w:left w:val="nil"/>
              <w:bottom w:val="single" w:color="000000" w:sz="4" w:space="0"/>
              <w:right w:val="single" w:color="000000" w:sz="4" w:space="0"/>
            </w:tcBorders>
            <w:shd w:val="clear" w:color="auto" w:fill="auto"/>
            <w:vAlign w:val="center"/>
          </w:tcPr>
          <w:p w14:paraId="12564BD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290" w:type="dxa"/>
            <w:tcBorders>
              <w:top w:val="nil"/>
              <w:left w:val="nil"/>
              <w:bottom w:val="single" w:color="000000" w:sz="4" w:space="0"/>
              <w:right w:val="single" w:color="000000" w:sz="4" w:space="0"/>
            </w:tcBorders>
            <w:shd w:val="clear" w:color="auto" w:fill="auto"/>
            <w:vAlign w:val="center"/>
          </w:tcPr>
          <w:p w14:paraId="3398C4C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未完成原因分析</w:t>
            </w:r>
          </w:p>
        </w:tc>
      </w:tr>
      <w:tr w14:paraId="0DFAA4A4">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4064B13C">
            <w:pPr>
              <w:widowControl/>
              <w:jc w:val="left"/>
              <w:rPr>
                <w:rFonts w:hint="eastAsia" w:asciiTheme="minorEastAsia" w:hAnsiTheme="minorEastAsia" w:eastAsiaTheme="minorEastAsia" w:cstheme="minorEastAsia"/>
                <w:color w:val="000000"/>
                <w:sz w:val="22"/>
                <w:szCs w:val="22"/>
              </w:rPr>
            </w:pPr>
          </w:p>
        </w:tc>
        <w:tc>
          <w:tcPr>
            <w:tcW w:w="1005" w:type="dxa"/>
            <w:vMerge w:val="restart"/>
            <w:tcBorders>
              <w:top w:val="nil"/>
              <w:left w:val="single" w:color="000000" w:sz="4" w:space="0"/>
              <w:bottom w:val="single" w:color="000000" w:sz="4" w:space="0"/>
              <w:right w:val="single" w:color="000000" w:sz="4" w:space="0"/>
            </w:tcBorders>
            <w:shd w:val="clear" w:color="auto" w:fill="auto"/>
            <w:vAlign w:val="center"/>
          </w:tcPr>
          <w:p w14:paraId="54ACF0E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产出指标</w:t>
            </w:r>
          </w:p>
        </w:tc>
        <w:tc>
          <w:tcPr>
            <w:tcW w:w="888" w:type="dxa"/>
            <w:tcBorders>
              <w:top w:val="nil"/>
              <w:left w:val="nil"/>
              <w:bottom w:val="single" w:color="000000" w:sz="4" w:space="0"/>
              <w:right w:val="single" w:color="000000" w:sz="4" w:space="0"/>
            </w:tcBorders>
            <w:shd w:val="clear" w:color="auto" w:fill="auto"/>
            <w:vAlign w:val="center"/>
          </w:tcPr>
          <w:p w14:paraId="097DAA0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数量指标</w:t>
            </w:r>
          </w:p>
        </w:tc>
        <w:tc>
          <w:tcPr>
            <w:tcW w:w="1044" w:type="dxa"/>
            <w:tcBorders>
              <w:top w:val="nil"/>
              <w:left w:val="nil"/>
              <w:bottom w:val="single" w:color="000000" w:sz="4" w:space="0"/>
              <w:right w:val="single" w:color="000000" w:sz="4" w:space="0"/>
            </w:tcBorders>
            <w:shd w:val="clear" w:color="auto" w:fill="auto"/>
            <w:vAlign w:val="center"/>
          </w:tcPr>
          <w:p w14:paraId="55F483F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开展科普活动及技术培训活动</w:t>
            </w:r>
          </w:p>
        </w:tc>
        <w:tc>
          <w:tcPr>
            <w:tcW w:w="456" w:type="dxa"/>
            <w:tcBorders>
              <w:top w:val="nil"/>
              <w:left w:val="nil"/>
              <w:bottom w:val="single" w:color="000000" w:sz="4" w:space="0"/>
              <w:right w:val="single" w:color="000000" w:sz="4" w:space="0"/>
            </w:tcBorders>
            <w:shd w:val="clear" w:color="auto" w:fill="auto"/>
            <w:vAlign w:val="center"/>
          </w:tcPr>
          <w:p w14:paraId="036F53E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4A367C1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12</w:t>
            </w:r>
          </w:p>
        </w:tc>
        <w:tc>
          <w:tcPr>
            <w:tcW w:w="456" w:type="dxa"/>
            <w:tcBorders>
              <w:top w:val="nil"/>
              <w:left w:val="nil"/>
              <w:bottom w:val="single" w:color="000000" w:sz="4" w:space="0"/>
              <w:right w:val="single" w:color="000000" w:sz="4" w:space="0"/>
            </w:tcBorders>
            <w:shd w:val="clear" w:color="auto" w:fill="auto"/>
            <w:vAlign w:val="center"/>
          </w:tcPr>
          <w:p w14:paraId="0944E36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场次</w:t>
            </w:r>
          </w:p>
        </w:tc>
        <w:tc>
          <w:tcPr>
            <w:tcW w:w="1056" w:type="dxa"/>
            <w:tcBorders>
              <w:top w:val="nil"/>
              <w:left w:val="nil"/>
              <w:bottom w:val="single" w:color="000000" w:sz="4" w:space="0"/>
              <w:right w:val="single" w:color="000000" w:sz="4" w:space="0"/>
            </w:tcBorders>
            <w:shd w:val="clear" w:color="auto" w:fill="auto"/>
            <w:vAlign w:val="center"/>
          </w:tcPr>
          <w:p w14:paraId="70A94194">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3B5C2EC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27903D8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3191FCB4">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24C265D2">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6F7F6124">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1EC6BF44">
            <w:pPr>
              <w:widowControl/>
              <w:jc w:val="left"/>
              <w:rPr>
                <w:rFonts w:hint="eastAsia" w:asciiTheme="minorEastAsia" w:hAnsiTheme="minorEastAsia" w:eastAsiaTheme="minorEastAsia" w:cstheme="minorEastAsia"/>
                <w:color w:val="000000"/>
                <w:sz w:val="22"/>
                <w:szCs w:val="22"/>
              </w:rPr>
            </w:pPr>
          </w:p>
        </w:tc>
        <w:tc>
          <w:tcPr>
            <w:tcW w:w="888" w:type="dxa"/>
            <w:vMerge w:val="restart"/>
            <w:tcBorders>
              <w:top w:val="nil"/>
              <w:left w:val="single" w:color="000000" w:sz="4" w:space="0"/>
              <w:bottom w:val="single" w:color="000000" w:sz="4" w:space="0"/>
              <w:right w:val="single" w:color="000000" w:sz="4" w:space="0"/>
            </w:tcBorders>
            <w:shd w:val="clear" w:color="auto" w:fill="auto"/>
            <w:vAlign w:val="center"/>
          </w:tcPr>
          <w:p w14:paraId="4318FD1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质量指标</w:t>
            </w:r>
          </w:p>
        </w:tc>
        <w:tc>
          <w:tcPr>
            <w:tcW w:w="1044" w:type="dxa"/>
            <w:tcBorders>
              <w:top w:val="nil"/>
              <w:left w:val="nil"/>
              <w:bottom w:val="single" w:color="000000" w:sz="4" w:space="0"/>
              <w:right w:val="single" w:color="000000" w:sz="4" w:space="0"/>
            </w:tcBorders>
            <w:shd w:val="clear" w:color="auto" w:fill="auto"/>
            <w:vAlign w:val="center"/>
          </w:tcPr>
          <w:p w14:paraId="44FE10C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完成项目时间</w:t>
            </w:r>
          </w:p>
        </w:tc>
        <w:tc>
          <w:tcPr>
            <w:tcW w:w="456" w:type="dxa"/>
            <w:tcBorders>
              <w:top w:val="nil"/>
              <w:left w:val="nil"/>
              <w:bottom w:val="single" w:color="000000" w:sz="4" w:space="0"/>
              <w:right w:val="single" w:color="000000" w:sz="4" w:space="0"/>
            </w:tcBorders>
            <w:shd w:val="clear" w:color="auto" w:fill="auto"/>
            <w:vAlign w:val="center"/>
          </w:tcPr>
          <w:p w14:paraId="046127F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6F4E1B8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456" w:type="dxa"/>
            <w:tcBorders>
              <w:top w:val="nil"/>
              <w:left w:val="nil"/>
              <w:bottom w:val="single" w:color="000000" w:sz="4" w:space="0"/>
              <w:right w:val="single" w:color="000000" w:sz="4" w:space="0"/>
            </w:tcBorders>
            <w:shd w:val="clear" w:color="auto" w:fill="auto"/>
            <w:vAlign w:val="center"/>
          </w:tcPr>
          <w:p w14:paraId="1847F2F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w:t>
            </w:r>
          </w:p>
        </w:tc>
        <w:tc>
          <w:tcPr>
            <w:tcW w:w="1056" w:type="dxa"/>
            <w:tcBorders>
              <w:top w:val="nil"/>
              <w:left w:val="nil"/>
              <w:bottom w:val="single" w:color="000000" w:sz="4" w:space="0"/>
              <w:right w:val="single" w:color="000000" w:sz="4" w:space="0"/>
            </w:tcBorders>
            <w:shd w:val="clear" w:color="auto" w:fill="auto"/>
            <w:vAlign w:val="center"/>
          </w:tcPr>
          <w:p w14:paraId="2A8EC5F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6A1D010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003E27D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719470DB">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1169032B">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498E4C19">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1CBFA344">
            <w:pPr>
              <w:widowControl/>
              <w:jc w:val="left"/>
              <w:rPr>
                <w:rFonts w:hint="eastAsia" w:asciiTheme="minorEastAsia" w:hAnsiTheme="minorEastAsia" w:eastAsiaTheme="minorEastAsia" w:cstheme="minorEastAsia"/>
                <w:color w:val="000000"/>
                <w:sz w:val="22"/>
                <w:szCs w:val="22"/>
              </w:rPr>
            </w:pPr>
          </w:p>
        </w:tc>
        <w:tc>
          <w:tcPr>
            <w:tcW w:w="888" w:type="dxa"/>
            <w:vMerge w:val="continue"/>
            <w:tcBorders>
              <w:top w:val="nil"/>
              <w:left w:val="single" w:color="000000" w:sz="4" w:space="0"/>
              <w:bottom w:val="single" w:color="000000" w:sz="4" w:space="0"/>
              <w:right w:val="single" w:color="000000" w:sz="4" w:space="0"/>
            </w:tcBorders>
            <w:vAlign w:val="center"/>
          </w:tcPr>
          <w:p w14:paraId="6E24B537">
            <w:pPr>
              <w:widowControl/>
              <w:jc w:val="left"/>
              <w:rPr>
                <w:rFonts w:hint="eastAsia" w:asciiTheme="minorEastAsia" w:hAnsiTheme="minorEastAsia" w:eastAsiaTheme="minorEastAsia" w:cstheme="minorEastAsia"/>
                <w:color w:val="000000"/>
                <w:sz w:val="22"/>
                <w:szCs w:val="22"/>
              </w:rPr>
            </w:pPr>
          </w:p>
        </w:tc>
        <w:tc>
          <w:tcPr>
            <w:tcW w:w="1044" w:type="dxa"/>
            <w:tcBorders>
              <w:top w:val="nil"/>
              <w:left w:val="nil"/>
              <w:bottom w:val="single" w:color="000000" w:sz="4" w:space="0"/>
              <w:right w:val="single" w:color="000000" w:sz="4" w:space="0"/>
            </w:tcBorders>
            <w:shd w:val="clear" w:color="auto" w:fill="auto"/>
            <w:vAlign w:val="center"/>
          </w:tcPr>
          <w:p w14:paraId="12CA918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对群众开展科普宣传活动效果</w:t>
            </w:r>
          </w:p>
        </w:tc>
        <w:tc>
          <w:tcPr>
            <w:tcW w:w="456" w:type="dxa"/>
            <w:tcBorders>
              <w:top w:val="nil"/>
              <w:left w:val="nil"/>
              <w:bottom w:val="single" w:color="000000" w:sz="4" w:space="0"/>
              <w:right w:val="single" w:color="000000" w:sz="4" w:space="0"/>
            </w:tcBorders>
            <w:shd w:val="clear" w:color="auto" w:fill="auto"/>
            <w:vAlign w:val="center"/>
          </w:tcPr>
          <w:p w14:paraId="64C12B5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定性</w:t>
            </w:r>
          </w:p>
        </w:tc>
        <w:tc>
          <w:tcPr>
            <w:tcW w:w="1017" w:type="dxa"/>
            <w:tcBorders>
              <w:top w:val="nil"/>
              <w:left w:val="nil"/>
              <w:bottom w:val="single" w:color="000000" w:sz="4" w:space="0"/>
              <w:right w:val="single" w:color="000000" w:sz="4" w:space="0"/>
            </w:tcBorders>
            <w:shd w:val="clear" w:color="auto" w:fill="auto"/>
            <w:vAlign w:val="center"/>
          </w:tcPr>
          <w:p w14:paraId="0F7A836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优</w:t>
            </w:r>
          </w:p>
        </w:tc>
        <w:tc>
          <w:tcPr>
            <w:tcW w:w="456" w:type="dxa"/>
            <w:tcBorders>
              <w:top w:val="nil"/>
              <w:left w:val="nil"/>
              <w:bottom w:val="single" w:color="000000" w:sz="4" w:space="0"/>
              <w:right w:val="single" w:color="000000" w:sz="4" w:space="0"/>
            </w:tcBorders>
            <w:shd w:val="clear" w:color="auto" w:fill="auto"/>
            <w:vAlign w:val="center"/>
          </w:tcPr>
          <w:p w14:paraId="745B02D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56" w:type="dxa"/>
            <w:tcBorders>
              <w:top w:val="nil"/>
              <w:left w:val="nil"/>
              <w:bottom w:val="single" w:color="000000" w:sz="4" w:space="0"/>
              <w:right w:val="single" w:color="000000" w:sz="4" w:space="0"/>
            </w:tcBorders>
            <w:shd w:val="clear" w:color="auto" w:fill="auto"/>
            <w:vAlign w:val="center"/>
          </w:tcPr>
          <w:p w14:paraId="6F765D96">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7E0B2B5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07D1A2B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36449990">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24759735">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3C3A2E51">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5C41B5B7">
            <w:pPr>
              <w:widowControl/>
              <w:jc w:val="left"/>
              <w:rPr>
                <w:rFonts w:hint="eastAsia" w:asciiTheme="minorEastAsia" w:hAnsiTheme="minorEastAsia" w:eastAsiaTheme="minorEastAsia" w:cstheme="minorEastAsia"/>
                <w:color w:val="000000"/>
                <w:sz w:val="22"/>
                <w:szCs w:val="22"/>
              </w:rPr>
            </w:pPr>
          </w:p>
        </w:tc>
        <w:tc>
          <w:tcPr>
            <w:tcW w:w="888" w:type="dxa"/>
            <w:tcBorders>
              <w:top w:val="nil"/>
              <w:left w:val="nil"/>
              <w:bottom w:val="single" w:color="000000" w:sz="4" w:space="0"/>
              <w:right w:val="single" w:color="000000" w:sz="4" w:space="0"/>
            </w:tcBorders>
            <w:shd w:val="clear" w:color="auto" w:fill="auto"/>
            <w:vAlign w:val="center"/>
          </w:tcPr>
          <w:p w14:paraId="7A23110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时效指标</w:t>
            </w:r>
          </w:p>
        </w:tc>
        <w:tc>
          <w:tcPr>
            <w:tcW w:w="1044" w:type="dxa"/>
            <w:tcBorders>
              <w:top w:val="nil"/>
              <w:left w:val="nil"/>
              <w:bottom w:val="single" w:color="000000" w:sz="4" w:space="0"/>
              <w:right w:val="single" w:color="000000" w:sz="4" w:space="0"/>
            </w:tcBorders>
            <w:shd w:val="clear" w:color="auto" w:fill="auto"/>
            <w:vAlign w:val="center"/>
          </w:tcPr>
          <w:p w14:paraId="10590AE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2024年</w:t>
            </w:r>
          </w:p>
        </w:tc>
        <w:tc>
          <w:tcPr>
            <w:tcW w:w="456" w:type="dxa"/>
            <w:tcBorders>
              <w:top w:val="nil"/>
              <w:left w:val="nil"/>
              <w:bottom w:val="single" w:color="000000" w:sz="4" w:space="0"/>
              <w:right w:val="single" w:color="000000" w:sz="4" w:space="0"/>
            </w:tcBorders>
            <w:shd w:val="clear" w:color="auto" w:fill="auto"/>
            <w:vAlign w:val="center"/>
          </w:tcPr>
          <w:p w14:paraId="07F6465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6F94E1C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456" w:type="dxa"/>
            <w:tcBorders>
              <w:top w:val="nil"/>
              <w:left w:val="nil"/>
              <w:bottom w:val="single" w:color="000000" w:sz="4" w:space="0"/>
              <w:right w:val="single" w:color="000000" w:sz="4" w:space="0"/>
            </w:tcBorders>
            <w:shd w:val="clear" w:color="auto" w:fill="auto"/>
            <w:vAlign w:val="center"/>
          </w:tcPr>
          <w:p w14:paraId="607802B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w:t>
            </w:r>
          </w:p>
        </w:tc>
        <w:tc>
          <w:tcPr>
            <w:tcW w:w="1056" w:type="dxa"/>
            <w:tcBorders>
              <w:top w:val="nil"/>
              <w:left w:val="nil"/>
              <w:bottom w:val="single" w:color="000000" w:sz="4" w:space="0"/>
              <w:right w:val="single" w:color="000000" w:sz="4" w:space="0"/>
            </w:tcBorders>
            <w:shd w:val="clear" w:color="auto" w:fill="auto"/>
            <w:vAlign w:val="center"/>
          </w:tcPr>
          <w:p w14:paraId="0A15540D">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327F739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2C58526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70FB178A">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6D7D16C9">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5DFC3889">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46EAD3C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效益指标</w:t>
            </w:r>
          </w:p>
        </w:tc>
        <w:tc>
          <w:tcPr>
            <w:tcW w:w="888" w:type="dxa"/>
            <w:tcBorders>
              <w:top w:val="nil"/>
              <w:left w:val="nil"/>
              <w:bottom w:val="single" w:color="000000" w:sz="4" w:space="0"/>
              <w:right w:val="single" w:color="000000" w:sz="4" w:space="0"/>
            </w:tcBorders>
            <w:shd w:val="clear" w:color="auto" w:fill="auto"/>
            <w:vAlign w:val="center"/>
          </w:tcPr>
          <w:p w14:paraId="4CBB2D5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经济效益指标</w:t>
            </w:r>
          </w:p>
        </w:tc>
        <w:tc>
          <w:tcPr>
            <w:tcW w:w="1044" w:type="dxa"/>
            <w:tcBorders>
              <w:top w:val="nil"/>
              <w:left w:val="nil"/>
              <w:bottom w:val="single" w:color="000000" w:sz="4" w:space="0"/>
              <w:right w:val="single" w:color="000000" w:sz="4" w:space="0"/>
            </w:tcBorders>
            <w:shd w:val="clear" w:color="auto" w:fill="auto"/>
            <w:vAlign w:val="center"/>
          </w:tcPr>
          <w:p w14:paraId="41FCFE7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有效的推动了《全民科学素质行动计划纲要》在我区的有效实施，全区群众科学文化素质显著提高。</w:t>
            </w:r>
          </w:p>
        </w:tc>
        <w:tc>
          <w:tcPr>
            <w:tcW w:w="456" w:type="dxa"/>
            <w:tcBorders>
              <w:top w:val="nil"/>
              <w:left w:val="nil"/>
              <w:bottom w:val="single" w:color="000000" w:sz="4" w:space="0"/>
              <w:right w:val="single" w:color="000000" w:sz="4" w:space="0"/>
            </w:tcBorders>
            <w:shd w:val="clear" w:color="auto" w:fill="auto"/>
            <w:vAlign w:val="center"/>
          </w:tcPr>
          <w:p w14:paraId="2BD2D77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定性</w:t>
            </w:r>
          </w:p>
        </w:tc>
        <w:tc>
          <w:tcPr>
            <w:tcW w:w="1017" w:type="dxa"/>
            <w:tcBorders>
              <w:top w:val="nil"/>
              <w:left w:val="nil"/>
              <w:bottom w:val="single" w:color="000000" w:sz="4" w:space="0"/>
              <w:right w:val="single" w:color="000000" w:sz="4" w:space="0"/>
            </w:tcBorders>
            <w:shd w:val="clear" w:color="auto" w:fill="auto"/>
            <w:vAlign w:val="center"/>
          </w:tcPr>
          <w:p w14:paraId="5524C80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全区群众科学文化素质显著提高。</w:t>
            </w:r>
          </w:p>
        </w:tc>
        <w:tc>
          <w:tcPr>
            <w:tcW w:w="456" w:type="dxa"/>
            <w:tcBorders>
              <w:top w:val="nil"/>
              <w:left w:val="nil"/>
              <w:bottom w:val="single" w:color="000000" w:sz="4" w:space="0"/>
              <w:right w:val="single" w:color="000000" w:sz="4" w:space="0"/>
            </w:tcBorders>
            <w:shd w:val="clear" w:color="auto" w:fill="auto"/>
            <w:vAlign w:val="center"/>
          </w:tcPr>
          <w:p w14:paraId="3BA0C4E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056" w:type="dxa"/>
            <w:tcBorders>
              <w:top w:val="nil"/>
              <w:left w:val="nil"/>
              <w:bottom w:val="single" w:color="000000" w:sz="4" w:space="0"/>
              <w:right w:val="single" w:color="000000" w:sz="4" w:space="0"/>
            </w:tcBorders>
            <w:shd w:val="clear" w:color="auto" w:fill="auto"/>
            <w:vAlign w:val="center"/>
          </w:tcPr>
          <w:p w14:paraId="3AE7C72B">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4F477E6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576" w:type="dxa"/>
            <w:tcBorders>
              <w:top w:val="nil"/>
              <w:left w:val="nil"/>
              <w:bottom w:val="single" w:color="000000" w:sz="4" w:space="0"/>
              <w:right w:val="single" w:color="000000" w:sz="4" w:space="0"/>
            </w:tcBorders>
            <w:shd w:val="clear" w:color="auto" w:fill="auto"/>
            <w:vAlign w:val="center"/>
          </w:tcPr>
          <w:p w14:paraId="6FD0FB8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1290" w:type="dxa"/>
            <w:tcBorders>
              <w:top w:val="nil"/>
              <w:left w:val="nil"/>
              <w:bottom w:val="single" w:color="000000" w:sz="4" w:space="0"/>
              <w:right w:val="single" w:color="000000" w:sz="4" w:space="0"/>
            </w:tcBorders>
            <w:shd w:val="clear" w:color="auto" w:fill="auto"/>
            <w:vAlign w:val="center"/>
          </w:tcPr>
          <w:p w14:paraId="4A7B1EB0">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3632BB9C">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38A79AC6">
            <w:pPr>
              <w:widowControl/>
              <w:jc w:val="left"/>
              <w:rPr>
                <w:rFonts w:hint="eastAsia" w:asciiTheme="minorEastAsia" w:hAnsiTheme="minorEastAsia" w:eastAsiaTheme="minorEastAsia" w:cstheme="minorEastAsia"/>
                <w:color w:val="000000"/>
                <w:sz w:val="22"/>
                <w:szCs w:val="22"/>
              </w:rPr>
            </w:pPr>
          </w:p>
        </w:tc>
        <w:tc>
          <w:tcPr>
            <w:tcW w:w="1005" w:type="dxa"/>
            <w:tcBorders>
              <w:top w:val="nil"/>
              <w:left w:val="nil"/>
              <w:bottom w:val="single" w:color="000000" w:sz="4" w:space="0"/>
              <w:right w:val="single" w:color="000000" w:sz="4" w:space="0"/>
            </w:tcBorders>
            <w:shd w:val="clear" w:color="auto" w:fill="auto"/>
            <w:vAlign w:val="center"/>
          </w:tcPr>
          <w:p w14:paraId="0FA4D61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满意度指标</w:t>
            </w:r>
          </w:p>
        </w:tc>
        <w:tc>
          <w:tcPr>
            <w:tcW w:w="888" w:type="dxa"/>
            <w:tcBorders>
              <w:top w:val="nil"/>
              <w:left w:val="nil"/>
              <w:bottom w:val="single" w:color="000000" w:sz="4" w:space="0"/>
              <w:right w:val="single" w:color="000000" w:sz="4" w:space="0"/>
            </w:tcBorders>
            <w:shd w:val="clear" w:color="auto" w:fill="auto"/>
            <w:vAlign w:val="center"/>
          </w:tcPr>
          <w:p w14:paraId="7A90957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满意度指标</w:t>
            </w:r>
          </w:p>
        </w:tc>
        <w:tc>
          <w:tcPr>
            <w:tcW w:w="1044" w:type="dxa"/>
            <w:tcBorders>
              <w:top w:val="nil"/>
              <w:left w:val="nil"/>
              <w:bottom w:val="single" w:color="000000" w:sz="4" w:space="0"/>
              <w:right w:val="single" w:color="000000" w:sz="4" w:space="0"/>
            </w:tcBorders>
            <w:shd w:val="clear" w:color="auto" w:fill="auto"/>
            <w:vAlign w:val="center"/>
          </w:tcPr>
          <w:p w14:paraId="2FE9DF4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群众满意度</w:t>
            </w:r>
          </w:p>
        </w:tc>
        <w:tc>
          <w:tcPr>
            <w:tcW w:w="456" w:type="dxa"/>
            <w:tcBorders>
              <w:top w:val="nil"/>
              <w:left w:val="nil"/>
              <w:bottom w:val="single" w:color="000000" w:sz="4" w:space="0"/>
              <w:right w:val="single" w:color="000000" w:sz="4" w:space="0"/>
            </w:tcBorders>
            <w:shd w:val="clear" w:color="auto" w:fill="auto"/>
            <w:vAlign w:val="center"/>
          </w:tcPr>
          <w:p w14:paraId="4DD0697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49E8CF9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456" w:type="dxa"/>
            <w:tcBorders>
              <w:top w:val="nil"/>
              <w:left w:val="nil"/>
              <w:bottom w:val="single" w:color="000000" w:sz="4" w:space="0"/>
              <w:right w:val="single" w:color="000000" w:sz="4" w:space="0"/>
            </w:tcBorders>
            <w:shd w:val="clear" w:color="auto" w:fill="auto"/>
            <w:vAlign w:val="center"/>
          </w:tcPr>
          <w:p w14:paraId="0C16E4B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56" w:type="dxa"/>
            <w:tcBorders>
              <w:top w:val="nil"/>
              <w:left w:val="nil"/>
              <w:bottom w:val="single" w:color="000000" w:sz="4" w:space="0"/>
              <w:right w:val="single" w:color="000000" w:sz="4" w:space="0"/>
            </w:tcBorders>
            <w:shd w:val="clear" w:color="auto" w:fill="auto"/>
            <w:vAlign w:val="center"/>
          </w:tcPr>
          <w:p w14:paraId="1449D4AC">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192142E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5A1B59B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72E4A8B8">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2E94503F">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76DDDB45">
            <w:pPr>
              <w:widowControl/>
              <w:jc w:val="left"/>
              <w:rPr>
                <w:rFonts w:hint="eastAsia" w:asciiTheme="minorEastAsia" w:hAnsiTheme="minorEastAsia" w:eastAsiaTheme="minorEastAsia" w:cstheme="minorEastAsia"/>
                <w:color w:val="000000"/>
                <w:sz w:val="22"/>
                <w:szCs w:val="22"/>
              </w:rPr>
            </w:pPr>
          </w:p>
        </w:tc>
        <w:tc>
          <w:tcPr>
            <w:tcW w:w="1005" w:type="dxa"/>
            <w:vMerge w:val="restart"/>
            <w:tcBorders>
              <w:top w:val="nil"/>
              <w:left w:val="single" w:color="000000" w:sz="4" w:space="0"/>
              <w:bottom w:val="single" w:color="000000" w:sz="4" w:space="0"/>
              <w:right w:val="single" w:color="000000" w:sz="4" w:space="0"/>
            </w:tcBorders>
            <w:shd w:val="clear" w:color="auto" w:fill="auto"/>
            <w:vAlign w:val="center"/>
          </w:tcPr>
          <w:p w14:paraId="3D8A34B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成本指标</w:t>
            </w:r>
          </w:p>
        </w:tc>
        <w:tc>
          <w:tcPr>
            <w:tcW w:w="888" w:type="dxa"/>
            <w:vMerge w:val="restart"/>
            <w:tcBorders>
              <w:top w:val="nil"/>
              <w:left w:val="single" w:color="000000" w:sz="4" w:space="0"/>
              <w:bottom w:val="single" w:color="000000" w:sz="4" w:space="0"/>
              <w:right w:val="single" w:color="000000" w:sz="4" w:space="0"/>
            </w:tcBorders>
            <w:shd w:val="clear" w:color="auto" w:fill="auto"/>
            <w:vAlign w:val="center"/>
          </w:tcPr>
          <w:p w14:paraId="36E7D8D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经济成本指标</w:t>
            </w:r>
          </w:p>
        </w:tc>
        <w:tc>
          <w:tcPr>
            <w:tcW w:w="1044" w:type="dxa"/>
            <w:tcBorders>
              <w:top w:val="nil"/>
              <w:left w:val="nil"/>
              <w:bottom w:val="single" w:color="000000" w:sz="4" w:space="0"/>
              <w:right w:val="single" w:color="000000" w:sz="4" w:space="0"/>
            </w:tcBorders>
            <w:shd w:val="clear" w:color="auto" w:fill="auto"/>
            <w:vAlign w:val="center"/>
          </w:tcPr>
          <w:p w14:paraId="2844D42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科普活动运维费</w:t>
            </w:r>
          </w:p>
        </w:tc>
        <w:tc>
          <w:tcPr>
            <w:tcW w:w="456" w:type="dxa"/>
            <w:tcBorders>
              <w:top w:val="nil"/>
              <w:left w:val="nil"/>
              <w:bottom w:val="single" w:color="000000" w:sz="4" w:space="0"/>
              <w:right w:val="single" w:color="000000" w:sz="4" w:space="0"/>
            </w:tcBorders>
            <w:shd w:val="clear" w:color="auto" w:fill="auto"/>
            <w:vAlign w:val="center"/>
          </w:tcPr>
          <w:p w14:paraId="737B236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0CD1B8A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6.22</w:t>
            </w:r>
          </w:p>
        </w:tc>
        <w:tc>
          <w:tcPr>
            <w:tcW w:w="456" w:type="dxa"/>
            <w:tcBorders>
              <w:top w:val="nil"/>
              <w:left w:val="nil"/>
              <w:bottom w:val="single" w:color="000000" w:sz="4" w:space="0"/>
              <w:right w:val="single" w:color="000000" w:sz="4" w:space="0"/>
            </w:tcBorders>
            <w:shd w:val="clear" w:color="auto" w:fill="auto"/>
            <w:vAlign w:val="center"/>
          </w:tcPr>
          <w:p w14:paraId="4678EB8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w:t>
            </w:r>
          </w:p>
        </w:tc>
        <w:tc>
          <w:tcPr>
            <w:tcW w:w="1056" w:type="dxa"/>
            <w:tcBorders>
              <w:top w:val="nil"/>
              <w:left w:val="nil"/>
              <w:bottom w:val="single" w:color="000000" w:sz="4" w:space="0"/>
              <w:right w:val="single" w:color="000000" w:sz="4" w:space="0"/>
            </w:tcBorders>
            <w:shd w:val="clear" w:color="auto" w:fill="auto"/>
            <w:vAlign w:val="center"/>
          </w:tcPr>
          <w:p w14:paraId="6BD1B44C">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2877627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576" w:type="dxa"/>
            <w:tcBorders>
              <w:top w:val="nil"/>
              <w:left w:val="nil"/>
              <w:bottom w:val="single" w:color="000000" w:sz="4" w:space="0"/>
              <w:right w:val="single" w:color="000000" w:sz="4" w:space="0"/>
            </w:tcBorders>
            <w:shd w:val="clear" w:color="auto" w:fill="auto"/>
            <w:vAlign w:val="center"/>
          </w:tcPr>
          <w:p w14:paraId="514BEE9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1290" w:type="dxa"/>
            <w:tcBorders>
              <w:top w:val="nil"/>
              <w:left w:val="nil"/>
              <w:bottom w:val="single" w:color="000000" w:sz="4" w:space="0"/>
              <w:right w:val="single" w:color="000000" w:sz="4" w:space="0"/>
            </w:tcBorders>
            <w:shd w:val="clear" w:color="auto" w:fill="auto"/>
            <w:vAlign w:val="center"/>
          </w:tcPr>
          <w:p w14:paraId="555EF24C">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50FDF39D">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0304C564">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5816B53A">
            <w:pPr>
              <w:widowControl/>
              <w:jc w:val="left"/>
              <w:rPr>
                <w:rFonts w:hint="eastAsia" w:asciiTheme="minorEastAsia" w:hAnsiTheme="minorEastAsia" w:eastAsiaTheme="minorEastAsia" w:cstheme="minorEastAsia"/>
                <w:color w:val="000000"/>
                <w:sz w:val="22"/>
                <w:szCs w:val="22"/>
              </w:rPr>
            </w:pPr>
          </w:p>
        </w:tc>
        <w:tc>
          <w:tcPr>
            <w:tcW w:w="888" w:type="dxa"/>
            <w:vMerge w:val="continue"/>
            <w:tcBorders>
              <w:top w:val="nil"/>
              <w:left w:val="single" w:color="000000" w:sz="4" w:space="0"/>
              <w:bottom w:val="single" w:color="000000" w:sz="4" w:space="0"/>
              <w:right w:val="single" w:color="000000" w:sz="4" w:space="0"/>
            </w:tcBorders>
            <w:vAlign w:val="center"/>
          </w:tcPr>
          <w:p w14:paraId="3F23E539">
            <w:pPr>
              <w:widowControl/>
              <w:jc w:val="left"/>
              <w:rPr>
                <w:rFonts w:hint="eastAsia" w:asciiTheme="minorEastAsia" w:hAnsiTheme="minorEastAsia" w:eastAsiaTheme="minorEastAsia" w:cstheme="minorEastAsia"/>
                <w:color w:val="000000"/>
                <w:sz w:val="22"/>
                <w:szCs w:val="22"/>
              </w:rPr>
            </w:pPr>
          </w:p>
        </w:tc>
        <w:tc>
          <w:tcPr>
            <w:tcW w:w="1044" w:type="dxa"/>
            <w:tcBorders>
              <w:top w:val="nil"/>
              <w:left w:val="nil"/>
              <w:bottom w:val="single" w:color="000000" w:sz="4" w:space="0"/>
              <w:right w:val="single" w:color="000000" w:sz="4" w:space="0"/>
            </w:tcBorders>
            <w:shd w:val="clear" w:color="auto" w:fill="auto"/>
            <w:vAlign w:val="center"/>
          </w:tcPr>
          <w:p w14:paraId="28816FF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办公费</w:t>
            </w:r>
          </w:p>
        </w:tc>
        <w:tc>
          <w:tcPr>
            <w:tcW w:w="456" w:type="dxa"/>
            <w:tcBorders>
              <w:top w:val="nil"/>
              <w:left w:val="nil"/>
              <w:bottom w:val="single" w:color="000000" w:sz="4" w:space="0"/>
              <w:right w:val="single" w:color="000000" w:sz="4" w:space="0"/>
            </w:tcBorders>
            <w:shd w:val="clear" w:color="auto" w:fill="auto"/>
            <w:vAlign w:val="center"/>
          </w:tcPr>
          <w:p w14:paraId="463D5FF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4AC7CB5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0.25</w:t>
            </w:r>
          </w:p>
        </w:tc>
        <w:tc>
          <w:tcPr>
            <w:tcW w:w="456" w:type="dxa"/>
            <w:tcBorders>
              <w:top w:val="nil"/>
              <w:left w:val="nil"/>
              <w:bottom w:val="single" w:color="000000" w:sz="4" w:space="0"/>
              <w:right w:val="single" w:color="000000" w:sz="4" w:space="0"/>
            </w:tcBorders>
            <w:shd w:val="clear" w:color="auto" w:fill="auto"/>
            <w:vAlign w:val="center"/>
          </w:tcPr>
          <w:p w14:paraId="055CDD7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w:t>
            </w:r>
          </w:p>
        </w:tc>
        <w:tc>
          <w:tcPr>
            <w:tcW w:w="1056" w:type="dxa"/>
            <w:tcBorders>
              <w:top w:val="nil"/>
              <w:left w:val="nil"/>
              <w:bottom w:val="single" w:color="000000" w:sz="4" w:space="0"/>
              <w:right w:val="single" w:color="000000" w:sz="4" w:space="0"/>
            </w:tcBorders>
            <w:shd w:val="clear" w:color="auto" w:fill="auto"/>
            <w:vAlign w:val="center"/>
          </w:tcPr>
          <w:p w14:paraId="4E1357BD">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10EC256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tcBorders>
              <w:top w:val="nil"/>
              <w:left w:val="nil"/>
              <w:bottom w:val="single" w:color="000000" w:sz="4" w:space="0"/>
              <w:right w:val="single" w:color="000000" w:sz="4" w:space="0"/>
            </w:tcBorders>
            <w:shd w:val="clear" w:color="auto" w:fill="auto"/>
            <w:vAlign w:val="center"/>
          </w:tcPr>
          <w:p w14:paraId="2453848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290" w:type="dxa"/>
            <w:tcBorders>
              <w:top w:val="nil"/>
              <w:left w:val="nil"/>
              <w:bottom w:val="single" w:color="000000" w:sz="4" w:space="0"/>
              <w:right w:val="single" w:color="000000" w:sz="4" w:space="0"/>
            </w:tcBorders>
            <w:shd w:val="clear" w:color="auto" w:fill="auto"/>
            <w:vAlign w:val="center"/>
          </w:tcPr>
          <w:p w14:paraId="67EF108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16FF6D7E">
        <w:tblPrEx>
          <w:tblCellMar>
            <w:top w:w="0" w:type="dxa"/>
            <w:left w:w="108" w:type="dxa"/>
            <w:bottom w:w="0" w:type="dxa"/>
            <w:right w:w="108" w:type="dxa"/>
          </w:tblCellMar>
        </w:tblPrEx>
        <w:trPr>
          <w:trHeight w:val="559" w:hRule="atLeast"/>
        </w:trPr>
        <w:tc>
          <w:tcPr>
            <w:tcW w:w="696" w:type="dxa"/>
            <w:vMerge w:val="continue"/>
            <w:tcBorders>
              <w:top w:val="nil"/>
              <w:left w:val="single" w:color="000000" w:sz="4" w:space="0"/>
              <w:bottom w:val="single" w:color="000000" w:sz="4" w:space="0"/>
              <w:right w:val="single" w:color="000000" w:sz="4" w:space="0"/>
            </w:tcBorders>
            <w:vAlign w:val="center"/>
          </w:tcPr>
          <w:p w14:paraId="043D32CB">
            <w:pPr>
              <w:widowControl/>
              <w:jc w:val="left"/>
              <w:rPr>
                <w:rFonts w:hint="eastAsia" w:asciiTheme="minorEastAsia" w:hAnsiTheme="minorEastAsia" w:eastAsiaTheme="minorEastAsia" w:cstheme="minorEastAsia"/>
                <w:color w:val="000000"/>
                <w:sz w:val="22"/>
                <w:szCs w:val="22"/>
              </w:rPr>
            </w:pPr>
          </w:p>
        </w:tc>
        <w:tc>
          <w:tcPr>
            <w:tcW w:w="1005" w:type="dxa"/>
            <w:vMerge w:val="continue"/>
            <w:tcBorders>
              <w:top w:val="nil"/>
              <w:left w:val="single" w:color="000000" w:sz="4" w:space="0"/>
              <w:bottom w:val="single" w:color="000000" w:sz="4" w:space="0"/>
              <w:right w:val="single" w:color="000000" w:sz="4" w:space="0"/>
            </w:tcBorders>
            <w:vAlign w:val="center"/>
          </w:tcPr>
          <w:p w14:paraId="3500434B">
            <w:pPr>
              <w:widowControl/>
              <w:jc w:val="left"/>
              <w:rPr>
                <w:rFonts w:hint="eastAsia" w:asciiTheme="minorEastAsia" w:hAnsiTheme="minorEastAsia" w:eastAsiaTheme="minorEastAsia" w:cstheme="minorEastAsia"/>
                <w:color w:val="000000"/>
                <w:sz w:val="22"/>
                <w:szCs w:val="22"/>
              </w:rPr>
            </w:pPr>
          </w:p>
        </w:tc>
        <w:tc>
          <w:tcPr>
            <w:tcW w:w="888" w:type="dxa"/>
            <w:vMerge w:val="continue"/>
            <w:tcBorders>
              <w:top w:val="nil"/>
              <w:left w:val="single" w:color="000000" w:sz="4" w:space="0"/>
              <w:bottom w:val="single" w:color="000000" w:sz="4" w:space="0"/>
              <w:right w:val="single" w:color="000000" w:sz="4" w:space="0"/>
            </w:tcBorders>
            <w:vAlign w:val="center"/>
          </w:tcPr>
          <w:p w14:paraId="18EE82E1">
            <w:pPr>
              <w:widowControl/>
              <w:jc w:val="left"/>
              <w:rPr>
                <w:rFonts w:hint="eastAsia" w:asciiTheme="minorEastAsia" w:hAnsiTheme="minorEastAsia" w:eastAsiaTheme="minorEastAsia" w:cstheme="minorEastAsia"/>
                <w:color w:val="000000"/>
                <w:sz w:val="22"/>
                <w:szCs w:val="22"/>
              </w:rPr>
            </w:pPr>
          </w:p>
        </w:tc>
        <w:tc>
          <w:tcPr>
            <w:tcW w:w="1044" w:type="dxa"/>
            <w:tcBorders>
              <w:top w:val="nil"/>
              <w:left w:val="nil"/>
              <w:bottom w:val="single" w:color="000000" w:sz="4" w:space="0"/>
              <w:right w:val="single" w:color="000000" w:sz="4" w:space="0"/>
            </w:tcBorders>
            <w:shd w:val="clear" w:color="auto" w:fill="auto"/>
            <w:vAlign w:val="center"/>
          </w:tcPr>
          <w:p w14:paraId="3C24FFA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印刷费</w:t>
            </w:r>
          </w:p>
        </w:tc>
        <w:tc>
          <w:tcPr>
            <w:tcW w:w="456" w:type="dxa"/>
            <w:tcBorders>
              <w:top w:val="nil"/>
              <w:left w:val="nil"/>
              <w:bottom w:val="single" w:color="000000" w:sz="4" w:space="0"/>
              <w:right w:val="single" w:color="000000" w:sz="4" w:space="0"/>
            </w:tcBorders>
            <w:shd w:val="clear" w:color="auto" w:fill="auto"/>
            <w:vAlign w:val="center"/>
          </w:tcPr>
          <w:p w14:paraId="5E134ED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17" w:type="dxa"/>
            <w:tcBorders>
              <w:top w:val="nil"/>
              <w:left w:val="nil"/>
              <w:bottom w:val="single" w:color="000000" w:sz="4" w:space="0"/>
              <w:right w:val="single" w:color="000000" w:sz="4" w:space="0"/>
            </w:tcBorders>
            <w:shd w:val="clear" w:color="auto" w:fill="auto"/>
            <w:vAlign w:val="center"/>
          </w:tcPr>
          <w:p w14:paraId="09C7E95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3.53</w:t>
            </w:r>
          </w:p>
        </w:tc>
        <w:tc>
          <w:tcPr>
            <w:tcW w:w="456" w:type="dxa"/>
            <w:tcBorders>
              <w:top w:val="nil"/>
              <w:left w:val="nil"/>
              <w:bottom w:val="single" w:color="000000" w:sz="4" w:space="0"/>
              <w:right w:val="single" w:color="000000" w:sz="4" w:space="0"/>
            </w:tcBorders>
            <w:shd w:val="clear" w:color="auto" w:fill="auto"/>
            <w:vAlign w:val="center"/>
          </w:tcPr>
          <w:p w14:paraId="4319ADA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w:t>
            </w:r>
          </w:p>
        </w:tc>
        <w:tc>
          <w:tcPr>
            <w:tcW w:w="1056" w:type="dxa"/>
            <w:tcBorders>
              <w:top w:val="nil"/>
              <w:left w:val="nil"/>
              <w:bottom w:val="single" w:color="000000" w:sz="4" w:space="0"/>
              <w:right w:val="single" w:color="000000" w:sz="4" w:space="0"/>
            </w:tcBorders>
            <w:shd w:val="clear" w:color="auto" w:fill="auto"/>
            <w:vAlign w:val="center"/>
          </w:tcPr>
          <w:p w14:paraId="0DF2BC7F">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tcBorders>
              <w:top w:val="nil"/>
              <w:left w:val="nil"/>
              <w:bottom w:val="single" w:color="000000" w:sz="4" w:space="0"/>
              <w:right w:val="single" w:color="000000" w:sz="4" w:space="0"/>
            </w:tcBorders>
            <w:shd w:val="clear" w:color="auto" w:fill="auto"/>
            <w:vAlign w:val="center"/>
          </w:tcPr>
          <w:p w14:paraId="571C07A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576" w:type="dxa"/>
            <w:tcBorders>
              <w:top w:val="nil"/>
              <w:left w:val="nil"/>
              <w:bottom w:val="single" w:color="000000" w:sz="4" w:space="0"/>
              <w:right w:val="single" w:color="000000" w:sz="4" w:space="0"/>
            </w:tcBorders>
            <w:shd w:val="clear" w:color="auto" w:fill="auto"/>
            <w:vAlign w:val="center"/>
          </w:tcPr>
          <w:p w14:paraId="127F092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w:t>
            </w:r>
          </w:p>
        </w:tc>
        <w:tc>
          <w:tcPr>
            <w:tcW w:w="1290" w:type="dxa"/>
            <w:tcBorders>
              <w:top w:val="nil"/>
              <w:left w:val="nil"/>
              <w:bottom w:val="single" w:color="000000" w:sz="4" w:space="0"/>
              <w:right w:val="single" w:color="000000" w:sz="4" w:space="0"/>
            </w:tcBorders>
            <w:shd w:val="clear" w:color="auto" w:fill="auto"/>
            <w:vAlign w:val="center"/>
          </w:tcPr>
          <w:p w14:paraId="559A157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28882853">
        <w:tblPrEx>
          <w:tblCellMar>
            <w:top w:w="0" w:type="dxa"/>
            <w:left w:w="108" w:type="dxa"/>
            <w:bottom w:w="0" w:type="dxa"/>
            <w:right w:w="108" w:type="dxa"/>
          </w:tblCellMar>
        </w:tblPrEx>
        <w:trPr>
          <w:trHeight w:val="402" w:hRule="atLeast"/>
        </w:trPr>
        <w:tc>
          <w:tcPr>
            <w:tcW w:w="66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386FA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合计</w:t>
            </w:r>
          </w:p>
        </w:tc>
        <w:tc>
          <w:tcPr>
            <w:tcW w:w="576" w:type="dxa"/>
            <w:tcBorders>
              <w:top w:val="nil"/>
              <w:left w:val="nil"/>
              <w:bottom w:val="single" w:color="000000" w:sz="4" w:space="0"/>
              <w:right w:val="single" w:color="000000" w:sz="4" w:space="0"/>
            </w:tcBorders>
            <w:shd w:val="clear" w:color="auto" w:fill="auto"/>
            <w:vAlign w:val="center"/>
          </w:tcPr>
          <w:p w14:paraId="7F2D939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576" w:type="dxa"/>
            <w:tcBorders>
              <w:top w:val="nil"/>
              <w:left w:val="nil"/>
              <w:bottom w:val="single" w:color="000000" w:sz="4" w:space="0"/>
              <w:right w:val="single" w:color="000000" w:sz="4" w:space="0"/>
            </w:tcBorders>
            <w:shd w:val="clear" w:color="auto" w:fill="auto"/>
            <w:vAlign w:val="center"/>
          </w:tcPr>
          <w:p w14:paraId="7AC865D8">
            <w:pPr>
              <w:widowControl/>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1290" w:type="dxa"/>
            <w:tcBorders>
              <w:top w:val="nil"/>
              <w:left w:val="nil"/>
              <w:bottom w:val="single" w:color="000000" w:sz="4" w:space="0"/>
              <w:right w:val="single" w:color="000000" w:sz="4" w:space="0"/>
            </w:tcBorders>
            <w:shd w:val="clear" w:color="auto" w:fill="auto"/>
            <w:vAlign w:val="center"/>
          </w:tcPr>
          <w:p w14:paraId="546F4F0F">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14:paraId="6E57D1D3">
        <w:tblPrEx>
          <w:tblCellMar>
            <w:top w:w="0" w:type="dxa"/>
            <w:left w:w="108" w:type="dxa"/>
            <w:bottom w:w="0" w:type="dxa"/>
            <w:right w:w="108" w:type="dxa"/>
          </w:tblCellMar>
        </w:tblPrEx>
        <w:trPr>
          <w:trHeight w:val="1399"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14:paraId="2DD30E5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评价结论</w:t>
            </w:r>
          </w:p>
        </w:tc>
        <w:tc>
          <w:tcPr>
            <w:tcW w:w="8364" w:type="dxa"/>
            <w:gridSpan w:val="10"/>
            <w:tcBorders>
              <w:top w:val="single" w:color="000000" w:sz="4" w:space="0"/>
              <w:left w:val="nil"/>
              <w:bottom w:val="single" w:color="000000" w:sz="4" w:space="0"/>
              <w:right w:val="single" w:color="000000" w:sz="4" w:space="0"/>
            </w:tcBorders>
            <w:shd w:val="clear" w:color="auto" w:fill="auto"/>
            <w:vAlign w:val="center"/>
          </w:tcPr>
          <w:p w14:paraId="5E2B56A0">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我单位对本年度的管理工作开展自评，部门预算项目支出绩效自评分为100分。2024年，累计开展系列主题科普活动20余场，开展科普大篷车进校园（社区）15次、开展科普实验秀5场，发放科普宣传资料20000余份，参与群众达2万余人次，全年超额完成目标任务数。</w:t>
            </w:r>
          </w:p>
        </w:tc>
      </w:tr>
      <w:tr w14:paraId="5D3A19D0">
        <w:tblPrEx>
          <w:tblCellMar>
            <w:top w:w="0" w:type="dxa"/>
            <w:left w:w="108" w:type="dxa"/>
            <w:bottom w:w="0" w:type="dxa"/>
            <w:right w:w="108" w:type="dxa"/>
          </w:tblCellMar>
        </w:tblPrEx>
        <w:trPr>
          <w:trHeight w:val="1399"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14:paraId="08585B7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存在问题</w:t>
            </w:r>
          </w:p>
        </w:tc>
        <w:tc>
          <w:tcPr>
            <w:tcW w:w="8364" w:type="dxa"/>
            <w:gridSpan w:val="10"/>
            <w:tcBorders>
              <w:top w:val="single" w:color="000000" w:sz="4" w:space="0"/>
              <w:left w:val="nil"/>
              <w:bottom w:val="single" w:color="000000" w:sz="4" w:space="0"/>
              <w:right w:val="single" w:color="000000" w:sz="4" w:space="0"/>
            </w:tcBorders>
            <w:shd w:val="clear" w:color="auto" w:fill="auto"/>
            <w:vAlign w:val="center"/>
          </w:tcPr>
          <w:p w14:paraId="168D2CFD">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目前，全区各镇科普工作的发展不够均衡，差异较大，基层科普基础设施较薄弱，投入经费不足，开展各种科普活动主要为发放宣传单的方式，手段相对单一，科普传播范围有待加强。</w:t>
            </w:r>
          </w:p>
        </w:tc>
      </w:tr>
      <w:tr w14:paraId="4A72E1C2">
        <w:tblPrEx>
          <w:tblCellMar>
            <w:top w:w="0" w:type="dxa"/>
            <w:left w:w="108" w:type="dxa"/>
            <w:bottom w:w="0" w:type="dxa"/>
            <w:right w:w="108" w:type="dxa"/>
          </w:tblCellMar>
        </w:tblPrEx>
        <w:trPr>
          <w:trHeight w:val="1399" w:hRule="atLeast"/>
        </w:trPr>
        <w:tc>
          <w:tcPr>
            <w:tcW w:w="696" w:type="dxa"/>
            <w:tcBorders>
              <w:top w:val="nil"/>
              <w:left w:val="single" w:color="000000" w:sz="4" w:space="0"/>
              <w:bottom w:val="single" w:color="000000" w:sz="4" w:space="0"/>
              <w:right w:val="single" w:color="000000" w:sz="4" w:space="0"/>
            </w:tcBorders>
            <w:shd w:val="clear" w:color="auto" w:fill="auto"/>
            <w:vAlign w:val="center"/>
          </w:tcPr>
          <w:p w14:paraId="5A0C2A9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改进措施</w:t>
            </w:r>
          </w:p>
        </w:tc>
        <w:tc>
          <w:tcPr>
            <w:tcW w:w="8364" w:type="dxa"/>
            <w:gridSpan w:val="10"/>
            <w:tcBorders>
              <w:top w:val="single" w:color="000000" w:sz="4" w:space="0"/>
              <w:left w:val="nil"/>
              <w:bottom w:val="single" w:color="000000" w:sz="4" w:space="0"/>
              <w:right w:val="single" w:color="000000" w:sz="4" w:space="0"/>
            </w:tcBorders>
            <w:shd w:val="clear" w:color="auto" w:fill="auto"/>
            <w:vAlign w:val="center"/>
          </w:tcPr>
          <w:p w14:paraId="6CFB5085">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通过争取上级资金支持，进一步发挥科协组织“四服务”职责，加大基层科协组织科普阵地建设，充分利用微信公众号等新媒体、科普画廊及宣传栏及积极开展培训讲座等方式不断丰富科普宣传活动方式，提升科普传播范围，不断提升全区公民科学素质。</w:t>
            </w:r>
          </w:p>
        </w:tc>
      </w:tr>
      <w:tr w14:paraId="6749DCE2">
        <w:tblPrEx>
          <w:tblCellMar>
            <w:top w:w="0" w:type="dxa"/>
            <w:left w:w="108" w:type="dxa"/>
            <w:bottom w:w="0" w:type="dxa"/>
            <w:right w:w="108" w:type="dxa"/>
          </w:tblCellMar>
        </w:tblPrEx>
        <w:trPr>
          <w:trHeight w:val="960" w:hRule="atLeast"/>
        </w:trPr>
        <w:tc>
          <w:tcPr>
            <w:tcW w:w="408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F740AC">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项目负责人：戴琦</w:t>
            </w:r>
          </w:p>
        </w:tc>
        <w:tc>
          <w:tcPr>
            <w:tcW w:w="4971" w:type="dxa"/>
            <w:gridSpan w:val="6"/>
            <w:tcBorders>
              <w:top w:val="single" w:color="000000" w:sz="4" w:space="0"/>
              <w:left w:val="nil"/>
              <w:bottom w:val="single" w:color="000000" w:sz="4" w:space="0"/>
              <w:right w:val="single" w:color="000000" w:sz="4" w:space="0"/>
            </w:tcBorders>
            <w:shd w:val="clear" w:color="auto" w:fill="auto"/>
            <w:vAlign w:val="center"/>
          </w:tcPr>
          <w:p w14:paraId="3056368B">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财务负责人：陈勇</w:t>
            </w:r>
          </w:p>
        </w:tc>
      </w:tr>
    </w:tbl>
    <w:p w14:paraId="08C17492">
      <w:pPr>
        <w:pStyle w:val="46"/>
        <w:ind w:left="632" w:firstLine="632"/>
        <w:rPr>
          <w:rFonts w:ascii="Times New Roman" w:eastAsia="黑体"/>
          <w:shd w:val="clear" w:color="auto" w:fill="FFFFFF"/>
          <w:lang w:val="zh-CN"/>
        </w:rPr>
      </w:pPr>
    </w:p>
    <w:p w14:paraId="75F3877A">
      <w:pPr>
        <w:pStyle w:val="46"/>
        <w:ind w:left="632" w:firstLine="632"/>
        <w:rPr>
          <w:rFonts w:ascii="Times New Roman" w:eastAsia="黑体"/>
          <w:shd w:val="clear" w:color="auto" w:fill="FFFFFF"/>
          <w:lang w:val="zh-CN"/>
        </w:rPr>
      </w:pPr>
    </w:p>
    <w:p w14:paraId="1C5CF36A">
      <w:pPr>
        <w:pStyle w:val="46"/>
        <w:ind w:left="632" w:firstLine="632"/>
        <w:rPr>
          <w:rFonts w:ascii="Times New Roman" w:eastAsia="黑体"/>
          <w:shd w:val="clear" w:color="auto" w:fill="FFFFFF"/>
          <w:lang w:val="zh-CN"/>
        </w:rPr>
      </w:pPr>
    </w:p>
    <w:p w14:paraId="19525D32">
      <w:pPr>
        <w:pStyle w:val="46"/>
        <w:ind w:left="632" w:firstLine="632"/>
        <w:rPr>
          <w:rFonts w:ascii="Times New Roman" w:eastAsia="黑体"/>
          <w:shd w:val="clear" w:color="auto" w:fill="FFFFFF"/>
          <w:lang w:val="zh-CN"/>
        </w:rPr>
      </w:pPr>
    </w:p>
    <w:p w14:paraId="6128D749">
      <w:pPr>
        <w:pStyle w:val="46"/>
        <w:ind w:left="632" w:firstLine="632"/>
        <w:rPr>
          <w:rFonts w:ascii="Times New Roman" w:eastAsia="黑体"/>
          <w:shd w:val="clear" w:color="auto" w:fill="FFFFFF"/>
          <w:lang w:val="zh-CN"/>
        </w:rPr>
      </w:pPr>
    </w:p>
    <w:p w14:paraId="53813D36">
      <w:pPr>
        <w:pStyle w:val="46"/>
        <w:ind w:left="632" w:firstLine="632"/>
        <w:rPr>
          <w:rFonts w:ascii="Times New Roman" w:eastAsia="黑体"/>
          <w:shd w:val="clear" w:color="auto" w:fill="FFFFFF"/>
          <w:lang w:val="zh-CN"/>
        </w:rPr>
      </w:pPr>
    </w:p>
    <w:p w14:paraId="64EA41A4">
      <w:pPr>
        <w:pStyle w:val="46"/>
        <w:ind w:firstLine="0"/>
        <w:rPr>
          <w:rFonts w:ascii="Times New Roman" w:eastAsia="黑体"/>
          <w:shd w:val="clear" w:color="auto" w:fill="FFFFFF"/>
          <w:lang w:val="zh-CN"/>
        </w:rPr>
      </w:pPr>
    </w:p>
    <w:p w14:paraId="4290E59B">
      <w:pPr>
        <w:pStyle w:val="46"/>
        <w:ind w:left="632" w:firstLine="632"/>
        <w:rPr>
          <w:rFonts w:ascii="Times New Roman" w:eastAsia="黑体"/>
          <w:shd w:val="clear" w:color="auto" w:fill="FFFFFF"/>
          <w:lang w:val="zh-CN"/>
        </w:rPr>
      </w:pPr>
    </w:p>
    <w:p w14:paraId="6BCCDD9E">
      <w:pP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br w:type="page"/>
      </w:r>
    </w:p>
    <w:p w14:paraId="194BAE71">
      <w:pPr>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rPr>
        <w:t>部门预算项目支出绩效自评表（2024年度）</w:t>
      </w:r>
      <w:bookmarkStart w:id="87" w:name="_Toc15396618"/>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027"/>
        <w:gridCol w:w="898"/>
        <w:gridCol w:w="1081"/>
        <w:gridCol w:w="456"/>
        <w:gridCol w:w="1042"/>
        <w:gridCol w:w="456"/>
        <w:gridCol w:w="936"/>
        <w:gridCol w:w="576"/>
        <w:gridCol w:w="576"/>
        <w:gridCol w:w="1316"/>
      </w:tblGrid>
      <w:tr w14:paraId="47A9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3" w:type="dxa"/>
            <w:gridSpan w:val="2"/>
            <w:shd w:val="clear" w:color="auto" w:fill="auto"/>
            <w:vAlign w:val="center"/>
          </w:tcPr>
          <w:p w14:paraId="2D6991C2">
            <w:pPr>
              <w:widowControl/>
              <w:jc w:val="left"/>
              <w:rPr>
                <w:rFonts w:hint="eastAsia" w:asciiTheme="minorEastAsia" w:hAnsiTheme="minorEastAsia" w:eastAsiaTheme="minorEastAsia" w:cstheme="minorEastAsia"/>
                <w:color w:val="000000"/>
                <w:sz w:val="22"/>
                <w:szCs w:val="22"/>
              </w:rPr>
            </w:pPr>
            <w:bookmarkStart w:id="88" w:name="_Toc14542"/>
            <w:r>
              <w:rPr>
                <w:rFonts w:hint="eastAsia" w:asciiTheme="minorEastAsia" w:hAnsiTheme="minorEastAsia" w:eastAsiaTheme="minorEastAsia" w:cstheme="minorEastAsia"/>
                <w:color w:val="000000"/>
                <w:sz w:val="22"/>
                <w:szCs w:val="22"/>
              </w:rPr>
              <w:t>项目名称</w:t>
            </w:r>
          </w:p>
        </w:tc>
        <w:tc>
          <w:tcPr>
            <w:tcW w:w="7337" w:type="dxa"/>
            <w:gridSpan w:val="9"/>
            <w:shd w:val="clear" w:color="auto" w:fill="auto"/>
            <w:vAlign w:val="center"/>
          </w:tcPr>
          <w:p w14:paraId="18621D06">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51090422T000000404626-天府科技云服务</w:t>
            </w:r>
          </w:p>
        </w:tc>
      </w:tr>
      <w:tr w14:paraId="7DB7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23" w:type="dxa"/>
            <w:gridSpan w:val="2"/>
            <w:shd w:val="clear" w:color="auto" w:fill="auto"/>
            <w:vAlign w:val="center"/>
          </w:tcPr>
          <w:p w14:paraId="2F3B7E01">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主管部门</w:t>
            </w:r>
          </w:p>
        </w:tc>
        <w:tc>
          <w:tcPr>
            <w:tcW w:w="3933" w:type="dxa"/>
            <w:gridSpan w:val="5"/>
            <w:shd w:val="clear" w:color="auto" w:fill="auto"/>
            <w:vAlign w:val="center"/>
          </w:tcPr>
          <w:p w14:paraId="7F27C0A8">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遂宁市安居区科学技术协会部门</w:t>
            </w:r>
          </w:p>
        </w:tc>
        <w:tc>
          <w:tcPr>
            <w:tcW w:w="936" w:type="dxa"/>
            <w:shd w:val="clear" w:color="auto" w:fill="auto"/>
            <w:vAlign w:val="center"/>
          </w:tcPr>
          <w:p w14:paraId="65C3B147">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实施单位 （盖章）</w:t>
            </w:r>
          </w:p>
        </w:tc>
        <w:tc>
          <w:tcPr>
            <w:tcW w:w="2468" w:type="dxa"/>
            <w:gridSpan w:val="3"/>
            <w:shd w:val="clear" w:color="auto" w:fill="auto"/>
            <w:vAlign w:val="center"/>
          </w:tcPr>
          <w:p w14:paraId="60092A7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遂宁市安居区科学技术协会</w:t>
            </w:r>
          </w:p>
        </w:tc>
      </w:tr>
      <w:tr w14:paraId="4198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vMerge w:val="restart"/>
            <w:shd w:val="clear" w:color="auto" w:fill="auto"/>
            <w:vAlign w:val="center"/>
          </w:tcPr>
          <w:p w14:paraId="4F5D5993">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项目基本情况</w:t>
            </w:r>
          </w:p>
        </w:tc>
        <w:tc>
          <w:tcPr>
            <w:tcW w:w="1027" w:type="dxa"/>
            <w:vMerge w:val="restart"/>
            <w:shd w:val="clear" w:color="auto" w:fill="auto"/>
            <w:vAlign w:val="center"/>
          </w:tcPr>
          <w:p w14:paraId="7A201169">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1.项目年度目标完成情况</w:t>
            </w:r>
          </w:p>
        </w:tc>
        <w:tc>
          <w:tcPr>
            <w:tcW w:w="3933" w:type="dxa"/>
            <w:gridSpan w:val="5"/>
            <w:shd w:val="clear" w:color="auto" w:fill="auto"/>
            <w:vAlign w:val="center"/>
          </w:tcPr>
          <w:p w14:paraId="37FDA44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项目年度目标</w:t>
            </w:r>
          </w:p>
        </w:tc>
        <w:tc>
          <w:tcPr>
            <w:tcW w:w="3404" w:type="dxa"/>
            <w:gridSpan w:val="4"/>
            <w:shd w:val="clear" w:color="auto" w:fill="auto"/>
            <w:vAlign w:val="center"/>
          </w:tcPr>
          <w:p w14:paraId="4F81F17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年度目标完成情况</w:t>
            </w:r>
          </w:p>
        </w:tc>
      </w:tr>
      <w:tr w14:paraId="466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696" w:type="dxa"/>
            <w:vMerge w:val="continue"/>
            <w:vAlign w:val="center"/>
          </w:tcPr>
          <w:p w14:paraId="486884B4">
            <w:pPr>
              <w:widowControl/>
              <w:jc w:val="left"/>
              <w:rPr>
                <w:rFonts w:hint="eastAsia" w:asciiTheme="minorEastAsia" w:hAnsiTheme="minorEastAsia" w:eastAsiaTheme="minorEastAsia" w:cstheme="minorEastAsia"/>
                <w:color w:val="000000"/>
                <w:sz w:val="22"/>
                <w:szCs w:val="22"/>
              </w:rPr>
            </w:pPr>
          </w:p>
        </w:tc>
        <w:tc>
          <w:tcPr>
            <w:tcW w:w="1027" w:type="dxa"/>
            <w:vMerge w:val="continue"/>
            <w:vAlign w:val="center"/>
          </w:tcPr>
          <w:p w14:paraId="49926704">
            <w:pPr>
              <w:widowControl/>
              <w:jc w:val="left"/>
              <w:rPr>
                <w:rFonts w:hint="eastAsia" w:asciiTheme="minorEastAsia" w:hAnsiTheme="minorEastAsia" w:eastAsiaTheme="minorEastAsia" w:cstheme="minorEastAsia"/>
                <w:color w:val="000000"/>
                <w:sz w:val="22"/>
                <w:szCs w:val="22"/>
              </w:rPr>
            </w:pPr>
          </w:p>
        </w:tc>
        <w:tc>
          <w:tcPr>
            <w:tcW w:w="3933" w:type="dxa"/>
            <w:gridSpan w:val="5"/>
            <w:shd w:val="clear" w:color="auto" w:fill="auto"/>
            <w:vAlign w:val="center"/>
          </w:tcPr>
          <w:p w14:paraId="2F12AA97">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xml:space="preserve">开展天府科技云服务中心运维，帮助广大企事业单位“科技供需”实现智能匹配、精准对接。 </w:t>
            </w:r>
          </w:p>
        </w:tc>
        <w:tc>
          <w:tcPr>
            <w:tcW w:w="3404" w:type="dxa"/>
            <w:gridSpan w:val="4"/>
            <w:shd w:val="clear" w:color="auto" w:fill="auto"/>
            <w:vAlign w:val="center"/>
          </w:tcPr>
          <w:p w14:paraId="7D926A14">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区累计科技工作者注册达7905人，提供“一人一策”“一单一策”“保姆式”服务6040单，打造示范工作室8个；新增科技所能发布量479条、科技需求发布量1312条，实现交易订单20个；打造科创会示范典型案例4个；积极开展智慧科普传播，累计实现传播浏览量达1100余万次；发布科普活动及动态160余条。全面完成全年目标工作任务。</w:t>
            </w:r>
          </w:p>
        </w:tc>
      </w:tr>
      <w:tr w14:paraId="6776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96" w:type="dxa"/>
            <w:vMerge w:val="continue"/>
            <w:vAlign w:val="center"/>
          </w:tcPr>
          <w:p w14:paraId="3BA801EE">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75BFA31B">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2.项目实施内容及过程概述</w:t>
            </w:r>
          </w:p>
        </w:tc>
        <w:tc>
          <w:tcPr>
            <w:tcW w:w="7337" w:type="dxa"/>
            <w:gridSpan w:val="9"/>
            <w:shd w:val="clear" w:color="auto" w:fill="auto"/>
            <w:vAlign w:val="center"/>
          </w:tcPr>
          <w:p w14:paraId="561A8E8D">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区累计科技工作者注册达7905人，提供“一人一策”“一单一策”“保姆式”服务6040单，打造示范工作室8个；新增科技所能发布量479条、科技需求发布量1312条，实现交易订单20个；打造科创会示范典型案例4个；积极开展智慧科普传播，累计实现传播浏览量达1100余万次；发布科普活动及动态160余条。</w:t>
            </w:r>
          </w:p>
        </w:tc>
      </w:tr>
      <w:tr w14:paraId="1611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96" w:type="dxa"/>
            <w:vMerge w:val="restart"/>
            <w:shd w:val="clear" w:color="auto" w:fill="auto"/>
            <w:vAlign w:val="center"/>
          </w:tcPr>
          <w:p w14:paraId="56B06A6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预算执行情况（10分）</w:t>
            </w:r>
          </w:p>
        </w:tc>
        <w:tc>
          <w:tcPr>
            <w:tcW w:w="1027" w:type="dxa"/>
            <w:shd w:val="clear" w:color="auto" w:fill="auto"/>
            <w:vAlign w:val="center"/>
          </w:tcPr>
          <w:p w14:paraId="3786784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年度预算数（万元）</w:t>
            </w:r>
          </w:p>
        </w:tc>
        <w:tc>
          <w:tcPr>
            <w:tcW w:w="898" w:type="dxa"/>
            <w:shd w:val="clear" w:color="auto" w:fill="auto"/>
            <w:vAlign w:val="center"/>
          </w:tcPr>
          <w:p w14:paraId="0C2C8CD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年初预算</w:t>
            </w:r>
          </w:p>
        </w:tc>
        <w:tc>
          <w:tcPr>
            <w:tcW w:w="1081" w:type="dxa"/>
            <w:shd w:val="clear" w:color="auto" w:fill="auto"/>
            <w:vAlign w:val="center"/>
          </w:tcPr>
          <w:p w14:paraId="79CB1F0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调整后预算数</w:t>
            </w:r>
          </w:p>
        </w:tc>
        <w:tc>
          <w:tcPr>
            <w:tcW w:w="1954" w:type="dxa"/>
            <w:gridSpan w:val="3"/>
            <w:shd w:val="clear" w:color="auto" w:fill="auto"/>
            <w:vAlign w:val="center"/>
          </w:tcPr>
          <w:p w14:paraId="7D704FD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预算执行数</w:t>
            </w:r>
          </w:p>
        </w:tc>
        <w:tc>
          <w:tcPr>
            <w:tcW w:w="936" w:type="dxa"/>
            <w:shd w:val="clear" w:color="auto" w:fill="auto"/>
            <w:vAlign w:val="center"/>
          </w:tcPr>
          <w:p w14:paraId="7034CE6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预算执行率</w:t>
            </w:r>
          </w:p>
        </w:tc>
        <w:tc>
          <w:tcPr>
            <w:tcW w:w="576" w:type="dxa"/>
            <w:shd w:val="clear" w:color="auto" w:fill="auto"/>
            <w:vAlign w:val="center"/>
          </w:tcPr>
          <w:p w14:paraId="4C7AD0B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权重</w:t>
            </w:r>
          </w:p>
        </w:tc>
        <w:tc>
          <w:tcPr>
            <w:tcW w:w="576" w:type="dxa"/>
            <w:shd w:val="clear" w:color="auto" w:fill="auto"/>
            <w:vAlign w:val="center"/>
          </w:tcPr>
          <w:p w14:paraId="6504E4D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316" w:type="dxa"/>
            <w:shd w:val="clear" w:color="auto" w:fill="auto"/>
            <w:vAlign w:val="center"/>
          </w:tcPr>
          <w:p w14:paraId="13BC13C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原因</w:t>
            </w:r>
          </w:p>
        </w:tc>
      </w:tr>
      <w:tr w14:paraId="46A0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96" w:type="dxa"/>
            <w:vMerge w:val="continue"/>
            <w:vAlign w:val="center"/>
          </w:tcPr>
          <w:p w14:paraId="40054488">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01C8357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总额</w:t>
            </w:r>
          </w:p>
        </w:tc>
        <w:tc>
          <w:tcPr>
            <w:tcW w:w="898" w:type="dxa"/>
            <w:shd w:val="clear" w:color="auto" w:fill="auto"/>
            <w:vAlign w:val="center"/>
          </w:tcPr>
          <w:p w14:paraId="46BC02A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8.00</w:t>
            </w:r>
          </w:p>
        </w:tc>
        <w:tc>
          <w:tcPr>
            <w:tcW w:w="1081" w:type="dxa"/>
            <w:shd w:val="clear" w:color="auto" w:fill="auto"/>
            <w:vAlign w:val="center"/>
          </w:tcPr>
          <w:p w14:paraId="3878597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21.00</w:t>
            </w:r>
          </w:p>
        </w:tc>
        <w:tc>
          <w:tcPr>
            <w:tcW w:w="1954" w:type="dxa"/>
            <w:gridSpan w:val="3"/>
            <w:shd w:val="clear" w:color="auto" w:fill="auto"/>
            <w:vAlign w:val="center"/>
          </w:tcPr>
          <w:p w14:paraId="61487FC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8.00</w:t>
            </w:r>
          </w:p>
        </w:tc>
        <w:tc>
          <w:tcPr>
            <w:tcW w:w="936" w:type="dxa"/>
            <w:shd w:val="clear" w:color="auto" w:fill="auto"/>
            <w:vAlign w:val="center"/>
          </w:tcPr>
          <w:p w14:paraId="5CA6527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38.10%</w:t>
            </w:r>
          </w:p>
        </w:tc>
        <w:tc>
          <w:tcPr>
            <w:tcW w:w="576" w:type="dxa"/>
            <w:shd w:val="clear" w:color="auto" w:fill="auto"/>
            <w:vAlign w:val="center"/>
          </w:tcPr>
          <w:p w14:paraId="0BE8BE7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6AE2713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c>
          <w:tcPr>
            <w:tcW w:w="1316" w:type="dxa"/>
            <w:vMerge w:val="restart"/>
            <w:shd w:val="clear" w:color="auto" w:fill="auto"/>
            <w:vAlign w:val="center"/>
          </w:tcPr>
          <w:p w14:paraId="6518DEEC">
            <w:pPr>
              <w:widowControl/>
              <w:jc w:val="left"/>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39DF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Merge w:val="continue"/>
            <w:vAlign w:val="center"/>
          </w:tcPr>
          <w:p w14:paraId="157E8BC2">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1736DF5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其中：财政资金</w:t>
            </w:r>
          </w:p>
        </w:tc>
        <w:tc>
          <w:tcPr>
            <w:tcW w:w="898" w:type="dxa"/>
            <w:shd w:val="clear" w:color="auto" w:fill="auto"/>
            <w:vAlign w:val="center"/>
          </w:tcPr>
          <w:p w14:paraId="0A9CADF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8.00</w:t>
            </w:r>
          </w:p>
        </w:tc>
        <w:tc>
          <w:tcPr>
            <w:tcW w:w="1081" w:type="dxa"/>
            <w:shd w:val="clear" w:color="auto" w:fill="auto"/>
            <w:vAlign w:val="center"/>
          </w:tcPr>
          <w:p w14:paraId="0CC6FCF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21.00</w:t>
            </w:r>
          </w:p>
        </w:tc>
        <w:tc>
          <w:tcPr>
            <w:tcW w:w="1954" w:type="dxa"/>
            <w:gridSpan w:val="3"/>
            <w:shd w:val="clear" w:color="auto" w:fill="auto"/>
            <w:vAlign w:val="center"/>
          </w:tcPr>
          <w:p w14:paraId="7DB4726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8.00</w:t>
            </w:r>
          </w:p>
        </w:tc>
        <w:tc>
          <w:tcPr>
            <w:tcW w:w="936" w:type="dxa"/>
            <w:shd w:val="clear" w:color="auto" w:fill="auto"/>
            <w:vAlign w:val="center"/>
          </w:tcPr>
          <w:p w14:paraId="4E23782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38.10%</w:t>
            </w:r>
          </w:p>
        </w:tc>
        <w:tc>
          <w:tcPr>
            <w:tcW w:w="576" w:type="dxa"/>
            <w:shd w:val="clear" w:color="auto" w:fill="auto"/>
            <w:vAlign w:val="center"/>
          </w:tcPr>
          <w:p w14:paraId="5CFC8BE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shd w:val="clear" w:color="auto" w:fill="auto"/>
            <w:vAlign w:val="center"/>
          </w:tcPr>
          <w:p w14:paraId="37AFE62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316" w:type="dxa"/>
            <w:vMerge w:val="continue"/>
            <w:vAlign w:val="center"/>
          </w:tcPr>
          <w:p w14:paraId="46874E70">
            <w:pPr>
              <w:widowControl/>
              <w:jc w:val="left"/>
              <w:rPr>
                <w:rFonts w:hint="eastAsia" w:asciiTheme="minorEastAsia" w:hAnsiTheme="minorEastAsia" w:eastAsiaTheme="minorEastAsia" w:cstheme="minorEastAsia"/>
                <w:i/>
                <w:iCs/>
                <w:color w:val="000000"/>
                <w:sz w:val="22"/>
                <w:szCs w:val="22"/>
              </w:rPr>
            </w:pPr>
          </w:p>
        </w:tc>
      </w:tr>
      <w:tr w14:paraId="643E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Merge w:val="continue"/>
            <w:vAlign w:val="center"/>
          </w:tcPr>
          <w:p w14:paraId="4F4D12B9">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7EDD0FA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财政专户管理资金</w:t>
            </w:r>
          </w:p>
        </w:tc>
        <w:tc>
          <w:tcPr>
            <w:tcW w:w="898" w:type="dxa"/>
            <w:shd w:val="clear" w:color="auto" w:fill="auto"/>
            <w:vAlign w:val="center"/>
          </w:tcPr>
          <w:p w14:paraId="116E80F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81" w:type="dxa"/>
            <w:shd w:val="clear" w:color="auto" w:fill="auto"/>
            <w:vAlign w:val="center"/>
          </w:tcPr>
          <w:p w14:paraId="1862EDF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954" w:type="dxa"/>
            <w:gridSpan w:val="3"/>
            <w:shd w:val="clear" w:color="auto" w:fill="auto"/>
            <w:vAlign w:val="center"/>
          </w:tcPr>
          <w:p w14:paraId="41A1AED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936" w:type="dxa"/>
            <w:shd w:val="clear" w:color="auto" w:fill="auto"/>
            <w:vAlign w:val="center"/>
          </w:tcPr>
          <w:p w14:paraId="47708F9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576" w:type="dxa"/>
            <w:shd w:val="clear" w:color="auto" w:fill="auto"/>
            <w:vAlign w:val="center"/>
          </w:tcPr>
          <w:p w14:paraId="054096E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shd w:val="clear" w:color="auto" w:fill="auto"/>
            <w:vAlign w:val="center"/>
          </w:tcPr>
          <w:p w14:paraId="1F6C89A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316" w:type="dxa"/>
            <w:vMerge w:val="continue"/>
            <w:vAlign w:val="center"/>
          </w:tcPr>
          <w:p w14:paraId="3268CA43">
            <w:pPr>
              <w:widowControl/>
              <w:jc w:val="left"/>
              <w:rPr>
                <w:rFonts w:hint="eastAsia" w:asciiTheme="minorEastAsia" w:hAnsiTheme="minorEastAsia" w:eastAsiaTheme="minorEastAsia" w:cstheme="minorEastAsia"/>
                <w:i/>
                <w:iCs/>
                <w:color w:val="000000"/>
                <w:sz w:val="22"/>
                <w:szCs w:val="22"/>
              </w:rPr>
            </w:pPr>
          </w:p>
        </w:tc>
      </w:tr>
      <w:tr w14:paraId="04EE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Merge w:val="continue"/>
            <w:vAlign w:val="center"/>
          </w:tcPr>
          <w:p w14:paraId="59162182">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0B76D83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单位资金</w:t>
            </w:r>
          </w:p>
        </w:tc>
        <w:tc>
          <w:tcPr>
            <w:tcW w:w="898" w:type="dxa"/>
            <w:shd w:val="clear" w:color="auto" w:fill="auto"/>
            <w:vAlign w:val="center"/>
          </w:tcPr>
          <w:p w14:paraId="476A8BB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081" w:type="dxa"/>
            <w:shd w:val="clear" w:color="auto" w:fill="auto"/>
            <w:vAlign w:val="center"/>
          </w:tcPr>
          <w:p w14:paraId="112117F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1954" w:type="dxa"/>
            <w:gridSpan w:val="3"/>
            <w:shd w:val="clear" w:color="auto" w:fill="auto"/>
            <w:vAlign w:val="center"/>
          </w:tcPr>
          <w:p w14:paraId="52F9E4D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936" w:type="dxa"/>
            <w:shd w:val="clear" w:color="auto" w:fill="auto"/>
            <w:vAlign w:val="center"/>
          </w:tcPr>
          <w:p w14:paraId="71586FD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0.00%</w:t>
            </w:r>
          </w:p>
        </w:tc>
        <w:tc>
          <w:tcPr>
            <w:tcW w:w="576" w:type="dxa"/>
            <w:shd w:val="clear" w:color="auto" w:fill="auto"/>
            <w:vAlign w:val="center"/>
          </w:tcPr>
          <w:p w14:paraId="06508AA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shd w:val="clear" w:color="auto" w:fill="auto"/>
            <w:vAlign w:val="center"/>
          </w:tcPr>
          <w:p w14:paraId="38B1524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316" w:type="dxa"/>
            <w:vMerge w:val="continue"/>
            <w:vAlign w:val="center"/>
          </w:tcPr>
          <w:p w14:paraId="361406ED">
            <w:pPr>
              <w:widowControl/>
              <w:jc w:val="left"/>
              <w:rPr>
                <w:rFonts w:hint="eastAsia" w:asciiTheme="minorEastAsia" w:hAnsiTheme="minorEastAsia" w:eastAsiaTheme="minorEastAsia" w:cstheme="minorEastAsia"/>
                <w:i/>
                <w:iCs/>
                <w:color w:val="000000"/>
                <w:sz w:val="22"/>
                <w:szCs w:val="22"/>
              </w:rPr>
            </w:pPr>
          </w:p>
        </w:tc>
      </w:tr>
      <w:tr w14:paraId="693C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Merge w:val="continue"/>
            <w:vAlign w:val="center"/>
          </w:tcPr>
          <w:p w14:paraId="5BDD43F5">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33C33DC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其他资金</w:t>
            </w:r>
          </w:p>
        </w:tc>
        <w:tc>
          <w:tcPr>
            <w:tcW w:w="898" w:type="dxa"/>
            <w:shd w:val="clear" w:color="auto" w:fill="auto"/>
            <w:vAlign w:val="center"/>
          </w:tcPr>
          <w:p w14:paraId="18A32C2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1081" w:type="dxa"/>
            <w:shd w:val="clear" w:color="auto" w:fill="auto"/>
            <w:vAlign w:val="center"/>
          </w:tcPr>
          <w:p w14:paraId="5D8AFB04">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1954" w:type="dxa"/>
            <w:gridSpan w:val="3"/>
            <w:shd w:val="clear" w:color="auto" w:fill="auto"/>
            <w:vAlign w:val="center"/>
          </w:tcPr>
          <w:p w14:paraId="76FFC094">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936" w:type="dxa"/>
            <w:shd w:val="clear" w:color="auto" w:fill="auto"/>
            <w:vAlign w:val="center"/>
          </w:tcPr>
          <w:p w14:paraId="4039353E">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4C1C8F5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576" w:type="dxa"/>
            <w:shd w:val="clear" w:color="auto" w:fill="auto"/>
            <w:vAlign w:val="center"/>
          </w:tcPr>
          <w:p w14:paraId="0B6ADF4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316" w:type="dxa"/>
            <w:vMerge w:val="continue"/>
            <w:vAlign w:val="center"/>
          </w:tcPr>
          <w:p w14:paraId="49A8F75D">
            <w:pPr>
              <w:widowControl/>
              <w:jc w:val="left"/>
              <w:rPr>
                <w:rFonts w:hint="eastAsia" w:asciiTheme="minorEastAsia" w:hAnsiTheme="minorEastAsia" w:eastAsiaTheme="minorEastAsia" w:cstheme="minorEastAsia"/>
                <w:i/>
                <w:iCs/>
                <w:color w:val="000000"/>
                <w:sz w:val="22"/>
                <w:szCs w:val="22"/>
              </w:rPr>
            </w:pPr>
          </w:p>
        </w:tc>
      </w:tr>
      <w:tr w14:paraId="35D7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Merge w:val="restart"/>
            <w:shd w:val="clear" w:color="auto" w:fill="auto"/>
            <w:vAlign w:val="center"/>
          </w:tcPr>
          <w:p w14:paraId="7F6C2DF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绩效指标（90分）</w:t>
            </w:r>
          </w:p>
        </w:tc>
        <w:tc>
          <w:tcPr>
            <w:tcW w:w="1027" w:type="dxa"/>
            <w:shd w:val="clear" w:color="auto" w:fill="auto"/>
            <w:vAlign w:val="center"/>
          </w:tcPr>
          <w:p w14:paraId="2E94CCE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一级指标</w:t>
            </w:r>
          </w:p>
        </w:tc>
        <w:tc>
          <w:tcPr>
            <w:tcW w:w="898" w:type="dxa"/>
            <w:shd w:val="clear" w:color="auto" w:fill="auto"/>
            <w:vAlign w:val="center"/>
          </w:tcPr>
          <w:p w14:paraId="14E307A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二级指标</w:t>
            </w:r>
          </w:p>
        </w:tc>
        <w:tc>
          <w:tcPr>
            <w:tcW w:w="1081" w:type="dxa"/>
            <w:shd w:val="clear" w:color="auto" w:fill="auto"/>
            <w:vAlign w:val="center"/>
          </w:tcPr>
          <w:p w14:paraId="43A575C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三级指标</w:t>
            </w:r>
          </w:p>
        </w:tc>
        <w:tc>
          <w:tcPr>
            <w:tcW w:w="456" w:type="dxa"/>
            <w:shd w:val="clear" w:color="auto" w:fill="auto"/>
            <w:vAlign w:val="center"/>
          </w:tcPr>
          <w:p w14:paraId="0677C41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指标性质</w:t>
            </w:r>
          </w:p>
        </w:tc>
        <w:tc>
          <w:tcPr>
            <w:tcW w:w="1042" w:type="dxa"/>
            <w:shd w:val="clear" w:color="auto" w:fill="auto"/>
            <w:vAlign w:val="center"/>
          </w:tcPr>
          <w:p w14:paraId="676869F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指标值</w:t>
            </w:r>
          </w:p>
        </w:tc>
        <w:tc>
          <w:tcPr>
            <w:tcW w:w="456" w:type="dxa"/>
            <w:shd w:val="clear" w:color="auto" w:fill="auto"/>
            <w:vAlign w:val="center"/>
          </w:tcPr>
          <w:p w14:paraId="4F43639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度量单位</w:t>
            </w:r>
          </w:p>
        </w:tc>
        <w:tc>
          <w:tcPr>
            <w:tcW w:w="936" w:type="dxa"/>
            <w:shd w:val="clear" w:color="auto" w:fill="auto"/>
            <w:vAlign w:val="center"/>
          </w:tcPr>
          <w:p w14:paraId="4F59B9D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完成值</w:t>
            </w:r>
          </w:p>
        </w:tc>
        <w:tc>
          <w:tcPr>
            <w:tcW w:w="576" w:type="dxa"/>
            <w:shd w:val="clear" w:color="auto" w:fill="auto"/>
            <w:vAlign w:val="center"/>
          </w:tcPr>
          <w:p w14:paraId="2F286F0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权重</w:t>
            </w:r>
          </w:p>
        </w:tc>
        <w:tc>
          <w:tcPr>
            <w:tcW w:w="576" w:type="dxa"/>
            <w:shd w:val="clear" w:color="auto" w:fill="auto"/>
            <w:vAlign w:val="center"/>
          </w:tcPr>
          <w:p w14:paraId="3E04C59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得分</w:t>
            </w:r>
          </w:p>
        </w:tc>
        <w:tc>
          <w:tcPr>
            <w:tcW w:w="1316" w:type="dxa"/>
            <w:shd w:val="clear" w:color="auto" w:fill="auto"/>
            <w:vAlign w:val="center"/>
          </w:tcPr>
          <w:p w14:paraId="4EC4876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未完成原因分析</w:t>
            </w:r>
          </w:p>
        </w:tc>
      </w:tr>
      <w:tr w14:paraId="6BDC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696" w:type="dxa"/>
            <w:vMerge w:val="continue"/>
            <w:vAlign w:val="center"/>
          </w:tcPr>
          <w:p w14:paraId="3DEA56A7">
            <w:pPr>
              <w:widowControl/>
              <w:jc w:val="left"/>
              <w:rPr>
                <w:rFonts w:hint="eastAsia" w:asciiTheme="minorEastAsia" w:hAnsiTheme="minorEastAsia" w:eastAsiaTheme="minorEastAsia" w:cstheme="minorEastAsia"/>
                <w:color w:val="000000"/>
                <w:sz w:val="22"/>
                <w:szCs w:val="22"/>
              </w:rPr>
            </w:pPr>
          </w:p>
        </w:tc>
        <w:tc>
          <w:tcPr>
            <w:tcW w:w="1027" w:type="dxa"/>
            <w:vMerge w:val="restart"/>
            <w:shd w:val="clear" w:color="auto" w:fill="auto"/>
            <w:vAlign w:val="center"/>
          </w:tcPr>
          <w:p w14:paraId="550CA4E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产出指标</w:t>
            </w:r>
          </w:p>
        </w:tc>
        <w:tc>
          <w:tcPr>
            <w:tcW w:w="898" w:type="dxa"/>
            <w:vMerge w:val="restart"/>
            <w:shd w:val="clear" w:color="auto" w:fill="auto"/>
            <w:vAlign w:val="center"/>
          </w:tcPr>
          <w:p w14:paraId="78D41D2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数量指标</w:t>
            </w:r>
          </w:p>
        </w:tc>
        <w:tc>
          <w:tcPr>
            <w:tcW w:w="1081" w:type="dxa"/>
            <w:shd w:val="clear" w:color="auto" w:fill="auto"/>
            <w:vAlign w:val="center"/>
          </w:tcPr>
          <w:p w14:paraId="1673FFA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提供全员“保姆式”服务单数</w:t>
            </w:r>
          </w:p>
        </w:tc>
        <w:tc>
          <w:tcPr>
            <w:tcW w:w="456" w:type="dxa"/>
            <w:shd w:val="clear" w:color="auto" w:fill="auto"/>
            <w:vAlign w:val="center"/>
          </w:tcPr>
          <w:p w14:paraId="592C30F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14EAD54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456" w:type="dxa"/>
            <w:shd w:val="clear" w:color="auto" w:fill="auto"/>
            <w:vAlign w:val="center"/>
          </w:tcPr>
          <w:p w14:paraId="08FEEF3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936" w:type="dxa"/>
            <w:shd w:val="clear" w:color="auto" w:fill="auto"/>
            <w:vAlign w:val="center"/>
          </w:tcPr>
          <w:p w14:paraId="191F4B5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474A507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0241681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491891F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7C2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6" w:type="dxa"/>
            <w:vMerge w:val="continue"/>
            <w:vAlign w:val="center"/>
          </w:tcPr>
          <w:p w14:paraId="33CA0F62">
            <w:pPr>
              <w:widowControl/>
              <w:jc w:val="left"/>
              <w:rPr>
                <w:rFonts w:hint="eastAsia" w:asciiTheme="minorEastAsia" w:hAnsiTheme="minorEastAsia" w:eastAsiaTheme="minorEastAsia" w:cstheme="minorEastAsia"/>
                <w:color w:val="000000"/>
                <w:sz w:val="22"/>
                <w:szCs w:val="22"/>
              </w:rPr>
            </w:pPr>
          </w:p>
        </w:tc>
        <w:tc>
          <w:tcPr>
            <w:tcW w:w="1027" w:type="dxa"/>
            <w:vMerge w:val="continue"/>
            <w:vAlign w:val="center"/>
          </w:tcPr>
          <w:p w14:paraId="185D3F13">
            <w:pPr>
              <w:widowControl/>
              <w:jc w:val="left"/>
              <w:rPr>
                <w:rFonts w:hint="eastAsia" w:asciiTheme="minorEastAsia" w:hAnsiTheme="minorEastAsia" w:eastAsiaTheme="minorEastAsia" w:cstheme="minorEastAsia"/>
                <w:color w:val="000000"/>
                <w:sz w:val="22"/>
                <w:szCs w:val="22"/>
              </w:rPr>
            </w:pPr>
          </w:p>
        </w:tc>
        <w:tc>
          <w:tcPr>
            <w:tcW w:w="898" w:type="dxa"/>
            <w:vMerge w:val="continue"/>
            <w:vAlign w:val="center"/>
          </w:tcPr>
          <w:p w14:paraId="4422378F">
            <w:pPr>
              <w:widowControl/>
              <w:jc w:val="left"/>
              <w:rPr>
                <w:rFonts w:hint="eastAsia" w:asciiTheme="minorEastAsia" w:hAnsiTheme="minorEastAsia" w:eastAsiaTheme="minorEastAsia" w:cstheme="minorEastAsia"/>
                <w:color w:val="000000"/>
                <w:sz w:val="22"/>
                <w:szCs w:val="22"/>
              </w:rPr>
            </w:pPr>
          </w:p>
        </w:tc>
        <w:tc>
          <w:tcPr>
            <w:tcW w:w="1081" w:type="dxa"/>
            <w:shd w:val="clear" w:color="auto" w:fill="auto"/>
            <w:vAlign w:val="center"/>
          </w:tcPr>
          <w:p w14:paraId="5CAC5E5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天府科技云平台科技工作者累计注册数</w:t>
            </w:r>
          </w:p>
        </w:tc>
        <w:tc>
          <w:tcPr>
            <w:tcW w:w="456" w:type="dxa"/>
            <w:shd w:val="clear" w:color="auto" w:fill="auto"/>
            <w:vAlign w:val="center"/>
          </w:tcPr>
          <w:p w14:paraId="2001141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7FB43F8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7000</w:t>
            </w:r>
          </w:p>
        </w:tc>
        <w:tc>
          <w:tcPr>
            <w:tcW w:w="456" w:type="dxa"/>
            <w:shd w:val="clear" w:color="auto" w:fill="auto"/>
            <w:vAlign w:val="center"/>
          </w:tcPr>
          <w:p w14:paraId="599C681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户</w:t>
            </w:r>
          </w:p>
        </w:tc>
        <w:tc>
          <w:tcPr>
            <w:tcW w:w="936" w:type="dxa"/>
            <w:shd w:val="clear" w:color="auto" w:fill="auto"/>
            <w:vAlign w:val="center"/>
          </w:tcPr>
          <w:p w14:paraId="4ECE413C">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40785D0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243FE44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07FFF081">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1250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96" w:type="dxa"/>
            <w:vMerge w:val="continue"/>
            <w:vAlign w:val="center"/>
          </w:tcPr>
          <w:p w14:paraId="20BD9256">
            <w:pPr>
              <w:widowControl/>
              <w:jc w:val="left"/>
              <w:rPr>
                <w:rFonts w:hint="eastAsia" w:asciiTheme="minorEastAsia" w:hAnsiTheme="minorEastAsia" w:eastAsiaTheme="minorEastAsia" w:cstheme="minorEastAsia"/>
                <w:color w:val="000000"/>
                <w:sz w:val="22"/>
                <w:szCs w:val="22"/>
              </w:rPr>
            </w:pPr>
          </w:p>
        </w:tc>
        <w:tc>
          <w:tcPr>
            <w:tcW w:w="1027" w:type="dxa"/>
            <w:vMerge w:val="continue"/>
            <w:vAlign w:val="center"/>
          </w:tcPr>
          <w:p w14:paraId="04247F1E">
            <w:pPr>
              <w:widowControl/>
              <w:jc w:val="left"/>
              <w:rPr>
                <w:rFonts w:hint="eastAsia" w:asciiTheme="minorEastAsia" w:hAnsiTheme="minorEastAsia" w:eastAsiaTheme="minorEastAsia" w:cstheme="minorEastAsia"/>
                <w:color w:val="000000"/>
                <w:sz w:val="22"/>
                <w:szCs w:val="22"/>
              </w:rPr>
            </w:pPr>
          </w:p>
        </w:tc>
        <w:tc>
          <w:tcPr>
            <w:tcW w:w="898" w:type="dxa"/>
            <w:shd w:val="clear" w:color="auto" w:fill="auto"/>
            <w:vAlign w:val="center"/>
          </w:tcPr>
          <w:p w14:paraId="657625C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质量指标</w:t>
            </w:r>
          </w:p>
        </w:tc>
        <w:tc>
          <w:tcPr>
            <w:tcW w:w="1081" w:type="dxa"/>
            <w:shd w:val="clear" w:color="auto" w:fill="auto"/>
            <w:vAlign w:val="center"/>
          </w:tcPr>
          <w:p w14:paraId="34B012A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平台新增科技供给与有效需求“一单一策”覆盖率</w:t>
            </w:r>
          </w:p>
        </w:tc>
        <w:tc>
          <w:tcPr>
            <w:tcW w:w="456" w:type="dxa"/>
            <w:shd w:val="clear" w:color="auto" w:fill="auto"/>
            <w:vAlign w:val="center"/>
          </w:tcPr>
          <w:p w14:paraId="24E269C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592FC4A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90</w:t>
            </w:r>
          </w:p>
        </w:tc>
        <w:tc>
          <w:tcPr>
            <w:tcW w:w="456" w:type="dxa"/>
            <w:shd w:val="clear" w:color="auto" w:fill="auto"/>
            <w:vAlign w:val="center"/>
          </w:tcPr>
          <w:p w14:paraId="730A028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936" w:type="dxa"/>
            <w:shd w:val="clear" w:color="auto" w:fill="auto"/>
            <w:vAlign w:val="center"/>
          </w:tcPr>
          <w:p w14:paraId="58DA1BF5">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72390E1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7087CE5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6F0CF280">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5427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96" w:type="dxa"/>
            <w:vMerge w:val="continue"/>
            <w:vAlign w:val="center"/>
          </w:tcPr>
          <w:p w14:paraId="41B824FF">
            <w:pPr>
              <w:widowControl/>
              <w:jc w:val="left"/>
              <w:rPr>
                <w:rFonts w:hint="eastAsia" w:asciiTheme="minorEastAsia" w:hAnsiTheme="minorEastAsia" w:eastAsiaTheme="minorEastAsia" w:cstheme="minorEastAsia"/>
                <w:color w:val="000000"/>
                <w:sz w:val="22"/>
                <w:szCs w:val="22"/>
              </w:rPr>
            </w:pPr>
          </w:p>
        </w:tc>
        <w:tc>
          <w:tcPr>
            <w:tcW w:w="1027" w:type="dxa"/>
            <w:vMerge w:val="continue"/>
            <w:vAlign w:val="center"/>
          </w:tcPr>
          <w:p w14:paraId="7B1DCB89">
            <w:pPr>
              <w:widowControl/>
              <w:jc w:val="left"/>
              <w:rPr>
                <w:rFonts w:hint="eastAsia" w:asciiTheme="minorEastAsia" w:hAnsiTheme="minorEastAsia" w:eastAsiaTheme="minorEastAsia" w:cstheme="minorEastAsia"/>
                <w:color w:val="000000"/>
                <w:sz w:val="22"/>
                <w:szCs w:val="22"/>
              </w:rPr>
            </w:pPr>
          </w:p>
        </w:tc>
        <w:tc>
          <w:tcPr>
            <w:tcW w:w="898" w:type="dxa"/>
            <w:shd w:val="clear" w:color="auto" w:fill="auto"/>
            <w:vAlign w:val="center"/>
          </w:tcPr>
          <w:p w14:paraId="60B446F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时效指标</w:t>
            </w:r>
          </w:p>
        </w:tc>
        <w:tc>
          <w:tcPr>
            <w:tcW w:w="1081" w:type="dxa"/>
            <w:shd w:val="clear" w:color="auto" w:fill="auto"/>
            <w:vAlign w:val="center"/>
          </w:tcPr>
          <w:p w14:paraId="6D54A860">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2024年12月31日</w:t>
            </w:r>
          </w:p>
        </w:tc>
        <w:tc>
          <w:tcPr>
            <w:tcW w:w="456" w:type="dxa"/>
            <w:shd w:val="clear" w:color="auto" w:fill="auto"/>
            <w:vAlign w:val="center"/>
          </w:tcPr>
          <w:p w14:paraId="2874ECE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3B7CECD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w:t>
            </w:r>
          </w:p>
        </w:tc>
        <w:tc>
          <w:tcPr>
            <w:tcW w:w="456" w:type="dxa"/>
            <w:shd w:val="clear" w:color="auto" w:fill="auto"/>
            <w:vAlign w:val="center"/>
          </w:tcPr>
          <w:p w14:paraId="125950D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年</w:t>
            </w:r>
          </w:p>
        </w:tc>
        <w:tc>
          <w:tcPr>
            <w:tcW w:w="936" w:type="dxa"/>
            <w:shd w:val="clear" w:color="auto" w:fill="auto"/>
            <w:vAlign w:val="center"/>
          </w:tcPr>
          <w:p w14:paraId="7ACAEBA0">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45A88CEF">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087956F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645526D2">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691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96" w:type="dxa"/>
            <w:vMerge w:val="continue"/>
            <w:vAlign w:val="center"/>
          </w:tcPr>
          <w:p w14:paraId="66328364">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38236B9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效益指标</w:t>
            </w:r>
          </w:p>
        </w:tc>
        <w:tc>
          <w:tcPr>
            <w:tcW w:w="898" w:type="dxa"/>
            <w:shd w:val="clear" w:color="auto" w:fill="auto"/>
            <w:vAlign w:val="center"/>
          </w:tcPr>
          <w:p w14:paraId="57F337E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经济效益指标</w:t>
            </w:r>
          </w:p>
        </w:tc>
        <w:tc>
          <w:tcPr>
            <w:tcW w:w="1081" w:type="dxa"/>
            <w:shd w:val="clear" w:color="auto" w:fill="auto"/>
            <w:vAlign w:val="center"/>
          </w:tcPr>
          <w:p w14:paraId="4A6585B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政府投入与科技工作者、企业经济和科普阵地建设方利益流入比</w:t>
            </w:r>
          </w:p>
        </w:tc>
        <w:tc>
          <w:tcPr>
            <w:tcW w:w="456" w:type="dxa"/>
            <w:shd w:val="clear" w:color="auto" w:fill="auto"/>
            <w:vAlign w:val="center"/>
          </w:tcPr>
          <w:p w14:paraId="06E72C9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2062972D">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50</w:t>
            </w:r>
          </w:p>
        </w:tc>
        <w:tc>
          <w:tcPr>
            <w:tcW w:w="456" w:type="dxa"/>
            <w:shd w:val="clear" w:color="auto" w:fill="auto"/>
            <w:vAlign w:val="center"/>
          </w:tcPr>
          <w:p w14:paraId="33F95F1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936" w:type="dxa"/>
            <w:shd w:val="clear" w:color="auto" w:fill="auto"/>
            <w:vAlign w:val="center"/>
          </w:tcPr>
          <w:p w14:paraId="72976801">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3CE1392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576" w:type="dxa"/>
            <w:shd w:val="clear" w:color="auto" w:fill="auto"/>
            <w:vAlign w:val="center"/>
          </w:tcPr>
          <w:p w14:paraId="469A0E87">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20</w:t>
            </w:r>
          </w:p>
        </w:tc>
        <w:tc>
          <w:tcPr>
            <w:tcW w:w="1316" w:type="dxa"/>
            <w:shd w:val="clear" w:color="auto" w:fill="auto"/>
            <w:vAlign w:val="center"/>
          </w:tcPr>
          <w:p w14:paraId="3FDB4481">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0841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696" w:type="dxa"/>
            <w:vMerge w:val="continue"/>
            <w:vAlign w:val="center"/>
          </w:tcPr>
          <w:p w14:paraId="1654E79E">
            <w:pPr>
              <w:widowControl/>
              <w:jc w:val="left"/>
              <w:rPr>
                <w:rFonts w:hint="eastAsia" w:asciiTheme="minorEastAsia" w:hAnsiTheme="minorEastAsia" w:eastAsiaTheme="minorEastAsia" w:cstheme="minorEastAsia"/>
                <w:color w:val="000000"/>
                <w:sz w:val="22"/>
                <w:szCs w:val="22"/>
              </w:rPr>
            </w:pPr>
          </w:p>
        </w:tc>
        <w:tc>
          <w:tcPr>
            <w:tcW w:w="1027" w:type="dxa"/>
            <w:shd w:val="clear" w:color="auto" w:fill="auto"/>
            <w:vAlign w:val="center"/>
          </w:tcPr>
          <w:p w14:paraId="614838D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满意度指标</w:t>
            </w:r>
          </w:p>
        </w:tc>
        <w:tc>
          <w:tcPr>
            <w:tcW w:w="898" w:type="dxa"/>
            <w:shd w:val="clear" w:color="auto" w:fill="auto"/>
            <w:vAlign w:val="center"/>
          </w:tcPr>
          <w:p w14:paraId="42B7262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帮扶对象满意度指标</w:t>
            </w:r>
          </w:p>
        </w:tc>
        <w:tc>
          <w:tcPr>
            <w:tcW w:w="1081" w:type="dxa"/>
            <w:shd w:val="clear" w:color="auto" w:fill="auto"/>
            <w:vAlign w:val="center"/>
          </w:tcPr>
          <w:p w14:paraId="11417FB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平台用户、社区居民、农技协会员等满意度</w:t>
            </w:r>
          </w:p>
        </w:tc>
        <w:tc>
          <w:tcPr>
            <w:tcW w:w="456" w:type="dxa"/>
            <w:shd w:val="clear" w:color="auto" w:fill="auto"/>
            <w:vAlign w:val="center"/>
          </w:tcPr>
          <w:p w14:paraId="7023552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42C4B62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80</w:t>
            </w:r>
          </w:p>
        </w:tc>
        <w:tc>
          <w:tcPr>
            <w:tcW w:w="456" w:type="dxa"/>
            <w:shd w:val="clear" w:color="auto" w:fill="auto"/>
            <w:vAlign w:val="center"/>
          </w:tcPr>
          <w:p w14:paraId="7F5B365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936" w:type="dxa"/>
            <w:shd w:val="clear" w:color="auto" w:fill="auto"/>
            <w:vAlign w:val="center"/>
          </w:tcPr>
          <w:p w14:paraId="6CFC68F7">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66665B34">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452DA2CB">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58B74314">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3DD2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96" w:type="dxa"/>
            <w:vMerge w:val="continue"/>
            <w:vAlign w:val="center"/>
          </w:tcPr>
          <w:p w14:paraId="06DEF56B">
            <w:pPr>
              <w:widowControl/>
              <w:jc w:val="left"/>
              <w:rPr>
                <w:rFonts w:hint="eastAsia" w:asciiTheme="minorEastAsia" w:hAnsiTheme="minorEastAsia" w:eastAsiaTheme="minorEastAsia" w:cstheme="minorEastAsia"/>
                <w:color w:val="000000"/>
                <w:sz w:val="22"/>
                <w:szCs w:val="22"/>
              </w:rPr>
            </w:pPr>
          </w:p>
        </w:tc>
        <w:tc>
          <w:tcPr>
            <w:tcW w:w="1027" w:type="dxa"/>
            <w:vMerge w:val="restart"/>
            <w:shd w:val="clear" w:color="auto" w:fill="auto"/>
            <w:vAlign w:val="center"/>
          </w:tcPr>
          <w:p w14:paraId="49341F8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成本指标</w:t>
            </w:r>
          </w:p>
        </w:tc>
        <w:tc>
          <w:tcPr>
            <w:tcW w:w="898" w:type="dxa"/>
            <w:vMerge w:val="restart"/>
            <w:shd w:val="clear" w:color="auto" w:fill="auto"/>
            <w:vAlign w:val="center"/>
          </w:tcPr>
          <w:p w14:paraId="2F1F0C01">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经济成本指标</w:t>
            </w:r>
          </w:p>
        </w:tc>
        <w:tc>
          <w:tcPr>
            <w:tcW w:w="1081" w:type="dxa"/>
            <w:shd w:val="clear" w:color="auto" w:fill="auto"/>
            <w:vAlign w:val="center"/>
          </w:tcPr>
          <w:p w14:paraId="1008732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维护及劳务费6万</w:t>
            </w:r>
          </w:p>
        </w:tc>
        <w:tc>
          <w:tcPr>
            <w:tcW w:w="456" w:type="dxa"/>
            <w:shd w:val="clear" w:color="auto" w:fill="auto"/>
            <w:vAlign w:val="center"/>
          </w:tcPr>
          <w:p w14:paraId="2CFEA58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39D36106">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6</w:t>
            </w:r>
          </w:p>
        </w:tc>
        <w:tc>
          <w:tcPr>
            <w:tcW w:w="456" w:type="dxa"/>
            <w:shd w:val="clear" w:color="auto" w:fill="auto"/>
            <w:vAlign w:val="center"/>
          </w:tcPr>
          <w:p w14:paraId="5E6D319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w:t>
            </w:r>
          </w:p>
        </w:tc>
        <w:tc>
          <w:tcPr>
            <w:tcW w:w="936" w:type="dxa"/>
            <w:shd w:val="clear" w:color="auto" w:fill="auto"/>
            <w:vAlign w:val="center"/>
          </w:tcPr>
          <w:p w14:paraId="07DEB29D">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6DE160A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57C7C0B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3A7B1D35">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659B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696" w:type="dxa"/>
            <w:vMerge w:val="continue"/>
            <w:vAlign w:val="center"/>
          </w:tcPr>
          <w:p w14:paraId="3A7DE4FB">
            <w:pPr>
              <w:widowControl/>
              <w:jc w:val="left"/>
              <w:rPr>
                <w:rFonts w:hint="eastAsia" w:asciiTheme="minorEastAsia" w:hAnsiTheme="minorEastAsia" w:eastAsiaTheme="minorEastAsia" w:cstheme="minorEastAsia"/>
                <w:color w:val="000000"/>
                <w:sz w:val="22"/>
                <w:szCs w:val="22"/>
              </w:rPr>
            </w:pPr>
          </w:p>
        </w:tc>
        <w:tc>
          <w:tcPr>
            <w:tcW w:w="1027" w:type="dxa"/>
            <w:vMerge w:val="continue"/>
            <w:vAlign w:val="center"/>
          </w:tcPr>
          <w:p w14:paraId="60C102FD">
            <w:pPr>
              <w:widowControl/>
              <w:jc w:val="left"/>
              <w:rPr>
                <w:rFonts w:hint="eastAsia" w:asciiTheme="minorEastAsia" w:hAnsiTheme="minorEastAsia" w:eastAsiaTheme="minorEastAsia" w:cstheme="minorEastAsia"/>
                <w:color w:val="000000"/>
                <w:sz w:val="22"/>
                <w:szCs w:val="22"/>
              </w:rPr>
            </w:pPr>
          </w:p>
        </w:tc>
        <w:tc>
          <w:tcPr>
            <w:tcW w:w="898" w:type="dxa"/>
            <w:vMerge w:val="continue"/>
            <w:vAlign w:val="center"/>
          </w:tcPr>
          <w:p w14:paraId="2B9E3A0F">
            <w:pPr>
              <w:widowControl/>
              <w:jc w:val="left"/>
              <w:rPr>
                <w:rFonts w:hint="eastAsia" w:asciiTheme="minorEastAsia" w:hAnsiTheme="minorEastAsia" w:eastAsiaTheme="minorEastAsia" w:cstheme="minorEastAsia"/>
                <w:color w:val="000000"/>
                <w:sz w:val="22"/>
                <w:szCs w:val="22"/>
              </w:rPr>
            </w:pPr>
          </w:p>
        </w:tc>
        <w:tc>
          <w:tcPr>
            <w:tcW w:w="1081" w:type="dxa"/>
            <w:shd w:val="clear" w:color="auto" w:fill="auto"/>
            <w:vAlign w:val="center"/>
          </w:tcPr>
          <w:p w14:paraId="66D699D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宣传费2万</w:t>
            </w:r>
          </w:p>
        </w:tc>
        <w:tc>
          <w:tcPr>
            <w:tcW w:w="456" w:type="dxa"/>
            <w:shd w:val="clear" w:color="auto" w:fill="auto"/>
            <w:vAlign w:val="center"/>
          </w:tcPr>
          <w:p w14:paraId="197C3DFA">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w:t>
            </w:r>
          </w:p>
        </w:tc>
        <w:tc>
          <w:tcPr>
            <w:tcW w:w="1042" w:type="dxa"/>
            <w:shd w:val="clear" w:color="auto" w:fill="auto"/>
            <w:vAlign w:val="center"/>
          </w:tcPr>
          <w:p w14:paraId="42FB13C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2</w:t>
            </w:r>
          </w:p>
        </w:tc>
        <w:tc>
          <w:tcPr>
            <w:tcW w:w="456" w:type="dxa"/>
            <w:shd w:val="clear" w:color="auto" w:fill="auto"/>
            <w:vAlign w:val="center"/>
          </w:tcPr>
          <w:p w14:paraId="5B06C855">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万</w:t>
            </w:r>
          </w:p>
        </w:tc>
        <w:tc>
          <w:tcPr>
            <w:tcW w:w="936" w:type="dxa"/>
            <w:shd w:val="clear" w:color="auto" w:fill="auto"/>
            <w:vAlign w:val="center"/>
          </w:tcPr>
          <w:p w14:paraId="1EF09E56">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c>
          <w:tcPr>
            <w:tcW w:w="576" w:type="dxa"/>
            <w:shd w:val="clear" w:color="auto" w:fill="auto"/>
            <w:vAlign w:val="center"/>
          </w:tcPr>
          <w:p w14:paraId="3DB78288">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576" w:type="dxa"/>
            <w:shd w:val="clear" w:color="auto" w:fill="auto"/>
            <w:vAlign w:val="center"/>
          </w:tcPr>
          <w:p w14:paraId="49C437AC">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w:t>
            </w:r>
          </w:p>
        </w:tc>
        <w:tc>
          <w:tcPr>
            <w:tcW w:w="1316" w:type="dxa"/>
            <w:shd w:val="clear" w:color="auto" w:fill="auto"/>
            <w:vAlign w:val="center"/>
          </w:tcPr>
          <w:p w14:paraId="3BC8229E">
            <w:pPr>
              <w:widowControl/>
              <w:jc w:val="center"/>
              <w:rPr>
                <w:rFonts w:hint="eastAsia" w:asciiTheme="minorEastAsia" w:hAnsiTheme="minorEastAsia" w:eastAsiaTheme="minorEastAsia" w:cstheme="minorEastAsia"/>
                <w:i/>
                <w:iCs/>
                <w:color w:val="000000"/>
                <w:sz w:val="22"/>
                <w:szCs w:val="22"/>
              </w:rPr>
            </w:pPr>
            <w:r>
              <w:rPr>
                <w:rFonts w:hint="eastAsia" w:asciiTheme="minorEastAsia" w:hAnsiTheme="minorEastAsia" w:eastAsiaTheme="minorEastAsia" w:cstheme="minorEastAsia"/>
                <w:i/>
                <w:iCs/>
                <w:color w:val="000000"/>
                <w:sz w:val="22"/>
                <w:szCs w:val="22"/>
              </w:rPr>
              <w:t>　</w:t>
            </w:r>
          </w:p>
        </w:tc>
      </w:tr>
      <w:tr w14:paraId="347D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592" w:type="dxa"/>
            <w:gridSpan w:val="8"/>
            <w:shd w:val="clear" w:color="auto" w:fill="auto"/>
            <w:vAlign w:val="center"/>
          </w:tcPr>
          <w:p w14:paraId="57E7A14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合计</w:t>
            </w:r>
          </w:p>
        </w:tc>
        <w:tc>
          <w:tcPr>
            <w:tcW w:w="576" w:type="dxa"/>
            <w:shd w:val="clear" w:color="auto" w:fill="auto"/>
            <w:vAlign w:val="center"/>
          </w:tcPr>
          <w:p w14:paraId="57F82C62">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576" w:type="dxa"/>
            <w:shd w:val="clear" w:color="auto" w:fill="auto"/>
            <w:vAlign w:val="center"/>
          </w:tcPr>
          <w:p w14:paraId="0AC6EAE0">
            <w:pPr>
              <w:widowControl/>
              <w:jc w:val="righ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100</w:t>
            </w:r>
          </w:p>
        </w:tc>
        <w:tc>
          <w:tcPr>
            <w:tcW w:w="1316" w:type="dxa"/>
            <w:shd w:val="clear" w:color="auto" w:fill="auto"/>
            <w:vAlign w:val="center"/>
          </w:tcPr>
          <w:p w14:paraId="21B4A677">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　</w:t>
            </w:r>
          </w:p>
        </w:tc>
      </w:tr>
      <w:tr w14:paraId="11934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96" w:type="dxa"/>
            <w:shd w:val="clear" w:color="auto" w:fill="auto"/>
            <w:vAlign w:val="center"/>
          </w:tcPr>
          <w:p w14:paraId="370D2AE3">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评价结论</w:t>
            </w:r>
          </w:p>
        </w:tc>
        <w:tc>
          <w:tcPr>
            <w:tcW w:w="8364" w:type="dxa"/>
            <w:gridSpan w:val="10"/>
            <w:shd w:val="clear" w:color="auto" w:fill="auto"/>
            <w:vAlign w:val="center"/>
          </w:tcPr>
          <w:p w14:paraId="47432709">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全区累计科技工作者注册达7905人，提供“一人一策”“一单一策”“保姆式”服务6040单，打造示范工作室8个；新增科技所能发布量479条、科技需求发布量1312条，实现交易订单20个；打造科创会示范典型案例4个；积极开展智慧科普传播，累计实现传播浏览量达1100余万次；发布科普活动及动态160余条。全面完成2024年目标工作任务。</w:t>
            </w:r>
          </w:p>
        </w:tc>
      </w:tr>
      <w:tr w14:paraId="570A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96" w:type="dxa"/>
            <w:shd w:val="clear" w:color="auto" w:fill="auto"/>
            <w:vAlign w:val="center"/>
          </w:tcPr>
          <w:p w14:paraId="13A7E739">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存在问题</w:t>
            </w:r>
          </w:p>
        </w:tc>
        <w:tc>
          <w:tcPr>
            <w:tcW w:w="8364" w:type="dxa"/>
            <w:gridSpan w:val="10"/>
            <w:shd w:val="clear" w:color="auto" w:fill="auto"/>
            <w:vAlign w:val="center"/>
          </w:tcPr>
          <w:p w14:paraId="14A0902E">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目前，全区各镇科普工作的发展不够均衡，差异较大，基层科普基础设施较薄弱，投入经费不足，开展各种科普活动主要为发放宣传单的方式，手段相对单一，科普传播范围有待加强。</w:t>
            </w:r>
          </w:p>
        </w:tc>
      </w:tr>
      <w:tr w14:paraId="077D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96" w:type="dxa"/>
            <w:shd w:val="clear" w:color="auto" w:fill="auto"/>
            <w:vAlign w:val="center"/>
          </w:tcPr>
          <w:p w14:paraId="42E81BFE">
            <w:pPr>
              <w:widowControl/>
              <w:jc w:val="center"/>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改进措施</w:t>
            </w:r>
          </w:p>
        </w:tc>
        <w:tc>
          <w:tcPr>
            <w:tcW w:w="8364" w:type="dxa"/>
            <w:gridSpan w:val="10"/>
            <w:shd w:val="clear" w:color="auto" w:fill="auto"/>
            <w:vAlign w:val="center"/>
          </w:tcPr>
          <w:p w14:paraId="2EA6ADEE">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通过争取上级资金支持，进一步发挥科协组织“四服务”职责，加大基层科协组织科普阵地建设，充分利用微信公众号等新媒体、科普画廊及宣传栏及积极开展培训讲座等方式不断丰富科普宣传活动方式，提升科普传播范围，不断提升全区公民科学素质。</w:t>
            </w:r>
          </w:p>
        </w:tc>
      </w:tr>
      <w:tr w14:paraId="5D80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158" w:type="dxa"/>
            <w:gridSpan w:val="5"/>
            <w:shd w:val="clear" w:color="auto" w:fill="auto"/>
            <w:vAlign w:val="center"/>
          </w:tcPr>
          <w:p w14:paraId="27840F40">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项目负责人：戴琦</w:t>
            </w:r>
          </w:p>
        </w:tc>
        <w:tc>
          <w:tcPr>
            <w:tcW w:w="4902" w:type="dxa"/>
            <w:gridSpan w:val="6"/>
            <w:shd w:val="clear" w:color="auto" w:fill="auto"/>
            <w:vAlign w:val="center"/>
          </w:tcPr>
          <w:p w14:paraId="30B24814">
            <w:pPr>
              <w:widowControl/>
              <w:jc w:val="left"/>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rPr>
              <w:t>财务负责人：陈勇</w:t>
            </w:r>
          </w:p>
        </w:tc>
      </w:tr>
    </w:tbl>
    <w:p w14:paraId="02769502">
      <w:pPr>
        <w:spacing w:line="560" w:lineRule="exact"/>
        <w:jc w:val="center"/>
        <w:outlineLvl w:val="0"/>
        <w:rPr>
          <w:rFonts w:eastAsia="方正小标宋简体"/>
          <w:sz w:val="44"/>
          <w:szCs w:val="44"/>
        </w:rPr>
      </w:pPr>
    </w:p>
    <w:p w14:paraId="66E155AB">
      <w:pPr>
        <w:spacing w:line="560" w:lineRule="exact"/>
        <w:jc w:val="center"/>
        <w:outlineLvl w:val="0"/>
        <w:rPr>
          <w:rFonts w:eastAsia="方正小标宋简体"/>
          <w:sz w:val="44"/>
          <w:szCs w:val="44"/>
        </w:rPr>
      </w:pPr>
    </w:p>
    <w:p w14:paraId="4431AD1A">
      <w:pPr>
        <w:spacing w:line="560" w:lineRule="exact"/>
        <w:jc w:val="center"/>
        <w:outlineLvl w:val="0"/>
        <w:rPr>
          <w:rFonts w:eastAsia="方正小标宋简体"/>
          <w:sz w:val="44"/>
          <w:szCs w:val="44"/>
        </w:rPr>
      </w:pPr>
    </w:p>
    <w:p w14:paraId="45494068">
      <w:pPr>
        <w:rPr>
          <w:rFonts w:eastAsia="方正小标宋简体"/>
          <w:sz w:val="44"/>
          <w:szCs w:val="44"/>
        </w:rPr>
      </w:pPr>
      <w:r>
        <w:rPr>
          <w:rFonts w:eastAsia="方正小标宋简体"/>
          <w:sz w:val="44"/>
          <w:szCs w:val="44"/>
        </w:rPr>
        <w:br w:type="page"/>
      </w:r>
    </w:p>
    <w:p w14:paraId="1C2FBE14">
      <w:pPr>
        <w:spacing w:line="560" w:lineRule="exact"/>
        <w:jc w:val="center"/>
        <w:outlineLvl w:val="0"/>
        <w:rPr>
          <w:rFonts w:eastAsia="方正小标宋简体"/>
        </w:rPr>
      </w:pPr>
      <w:r>
        <w:rPr>
          <w:rFonts w:eastAsia="方正小标宋简体"/>
          <w:sz w:val="44"/>
          <w:szCs w:val="44"/>
        </w:rPr>
        <w:t>第</w:t>
      </w:r>
      <w:r>
        <w:rPr>
          <w:rStyle w:val="145"/>
          <w:rFonts w:eastAsia="方正小标宋简体"/>
          <w:b w:val="0"/>
          <w:bCs w:val="0"/>
        </w:rPr>
        <w:t>五部分 附表</w:t>
      </w:r>
      <w:bookmarkEnd w:id="86"/>
      <w:bookmarkEnd w:id="87"/>
      <w:bookmarkEnd w:id="88"/>
    </w:p>
    <w:p w14:paraId="0C5BDCC5">
      <w:pPr>
        <w:pStyle w:val="178"/>
        <w:spacing w:before="0" w:after="0" w:line="560" w:lineRule="exact"/>
        <w:outlineLvl w:val="9"/>
        <w:rPr>
          <w:rFonts w:ascii="Times New Roman" w:hAnsi="Times New Roman"/>
          <w:b w:val="0"/>
          <w:i w:val="0"/>
        </w:rPr>
      </w:pPr>
    </w:p>
    <w:p w14:paraId="7F48AEE4">
      <w:pPr>
        <w:pStyle w:val="178"/>
        <w:spacing w:before="0" w:after="0" w:line="560" w:lineRule="exact"/>
        <w:rPr>
          <w:rFonts w:ascii="Times New Roman" w:hAnsi="Times New Roman"/>
          <w:b w:val="0"/>
          <w:i w:val="0"/>
        </w:rPr>
      </w:pPr>
      <w:bookmarkStart w:id="89" w:name="_Toc12137"/>
      <w:r>
        <w:rPr>
          <w:rFonts w:ascii="Times New Roman" w:hAnsi="Times New Roman"/>
          <w:b w:val="0"/>
          <w:i w:val="0"/>
        </w:rPr>
        <w:t>一、收</w:t>
      </w:r>
      <w:r>
        <w:rPr>
          <w:rStyle w:val="177"/>
          <w:rFonts w:ascii="Times New Roman" w:hAnsi="Times New Roman"/>
          <w:b w:val="0"/>
          <w:i w:val="0"/>
        </w:rPr>
        <w:t>入支出决算总表</w:t>
      </w:r>
      <w:bookmarkEnd w:id="89"/>
    </w:p>
    <w:p w14:paraId="380F0FD0">
      <w:pPr>
        <w:pStyle w:val="178"/>
        <w:spacing w:before="0" w:after="0" w:line="560" w:lineRule="exact"/>
        <w:rPr>
          <w:rFonts w:ascii="Times New Roman" w:hAnsi="Times New Roman"/>
          <w:b w:val="0"/>
          <w:i w:val="0"/>
        </w:rPr>
      </w:pPr>
      <w:bookmarkStart w:id="90" w:name="_Toc1841"/>
      <w:r>
        <w:rPr>
          <w:rFonts w:ascii="Times New Roman" w:hAnsi="Times New Roman"/>
          <w:b w:val="0"/>
          <w:i w:val="0"/>
        </w:rPr>
        <w:t>二、收</w:t>
      </w:r>
      <w:r>
        <w:rPr>
          <w:rStyle w:val="177"/>
          <w:rFonts w:ascii="Times New Roman" w:hAnsi="Times New Roman"/>
          <w:b w:val="0"/>
          <w:i w:val="0"/>
        </w:rPr>
        <w:t>入决算表</w:t>
      </w:r>
      <w:bookmarkEnd w:id="90"/>
    </w:p>
    <w:p w14:paraId="752F571C">
      <w:pPr>
        <w:pStyle w:val="178"/>
        <w:spacing w:before="0" w:after="0" w:line="560" w:lineRule="exact"/>
        <w:rPr>
          <w:rFonts w:ascii="Times New Roman" w:hAnsi="Times New Roman"/>
          <w:b w:val="0"/>
          <w:i w:val="0"/>
        </w:rPr>
      </w:pPr>
      <w:bookmarkStart w:id="91" w:name="_Toc10180"/>
      <w:r>
        <w:rPr>
          <w:rStyle w:val="177"/>
          <w:rFonts w:ascii="Times New Roman" w:hAnsi="Times New Roman"/>
          <w:b w:val="0"/>
          <w:i w:val="0"/>
        </w:rPr>
        <w:t>三、</w:t>
      </w:r>
      <w:r>
        <w:rPr>
          <w:rFonts w:ascii="Times New Roman" w:hAnsi="Times New Roman"/>
          <w:b w:val="0"/>
          <w:i w:val="0"/>
        </w:rPr>
        <w:t>支</w:t>
      </w:r>
      <w:r>
        <w:rPr>
          <w:rStyle w:val="177"/>
          <w:rFonts w:ascii="Times New Roman" w:hAnsi="Times New Roman"/>
          <w:b w:val="0"/>
          <w:i w:val="0"/>
        </w:rPr>
        <w:t>出决算表</w:t>
      </w:r>
      <w:bookmarkEnd w:id="91"/>
    </w:p>
    <w:p w14:paraId="502448E5">
      <w:pPr>
        <w:pStyle w:val="178"/>
        <w:spacing w:before="0" w:after="0" w:line="560" w:lineRule="exact"/>
        <w:rPr>
          <w:rFonts w:ascii="Times New Roman" w:hAnsi="Times New Roman"/>
          <w:b w:val="0"/>
          <w:i w:val="0"/>
        </w:rPr>
      </w:pPr>
      <w:bookmarkStart w:id="92" w:name="_Toc32314"/>
      <w:r>
        <w:rPr>
          <w:rStyle w:val="177"/>
          <w:rFonts w:ascii="Times New Roman" w:hAnsi="Times New Roman"/>
          <w:b w:val="0"/>
          <w:i w:val="0"/>
        </w:rPr>
        <w:t>四、</w:t>
      </w:r>
      <w:r>
        <w:rPr>
          <w:rFonts w:ascii="Times New Roman" w:hAnsi="Times New Roman"/>
          <w:b w:val="0"/>
          <w:i w:val="0"/>
        </w:rPr>
        <w:t>财</w:t>
      </w:r>
      <w:r>
        <w:rPr>
          <w:rStyle w:val="177"/>
          <w:rFonts w:ascii="Times New Roman" w:hAnsi="Times New Roman"/>
          <w:b w:val="0"/>
          <w:i w:val="0"/>
        </w:rPr>
        <w:t>政拨款收入支出决算总表</w:t>
      </w:r>
      <w:bookmarkEnd w:id="92"/>
    </w:p>
    <w:p w14:paraId="643F55F0">
      <w:pPr>
        <w:pStyle w:val="178"/>
        <w:spacing w:before="0" w:after="0" w:line="560" w:lineRule="exact"/>
        <w:rPr>
          <w:rFonts w:ascii="Times New Roman" w:hAnsi="Times New Roman"/>
          <w:b w:val="0"/>
          <w:i w:val="0"/>
        </w:rPr>
      </w:pPr>
      <w:bookmarkStart w:id="93" w:name="_Toc637"/>
      <w:r>
        <w:rPr>
          <w:rStyle w:val="177"/>
          <w:rFonts w:ascii="Times New Roman" w:hAnsi="Times New Roman"/>
          <w:b w:val="0"/>
          <w:i w:val="0"/>
        </w:rPr>
        <w:t>五、</w:t>
      </w:r>
      <w:r>
        <w:rPr>
          <w:rFonts w:ascii="Times New Roman" w:hAnsi="Times New Roman"/>
          <w:b w:val="0"/>
          <w:i w:val="0"/>
        </w:rPr>
        <w:t>财</w:t>
      </w:r>
      <w:r>
        <w:rPr>
          <w:rStyle w:val="177"/>
          <w:rFonts w:ascii="Times New Roman" w:hAnsi="Times New Roman"/>
          <w:b w:val="0"/>
          <w:i w:val="0"/>
        </w:rPr>
        <w:t>政拨款支出决算明细表</w:t>
      </w:r>
      <w:bookmarkEnd w:id="93"/>
    </w:p>
    <w:p w14:paraId="75478E06">
      <w:pPr>
        <w:pStyle w:val="178"/>
        <w:spacing w:before="0" w:after="0" w:line="560" w:lineRule="exact"/>
        <w:rPr>
          <w:rFonts w:ascii="Times New Roman" w:hAnsi="Times New Roman"/>
          <w:b w:val="0"/>
          <w:i w:val="0"/>
        </w:rPr>
      </w:pPr>
      <w:bookmarkStart w:id="94" w:name="_Toc3636"/>
      <w:r>
        <w:rPr>
          <w:rStyle w:val="177"/>
          <w:rFonts w:ascii="Times New Roman" w:hAnsi="Times New Roman"/>
          <w:b w:val="0"/>
          <w:i w:val="0"/>
        </w:rPr>
        <w:t>六、</w:t>
      </w:r>
      <w:r>
        <w:rPr>
          <w:rFonts w:ascii="Times New Roman" w:hAnsi="Times New Roman"/>
          <w:b w:val="0"/>
          <w:i w:val="0"/>
        </w:rPr>
        <w:t>一</w:t>
      </w:r>
      <w:r>
        <w:rPr>
          <w:rStyle w:val="177"/>
          <w:rFonts w:ascii="Times New Roman" w:hAnsi="Times New Roman"/>
          <w:b w:val="0"/>
          <w:i w:val="0"/>
        </w:rPr>
        <w:t>般公共预算财政拨款支出决算表</w:t>
      </w:r>
      <w:bookmarkEnd w:id="94"/>
    </w:p>
    <w:p w14:paraId="3875A21B">
      <w:pPr>
        <w:pStyle w:val="178"/>
        <w:spacing w:before="0" w:after="0" w:line="560" w:lineRule="exact"/>
        <w:rPr>
          <w:rFonts w:ascii="Times New Roman" w:hAnsi="Times New Roman"/>
          <w:b w:val="0"/>
          <w:i w:val="0"/>
        </w:rPr>
      </w:pPr>
      <w:bookmarkStart w:id="95" w:name="_Toc21307"/>
      <w:r>
        <w:rPr>
          <w:rStyle w:val="177"/>
          <w:rFonts w:ascii="Times New Roman" w:hAnsi="Times New Roman"/>
          <w:b w:val="0"/>
          <w:i w:val="0"/>
        </w:rPr>
        <w:t>七、</w:t>
      </w:r>
      <w:r>
        <w:rPr>
          <w:rFonts w:ascii="Times New Roman" w:hAnsi="Times New Roman"/>
          <w:b w:val="0"/>
          <w:i w:val="0"/>
        </w:rPr>
        <w:t>一</w:t>
      </w:r>
      <w:r>
        <w:rPr>
          <w:rStyle w:val="177"/>
          <w:rFonts w:ascii="Times New Roman" w:hAnsi="Times New Roman"/>
          <w:b w:val="0"/>
          <w:i w:val="0"/>
        </w:rPr>
        <w:t>般公共预算财政拨款支出决算明细表</w:t>
      </w:r>
      <w:bookmarkEnd w:id="95"/>
    </w:p>
    <w:p w14:paraId="00579318">
      <w:pPr>
        <w:pStyle w:val="178"/>
        <w:spacing w:before="0" w:after="0" w:line="560" w:lineRule="exact"/>
        <w:rPr>
          <w:rFonts w:ascii="Times New Roman" w:hAnsi="Times New Roman"/>
          <w:b w:val="0"/>
          <w:i w:val="0"/>
        </w:rPr>
      </w:pPr>
      <w:bookmarkStart w:id="96" w:name="_Toc30350"/>
      <w:r>
        <w:rPr>
          <w:rStyle w:val="177"/>
          <w:rFonts w:ascii="Times New Roman" w:hAnsi="Times New Roman"/>
          <w:b w:val="0"/>
          <w:i w:val="0"/>
        </w:rPr>
        <w:t>八、</w:t>
      </w:r>
      <w:r>
        <w:rPr>
          <w:rFonts w:ascii="Times New Roman" w:hAnsi="Times New Roman"/>
          <w:b w:val="0"/>
          <w:i w:val="0"/>
        </w:rPr>
        <w:t>一</w:t>
      </w:r>
      <w:r>
        <w:rPr>
          <w:rStyle w:val="177"/>
          <w:rFonts w:ascii="Times New Roman" w:hAnsi="Times New Roman"/>
          <w:b w:val="0"/>
          <w:i w:val="0"/>
        </w:rPr>
        <w:t>般公共预算财政拨款基本支出决算表</w:t>
      </w:r>
      <w:bookmarkEnd w:id="96"/>
    </w:p>
    <w:p w14:paraId="454F0FD2">
      <w:pPr>
        <w:pStyle w:val="178"/>
        <w:spacing w:before="0" w:after="0" w:line="560" w:lineRule="exact"/>
        <w:rPr>
          <w:rFonts w:ascii="Times New Roman" w:hAnsi="Times New Roman"/>
          <w:b w:val="0"/>
          <w:i w:val="0"/>
        </w:rPr>
      </w:pPr>
      <w:bookmarkStart w:id="97" w:name="_Toc29843"/>
      <w:r>
        <w:rPr>
          <w:rStyle w:val="177"/>
          <w:rFonts w:ascii="Times New Roman" w:hAnsi="Times New Roman"/>
          <w:b w:val="0"/>
          <w:i w:val="0"/>
        </w:rPr>
        <w:t>九、</w:t>
      </w:r>
      <w:r>
        <w:rPr>
          <w:rFonts w:ascii="Times New Roman" w:hAnsi="Times New Roman"/>
          <w:b w:val="0"/>
          <w:i w:val="0"/>
        </w:rPr>
        <w:t>一</w:t>
      </w:r>
      <w:r>
        <w:rPr>
          <w:rStyle w:val="177"/>
          <w:rFonts w:ascii="Times New Roman" w:hAnsi="Times New Roman"/>
          <w:b w:val="0"/>
          <w:i w:val="0"/>
        </w:rPr>
        <w:t>般公共预算财政拨款项目支出决算表</w:t>
      </w:r>
      <w:bookmarkEnd w:id="97"/>
    </w:p>
    <w:p w14:paraId="6CD8DEBA">
      <w:pPr>
        <w:pStyle w:val="178"/>
        <w:spacing w:before="0" w:after="0" w:line="560" w:lineRule="exact"/>
        <w:rPr>
          <w:rFonts w:ascii="Times New Roman" w:hAnsi="Times New Roman"/>
          <w:b w:val="0"/>
          <w:i w:val="0"/>
        </w:rPr>
      </w:pPr>
      <w:bookmarkStart w:id="98" w:name="_Toc17657"/>
      <w:r>
        <w:rPr>
          <w:rStyle w:val="177"/>
          <w:rFonts w:ascii="Times New Roman" w:hAnsi="Times New Roman"/>
          <w:b w:val="0"/>
          <w:i w:val="0"/>
        </w:rPr>
        <w:t>十、</w:t>
      </w:r>
      <w:r>
        <w:rPr>
          <w:rFonts w:ascii="Times New Roman" w:hAnsi="Times New Roman"/>
          <w:b w:val="0"/>
          <w:i w:val="0"/>
        </w:rPr>
        <w:t>政</w:t>
      </w:r>
      <w:r>
        <w:rPr>
          <w:rStyle w:val="177"/>
          <w:rFonts w:ascii="Times New Roman" w:hAnsi="Times New Roman"/>
          <w:b w:val="0"/>
          <w:i w:val="0"/>
        </w:rPr>
        <w:t>府性基金预算财政拨款收入支出决算表</w:t>
      </w:r>
      <w:bookmarkEnd w:id="98"/>
    </w:p>
    <w:p w14:paraId="43C9B325">
      <w:pPr>
        <w:pStyle w:val="178"/>
        <w:spacing w:before="0" w:after="0" w:line="560" w:lineRule="exact"/>
        <w:rPr>
          <w:rFonts w:ascii="Times New Roman" w:hAnsi="Times New Roman"/>
          <w:b w:val="0"/>
          <w:i w:val="0"/>
        </w:rPr>
      </w:pPr>
      <w:bookmarkStart w:id="99" w:name="_Toc11540"/>
      <w:r>
        <w:rPr>
          <w:rStyle w:val="177"/>
          <w:rFonts w:ascii="Times New Roman" w:hAnsi="Times New Roman"/>
          <w:b w:val="0"/>
          <w:i w:val="0"/>
        </w:rPr>
        <w:t>十一、</w:t>
      </w:r>
      <w:r>
        <w:rPr>
          <w:rFonts w:ascii="Times New Roman" w:hAnsi="Times New Roman"/>
          <w:b w:val="0"/>
          <w:i w:val="0"/>
        </w:rPr>
        <w:t>国</w:t>
      </w:r>
      <w:r>
        <w:rPr>
          <w:rStyle w:val="177"/>
          <w:rFonts w:ascii="Times New Roman" w:hAnsi="Times New Roman"/>
          <w:b w:val="0"/>
          <w:i w:val="0"/>
        </w:rPr>
        <w:t>有资本经营预算财政拨款收入支出决算表</w:t>
      </w:r>
      <w:bookmarkEnd w:id="99"/>
    </w:p>
    <w:p w14:paraId="41311E34">
      <w:pPr>
        <w:pStyle w:val="178"/>
        <w:spacing w:before="0" w:after="0" w:line="560" w:lineRule="exact"/>
        <w:rPr>
          <w:rFonts w:ascii="Times New Roman" w:hAnsi="Times New Roman"/>
          <w:b w:val="0"/>
          <w:i w:val="0"/>
        </w:rPr>
      </w:pPr>
      <w:bookmarkStart w:id="100" w:name="_Toc32462"/>
      <w:r>
        <w:rPr>
          <w:rStyle w:val="177"/>
          <w:rFonts w:ascii="Times New Roman" w:hAnsi="Times New Roman"/>
          <w:b w:val="0"/>
          <w:i w:val="0"/>
        </w:rPr>
        <w:t>十二、国有资本经营预算财政拨款支出决算表</w:t>
      </w:r>
      <w:bookmarkEnd w:id="100"/>
    </w:p>
    <w:p w14:paraId="1EB6BD00">
      <w:pPr>
        <w:pStyle w:val="178"/>
        <w:spacing w:before="0" w:after="0" w:line="560" w:lineRule="exact"/>
        <w:rPr>
          <w:rFonts w:ascii="Times New Roman" w:hAnsi="Times New Roman"/>
          <w:b w:val="0"/>
          <w:i w:val="0"/>
        </w:rPr>
      </w:pPr>
      <w:bookmarkStart w:id="101" w:name="_Toc27058"/>
      <w:r>
        <w:rPr>
          <w:rStyle w:val="177"/>
          <w:rFonts w:ascii="Times New Roman" w:hAnsi="Times New Roman"/>
          <w:b w:val="0"/>
          <w:i w:val="0"/>
        </w:rPr>
        <w:t>十三、财政拨款“三公”经费支出决算表</w:t>
      </w:r>
      <w:bookmarkEnd w:id="101"/>
    </w:p>
    <w:p w14:paraId="568D2092">
      <w:pPr>
        <w:spacing w:line="540" w:lineRule="exact"/>
      </w:pPr>
    </w:p>
    <w:p w14:paraId="29130331">
      <w:pPr>
        <w:tabs>
          <w:tab w:val="left" w:pos="970"/>
        </w:tabs>
        <w:spacing w:line="20" w:lineRule="exact"/>
        <w:jc w:val="left"/>
      </w:pPr>
      <w:r>
        <w:tab/>
      </w:r>
    </w:p>
    <w:p w14:paraId="1297CF0F">
      <w:pPr>
        <w:spacing w:line="20" w:lineRule="exact"/>
        <w:jc w:val="left"/>
      </w:pPr>
    </w:p>
    <w:sectPr>
      <w:pgSz w:w="11905" w:h="16838"/>
      <w:pgMar w:top="2098" w:right="1474" w:bottom="1984" w:left="1587" w:header="851" w:footer="1587"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1CDC">
    <w:pPr>
      <w:pStyle w:val="15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0196">
    <w:pPr>
      <w:pStyle w:val="15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57B6">
    <w:pPr>
      <w:pStyle w:val="25"/>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AE8E7">
                          <w:pPr>
                            <w:pStyle w:val="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6AE8E7">
                    <w:pPr>
                      <w:pStyle w:val="2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E51C">
    <w:pPr>
      <w:pStyle w:val="8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136"/>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EF72B36D"/>
    <w:multiLevelType w:val="singleLevel"/>
    <w:tmpl w:val="EF72B36D"/>
    <w:lvl w:ilvl="0" w:tentative="0">
      <w:start w:val="1"/>
      <w:numFmt w:val="decimal"/>
      <w:pStyle w:val="15"/>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1E"/>
    <w:rsid w:val="000D7F6F"/>
    <w:rsid w:val="00134255"/>
    <w:rsid w:val="0014637F"/>
    <w:rsid w:val="0016243D"/>
    <w:rsid w:val="0018276F"/>
    <w:rsid w:val="001B1203"/>
    <w:rsid w:val="002F2EA5"/>
    <w:rsid w:val="003228AA"/>
    <w:rsid w:val="003838F3"/>
    <w:rsid w:val="003E3737"/>
    <w:rsid w:val="0042176F"/>
    <w:rsid w:val="004562FB"/>
    <w:rsid w:val="004A5490"/>
    <w:rsid w:val="004B02A9"/>
    <w:rsid w:val="004B3696"/>
    <w:rsid w:val="004E2F3D"/>
    <w:rsid w:val="005C2AF6"/>
    <w:rsid w:val="006C5AE1"/>
    <w:rsid w:val="00813CD9"/>
    <w:rsid w:val="008478C3"/>
    <w:rsid w:val="00894106"/>
    <w:rsid w:val="00946699"/>
    <w:rsid w:val="0095051C"/>
    <w:rsid w:val="009E2A1E"/>
    <w:rsid w:val="00AD26F5"/>
    <w:rsid w:val="00C2519A"/>
    <w:rsid w:val="00C2793E"/>
    <w:rsid w:val="00C5466D"/>
    <w:rsid w:val="00CC6E00"/>
    <w:rsid w:val="00D836FC"/>
    <w:rsid w:val="00D876BD"/>
    <w:rsid w:val="00EA7C6B"/>
    <w:rsid w:val="00F26249"/>
    <w:rsid w:val="00F57C79"/>
    <w:rsid w:val="00F65BD4"/>
    <w:rsid w:val="00F927CC"/>
    <w:rsid w:val="00FE1C58"/>
    <w:rsid w:val="00FF0D88"/>
    <w:rsid w:val="088E2D2E"/>
    <w:rsid w:val="08C33516"/>
    <w:rsid w:val="0AB6161A"/>
    <w:rsid w:val="0BC84275"/>
    <w:rsid w:val="0C0132E0"/>
    <w:rsid w:val="0D8D656E"/>
    <w:rsid w:val="0E7B2B5B"/>
    <w:rsid w:val="11B2317E"/>
    <w:rsid w:val="120B6FE3"/>
    <w:rsid w:val="12DA17FA"/>
    <w:rsid w:val="176533C3"/>
    <w:rsid w:val="17D10D76"/>
    <w:rsid w:val="1B4E5A15"/>
    <w:rsid w:val="23053632"/>
    <w:rsid w:val="25732771"/>
    <w:rsid w:val="257C4A29"/>
    <w:rsid w:val="29D07A70"/>
    <w:rsid w:val="2E4A25AD"/>
    <w:rsid w:val="39C91FCB"/>
    <w:rsid w:val="39F5594F"/>
    <w:rsid w:val="3D7233A7"/>
    <w:rsid w:val="422F00CF"/>
    <w:rsid w:val="43C0771A"/>
    <w:rsid w:val="44A14EB9"/>
    <w:rsid w:val="4660751E"/>
    <w:rsid w:val="4B4A325D"/>
    <w:rsid w:val="4F417250"/>
    <w:rsid w:val="516F043E"/>
    <w:rsid w:val="56C17EFE"/>
    <w:rsid w:val="56ED4B3E"/>
    <w:rsid w:val="58A0182C"/>
    <w:rsid w:val="58C556D2"/>
    <w:rsid w:val="5D575A2B"/>
    <w:rsid w:val="5D705170"/>
    <w:rsid w:val="5DF43E91"/>
    <w:rsid w:val="5EFA6CED"/>
    <w:rsid w:val="618468B6"/>
    <w:rsid w:val="640046FE"/>
    <w:rsid w:val="71E96681"/>
    <w:rsid w:val="722F7703"/>
    <w:rsid w:val="7C8B2184"/>
    <w:rsid w:val="7F7566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Calibri" w:hAnsi="Calibri" w:eastAsia="仿宋_GB2312" w:cs="Times New Roman"/>
      <w:kern w:val="2"/>
      <w:sz w:val="32"/>
      <w:szCs w:val="24"/>
      <w:lang w:val="en-US" w:eastAsia="zh-CN" w:bidi="ar-SA"/>
    </w:rPr>
  </w:style>
  <w:style w:type="paragraph" w:styleId="5">
    <w:name w:val="heading 1"/>
    <w:basedOn w:val="1"/>
    <w:next w:val="1"/>
    <w:link w:val="51"/>
    <w:qFormat/>
    <w:uiPriority w:val="9"/>
    <w:pPr>
      <w:keepNext/>
      <w:keepLines/>
      <w:spacing w:before="480" w:after="200"/>
      <w:outlineLvl w:val="0"/>
    </w:pPr>
    <w:rPr>
      <w:rFonts w:ascii="等线" w:hAnsi="等线" w:eastAsia="等线" w:cs="等线"/>
      <w:sz w:val="40"/>
      <w:szCs w:val="40"/>
    </w:rPr>
  </w:style>
  <w:style w:type="paragraph" w:styleId="6">
    <w:name w:val="heading 2"/>
    <w:basedOn w:val="1"/>
    <w:next w:val="1"/>
    <w:link w:val="182"/>
    <w:unhideWhenUsed/>
    <w:qFormat/>
    <w:uiPriority w:val="9"/>
    <w:pPr>
      <w:keepNext/>
      <w:keepLines/>
      <w:spacing w:before="360" w:after="200"/>
      <w:outlineLvl w:val="1"/>
    </w:pPr>
    <w:rPr>
      <w:rFonts w:ascii="等线" w:hAnsi="等线" w:eastAsia="等线" w:cs="等线"/>
      <w:sz w:val="34"/>
    </w:rPr>
  </w:style>
  <w:style w:type="paragraph" w:styleId="7">
    <w:name w:val="heading 3"/>
    <w:basedOn w:val="1"/>
    <w:next w:val="1"/>
    <w:link w:val="138"/>
    <w:unhideWhenUsed/>
    <w:qFormat/>
    <w:uiPriority w:val="9"/>
    <w:pPr>
      <w:keepNext/>
      <w:keepLines/>
      <w:spacing w:before="320" w:after="200"/>
      <w:outlineLvl w:val="2"/>
    </w:pPr>
    <w:rPr>
      <w:rFonts w:ascii="等线" w:hAnsi="等线" w:eastAsia="等线" w:cs="等线"/>
      <w:sz w:val="30"/>
      <w:szCs w:val="30"/>
    </w:rPr>
  </w:style>
  <w:style w:type="paragraph" w:styleId="8">
    <w:name w:val="heading 4"/>
    <w:basedOn w:val="1"/>
    <w:next w:val="1"/>
    <w:link w:val="52"/>
    <w:unhideWhenUsed/>
    <w:qFormat/>
    <w:uiPriority w:val="9"/>
    <w:pPr>
      <w:keepNext/>
      <w:keepLines/>
      <w:spacing w:before="320" w:after="200"/>
      <w:outlineLvl w:val="3"/>
    </w:pPr>
    <w:rPr>
      <w:rFonts w:ascii="等线" w:hAnsi="等线" w:eastAsia="等线" w:cs="等线"/>
      <w:b/>
      <w:bCs/>
      <w:sz w:val="26"/>
      <w:szCs w:val="26"/>
    </w:rPr>
  </w:style>
  <w:style w:type="paragraph" w:styleId="9">
    <w:name w:val="heading 5"/>
    <w:basedOn w:val="1"/>
    <w:next w:val="1"/>
    <w:link w:val="98"/>
    <w:unhideWhenUsed/>
    <w:qFormat/>
    <w:uiPriority w:val="9"/>
    <w:pPr>
      <w:keepNext/>
      <w:keepLines/>
      <w:spacing w:before="320" w:after="200"/>
      <w:outlineLvl w:val="4"/>
    </w:pPr>
    <w:rPr>
      <w:rFonts w:ascii="等线" w:hAnsi="等线" w:eastAsia="等线" w:cs="等线"/>
      <w:b/>
      <w:bCs/>
      <w:sz w:val="24"/>
    </w:rPr>
  </w:style>
  <w:style w:type="paragraph" w:styleId="10">
    <w:name w:val="heading 6"/>
    <w:basedOn w:val="1"/>
    <w:next w:val="1"/>
    <w:link w:val="176"/>
    <w:unhideWhenUsed/>
    <w:qFormat/>
    <w:uiPriority w:val="9"/>
    <w:pPr>
      <w:keepNext/>
      <w:keepLines/>
      <w:spacing w:before="320" w:after="200"/>
      <w:outlineLvl w:val="5"/>
    </w:pPr>
    <w:rPr>
      <w:rFonts w:ascii="等线" w:hAnsi="等线" w:eastAsia="等线" w:cs="等线"/>
      <w:b/>
      <w:bCs/>
      <w:sz w:val="22"/>
      <w:szCs w:val="22"/>
    </w:rPr>
  </w:style>
  <w:style w:type="paragraph" w:styleId="11">
    <w:name w:val="heading 7"/>
    <w:basedOn w:val="1"/>
    <w:next w:val="1"/>
    <w:link w:val="205"/>
    <w:unhideWhenUsed/>
    <w:qFormat/>
    <w:uiPriority w:val="9"/>
    <w:pPr>
      <w:keepNext/>
      <w:keepLines/>
      <w:spacing w:before="320" w:after="200"/>
      <w:outlineLvl w:val="6"/>
    </w:pPr>
    <w:rPr>
      <w:rFonts w:ascii="等线" w:hAnsi="等线" w:eastAsia="等线" w:cs="等线"/>
      <w:b/>
      <w:bCs/>
      <w:i/>
      <w:iCs/>
      <w:sz w:val="22"/>
      <w:szCs w:val="22"/>
    </w:rPr>
  </w:style>
  <w:style w:type="paragraph" w:styleId="12">
    <w:name w:val="heading 8"/>
    <w:basedOn w:val="1"/>
    <w:next w:val="1"/>
    <w:link w:val="167"/>
    <w:unhideWhenUsed/>
    <w:qFormat/>
    <w:uiPriority w:val="9"/>
    <w:pPr>
      <w:keepNext/>
      <w:keepLines/>
      <w:spacing w:before="320" w:after="200"/>
      <w:outlineLvl w:val="7"/>
    </w:pPr>
    <w:rPr>
      <w:rFonts w:ascii="等线" w:hAnsi="等线" w:eastAsia="等线" w:cs="等线"/>
      <w:i/>
      <w:iCs/>
      <w:sz w:val="22"/>
      <w:szCs w:val="22"/>
    </w:rPr>
  </w:style>
  <w:style w:type="paragraph" w:styleId="13">
    <w:name w:val="heading 9"/>
    <w:basedOn w:val="1"/>
    <w:next w:val="1"/>
    <w:link w:val="92"/>
    <w:unhideWhenUsed/>
    <w:qFormat/>
    <w:uiPriority w:val="9"/>
    <w:pPr>
      <w:keepNext/>
      <w:keepLines/>
      <w:spacing w:before="320" w:after="200"/>
      <w:outlineLvl w:val="8"/>
    </w:pPr>
    <w:rPr>
      <w:rFonts w:ascii="等线" w:hAnsi="等线" w:eastAsia="等线" w:cs="等线"/>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77"/>
    <w:unhideWhenUsed/>
    <w:qFormat/>
    <w:uiPriority w:val="0"/>
    <w:pPr>
      <w:spacing w:after="40"/>
    </w:pPr>
    <w:rPr>
      <w:sz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14">
    <w:name w:val="toc 7"/>
    <w:basedOn w:val="1"/>
    <w:next w:val="1"/>
    <w:unhideWhenUsed/>
    <w:qFormat/>
    <w:uiPriority w:val="39"/>
    <w:pPr>
      <w:spacing w:after="57"/>
      <w:ind w:left="1701"/>
    </w:pPr>
  </w:style>
  <w:style w:type="paragraph" w:styleId="15">
    <w:name w:val="List Number"/>
    <w:basedOn w:val="1"/>
    <w:semiHidden/>
    <w:unhideWhenUsed/>
    <w:qFormat/>
    <w:uiPriority w:val="99"/>
    <w:pPr>
      <w:numPr>
        <w:ilvl w:val="0"/>
        <w:numId w:val="1"/>
      </w:numPr>
    </w:pPr>
  </w:style>
  <w:style w:type="paragraph" w:styleId="16">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7">
    <w:name w:val="annotation text"/>
    <w:basedOn w:val="1"/>
    <w:qFormat/>
    <w:uiPriority w:val="0"/>
    <w:pPr>
      <w:jc w:val="left"/>
    </w:pPr>
  </w:style>
  <w:style w:type="paragraph" w:styleId="18">
    <w:name w:val="Body Text"/>
    <w:basedOn w:val="1"/>
    <w:link w:val="131"/>
    <w:unhideWhenUsed/>
    <w:qFormat/>
    <w:uiPriority w:val="99"/>
    <w:pPr>
      <w:spacing w:after="120"/>
    </w:pPr>
  </w:style>
  <w:style w:type="paragraph" w:styleId="19">
    <w:name w:val="toc 5"/>
    <w:basedOn w:val="1"/>
    <w:next w:val="1"/>
    <w:unhideWhenUsed/>
    <w:qFormat/>
    <w:uiPriority w:val="39"/>
    <w:pPr>
      <w:spacing w:after="57"/>
      <w:ind w:left="1134"/>
    </w:pPr>
  </w:style>
  <w:style w:type="paragraph" w:styleId="20">
    <w:name w:val="toc 3"/>
    <w:basedOn w:val="1"/>
    <w:next w:val="1"/>
    <w:unhideWhenUsed/>
    <w:qFormat/>
    <w:uiPriority w:val="39"/>
    <w:pPr>
      <w:spacing w:after="57"/>
      <w:ind w:left="567"/>
    </w:pPr>
  </w:style>
  <w:style w:type="paragraph" w:styleId="21">
    <w:name w:val="Plain Text"/>
    <w:basedOn w:val="1"/>
    <w:next w:val="19"/>
    <w:link w:val="196"/>
    <w:qFormat/>
    <w:uiPriority w:val="99"/>
    <w:rPr>
      <w:rFonts w:ascii="宋体" w:hAnsi="Courier New"/>
      <w:sz w:val="20"/>
      <w:szCs w:val="21"/>
    </w:rPr>
  </w:style>
  <w:style w:type="paragraph" w:styleId="22">
    <w:name w:val="toc 8"/>
    <w:basedOn w:val="1"/>
    <w:next w:val="1"/>
    <w:unhideWhenUsed/>
    <w:qFormat/>
    <w:uiPriority w:val="39"/>
    <w:pPr>
      <w:spacing w:after="57"/>
      <w:ind w:left="1984"/>
    </w:pPr>
  </w:style>
  <w:style w:type="paragraph" w:styleId="23">
    <w:name w:val="endnote text"/>
    <w:basedOn w:val="1"/>
    <w:link w:val="193"/>
    <w:semiHidden/>
    <w:unhideWhenUsed/>
    <w:qFormat/>
    <w:uiPriority w:val="99"/>
    <w:rPr>
      <w:sz w:val="20"/>
    </w:rPr>
  </w:style>
  <w:style w:type="paragraph" w:styleId="24">
    <w:name w:val="Balloon Text"/>
    <w:basedOn w:val="1"/>
    <w:link w:val="146"/>
    <w:semiHidden/>
    <w:unhideWhenUsed/>
    <w:qFormat/>
    <w:uiPriority w:val="99"/>
    <w:rPr>
      <w:sz w:val="18"/>
      <w:szCs w:val="18"/>
    </w:rPr>
  </w:style>
  <w:style w:type="paragraph" w:styleId="25">
    <w:name w:val="footer"/>
    <w:basedOn w:val="1"/>
    <w:next w:val="1"/>
    <w:link w:val="74"/>
    <w:unhideWhenUsed/>
    <w:qFormat/>
    <w:uiPriority w:val="99"/>
    <w:pPr>
      <w:tabs>
        <w:tab w:val="center" w:pos="7143"/>
        <w:tab w:val="right" w:pos="14287"/>
      </w:tabs>
    </w:pPr>
  </w:style>
  <w:style w:type="paragraph" w:styleId="26">
    <w:name w:val="header"/>
    <w:basedOn w:val="1"/>
    <w:link w:val="214"/>
    <w:unhideWhenUsed/>
    <w:qFormat/>
    <w:uiPriority w:val="99"/>
    <w:pPr>
      <w:tabs>
        <w:tab w:val="center" w:pos="7143"/>
        <w:tab w:val="right" w:pos="14287"/>
      </w:tabs>
    </w:pPr>
  </w:style>
  <w:style w:type="paragraph" w:styleId="27">
    <w:name w:val="toc 1"/>
    <w:basedOn w:val="1"/>
    <w:next w:val="1"/>
    <w:unhideWhenUsed/>
    <w:qFormat/>
    <w:uiPriority w:val="39"/>
    <w:pPr>
      <w:spacing w:after="57"/>
    </w:pPr>
  </w:style>
  <w:style w:type="paragraph" w:styleId="28">
    <w:name w:val="toc 4"/>
    <w:basedOn w:val="1"/>
    <w:next w:val="1"/>
    <w:unhideWhenUsed/>
    <w:qFormat/>
    <w:uiPriority w:val="39"/>
    <w:pPr>
      <w:spacing w:after="57"/>
      <w:ind w:left="850"/>
    </w:pPr>
  </w:style>
  <w:style w:type="paragraph" w:styleId="29">
    <w:name w:val="Subtitle"/>
    <w:basedOn w:val="1"/>
    <w:next w:val="1"/>
    <w:link w:val="183"/>
    <w:qFormat/>
    <w:uiPriority w:val="11"/>
    <w:pPr>
      <w:spacing w:before="200" w:after="200"/>
    </w:pPr>
    <w:rPr>
      <w:sz w:val="24"/>
    </w:rPr>
  </w:style>
  <w:style w:type="paragraph" w:styleId="30">
    <w:name w:val="toc 6"/>
    <w:basedOn w:val="1"/>
    <w:next w:val="1"/>
    <w:unhideWhenUsed/>
    <w:qFormat/>
    <w:uiPriority w:val="39"/>
    <w:pPr>
      <w:spacing w:after="57"/>
      <w:ind w:left="1417"/>
    </w:pPr>
  </w:style>
  <w:style w:type="paragraph" w:styleId="31">
    <w:name w:val="table of figures"/>
    <w:basedOn w:val="1"/>
    <w:next w:val="1"/>
    <w:unhideWhenUsed/>
    <w:qFormat/>
    <w:uiPriority w:val="99"/>
  </w:style>
  <w:style w:type="paragraph" w:styleId="32">
    <w:name w:val="toc 2"/>
    <w:basedOn w:val="1"/>
    <w:next w:val="1"/>
    <w:unhideWhenUsed/>
    <w:qFormat/>
    <w:uiPriority w:val="39"/>
    <w:pPr>
      <w:spacing w:after="57"/>
      <w:ind w:left="283"/>
    </w:pPr>
  </w:style>
  <w:style w:type="paragraph" w:styleId="33">
    <w:name w:val="toc 9"/>
    <w:basedOn w:val="1"/>
    <w:next w:val="1"/>
    <w:unhideWhenUsed/>
    <w:qFormat/>
    <w:uiPriority w:val="39"/>
    <w:pPr>
      <w:spacing w:after="57"/>
      <w:ind w:left="2268"/>
    </w:pPr>
  </w:style>
  <w:style w:type="paragraph" w:styleId="34">
    <w:name w:val="Title"/>
    <w:basedOn w:val="1"/>
    <w:next w:val="1"/>
    <w:link w:val="201"/>
    <w:qFormat/>
    <w:uiPriority w:val="10"/>
    <w:pPr>
      <w:spacing w:before="300" w:after="200"/>
      <w:contextualSpacing/>
    </w:pPr>
    <w:rPr>
      <w:sz w:val="48"/>
      <w:szCs w:val="48"/>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0"/>
    <w:rPr>
      <w:b/>
      <w:bCs/>
    </w:rPr>
  </w:style>
  <w:style w:type="character" w:styleId="39">
    <w:name w:val="endnote reference"/>
    <w:semiHidden/>
    <w:unhideWhenUsed/>
    <w:qFormat/>
    <w:uiPriority w:val="99"/>
    <w:rPr>
      <w:vertAlign w:val="superscript"/>
    </w:rPr>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footnote reference"/>
    <w:unhideWhenUsed/>
    <w:qFormat/>
    <w:uiPriority w:val="99"/>
    <w:rPr>
      <w:vertAlign w:val="superscript"/>
    </w:rPr>
  </w:style>
  <w:style w:type="table" w:customStyle="1" w:styleId="42">
    <w:name w:val="List Table 1 Light"/>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43">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character" w:customStyle="1" w:styleId="44">
    <w:name w:val="默认段落字体1"/>
    <w:semiHidden/>
    <w:qFormat/>
    <w:uiPriority w:val="0"/>
  </w:style>
  <w:style w:type="paragraph" w:customStyle="1" w:styleId="45">
    <w:name w:val="脚注文本1"/>
    <w:basedOn w:val="1"/>
    <w:next w:val="46"/>
    <w:semiHidden/>
    <w:qFormat/>
    <w:uiPriority w:val="0"/>
    <w:pPr>
      <w:jc w:val="left"/>
    </w:pPr>
    <w:rPr>
      <w:sz w:val="18"/>
      <w:szCs w:val="18"/>
    </w:rPr>
  </w:style>
  <w:style w:type="paragraph" w:customStyle="1" w:styleId="46">
    <w:name w:val="正文首行缩进 21"/>
    <w:basedOn w:val="47"/>
    <w:unhideWhenUsed/>
    <w:qFormat/>
    <w:uiPriority w:val="99"/>
    <w:pPr>
      <w:ind w:firstLine="420"/>
    </w:pPr>
  </w:style>
  <w:style w:type="paragraph" w:customStyle="1" w:styleId="47">
    <w:name w:val="正文文本缩进1"/>
    <w:basedOn w:val="1"/>
    <w:next w:val="46"/>
    <w:qFormat/>
    <w:uiPriority w:val="0"/>
    <w:pPr>
      <w:spacing w:after="120"/>
    </w:pPr>
    <w:rPr>
      <w:rFonts w:ascii="仿宋_GB2312"/>
      <w:szCs w:val="32"/>
    </w:rPr>
  </w:style>
  <w:style w:type="table" w:customStyle="1" w:styleId="48">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4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5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character" w:customStyle="1" w:styleId="51">
    <w:name w:val="标题 1 Char"/>
    <w:link w:val="5"/>
    <w:qFormat/>
    <w:uiPriority w:val="9"/>
    <w:rPr>
      <w:rFonts w:ascii="等线" w:hAnsi="等线" w:eastAsia="等线" w:cs="等线"/>
      <w:sz w:val="40"/>
      <w:szCs w:val="40"/>
    </w:rPr>
  </w:style>
  <w:style w:type="character" w:customStyle="1" w:styleId="52">
    <w:name w:val="标题 4 Char"/>
    <w:link w:val="8"/>
    <w:qFormat/>
    <w:uiPriority w:val="9"/>
    <w:rPr>
      <w:rFonts w:ascii="等线" w:hAnsi="等线" w:eastAsia="等线" w:cs="等线"/>
      <w:b/>
      <w:bCs/>
      <w:sz w:val="26"/>
      <w:szCs w:val="26"/>
    </w:rPr>
  </w:style>
  <w:style w:type="table" w:customStyle="1" w:styleId="53">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54">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55">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paragraph" w:customStyle="1" w:styleId="56">
    <w:name w:val="四号正文"/>
    <w:basedOn w:val="1"/>
    <w:qFormat/>
    <w:uiPriority w:val="0"/>
    <w:pPr>
      <w:spacing w:line="360" w:lineRule="auto"/>
    </w:pPr>
    <w:rPr>
      <w:rFonts w:ascii="??" w:hAnsi="??" w:eastAsia="宋体"/>
      <w:color w:val="000000"/>
      <w:sz w:val="28"/>
      <w:szCs w:val="21"/>
      <w:lang w:val="zh-CN"/>
    </w:rPr>
  </w:style>
  <w:style w:type="table" w:customStyle="1" w:styleId="57">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8">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paragraph" w:customStyle="1" w:styleId="59">
    <w:name w:val="批注主题1"/>
    <w:basedOn w:val="60"/>
    <w:next w:val="60"/>
    <w:link w:val="223"/>
    <w:qFormat/>
    <w:uiPriority w:val="0"/>
    <w:rPr>
      <w:b/>
      <w:bCs/>
    </w:rPr>
  </w:style>
  <w:style w:type="paragraph" w:customStyle="1" w:styleId="60">
    <w:name w:val="批注文字1"/>
    <w:basedOn w:val="1"/>
    <w:link w:val="208"/>
    <w:qFormat/>
    <w:uiPriority w:val="0"/>
    <w:pPr>
      <w:jc w:val="left"/>
    </w:pPr>
  </w:style>
  <w:style w:type="table" w:customStyle="1" w:styleId="61">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62">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63">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paragraph" w:customStyle="1" w:styleId="64">
    <w:name w:val="列表段落"/>
    <w:basedOn w:val="1"/>
    <w:qFormat/>
    <w:uiPriority w:val="34"/>
    <w:pPr>
      <w:ind w:firstLine="420"/>
    </w:pPr>
  </w:style>
  <w:style w:type="table" w:customStyle="1" w:styleId="6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67">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List Table 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69">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70">
    <w:name w:val="普通表格1"/>
    <w:semiHidden/>
    <w:qFormat/>
    <w:uiPriority w:val="0"/>
    <w:tblPr>
      <w:tblCellMar>
        <w:top w:w="0" w:type="dxa"/>
        <w:left w:w="0" w:type="dxa"/>
        <w:bottom w:w="0" w:type="dxa"/>
        <w:right w:w="0" w:type="dxa"/>
      </w:tblCellMar>
    </w:tblPr>
  </w:style>
  <w:style w:type="table" w:customStyle="1" w:styleId="71">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paragraph" w:customStyle="1" w:styleId="72">
    <w:name w:val="TOC 标题1"/>
    <w:unhideWhenUsed/>
    <w:qFormat/>
    <w:uiPriority w:val="39"/>
    <w:pPr>
      <w:autoSpaceDE/>
      <w:autoSpaceDN/>
      <w:snapToGrid/>
    </w:pPr>
    <w:rPr>
      <w:rFonts w:ascii="Calibri" w:hAnsi="Calibri" w:eastAsia="宋体" w:cs="Times New Roman"/>
      <w:kern w:val="2"/>
      <w:sz w:val="21"/>
      <w:szCs w:val="22"/>
      <w:lang w:val="en-US" w:eastAsia="zh-CN" w:bidi="ar-SA"/>
    </w:rPr>
  </w:style>
  <w:style w:type="paragraph" w:customStyle="1" w:styleId="73">
    <w:name w:val="Char Char3 Char Char Char Char Char Char Char Char"/>
    <w:basedOn w:val="1"/>
    <w:next w:val="1"/>
    <w:qFormat/>
    <w:uiPriority w:val="0"/>
    <w:pPr>
      <w:spacing w:line="240" w:lineRule="atLeast"/>
      <w:ind w:left="420" w:firstLine="420"/>
      <w:jc w:val="left"/>
    </w:pPr>
    <w:rPr>
      <w:rFonts w:eastAsia="宋体"/>
      <w:sz w:val="21"/>
      <w:szCs w:val="21"/>
    </w:rPr>
  </w:style>
  <w:style w:type="character" w:customStyle="1" w:styleId="74">
    <w:name w:val="页脚 Char"/>
    <w:link w:val="25"/>
    <w:qFormat/>
    <w:uiPriority w:val="99"/>
  </w:style>
  <w:style w:type="paragraph" w:customStyle="1" w:styleId="75">
    <w:name w:val="Default"/>
    <w:qFormat/>
    <w:uiPriority w:val="0"/>
    <w:pPr>
      <w:widowControl w:val="0"/>
      <w:autoSpaceDE/>
      <w:autoSpaceDN/>
      <w:snapToGrid/>
    </w:pPr>
    <w:rPr>
      <w:rFonts w:ascii="仿宋" w:hAnsi="Calibri" w:eastAsia="仿宋" w:cs="仿宋"/>
      <w:color w:val="000000"/>
      <w:kern w:val="2"/>
      <w:sz w:val="24"/>
      <w:szCs w:val="24"/>
      <w:lang w:val="en-US" w:eastAsia="zh-CN" w:bidi="ar-SA"/>
    </w:rPr>
  </w:style>
  <w:style w:type="paragraph" w:customStyle="1" w:styleId="76">
    <w:name w:val="正文文本1"/>
    <w:basedOn w:val="1"/>
    <w:qFormat/>
    <w:uiPriority w:val="0"/>
    <w:pPr>
      <w:spacing w:before="93"/>
    </w:pPr>
    <w:rPr>
      <w:rFonts w:ascii="仿宋_GB2312"/>
      <w:sz w:val="30"/>
    </w:rPr>
  </w:style>
  <w:style w:type="character" w:customStyle="1" w:styleId="77">
    <w:name w:val="脚注文本 Char"/>
    <w:link w:val="2"/>
    <w:qFormat/>
    <w:uiPriority w:val="99"/>
    <w:rPr>
      <w:sz w:val="18"/>
    </w:rPr>
  </w:style>
  <w:style w:type="character" w:customStyle="1" w:styleId="78">
    <w:name w:val="font21"/>
    <w:basedOn w:val="37"/>
    <w:qFormat/>
    <w:uiPriority w:val="0"/>
    <w:rPr>
      <w:rFonts w:hint="eastAsia" w:ascii="宋体" w:hAnsi="宋体" w:eastAsia="宋体" w:cs="宋体"/>
      <w:color w:val="FF0000"/>
      <w:sz w:val="22"/>
      <w:szCs w:val="22"/>
      <w:u w:val="none"/>
    </w:rPr>
  </w:style>
  <w:style w:type="table" w:customStyle="1" w:styleId="79">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80">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paragraph" w:customStyle="1" w:styleId="81">
    <w:name w:val="目录 21"/>
    <w:basedOn w:val="1"/>
    <w:next w:val="1"/>
    <w:unhideWhenUsed/>
    <w:qFormat/>
    <w:uiPriority w:val="39"/>
    <w:pPr>
      <w:tabs>
        <w:tab w:val="right" w:leader="dot" w:pos="8296"/>
      </w:tabs>
      <w:ind w:left="420"/>
    </w:pPr>
  </w:style>
  <w:style w:type="table" w:customStyle="1" w:styleId="82">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paragraph" w:customStyle="1" w:styleId="83">
    <w:name w:val="页眉1"/>
    <w:basedOn w:val="1"/>
    <w:qFormat/>
    <w:uiPriority w:val="0"/>
    <w:pPr>
      <w:pBdr>
        <w:bottom w:val="single" w:color="000000" w:sz="6" w:space="1"/>
      </w:pBdr>
      <w:tabs>
        <w:tab w:val="center" w:pos="4153"/>
        <w:tab w:val="right" w:pos="8306"/>
      </w:tabs>
      <w:jc w:val="center"/>
    </w:pPr>
    <w:rPr>
      <w:sz w:val="18"/>
      <w:szCs w:val="18"/>
    </w:rPr>
  </w:style>
  <w:style w:type="table" w:customStyle="1" w:styleId="8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character" w:customStyle="1" w:styleId="86">
    <w:name w:val="明显引用 Char"/>
    <w:link w:val="87"/>
    <w:qFormat/>
    <w:uiPriority w:val="30"/>
    <w:rPr>
      <w:i/>
    </w:rPr>
  </w:style>
  <w:style w:type="paragraph" w:styleId="87">
    <w:name w:val="Intense Quote"/>
    <w:basedOn w:val="1"/>
    <w:next w:val="1"/>
    <w:link w:val="8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table" w:customStyle="1" w:styleId="88">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paragraph" w:customStyle="1" w:styleId="89">
    <w:name w:val="Table Text"/>
    <w:basedOn w:val="1"/>
    <w:semiHidden/>
    <w:qFormat/>
    <w:uiPriority w:val="0"/>
    <w:rPr>
      <w:rFonts w:ascii="宋体" w:hAnsi="宋体" w:eastAsia="宋体" w:cs="宋体"/>
      <w:kern w:val="2"/>
      <w:sz w:val="19"/>
      <w:szCs w:val="19"/>
      <w:lang w:eastAsia="en-US"/>
    </w:rPr>
  </w:style>
  <w:style w:type="table" w:customStyle="1" w:styleId="90">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91">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character" w:customStyle="1" w:styleId="92">
    <w:name w:val="标题 9 Char"/>
    <w:link w:val="13"/>
    <w:qFormat/>
    <w:uiPriority w:val="9"/>
    <w:rPr>
      <w:rFonts w:ascii="等线" w:hAnsi="等线" w:eastAsia="等线" w:cs="等线"/>
      <w:i/>
      <w:iCs/>
      <w:sz w:val="21"/>
      <w:szCs w:val="21"/>
    </w:rPr>
  </w:style>
  <w:style w:type="table" w:customStyle="1" w:styleId="93">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94">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95">
    <w:name w:val="Plain Table 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96">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97">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character" w:customStyle="1" w:styleId="98">
    <w:name w:val="标题 5 Char"/>
    <w:link w:val="9"/>
    <w:qFormat/>
    <w:uiPriority w:val="9"/>
    <w:rPr>
      <w:rFonts w:ascii="等线" w:hAnsi="等线" w:eastAsia="等线" w:cs="等线"/>
      <w:b/>
      <w:bCs/>
      <w:sz w:val="24"/>
      <w:szCs w:val="24"/>
    </w:rPr>
  </w:style>
  <w:style w:type="table" w:customStyle="1" w:styleId="99">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0">
    <w:name w:val="List Table 5 Dark"/>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1">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02">
    <w:name w:val="Plain Table 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3">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04">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06">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07">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0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character" w:customStyle="1" w:styleId="110">
    <w:name w:val="Footer Char"/>
    <w:qFormat/>
    <w:uiPriority w:val="99"/>
  </w:style>
  <w:style w:type="table" w:customStyle="1" w:styleId="111">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12">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3">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15">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6">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paragraph" w:customStyle="1" w:styleId="117">
    <w:name w:val="标题 11"/>
    <w:basedOn w:val="1"/>
    <w:next w:val="1"/>
    <w:link w:val="145"/>
    <w:qFormat/>
    <w:uiPriority w:val="0"/>
    <w:pPr>
      <w:keepNext/>
      <w:keepLines/>
      <w:spacing w:before="340" w:after="330" w:line="578" w:lineRule="auto"/>
      <w:outlineLvl w:val="0"/>
    </w:pPr>
    <w:rPr>
      <w:b/>
      <w:bCs/>
      <w:sz w:val="44"/>
      <w:szCs w:val="44"/>
    </w:rPr>
  </w:style>
  <w:style w:type="table" w:customStyle="1" w:styleId="118">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character" w:customStyle="1" w:styleId="119">
    <w:name w:val="要点1"/>
    <w:qFormat/>
    <w:uiPriority w:val="0"/>
    <w:rPr>
      <w:b/>
      <w:bCs/>
    </w:rPr>
  </w:style>
  <w:style w:type="table" w:customStyle="1" w:styleId="120">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paragraph" w:customStyle="1" w:styleId="121">
    <w:name w:val="节标题"/>
    <w:basedOn w:val="1"/>
    <w:next w:val="1"/>
    <w:qFormat/>
    <w:uiPriority w:val="0"/>
    <w:pPr>
      <w:widowControl/>
      <w:spacing w:line="289" w:lineRule="atLeast"/>
      <w:jc w:val="center"/>
    </w:pPr>
    <w:rPr>
      <w:color w:val="000000"/>
      <w:sz w:val="28"/>
      <w:szCs w:val="28"/>
    </w:rPr>
  </w:style>
  <w:style w:type="table" w:customStyle="1" w:styleId="122">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paragraph" w:customStyle="1" w:styleId="123">
    <w:name w:val="修订1"/>
    <w:unhideWhenUsed/>
    <w:qFormat/>
    <w:uiPriority w:val="99"/>
    <w:pPr>
      <w:autoSpaceDE/>
      <w:autoSpaceDN/>
      <w:snapToGrid/>
    </w:pPr>
    <w:rPr>
      <w:rFonts w:ascii="Calibri" w:hAnsi="Calibri" w:eastAsia="仿宋_GB2312" w:cs="Times New Roman"/>
      <w:kern w:val="2"/>
      <w:sz w:val="32"/>
      <w:szCs w:val="24"/>
      <w:lang w:val="en-US" w:eastAsia="zh-CN" w:bidi="ar-SA"/>
    </w:rPr>
  </w:style>
  <w:style w:type="table" w:customStyle="1" w:styleId="12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5">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paragraph" w:styleId="126">
    <w:name w:val="No Spacing"/>
    <w:qFormat/>
    <w:uiPriority w:val="1"/>
    <w:pPr>
      <w:autoSpaceDE/>
      <w:autoSpaceDN/>
      <w:snapToGrid/>
    </w:pPr>
    <w:rPr>
      <w:rFonts w:ascii="Calibri" w:hAnsi="Calibri" w:eastAsia="宋体" w:cs="Times New Roman"/>
      <w:kern w:val="2"/>
      <w:sz w:val="21"/>
      <w:szCs w:val="22"/>
      <w:lang w:val="en-US" w:eastAsia="zh-CN" w:bidi="ar-SA"/>
    </w:rPr>
  </w:style>
  <w:style w:type="paragraph" w:customStyle="1" w:styleId="127">
    <w:name w:val="批注框文本1"/>
    <w:basedOn w:val="1"/>
    <w:semiHidden/>
    <w:qFormat/>
    <w:uiPriority w:val="0"/>
    <w:rPr>
      <w:sz w:val="18"/>
      <w:szCs w:val="18"/>
    </w:rPr>
  </w:style>
  <w:style w:type="table" w:customStyle="1" w:styleId="128">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29">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0">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character" w:customStyle="1" w:styleId="131">
    <w:name w:val="正文文本 Char"/>
    <w:basedOn w:val="37"/>
    <w:link w:val="18"/>
    <w:qFormat/>
    <w:uiPriority w:val="99"/>
    <w:rPr>
      <w:rFonts w:ascii="Calibri" w:hAnsi="Calibri" w:eastAsia="仿宋_GB2312" w:cs="Times New Roman"/>
      <w:sz w:val="32"/>
      <w:szCs w:val="24"/>
    </w:rPr>
  </w:style>
  <w:style w:type="table" w:customStyle="1" w:styleId="132">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3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4">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3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paragraph" w:customStyle="1" w:styleId="136">
    <w:name w:val="列表编号1"/>
    <w:basedOn w:val="1"/>
    <w:qFormat/>
    <w:uiPriority w:val="0"/>
    <w:pPr>
      <w:numPr>
        <w:ilvl w:val="0"/>
        <w:numId w:val="2"/>
      </w:numPr>
    </w:pPr>
  </w:style>
  <w:style w:type="table" w:customStyle="1" w:styleId="13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character" w:customStyle="1" w:styleId="138">
    <w:name w:val="标题 3 Char"/>
    <w:link w:val="7"/>
    <w:qFormat/>
    <w:uiPriority w:val="9"/>
    <w:rPr>
      <w:rFonts w:ascii="等线" w:hAnsi="等线" w:eastAsia="等线" w:cs="等线"/>
      <w:sz w:val="30"/>
      <w:szCs w:val="30"/>
    </w:rPr>
  </w:style>
  <w:style w:type="character" w:customStyle="1" w:styleId="139">
    <w:name w:val="引用 Char"/>
    <w:link w:val="140"/>
    <w:qFormat/>
    <w:uiPriority w:val="29"/>
    <w:rPr>
      <w:i/>
    </w:rPr>
  </w:style>
  <w:style w:type="paragraph" w:styleId="140">
    <w:name w:val="Quote"/>
    <w:basedOn w:val="1"/>
    <w:next w:val="1"/>
    <w:link w:val="139"/>
    <w:qFormat/>
    <w:uiPriority w:val="29"/>
    <w:pPr>
      <w:ind w:left="720" w:right="720"/>
    </w:pPr>
    <w:rPr>
      <w:i/>
    </w:rPr>
  </w:style>
  <w:style w:type="table" w:customStyle="1" w:styleId="141">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paragraph" w:customStyle="1" w:styleId="142">
    <w:name w:val="日期1"/>
    <w:basedOn w:val="1"/>
    <w:next w:val="1"/>
    <w:qFormat/>
    <w:uiPriority w:val="0"/>
    <w:pPr>
      <w:ind w:left="100"/>
    </w:pPr>
  </w:style>
  <w:style w:type="character" w:customStyle="1" w:styleId="143">
    <w:name w:val="页码1"/>
    <w:qFormat/>
    <w:uiPriority w:val="0"/>
  </w:style>
  <w:style w:type="table" w:customStyle="1" w:styleId="144">
    <w:name w:val="网格型1"/>
    <w:basedOn w:val="70"/>
    <w:qFormat/>
    <w:uiPriority w:val="0"/>
    <w:pPr>
      <w:widowControl w:val="0"/>
      <w:jc w:val="both"/>
    </w:pPr>
    <w:tblPr>
      <w:tblCellMar>
        <w:top w:w="0" w:type="dxa"/>
        <w:left w:w="0" w:type="dxa"/>
        <w:bottom w:w="0" w:type="dxa"/>
        <w:right w:w="0" w:type="dxa"/>
      </w:tblCellMar>
    </w:tblPr>
  </w:style>
  <w:style w:type="character" w:customStyle="1" w:styleId="145">
    <w:name w:val="标题 1 字符"/>
    <w:link w:val="117"/>
    <w:qFormat/>
    <w:uiPriority w:val="9"/>
    <w:rPr>
      <w:b/>
      <w:bCs/>
      <w:sz w:val="44"/>
      <w:szCs w:val="44"/>
    </w:rPr>
  </w:style>
  <w:style w:type="character" w:customStyle="1" w:styleId="146">
    <w:name w:val="批注框文本 Char"/>
    <w:basedOn w:val="37"/>
    <w:link w:val="24"/>
    <w:semiHidden/>
    <w:qFormat/>
    <w:uiPriority w:val="99"/>
    <w:rPr>
      <w:rFonts w:ascii="Calibri" w:hAnsi="Calibri" w:eastAsia="仿宋_GB2312" w:cs="Times New Roman"/>
      <w:sz w:val="18"/>
      <w:szCs w:val="18"/>
    </w:rPr>
  </w:style>
  <w:style w:type="table" w:customStyle="1" w:styleId="147">
    <w:name w:val="Grid Table 7 Colorful"/>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8">
    <w:name w:val="List Table 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9">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5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paragraph" w:customStyle="1" w:styleId="151">
    <w:name w:val="页脚1"/>
    <w:basedOn w:val="1"/>
    <w:qFormat/>
    <w:uiPriority w:val="0"/>
    <w:pPr>
      <w:tabs>
        <w:tab w:val="center" w:pos="4153"/>
        <w:tab w:val="right" w:pos="8306"/>
      </w:tabs>
      <w:jc w:val="left"/>
    </w:pPr>
    <w:rPr>
      <w:sz w:val="18"/>
      <w:szCs w:val="18"/>
    </w:rPr>
  </w:style>
  <w:style w:type="character" w:customStyle="1" w:styleId="152">
    <w:name w:val="超链接1"/>
    <w:unhideWhenUsed/>
    <w:qFormat/>
    <w:uiPriority w:val="99"/>
    <w:rPr>
      <w:color w:val="0000FF"/>
      <w:u w:val="single"/>
    </w:rPr>
  </w:style>
  <w:style w:type="table" w:customStyle="1" w:styleId="153">
    <w:name w:val="Grid Table 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character" w:customStyle="1" w:styleId="155">
    <w:name w:val="font01"/>
    <w:basedOn w:val="37"/>
    <w:qFormat/>
    <w:uiPriority w:val="0"/>
    <w:rPr>
      <w:rFonts w:hint="eastAsia" w:ascii="宋体" w:hAnsi="宋体" w:eastAsia="宋体" w:cs="宋体"/>
      <w:color w:val="000000"/>
      <w:sz w:val="22"/>
      <w:szCs w:val="22"/>
      <w:u w:val="none"/>
    </w:rPr>
  </w:style>
  <w:style w:type="table" w:customStyle="1" w:styleId="156">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paragraph" w:customStyle="1" w:styleId="157">
    <w:name w:val="正文文本缩进 21"/>
    <w:basedOn w:val="1"/>
    <w:qFormat/>
    <w:uiPriority w:val="0"/>
    <w:pPr>
      <w:spacing w:line="360" w:lineRule="auto"/>
      <w:ind w:firstLine="630"/>
    </w:pPr>
    <w:rPr>
      <w:rFonts w:ascii="楷体_GB2312" w:eastAsia="楷体_GB2312"/>
      <w:sz w:val="30"/>
    </w:rPr>
  </w:style>
  <w:style w:type="table" w:customStyle="1" w:styleId="158">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59">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60">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paragraph" w:customStyle="1" w:styleId="161">
    <w:name w:val="常用样式（方正仿宋简）"/>
    <w:next w:val="25"/>
    <w:qFormat/>
    <w:uiPriority w:val="99"/>
    <w:pPr>
      <w:widowControl w:val="0"/>
      <w:autoSpaceDE/>
      <w:autoSpaceDN/>
      <w:snapToGrid/>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paragraph" w:styleId="162">
    <w:name w:val="List Paragraph"/>
    <w:basedOn w:val="1"/>
    <w:qFormat/>
    <w:uiPriority w:val="34"/>
    <w:pPr>
      <w:ind w:left="720"/>
      <w:contextualSpacing/>
    </w:pPr>
  </w:style>
  <w:style w:type="table" w:customStyle="1" w:styleId="163">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4">
    <w:name w:val="Grid Table 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65">
    <w:name w:val="Plain Table 3"/>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66">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character" w:customStyle="1" w:styleId="167">
    <w:name w:val="标题 8 Char"/>
    <w:link w:val="12"/>
    <w:qFormat/>
    <w:uiPriority w:val="9"/>
    <w:rPr>
      <w:rFonts w:ascii="等线" w:hAnsi="等线" w:eastAsia="等线" w:cs="等线"/>
      <w:i/>
      <w:iCs/>
      <w:sz w:val="22"/>
      <w:szCs w:val="22"/>
    </w:rPr>
  </w:style>
  <w:style w:type="table" w:customStyle="1" w:styleId="168">
    <w:name w:val="Grid Table 5 Dark"/>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9">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0">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71">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72">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73">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character" w:customStyle="1" w:styleId="175">
    <w:name w:val="批注引用1"/>
    <w:qFormat/>
    <w:uiPriority w:val="0"/>
    <w:rPr>
      <w:sz w:val="21"/>
      <w:szCs w:val="21"/>
    </w:rPr>
  </w:style>
  <w:style w:type="character" w:customStyle="1" w:styleId="176">
    <w:name w:val="标题 6 Char"/>
    <w:link w:val="10"/>
    <w:qFormat/>
    <w:uiPriority w:val="9"/>
    <w:rPr>
      <w:rFonts w:ascii="等线" w:hAnsi="等线" w:eastAsia="等线" w:cs="等线"/>
      <w:b/>
      <w:bCs/>
      <w:sz w:val="22"/>
      <w:szCs w:val="22"/>
    </w:rPr>
  </w:style>
  <w:style w:type="character" w:customStyle="1" w:styleId="177">
    <w:name w:val="标题 2 字符"/>
    <w:link w:val="178"/>
    <w:qFormat/>
    <w:uiPriority w:val="9"/>
    <w:rPr>
      <w:rFonts w:ascii="Arial" w:hAnsi="Arial"/>
      <w:b/>
      <w:i/>
    </w:rPr>
  </w:style>
  <w:style w:type="paragraph" w:customStyle="1" w:styleId="178">
    <w:name w:val="标题 21"/>
    <w:basedOn w:val="1"/>
    <w:next w:val="1"/>
    <w:link w:val="177"/>
    <w:qFormat/>
    <w:uiPriority w:val="0"/>
    <w:pPr>
      <w:keepNext/>
      <w:spacing w:before="240" w:after="60"/>
      <w:outlineLvl w:val="1"/>
    </w:pPr>
    <w:rPr>
      <w:rFonts w:ascii="Arial" w:hAnsi="Arial"/>
      <w:b/>
      <w:i/>
    </w:rPr>
  </w:style>
  <w:style w:type="paragraph" w:customStyle="1" w:styleId="179">
    <w:name w:val="WPSOffice手动目录 1"/>
    <w:qFormat/>
    <w:uiPriority w:val="0"/>
    <w:pPr>
      <w:autoSpaceDE/>
      <w:autoSpaceDN/>
      <w:snapToGrid/>
    </w:pPr>
    <w:rPr>
      <w:rFonts w:asciiTheme="minorHAnsi" w:hAnsiTheme="minorHAnsi" w:eastAsiaTheme="minorEastAsia" w:cstheme="minorBidi"/>
      <w:kern w:val="2"/>
      <w:sz w:val="21"/>
      <w:szCs w:val="22"/>
      <w:lang w:val="en-US" w:eastAsia="zh-CN" w:bidi="ar-SA"/>
    </w:rPr>
  </w:style>
  <w:style w:type="table" w:customStyle="1" w:styleId="180">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8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character" w:customStyle="1" w:styleId="182">
    <w:name w:val="标题 2 Char"/>
    <w:link w:val="6"/>
    <w:qFormat/>
    <w:uiPriority w:val="9"/>
    <w:rPr>
      <w:rFonts w:ascii="等线" w:hAnsi="等线" w:eastAsia="等线" w:cs="等线"/>
      <w:sz w:val="34"/>
    </w:rPr>
  </w:style>
  <w:style w:type="character" w:customStyle="1" w:styleId="183">
    <w:name w:val="副标题 Char"/>
    <w:link w:val="29"/>
    <w:qFormat/>
    <w:uiPriority w:val="11"/>
    <w:rPr>
      <w:sz w:val="24"/>
      <w:szCs w:val="24"/>
    </w:rPr>
  </w:style>
  <w:style w:type="table" w:customStyle="1" w:styleId="184">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5">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86">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87">
    <w:name w:val="List Table 7 Colorful"/>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88">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9">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9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1">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92">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character" w:customStyle="1" w:styleId="193">
    <w:name w:val="尾注文本 Char"/>
    <w:link w:val="23"/>
    <w:qFormat/>
    <w:uiPriority w:val="99"/>
    <w:rPr>
      <w:sz w:val="20"/>
    </w:rPr>
  </w:style>
  <w:style w:type="table" w:customStyle="1" w:styleId="194">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5">
    <w:name w:val="Plain Table 5"/>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character" w:customStyle="1" w:styleId="196">
    <w:name w:val="纯文本 Char"/>
    <w:basedOn w:val="37"/>
    <w:link w:val="21"/>
    <w:qFormat/>
    <w:uiPriority w:val="99"/>
    <w:rPr>
      <w:rFonts w:ascii="宋体" w:hAnsi="Courier New" w:eastAsia="仿宋_GB2312" w:cs="Times New Roman"/>
      <w:szCs w:val="21"/>
    </w:rPr>
  </w:style>
  <w:style w:type="paragraph" w:customStyle="1" w:styleId="197">
    <w:name w:val="WPSOffice手动目录 3"/>
    <w:qFormat/>
    <w:uiPriority w:val="0"/>
    <w:pPr>
      <w:autoSpaceDE/>
      <w:autoSpaceDN/>
      <w:snapToGrid/>
      <w:ind w:left="400" w:leftChars="400"/>
    </w:pPr>
    <w:rPr>
      <w:rFonts w:asciiTheme="minorHAnsi" w:hAnsiTheme="minorHAnsi" w:eastAsiaTheme="minorEastAsia" w:cstheme="minorBidi"/>
      <w:kern w:val="2"/>
      <w:sz w:val="21"/>
      <w:szCs w:val="22"/>
      <w:lang w:val="en-US" w:eastAsia="zh-CN" w:bidi="ar-SA"/>
    </w:rPr>
  </w:style>
  <w:style w:type="table" w:customStyle="1" w:styleId="198">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99">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paragraph" w:customStyle="1" w:styleId="200">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character" w:customStyle="1" w:styleId="201">
    <w:name w:val="标题 Char"/>
    <w:link w:val="34"/>
    <w:qFormat/>
    <w:uiPriority w:val="10"/>
    <w:rPr>
      <w:sz w:val="48"/>
      <w:szCs w:val="48"/>
    </w:rPr>
  </w:style>
  <w:style w:type="table" w:customStyle="1" w:styleId="202">
    <w:name w:val="Grid Table 6 Colorful"/>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3">
    <w:name w:val="List Table 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4">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character" w:customStyle="1" w:styleId="205">
    <w:name w:val="标题 7 Char"/>
    <w:link w:val="11"/>
    <w:qFormat/>
    <w:uiPriority w:val="9"/>
    <w:rPr>
      <w:rFonts w:ascii="等线" w:hAnsi="等线" w:eastAsia="等线" w:cs="等线"/>
      <w:b/>
      <w:bCs/>
      <w:i/>
      <w:iCs/>
      <w:sz w:val="22"/>
      <w:szCs w:val="22"/>
    </w:rPr>
  </w:style>
  <w:style w:type="table" w:customStyle="1" w:styleId="20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207">
    <w:name w:val="List Table 6 Colorful"/>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character" w:customStyle="1" w:styleId="208">
    <w:name w:val="批注文字 字符"/>
    <w:link w:val="60"/>
    <w:qFormat/>
    <w:uiPriority w:val="0"/>
    <w:rPr>
      <w:rFonts w:eastAsia="仿宋_GB2312"/>
      <w:sz w:val="32"/>
      <w:szCs w:val="24"/>
    </w:rPr>
  </w:style>
  <w:style w:type="table" w:customStyle="1" w:styleId="209">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210">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211">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212">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213">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character" w:customStyle="1" w:styleId="214">
    <w:name w:val="页眉 Char"/>
    <w:link w:val="26"/>
    <w:qFormat/>
    <w:uiPriority w:val="99"/>
  </w:style>
  <w:style w:type="table" w:customStyle="1" w:styleId="215">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16">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17">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1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character" w:customStyle="1" w:styleId="219">
    <w:name w:val="NormalCharacter"/>
    <w:qFormat/>
    <w:uiPriority w:val="0"/>
  </w:style>
  <w:style w:type="table" w:customStyle="1" w:styleId="220">
    <w:name w:val="Plain Table 4"/>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paragraph" w:customStyle="1" w:styleId="221">
    <w:name w:val="WPSOffice手动目录 2"/>
    <w:qFormat/>
    <w:uiPriority w:val="0"/>
    <w:pPr>
      <w:autoSpaceDE/>
      <w:autoSpaceDN/>
      <w:snapToGrid/>
      <w:ind w:left="200" w:leftChars="200"/>
    </w:pPr>
    <w:rPr>
      <w:rFonts w:asciiTheme="minorHAnsi" w:hAnsiTheme="minorHAnsi" w:eastAsiaTheme="minorEastAsia" w:cstheme="minorBidi"/>
      <w:kern w:val="2"/>
      <w:sz w:val="21"/>
      <w:szCs w:val="22"/>
      <w:lang w:val="en-US" w:eastAsia="zh-CN" w:bidi="ar-SA"/>
    </w:rPr>
  </w:style>
  <w:style w:type="paragraph" w:customStyle="1" w:styleId="222">
    <w:name w:val="章标题"/>
    <w:basedOn w:val="1"/>
    <w:next w:val="121"/>
    <w:qFormat/>
    <w:uiPriority w:val="0"/>
    <w:pPr>
      <w:widowControl/>
      <w:spacing w:before="158" w:after="153" w:line="323" w:lineRule="atLeast"/>
      <w:ind w:right="-120"/>
      <w:jc w:val="center"/>
    </w:pPr>
    <w:rPr>
      <w:color w:val="FF0000"/>
      <w:sz w:val="18"/>
      <w:szCs w:val="18"/>
    </w:rPr>
  </w:style>
  <w:style w:type="character" w:customStyle="1" w:styleId="223">
    <w:name w:val="批注主题 字符"/>
    <w:link w:val="59"/>
    <w:qFormat/>
    <w:uiPriority w:val="0"/>
    <w:rPr>
      <w:rFonts w:eastAsia="仿宋_GB2312"/>
      <w:b/>
      <w:bCs/>
      <w:sz w:val="32"/>
      <w:szCs w:val="24"/>
    </w:rPr>
  </w:style>
  <w:style w:type="table" w:customStyle="1" w:styleId="224">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25">
    <w:name w:val="Grid Table 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22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227">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2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229">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23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231">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232">
    <w:name w:val="Grid Table 1 Light"/>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233">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234">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a:t>
            </a:r>
            <a:endParaRPr lang="zh-CN" altLang="en-US"/>
          </a:p>
        </c:rich>
      </c:tx>
      <c:layout/>
      <c:overlay val="0"/>
      <c:spPr>
        <a:noFill/>
        <a:ln>
          <a:noFill/>
        </a:ln>
        <a:effectLst/>
      </c:spPr>
    </c:title>
    <c:autoTitleDeleted val="0"/>
    <c:plotArea>
      <c:layout>
        <c:manualLayout>
          <c:layoutTarget val="inner"/>
          <c:xMode val="edge"/>
          <c:yMode val="edge"/>
          <c:x val="0.0854739"/>
          <c:y val="0.122"/>
          <c:w val="0.9018"/>
          <c:h val="0.717233"/>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Sheet1!$B$2:$B$5</c:f>
              <c:numCache>
                <c:formatCode>General</c:formatCode>
                <c:ptCount val="4"/>
                <c:pt idx="0">
                  <c:v>188.58</c:v>
                </c:pt>
                <c:pt idx="1">
                  <c:v>188.58</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收入（万元）</c:v>
                </c:pt>
                <c:pt idx="1">
                  <c:v>支出（万元）</c:v>
                </c:pt>
              </c:strCache>
            </c:strRef>
          </c:cat>
          <c:val>
            <c:numRef>
              <c:f>Sheet1!$C$2:$C$5</c:f>
              <c:numCache>
                <c:formatCode>General</c:formatCode>
                <c:ptCount val="4"/>
                <c:pt idx="0">
                  <c:v>196.55</c:v>
                </c:pt>
                <c:pt idx="1">
                  <c:v>196.55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收入（万元）</c:v>
                </c:pt>
                <c:pt idx="1">
                  <c:v>支出（万元）</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92930944"/>
        <c:axId val="192932480"/>
      </c:barChart>
      <c:catAx>
        <c:axId val="1929309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32480"/>
        <c:crosses val="autoZero"/>
        <c:auto val="1"/>
        <c:lblAlgn val="ctr"/>
        <c:lblOffset val="100"/>
        <c:noMultiLvlLbl val="0"/>
      </c:catAx>
      <c:valAx>
        <c:axId val="192932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293094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0e53f7c-2216-4b5d-b0e8-87870588f01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94.7</a:t>
                    </a:r>
                    <a:r>
                      <a:rPr lang="zh-CN" altLang="en-US"/>
                      <a:t> </a:t>
                    </a:r>
                    <a:r>
                      <a:rPr lang="en-US" altLang="zh-CN"/>
                      <a:t>%</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5.3%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一般公共预算财政拨款收入</c:v>
                </c:pt>
                <c:pt idx="1">
                  <c:v>政府性基金预算财政拨款收入</c:v>
                </c:pt>
              </c:strCache>
            </c:strRef>
          </c:cat>
          <c:val>
            <c:numRef>
              <c:f>Sheet1!$B$2:$B$5</c:f>
              <c:numCache>
                <c:formatCode>General</c:formatCode>
                <c:ptCount val="4"/>
                <c:pt idx="0">
                  <c:v>178.58</c:v>
                </c:pt>
                <c:pt idx="1">
                  <c:v>10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557a69-e082-4b7a-b918-dd841beb0f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62.81%</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manualLayout>
                  <c:x val="0.180162"/>
                  <c:y val="0.0593836"/>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37.19%</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strCache>
            </c:strRef>
          </c:cat>
          <c:val>
            <c:numRef>
              <c:f>Sheet1!$B$2:$B$5</c:f>
              <c:numCache>
                <c:formatCode>General</c:formatCode>
                <c:ptCount val="4"/>
                <c:pt idx="0">
                  <c:v>62.81</c:v>
                </c:pt>
                <c:pt idx="1">
                  <c:v>37.19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eb32211-8a9f-46d9-98eb-322e1f0185b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7"/>
        </c:manualLayout>
      </c:layout>
      <c:overlay val="0"/>
      <c:spPr>
        <a:noFill/>
        <a:ln>
          <a:noFill/>
        </a:ln>
        <a:effectLst/>
      </c:spPr>
    </c:title>
    <c:autoTitleDeleted val="0"/>
    <c:plotArea>
      <c:layout>
        <c:manualLayout>
          <c:layoutTarget val="inner"/>
          <c:xMode val="edge"/>
          <c:yMode val="edge"/>
          <c:x val="0.0744125"/>
          <c:y val="0.115306"/>
          <c:w val="0.909041"/>
          <c:h val="0.711122"/>
        </c:manualLayout>
      </c:layout>
      <c:barChart>
        <c:barDir val="col"/>
        <c:grouping val="clustered"/>
        <c:varyColors val="0"/>
        <c:ser>
          <c:idx val="0"/>
          <c:order val="0"/>
          <c:tx>
            <c:strRef>
              <c:f>Sheet1!$B$1</c:f>
              <c:strCache>
                <c:ptCount val="1"/>
                <c:pt idx="0">
                  <c:v>2024</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收入（万元）</c:v>
                </c:pt>
                <c:pt idx="1">
                  <c:v>支出（万元）</c:v>
                </c:pt>
              </c:strCache>
            </c:strRef>
          </c:cat>
          <c:val>
            <c:numRef>
              <c:f>Sheet1!$B$2:$B$6</c:f>
              <c:numCache>
                <c:formatCode>General</c:formatCode>
                <c:ptCount val="5"/>
                <c:pt idx="0">
                  <c:v>188.58</c:v>
                </c:pt>
                <c:pt idx="1">
                  <c:v>188.58</c:v>
                </c:pt>
              </c:numCache>
            </c:numRef>
          </c:val>
        </c:ser>
        <c:ser>
          <c:idx val="1"/>
          <c:order val="1"/>
          <c:tx>
            <c:strRef>
              <c:f>Sheet1!$C$1</c:f>
              <c:strCache>
                <c:ptCount val="1"/>
                <c:pt idx="0">
                  <c:v>2023</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收入（万元）</c:v>
                </c:pt>
                <c:pt idx="1">
                  <c:v>支出（万元）</c:v>
                </c:pt>
              </c:strCache>
            </c:strRef>
          </c:cat>
          <c:val>
            <c:numRef>
              <c:f>Sheet1!$C$2:$C$6</c:f>
              <c:numCache>
                <c:formatCode>General</c:formatCode>
                <c:ptCount val="5"/>
                <c:pt idx="0">
                  <c:v>196.55</c:v>
                </c:pt>
                <c:pt idx="1">
                  <c:v>196.55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Sheet1!$A$2:$A$6</c:f>
              <c:strCache>
                <c:ptCount val="5"/>
                <c:pt idx="0">
                  <c:v>收入（万元）</c:v>
                </c:pt>
                <c:pt idx="1">
                  <c:v>支出（万元）</c:v>
                </c:pt>
              </c:strCache>
            </c:strRef>
          </c:cat>
          <c:val>
            <c:numRef>
              <c:f>Sheet1!$D$2:$D$6</c:f>
              <c:numCache>
                <c:formatCode>General</c:formatCode>
                <c:ptCount val="5"/>
              </c:numCache>
            </c:numRef>
          </c:val>
        </c:ser>
        <c:dLbls>
          <c:showLegendKey val="0"/>
          <c:showVal val="1"/>
          <c:showCatName val="0"/>
          <c:showSerName val="0"/>
          <c:showPercent val="0"/>
          <c:showBubbleSize val="0"/>
        </c:dLbls>
        <c:gapWidth val="219"/>
        <c:overlap val="-27"/>
        <c:axId val="197596672"/>
        <c:axId val="197598208"/>
      </c:barChart>
      <c:catAx>
        <c:axId val="19759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598208"/>
        <c:crosses val="autoZero"/>
        <c:auto val="1"/>
        <c:lblAlgn val="ctr"/>
        <c:lblOffset val="100"/>
        <c:noMultiLvlLbl val="0"/>
      </c:catAx>
      <c:valAx>
        <c:axId val="1975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a:no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59667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8452bb-288c-41aa-a2d4-fea15ab211ff}"/>
      </c:ext>
    </c:extLst>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5175"/>
          <c:y val="0.06"/>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995"/>
          <c:y val="0.210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2024</c:v>
                </c:pt>
                <c:pt idx="1">
                  <c:v>2023</c:v>
                </c:pt>
              </c:numCache>
            </c:numRef>
          </c:cat>
          <c:val>
            <c:numRef>
              <c:f>Sheet1!$B$2:$B$3</c:f>
              <c:numCache>
                <c:formatCode>General</c:formatCode>
                <c:ptCount val="2"/>
                <c:pt idx="0">
                  <c:v>178.58</c:v>
                </c:pt>
                <c:pt idx="1">
                  <c:v>196.55</c:v>
                </c:pt>
              </c:numCache>
            </c:numRef>
          </c:val>
        </c:ser>
        <c:dLbls>
          <c:showLegendKey val="0"/>
          <c:showVal val="0"/>
          <c:showCatName val="0"/>
          <c:showSerName val="0"/>
          <c:showPercent val="0"/>
          <c:showBubbleSize val="0"/>
        </c:dLbls>
        <c:gapWidth val="219"/>
        <c:overlap val="-27"/>
        <c:axId val="197606784"/>
        <c:axId val="197608576"/>
      </c:barChart>
      <c:catAx>
        <c:axId val="19760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608576"/>
        <c:crosses val="autoZero"/>
        <c:auto val="1"/>
        <c:lblAlgn val="ctr"/>
        <c:lblOffset val="100"/>
        <c:noMultiLvlLbl val="0"/>
      </c:catAx>
      <c:valAx>
        <c:axId val="197608576"/>
        <c:scaling>
          <c:orientation val="minMax"/>
        </c:scaling>
        <c:delete val="0"/>
        <c:axPos val="l"/>
        <c:majorGridlines>
          <c:spPr>
            <a:ln w="9525" cap="flat" cmpd="sng" algn="ctr">
              <a:solidFill>
                <a:schemeClr val="tx1">
                  <a:lumMod val="15000"/>
                  <a:lumOff val="85000"/>
                </a:schemeClr>
              </a:solidFill>
              <a:round/>
            </a:ln>
            <a:effectLst/>
          </c:spPr>
        </c:majorGridlines>
        <c:numFmt formatCode="#,##0_ &quot;万&quot;&quot;元&quot;" sourceLinked="0"/>
        <c:majorTickMark val="none"/>
        <c:minorTickMark val="none"/>
        <c:tickLblPos val="nextTo"/>
        <c:spPr>
          <a:noFill/>
          <a:ln w="9525">
            <a:no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7606784"/>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346a730-7f1f-4de7-bc46-1925c0cee995}"/>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科学技术支出</c:v>
                </c:pt>
                <c:pt idx="1">
                  <c:v>社会保障和就业支出</c:v>
                </c:pt>
                <c:pt idx="2">
                  <c:v>卫生健康支出</c:v>
                </c:pt>
                <c:pt idx="3">
                  <c:v>住房保障支出</c:v>
                </c:pt>
              </c:strCache>
            </c:strRef>
          </c:cat>
          <c:val>
            <c:numRef>
              <c:f>Sheet1!$B$2:$B$5</c:f>
              <c:numCache>
                <c:formatCode>General</c:formatCode>
                <c:ptCount val="4"/>
                <c:pt idx="0">
                  <c:v>84.97</c:v>
                </c:pt>
                <c:pt idx="1">
                  <c:v>6.73</c:v>
                </c:pt>
                <c:pt idx="2">
                  <c:v>3.27</c:v>
                </c:pt>
                <c:pt idx="3">
                  <c:v>5.03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38b01d7-fcf2-4a8b-b0e6-f090817e672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40939"/>
          <c:y val="0.0492149"/>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
          <c:y val="0.177449"/>
          <c:w val="0.570625"/>
          <c:h val="0.7608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dLblPos val="bestFit"/>
              <c:showLegendKey val="1"/>
              <c:showVal val="1"/>
              <c:showCatName val="1"/>
              <c:showSerName val="1"/>
              <c:showPercent val="1"/>
              <c:showBubbleSize val="1"/>
              <c:extLst>
                <c:ext xmlns:c15="http://schemas.microsoft.com/office/drawing/2012/chart" uri="{CE6537A1-D6FC-4f65-9D91-7224C49458BB}"/>
              </c:extLst>
            </c:dLbl>
            <c:dLbl>
              <c:idx val="1"/>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4.29%</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1.34</c:v>
                </c:pt>
                <c:pt idx="2">
                  <c:v>0.06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0bbfb6c-93d1-483e-8bed-9190714a6702}"/>
      </c:ext>
    </c:extLst>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9718</Words>
  <Characters>10571</Characters>
  <TotalTime>5</TotalTime>
  <ScaleCrop>false</ScaleCrop>
  <LinksUpToDate>false</LinksUpToDate>
  <CharactersWithSpaces>10705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2025-08-25T16:55:00Z</dcterms:created>
  <dc:creator>Administrator</dc:creator>
  <cp:lastModifiedBy>Administrator</cp:lastModifiedBy>
  <dcterms:modified xsi:type="dcterms:W3CDTF">2025-09-19T05:48:46Z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63636A0D23914ECEBD2CC24BD6B2B836_12</vt:lpwstr>
  </property>
  <property fmtid="{D5CDD505-2E9C-101B-9397-08002B2CF9AE}" pid="4" name="KSOTemplateDocerSaveRecord">
    <vt:lpwstr>eyJoZGlkIjoiMjcwYjc0NzEyMzZlNTZmOWU5MGU4MTc5MzFmMjczNTkifQ==</vt:lpwstr>
  </property>
</Properties>
</file>