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9C86F9F">
      <w:pPr>
        <w:spacing w:line="600" w:lineRule="exact"/>
        <w:jc w:val="center"/>
        <w:outlineLvl w:val="0"/>
        <w:rPr>
          <w:rFonts w:ascii="方正小标宋简体" w:hAnsi="宋体" w:eastAsia="方正小标宋简体"/>
          <w:color w:val="auto"/>
          <w:sz w:val="72"/>
          <w:szCs w:val="72"/>
          <w:highlight w:val="none"/>
        </w:rPr>
      </w:pPr>
      <w:bookmarkStart w:id="0" w:name="_Toc15377425"/>
      <w:bookmarkStart w:id="1" w:name="_Toc15396597"/>
      <w:bookmarkStart w:id="2" w:name="_Toc15377193"/>
      <w:bookmarkStart w:id="3" w:name="_Toc15396475"/>
      <w:bookmarkStart w:id="4" w:name="_Toc15378441"/>
      <w:bookmarkStart w:id="5" w:name="_Toc15306267"/>
    </w:p>
    <w:p w14:paraId="29864B90">
      <w:pPr>
        <w:spacing w:line="600" w:lineRule="exact"/>
        <w:jc w:val="center"/>
        <w:outlineLvl w:val="0"/>
        <w:rPr>
          <w:rFonts w:ascii="方正小标宋简体" w:hAnsi="宋体" w:eastAsia="方正小标宋简体"/>
          <w:color w:val="auto"/>
          <w:sz w:val="72"/>
          <w:szCs w:val="72"/>
          <w:highlight w:val="none"/>
        </w:rPr>
      </w:pPr>
    </w:p>
    <w:p w14:paraId="1A2E9003">
      <w:pPr>
        <w:spacing w:line="600" w:lineRule="exact"/>
        <w:jc w:val="center"/>
        <w:outlineLvl w:val="0"/>
        <w:rPr>
          <w:rFonts w:ascii="方正小标宋简体" w:hAnsi="宋体" w:eastAsia="方正小标宋简体"/>
          <w:color w:val="auto"/>
          <w:sz w:val="72"/>
          <w:szCs w:val="72"/>
          <w:highlight w:val="none"/>
        </w:rPr>
      </w:pPr>
    </w:p>
    <w:p w14:paraId="0EF27D5A">
      <w:pPr>
        <w:adjustRightInd w:val="0"/>
        <w:snapToGrid w:val="0"/>
        <w:spacing w:line="360" w:lineRule="auto"/>
        <w:jc w:val="center"/>
        <w:outlineLvl w:val="0"/>
        <w:rPr>
          <w:rFonts w:hint="eastAsia" w:ascii="黑体" w:hAnsi="黑体" w:eastAsia="黑体" w:cs="黑体"/>
          <w:color w:val="auto"/>
          <w:sz w:val="72"/>
          <w:szCs w:val="72"/>
          <w:highlight w:val="none"/>
        </w:rPr>
      </w:pPr>
      <w:bookmarkStart w:id="6" w:name="_Toc19163"/>
      <w:bookmarkStart w:id="7" w:name="_Toc16312"/>
      <w:bookmarkStart w:id="8" w:name="_Toc12320"/>
      <w:bookmarkStart w:id="9" w:name="_Toc32352"/>
      <w:r>
        <w:rPr>
          <w:rFonts w:hint="eastAsia" w:ascii="黑体" w:hAnsi="黑体" w:eastAsia="黑体" w:cs="黑体"/>
          <w:color w:val="auto"/>
          <w:sz w:val="72"/>
          <w:szCs w:val="72"/>
          <w:highlight w:val="none"/>
          <w:lang w:eastAsia="zh-CN"/>
        </w:rPr>
        <w:t>2024年</w:t>
      </w:r>
      <w:r>
        <w:rPr>
          <w:rFonts w:hint="eastAsia" w:ascii="黑体" w:hAnsi="黑体" w:eastAsia="黑体" w:cs="黑体"/>
          <w:color w:val="auto"/>
          <w:sz w:val="72"/>
          <w:szCs w:val="72"/>
          <w:highlight w:val="none"/>
        </w:rPr>
        <w:t>度</w:t>
      </w:r>
      <w:bookmarkEnd w:id="0"/>
      <w:bookmarkEnd w:id="1"/>
      <w:bookmarkEnd w:id="2"/>
      <w:bookmarkEnd w:id="3"/>
      <w:bookmarkEnd w:id="4"/>
      <w:bookmarkEnd w:id="6"/>
      <w:bookmarkEnd w:id="7"/>
      <w:bookmarkEnd w:id="8"/>
      <w:bookmarkEnd w:id="9"/>
    </w:p>
    <w:bookmarkEnd w:id="5"/>
    <w:p w14:paraId="4A990D88">
      <w:pPr>
        <w:adjustRightInd w:val="0"/>
        <w:snapToGrid w:val="0"/>
        <w:spacing w:line="360" w:lineRule="auto"/>
        <w:jc w:val="center"/>
        <w:outlineLvl w:val="0"/>
        <w:rPr>
          <w:rFonts w:hint="eastAsia" w:ascii="方正小标宋简体" w:hAnsi="方正小标宋简体" w:eastAsia="方正小标宋简体" w:cs="方正小标宋简体"/>
          <w:color w:val="auto"/>
          <w:sz w:val="72"/>
          <w:szCs w:val="72"/>
          <w:highlight w:val="none"/>
          <w:lang w:eastAsia="zh-CN"/>
        </w:rPr>
      </w:pPr>
      <w:bookmarkStart w:id="10" w:name="_Toc15377194"/>
      <w:bookmarkStart w:id="11" w:name="_Toc15378442"/>
      <w:bookmarkStart w:id="12" w:name="_Toc15306268"/>
      <w:bookmarkStart w:id="13" w:name="_Toc15377426"/>
      <w:bookmarkStart w:id="14" w:name="_Toc15396476"/>
      <w:bookmarkStart w:id="15" w:name="_Toc15396598"/>
      <w:bookmarkStart w:id="16" w:name="_Toc8973"/>
      <w:bookmarkStart w:id="17" w:name="_Toc32081"/>
      <w:bookmarkStart w:id="18" w:name="_Toc10510"/>
      <w:bookmarkStart w:id="19" w:name="_Toc9615"/>
      <w:r>
        <w:rPr>
          <w:rFonts w:hint="eastAsia" w:ascii="黑体" w:hAnsi="黑体" w:eastAsia="黑体" w:cs="黑体"/>
          <w:color w:val="auto"/>
          <w:sz w:val="72"/>
          <w:szCs w:val="72"/>
          <w:highlight w:val="none"/>
          <w:lang w:eastAsia="zh-CN"/>
        </w:rPr>
        <w:t>四川省遂宁市安居区水利局</w:t>
      </w:r>
      <w:r>
        <w:rPr>
          <w:rFonts w:hint="eastAsia" w:ascii="黑体" w:hAnsi="黑体" w:eastAsia="黑体" w:cs="黑体"/>
          <w:color w:val="auto"/>
          <w:sz w:val="72"/>
          <w:szCs w:val="72"/>
          <w:highlight w:val="none"/>
        </w:rPr>
        <w:t>决算</w:t>
      </w:r>
      <w:bookmarkEnd w:id="10"/>
      <w:bookmarkEnd w:id="11"/>
      <w:bookmarkEnd w:id="12"/>
      <w:bookmarkEnd w:id="13"/>
      <w:bookmarkEnd w:id="14"/>
      <w:bookmarkEnd w:id="15"/>
      <w:r>
        <w:rPr>
          <w:rFonts w:hint="eastAsia" w:ascii="黑体" w:hAnsi="黑体" w:eastAsia="黑体" w:cs="黑体"/>
          <w:color w:val="auto"/>
          <w:sz w:val="72"/>
          <w:szCs w:val="72"/>
          <w:highlight w:val="none"/>
          <w:lang w:eastAsia="zh-CN"/>
        </w:rPr>
        <w:t>公开编制说明</w:t>
      </w:r>
      <w:bookmarkEnd w:id="16"/>
      <w:bookmarkEnd w:id="17"/>
      <w:bookmarkEnd w:id="18"/>
      <w:bookmarkEnd w:id="19"/>
    </w:p>
    <w:p w14:paraId="243D0A6E">
      <w:pPr>
        <w:widowControl/>
        <w:jc w:val="center"/>
        <w:rPr>
          <w:rFonts w:hint="eastAsia" w:ascii="黑体" w:hAnsi="黑体" w:eastAsia="黑体"/>
          <w:color w:val="auto"/>
          <w:sz w:val="48"/>
          <w:szCs w:val="48"/>
          <w:highlight w:val="none"/>
        </w:rPr>
        <w:sectPr>
          <w:footerReference r:id="rId5" w:type="first"/>
          <w:headerReference r:id="rId3" w:type="default"/>
          <w:footerReference r:id="rId4" w:type="default"/>
          <w:pgSz w:w="11906" w:h="16838"/>
          <w:pgMar w:top="2098" w:right="1474" w:bottom="1984" w:left="1587" w:header="851" w:footer="992" w:gutter="0"/>
          <w:pgNumType w:fmt="decimal" w:start="1"/>
          <w:cols w:space="0" w:num="1"/>
          <w:rtlGutter w:val="0"/>
          <w:docGrid w:type="lines" w:linePitch="312" w:charSpace="0"/>
        </w:sectPr>
      </w:pPr>
    </w:p>
    <w:p w14:paraId="51A1B43E">
      <w:pPr>
        <w:widowControl/>
        <w:jc w:val="center"/>
        <w:rPr>
          <w:rFonts w:ascii="黑体" w:hAnsi="黑体" w:eastAsia="黑体"/>
          <w:color w:val="auto"/>
          <w:sz w:val="48"/>
          <w:szCs w:val="48"/>
          <w:highlight w:val="none"/>
        </w:rPr>
      </w:pPr>
      <w:r>
        <w:rPr>
          <w:rFonts w:hint="eastAsia" w:ascii="黑体" w:hAnsi="黑体" w:eastAsia="黑体"/>
          <w:color w:val="auto"/>
          <w:sz w:val="48"/>
          <w:szCs w:val="48"/>
          <w:highlight w:val="none"/>
        </w:rPr>
        <w:t>目</w:t>
      </w:r>
      <w:r>
        <w:rPr>
          <w:rFonts w:hint="eastAsia" w:ascii="黑体" w:hAnsi="黑体" w:eastAsia="黑体"/>
          <w:color w:val="auto"/>
          <w:sz w:val="48"/>
          <w:szCs w:val="48"/>
          <w:highlight w:val="none"/>
          <w:lang w:val="en-US" w:eastAsia="zh-CN"/>
        </w:rPr>
        <w:t xml:space="preserve">   </w:t>
      </w:r>
      <w:r>
        <w:rPr>
          <w:rFonts w:hint="eastAsia" w:ascii="黑体" w:hAnsi="黑体" w:eastAsia="黑体"/>
          <w:color w:val="auto"/>
          <w:sz w:val="48"/>
          <w:szCs w:val="48"/>
          <w:highlight w:val="none"/>
        </w:rPr>
        <w:t>录</w:t>
      </w:r>
    </w:p>
    <w:p w14:paraId="4E5FA87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color w:val="auto"/>
          <w:sz w:val="24"/>
          <w:szCs w:val="32"/>
          <w:highlight w:val="none"/>
        </w:rPr>
      </w:pPr>
      <w:bookmarkStart w:id="20" w:name="_Toc21145"/>
      <w:r>
        <w:rPr>
          <w:rFonts w:hint="eastAsia"/>
          <w:color w:val="auto"/>
          <w:sz w:val="24"/>
          <w:szCs w:val="32"/>
          <w:highlight w:val="none"/>
        </w:rPr>
        <w:t>公开时间：20</w:t>
      </w:r>
      <w:r>
        <w:rPr>
          <w:rFonts w:hint="eastAsia"/>
          <w:color w:val="auto"/>
          <w:sz w:val="24"/>
          <w:szCs w:val="32"/>
          <w:highlight w:val="none"/>
          <w:lang w:val="en-US" w:eastAsia="zh-CN"/>
        </w:rPr>
        <w:t>25</w:t>
      </w:r>
      <w:r>
        <w:rPr>
          <w:rFonts w:hint="eastAsia"/>
          <w:color w:val="auto"/>
          <w:sz w:val="24"/>
          <w:szCs w:val="32"/>
          <w:highlight w:val="none"/>
        </w:rPr>
        <w:t>年</w:t>
      </w:r>
      <w:r>
        <w:rPr>
          <w:rFonts w:hint="eastAsia"/>
          <w:color w:val="auto"/>
          <w:sz w:val="24"/>
          <w:szCs w:val="32"/>
          <w:highlight w:val="none"/>
          <w:lang w:val="en-US" w:eastAsia="zh-CN"/>
        </w:rPr>
        <w:t>8</w:t>
      </w:r>
      <w:r>
        <w:rPr>
          <w:rFonts w:hint="eastAsia"/>
          <w:color w:val="auto"/>
          <w:sz w:val="24"/>
          <w:szCs w:val="32"/>
          <w:highlight w:val="none"/>
        </w:rPr>
        <w:t>月</w:t>
      </w:r>
      <w:r>
        <w:rPr>
          <w:rFonts w:hint="eastAsia"/>
          <w:color w:val="auto"/>
          <w:sz w:val="24"/>
          <w:szCs w:val="32"/>
          <w:highlight w:val="none"/>
          <w:lang w:val="en-US" w:eastAsia="zh-CN"/>
        </w:rPr>
        <w:t>27</w:t>
      </w:r>
      <w:r>
        <w:rPr>
          <w:rFonts w:hint="eastAsia"/>
          <w:color w:val="auto"/>
          <w:sz w:val="24"/>
          <w:szCs w:val="32"/>
          <w:highlight w:val="none"/>
        </w:rPr>
        <w:t>日</w:t>
      </w:r>
      <w:bookmarkEnd w:id="20"/>
      <w:bookmarkStart w:id="21" w:name="_Toc4783_WPSOffice_Level1"/>
    </w:p>
    <w:p w14:paraId="091791D9">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heme="majorEastAsia" w:hAnsiTheme="majorEastAsia" w:eastAsiaTheme="majorEastAsia" w:cstheme="majorEastAsia"/>
          <w:kern w:val="2"/>
          <w:sz w:val="28"/>
          <w:szCs w:val="28"/>
          <w:lang w:val="en-US" w:eastAsia="zh-CN" w:bidi="ar-SA"/>
        </w:rPr>
      </w:pPr>
      <w:r>
        <w:rPr>
          <w:rFonts w:hint="eastAsia" w:asciiTheme="majorEastAsia" w:hAnsiTheme="majorEastAsia" w:eastAsiaTheme="majorEastAsia" w:cstheme="majorEastAsia"/>
          <w:sz w:val="28"/>
          <w:szCs w:val="28"/>
          <w:lang w:val="en-US" w:eastAsia="zh-CN"/>
        </w:rPr>
        <w:fldChar w:fldCharType="begin"/>
      </w:r>
      <w:r>
        <w:rPr>
          <w:rFonts w:hint="eastAsia" w:asciiTheme="majorEastAsia" w:hAnsiTheme="majorEastAsia" w:eastAsiaTheme="majorEastAsia" w:cstheme="majorEastAsia"/>
          <w:sz w:val="28"/>
          <w:szCs w:val="28"/>
          <w:lang w:val="en-US" w:eastAsia="zh-CN"/>
        </w:rPr>
        <w:instrText xml:space="preserve">TOC \o "1-2" \h \u </w:instrText>
      </w:r>
      <w:r>
        <w:rPr>
          <w:rFonts w:hint="eastAsia" w:asciiTheme="majorEastAsia" w:hAnsiTheme="majorEastAsia" w:eastAsiaTheme="majorEastAsia" w:cstheme="majorEastAsia"/>
          <w:sz w:val="28"/>
          <w:szCs w:val="28"/>
          <w:lang w:val="en-US" w:eastAsia="zh-CN"/>
        </w:rPr>
        <w:fldChar w:fldCharType="separate"/>
      </w:r>
    </w:p>
    <w:p w14:paraId="32373CA8">
      <w:pPr>
        <w:pStyle w:val="17"/>
        <w:keepNext w:val="0"/>
        <w:keepLines w:val="0"/>
        <w:pageBreakBefore w:val="0"/>
        <w:widowControl w:val="0"/>
        <w:tabs>
          <w:tab w:val="right" w:leader="dot" w:pos="8845"/>
          <w:tab w:val="clear" w:pos="8296"/>
        </w:tabs>
        <w:kinsoku/>
        <w:wordWrap/>
        <w:overflowPunct/>
        <w:topLinePunct w:val="0"/>
        <w:autoSpaceDE/>
        <w:autoSpaceDN/>
        <w:bidi w:val="0"/>
        <w:adjustRightInd/>
        <w:snapToGrid/>
        <w:spacing w:before="0" w:line="560" w:lineRule="exac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fldChar w:fldCharType="begin"/>
      </w:r>
      <w:r>
        <w:rPr>
          <w:rFonts w:hint="eastAsia" w:asciiTheme="majorEastAsia" w:hAnsiTheme="majorEastAsia" w:eastAsiaTheme="majorEastAsia" w:cstheme="majorEastAsia"/>
          <w:sz w:val="24"/>
          <w:szCs w:val="24"/>
          <w:lang w:val="en-US" w:eastAsia="zh-CN"/>
        </w:rPr>
        <w:instrText xml:space="preserve"> HYPERLINK \l _Toc17918 </w:instrText>
      </w:r>
      <w:r>
        <w:rPr>
          <w:rFonts w:hint="eastAsia" w:asciiTheme="majorEastAsia" w:hAnsiTheme="majorEastAsia" w:eastAsiaTheme="majorEastAsia" w:cstheme="majorEastAsia"/>
          <w:sz w:val="24"/>
          <w:szCs w:val="24"/>
          <w:lang w:val="en-US" w:eastAsia="zh-CN"/>
        </w:rPr>
        <w:fldChar w:fldCharType="separate"/>
      </w:r>
      <w:r>
        <w:rPr>
          <w:rFonts w:hint="eastAsia" w:asciiTheme="majorEastAsia" w:hAnsiTheme="majorEastAsia" w:eastAsiaTheme="majorEastAsia" w:cstheme="majorEastAsia"/>
          <w:sz w:val="24"/>
          <w:szCs w:val="24"/>
          <w:highlight w:val="none"/>
        </w:rPr>
        <w:t xml:space="preserve">第一部分 </w:t>
      </w:r>
      <w:r>
        <w:rPr>
          <w:rFonts w:hint="eastAsia" w:asciiTheme="majorEastAsia" w:hAnsiTheme="majorEastAsia" w:eastAsiaTheme="majorEastAsia" w:cstheme="majorEastAsia"/>
          <w:bCs w:val="0"/>
          <w:sz w:val="24"/>
          <w:szCs w:val="24"/>
          <w:highlight w:val="none"/>
        </w:rPr>
        <w:t>部门概况</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_Toc17918 \h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1</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lang w:val="en-US" w:eastAsia="zh-CN"/>
        </w:rPr>
        <w:fldChar w:fldCharType="end"/>
      </w:r>
    </w:p>
    <w:p w14:paraId="3AF5C10E">
      <w:pPr>
        <w:pStyle w:val="19"/>
        <w:keepNext w:val="0"/>
        <w:keepLines w:val="0"/>
        <w:pageBreakBefore w:val="0"/>
        <w:widowControl w:val="0"/>
        <w:tabs>
          <w:tab w:val="right" w:leader="dot" w:pos="8845"/>
          <w:tab w:val="clear" w:pos="8296"/>
        </w:tabs>
        <w:kinsoku/>
        <w:wordWrap/>
        <w:overflowPunct/>
        <w:topLinePunct w:val="0"/>
        <w:autoSpaceDE/>
        <w:autoSpaceDN/>
        <w:bidi w:val="0"/>
        <w:adjustRightInd/>
        <w:snapToGrid/>
        <w:spacing w:line="560" w:lineRule="exac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fldChar w:fldCharType="begin"/>
      </w:r>
      <w:r>
        <w:rPr>
          <w:rFonts w:hint="eastAsia" w:asciiTheme="majorEastAsia" w:hAnsiTheme="majorEastAsia" w:eastAsiaTheme="majorEastAsia" w:cstheme="majorEastAsia"/>
          <w:sz w:val="24"/>
          <w:szCs w:val="24"/>
          <w:lang w:val="en-US" w:eastAsia="zh-CN"/>
        </w:rPr>
        <w:instrText xml:space="preserve"> HYPERLINK \l _Toc10928 </w:instrText>
      </w:r>
      <w:r>
        <w:rPr>
          <w:rFonts w:hint="eastAsia" w:asciiTheme="majorEastAsia" w:hAnsiTheme="majorEastAsia" w:eastAsiaTheme="majorEastAsia" w:cstheme="majorEastAsia"/>
          <w:sz w:val="24"/>
          <w:szCs w:val="24"/>
          <w:lang w:val="en-US" w:eastAsia="zh-CN"/>
        </w:rPr>
        <w:fldChar w:fldCharType="separate"/>
      </w:r>
      <w:r>
        <w:rPr>
          <w:rFonts w:hint="eastAsia" w:asciiTheme="majorEastAsia" w:hAnsiTheme="majorEastAsia" w:eastAsiaTheme="majorEastAsia" w:cstheme="majorEastAsia"/>
          <w:sz w:val="24"/>
          <w:szCs w:val="24"/>
          <w:highlight w:val="none"/>
        </w:rPr>
        <w:t>一、</w:t>
      </w:r>
      <w:r>
        <w:rPr>
          <w:rFonts w:hint="eastAsia" w:asciiTheme="majorEastAsia" w:hAnsiTheme="majorEastAsia" w:eastAsiaTheme="majorEastAsia" w:cstheme="majorEastAsia"/>
          <w:sz w:val="24"/>
          <w:szCs w:val="24"/>
          <w:highlight w:val="none"/>
          <w:lang w:eastAsia="zh-CN"/>
        </w:rPr>
        <w:t>部门职责</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_Toc10928 \h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1</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lang w:val="en-US" w:eastAsia="zh-CN"/>
        </w:rPr>
        <w:fldChar w:fldCharType="end"/>
      </w:r>
    </w:p>
    <w:p w14:paraId="7C361465">
      <w:pPr>
        <w:pStyle w:val="19"/>
        <w:keepNext w:val="0"/>
        <w:keepLines w:val="0"/>
        <w:pageBreakBefore w:val="0"/>
        <w:widowControl w:val="0"/>
        <w:tabs>
          <w:tab w:val="right" w:leader="dot" w:pos="8845"/>
          <w:tab w:val="clear" w:pos="8296"/>
        </w:tabs>
        <w:kinsoku/>
        <w:wordWrap/>
        <w:overflowPunct/>
        <w:topLinePunct w:val="0"/>
        <w:autoSpaceDE/>
        <w:autoSpaceDN/>
        <w:bidi w:val="0"/>
        <w:adjustRightInd/>
        <w:snapToGrid/>
        <w:spacing w:line="560" w:lineRule="exac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fldChar w:fldCharType="begin"/>
      </w:r>
      <w:r>
        <w:rPr>
          <w:rFonts w:hint="eastAsia" w:asciiTheme="majorEastAsia" w:hAnsiTheme="majorEastAsia" w:eastAsiaTheme="majorEastAsia" w:cstheme="majorEastAsia"/>
          <w:sz w:val="24"/>
          <w:szCs w:val="24"/>
          <w:lang w:val="en-US" w:eastAsia="zh-CN"/>
        </w:rPr>
        <w:instrText xml:space="preserve"> HYPERLINK \l _Toc25148 </w:instrText>
      </w:r>
      <w:r>
        <w:rPr>
          <w:rFonts w:hint="eastAsia" w:asciiTheme="majorEastAsia" w:hAnsiTheme="majorEastAsia" w:eastAsiaTheme="majorEastAsia" w:cstheme="majorEastAsia"/>
          <w:sz w:val="24"/>
          <w:szCs w:val="24"/>
          <w:lang w:val="en-US" w:eastAsia="zh-CN"/>
        </w:rPr>
        <w:fldChar w:fldCharType="separate"/>
      </w:r>
      <w:r>
        <w:rPr>
          <w:rFonts w:hint="eastAsia" w:asciiTheme="majorEastAsia" w:hAnsiTheme="majorEastAsia" w:eastAsiaTheme="majorEastAsia" w:cstheme="majorEastAsia"/>
          <w:sz w:val="24"/>
          <w:szCs w:val="24"/>
          <w:highlight w:val="none"/>
        </w:rPr>
        <w:t>二、机</w:t>
      </w:r>
      <w:r>
        <w:rPr>
          <w:rFonts w:hint="eastAsia" w:asciiTheme="majorEastAsia" w:hAnsiTheme="majorEastAsia" w:eastAsiaTheme="majorEastAsia" w:cstheme="majorEastAsia"/>
          <w:bCs w:val="0"/>
          <w:sz w:val="24"/>
          <w:szCs w:val="24"/>
          <w:highlight w:val="none"/>
        </w:rPr>
        <w:t>构设置</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_Toc25148 \h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3</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lang w:val="en-US" w:eastAsia="zh-CN"/>
        </w:rPr>
        <w:fldChar w:fldCharType="end"/>
      </w:r>
    </w:p>
    <w:p w14:paraId="16663797">
      <w:pPr>
        <w:pStyle w:val="17"/>
        <w:keepNext w:val="0"/>
        <w:keepLines w:val="0"/>
        <w:pageBreakBefore w:val="0"/>
        <w:widowControl w:val="0"/>
        <w:tabs>
          <w:tab w:val="right" w:leader="dot" w:pos="8845"/>
          <w:tab w:val="clear" w:pos="8296"/>
        </w:tabs>
        <w:kinsoku/>
        <w:wordWrap/>
        <w:overflowPunct/>
        <w:topLinePunct w:val="0"/>
        <w:autoSpaceDE/>
        <w:autoSpaceDN/>
        <w:bidi w:val="0"/>
        <w:adjustRightInd/>
        <w:snapToGrid/>
        <w:spacing w:before="0" w:line="560" w:lineRule="exac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fldChar w:fldCharType="begin"/>
      </w:r>
      <w:r>
        <w:rPr>
          <w:rFonts w:hint="eastAsia" w:asciiTheme="majorEastAsia" w:hAnsiTheme="majorEastAsia" w:eastAsiaTheme="majorEastAsia" w:cstheme="majorEastAsia"/>
          <w:sz w:val="24"/>
          <w:szCs w:val="24"/>
          <w:lang w:val="en-US" w:eastAsia="zh-CN"/>
        </w:rPr>
        <w:instrText xml:space="preserve"> HYPERLINK \l _Toc19594 </w:instrText>
      </w:r>
      <w:r>
        <w:rPr>
          <w:rFonts w:hint="eastAsia" w:asciiTheme="majorEastAsia" w:hAnsiTheme="majorEastAsia" w:eastAsiaTheme="majorEastAsia" w:cstheme="majorEastAsia"/>
          <w:sz w:val="24"/>
          <w:szCs w:val="24"/>
          <w:lang w:val="en-US" w:eastAsia="zh-CN"/>
        </w:rPr>
        <w:fldChar w:fldCharType="separate"/>
      </w:r>
      <w:r>
        <w:rPr>
          <w:rFonts w:hint="eastAsia" w:asciiTheme="majorEastAsia" w:hAnsiTheme="majorEastAsia" w:eastAsiaTheme="majorEastAsia" w:cstheme="majorEastAsia"/>
          <w:bCs/>
          <w:sz w:val="24"/>
          <w:szCs w:val="24"/>
          <w:highlight w:val="none"/>
        </w:rPr>
        <w:t xml:space="preserve">第二部分 </w:t>
      </w:r>
      <w:r>
        <w:rPr>
          <w:rFonts w:hint="eastAsia" w:asciiTheme="majorEastAsia" w:hAnsiTheme="majorEastAsia" w:eastAsiaTheme="majorEastAsia" w:cstheme="majorEastAsia"/>
          <w:bCs/>
          <w:sz w:val="24"/>
          <w:szCs w:val="24"/>
          <w:highlight w:val="none"/>
          <w:lang w:val="en-US" w:eastAsia="zh-CN"/>
        </w:rPr>
        <w:t>2024年度</w:t>
      </w:r>
      <w:r>
        <w:rPr>
          <w:rFonts w:hint="eastAsia" w:asciiTheme="majorEastAsia" w:hAnsiTheme="majorEastAsia" w:eastAsiaTheme="majorEastAsia" w:cstheme="majorEastAsia"/>
          <w:bCs/>
          <w:sz w:val="24"/>
          <w:szCs w:val="24"/>
          <w:highlight w:val="none"/>
        </w:rPr>
        <w:t>部门决算情况说明</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_Toc19594 \h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4</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lang w:val="en-US" w:eastAsia="zh-CN"/>
        </w:rPr>
        <w:fldChar w:fldCharType="end"/>
      </w:r>
    </w:p>
    <w:p w14:paraId="4C589D0F">
      <w:pPr>
        <w:pStyle w:val="19"/>
        <w:keepNext w:val="0"/>
        <w:keepLines w:val="0"/>
        <w:pageBreakBefore w:val="0"/>
        <w:widowControl w:val="0"/>
        <w:tabs>
          <w:tab w:val="right" w:leader="dot" w:pos="8845"/>
          <w:tab w:val="clear" w:pos="8296"/>
        </w:tabs>
        <w:kinsoku/>
        <w:wordWrap/>
        <w:overflowPunct/>
        <w:topLinePunct w:val="0"/>
        <w:autoSpaceDE/>
        <w:autoSpaceDN/>
        <w:bidi w:val="0"/>
        <w:adjustRightInd/>
        <w:snapToGrid/>
        <w:spacing w:line="560" w:lineRule="exac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fldChar w:fldCharType="begin"/>
      </w:r>
      <w:r>
        <w:rPr>
          <w:rFonts w:hint="eastAsia" w:asciiTheme="majorEastAsia" w:hAnsiTheme="majorEastAsia" w:eastAsiaTheme="majorEastAsia" w:cstheme="majorEastAsia"/>
          <w:sz w:val="24"/>
          <w:szCs w:val="24"/>
          <w:lang w:val="en-US" w:eastAsia="zh-CN"/>
        </w:rPr>
        <w:instrText xml:space="preserve"> HYPERLINK \l _Toc29695 </w:instrText>
      </w:r>
      <w:r>
        <w:rPr>
          <w:rFonts w:hint="eastAsia" w:asciiTheme="majorEastAsia" w:hAnsiTheme="majorEastAsia" w:eastAsiaTheme="majorEastAsia" w:cstheme="majorEastAsia"/>
          <w:sz w:val="24"/>
          <w:szCs w:val="24"/>
          <w:lang w:val="en-US" w:eastAsia="zh-CN"/>
        </w:rPr>
        <w:fldChar w:fldCharType="separate"/>
      </w:r>
      <w:r>
        <w:rPr>
          <w:rFonts w:hint="eastAsia" w:asciiTheme="majorEastAsia" w:hAnsiTheme="majorEastAsia" w:eastAsiaTheme="majorEastAsia" w:cstheme="majorEastAsia"/>
          <w:sz w:val="24"/>
          <w:szCs w:val="24"/>
        </w:rPr>
        <w:t xml:space="preserve">一、 </w:t>
      </w:r>
      <w:r>
        <w:rPr>
          <w:rFonts w:hint="eastAsia" w:asciiTheme="majorEastAsia" w:hAnsiTheme="majorEastAsia" w:eastAsiaTheme="majorEastAsia" w:cstheme="majorEastAsia"/>
          <w:sz w:val="24"/>
          <w:szCs w:val="24"/>
          <w:highlight w:val="none"/>
        </w:rPr>
        <w:t>收入支出决算总体情况说明</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_Toc29695 \h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4</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lang w:val="en-US" w:eastAsia="zh-CN"/>
        </w:rPr>
        <w:fldChar w:fldCharType="end"/>
      </w:r>
    </w:p>
    <w:p w14:paraId="4D4A487B">
      <w:pPr>
        <w:pStyle w:val="19"/>
        <w:keepNext w:val="0"/>
        <w:keepLines w:val="0"/>
        <w:pageBreakBefore w:val="0"/>
        <w:widowControl w:val="0"/>
        <w:tabs>
          <w:tab w:val="right" w:leader="dot" w:pos="8845"/>
          <w:tab w:val="clear" w:pos="8296"/>
        </w:tabs>
        <w:kinsoku/>
        <w:wordWrap/>
        <w:overflowPunct/>
        <w:topLinePunct w:val="0"/>
        <w:autoSpaceDE/>
        <w:autoSpaceDN/>
        <w:bidi w:val="0"/>
        <w:adjustRightInd/>
        <w:snapToGrid/>
        <w:spacing w:line="560" w:lineRule="exac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fldChar w:fldCharType="begin"/>
      </w:r>
      <w:r>
        <w:rPr>
          <w:rFonts w:hint="eastAsia" w:asciiTheme="majorEastAsia" w:hAnsiTheme="majorEastAsia" w:eastAsiaTheme="majorEastAsia" w:cstheme="majorEastAsia"/>
          <w:sz w:val="24"/>
          <w:szCs w:val="24"/>
          <w:lang w:val="en-US" w:eastAsia="zh-CN"/>
        </w:rPr>
        <w:instrText xml:space="preserve"> HYPERLINK \l _Toc9068 </w:instrText>
      </w:r>
      <w:r>
        <w:rPr>
          <w:rFonts w:hint="eastAsia" w:asciiTheme="majorEastAsia" w:hAnsiTheme="majorEastAsia" w:eastAsiaTheme="majorEastAsia" w:cstheme="majorEastAsia"/>
          <w:sz w:val="24"/>
          <w:szCs w:val="24"/>
          <w:lang w:val="en-US" w:eastAsia="zh-CN"/>
        </w:rPr>
        <w:fldChar w:fldCharType="separate"/>
      </w:r>
      <w:r>
        <w:rPr>
          <w:rFonts w:hint="eastAsia" w:asciiTheme="majorEastAsia" w:hAnsiTheme="majorEastAsia" w:eastAsiaTheme="majorEastAsia" w:cstheme="majorEastAsia"/>
          <w:sz w:val="24"/>
          <w:szCs w:val="24"/>
        </w:rPr>
        <w:t xml:space="preserve">二、 </w:t>
      </w:r>
      <w:r>
        <w:rPr>
          <w:rFonts w:hint="eastAsia" w:asciiTheme="majorEastAsia" w:hAnsiTheme="majorEastAsia" w:eastAsiaTheme="majorEastAsia" w:cstheme="majorEastAsia"/>
          <w:sz w:val="24"/>
          <w:szCs w:val="24"/>
          <w:highlight w:val="none"/>
        </w:rPr>
        <w:t>收入决算情况说明</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_Toc9068 \h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4</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lang w:val="en-US" w:eastAsia="zh-CN"/>
        </w:rPr>
        <w:fldChar w:fldCharType="end"/>
      </w:r>
    </w:p>
    <w:p w14:paraId="05B7B42B">
      <w:pPr>
        <w:pStyle w:val="19"/>
        <w:keepNext w:val="0"/>
        <w:keepLines w:val="0"/>
        <w:pageBreakBefore w:val="0"/>
        <w:widowControl w:val="0"/>
        <w:tabs>
          <w:tab w:val="right" w:leader="dot" w:pos="8845"/>
          <w:tab w:val="clear" w:pos="8296"/>
        </w:tabs>
        <w:kinsoku/>
        <w:wordWrap/>
        <w:overflowPunct/>
        <w:topLinePunct w:val="0"/>
        <w:autoSpaceDE/>
        <w:autoSpaceDN/>
        <w:bidi w:val="0"/>
        <w:adjustRightInd/>
        <w:snapToGrid/>
        <w:spacing w:line="560" w:lineRule="exac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fldChar w:fldCharType="begin"/>
      </w:r>
      <w:r>
        <w:rPr>
          <w:rFonts w:hint="eastAsia" w:asciiTheme="majorEastAsia" w:hAnsiTheme="majorEastAsia" w:eastAsiaTheme="majorEastAsia" w:cstheme="majorEastAsia"/>
          <w:sz w:val="24"/>
          <w:szCs w:val="24"/>
          <w:lang w:val="en-US" w:eastAsia="zh-CN"/>
        </w:rPr>
        <w:instrText xml:space="preserve"> HYPERLINK \l _Toc3428 </w:instrText>
      </w:r>
      <w:r>
        <w:rPr>
          <w:rFonts w:hint="eastAsia" w:asciiTheme="majorEastAsia" w:hAnsiTheme="majorEastAsia" w:eastAsiaTheme="majorEastAsia" w:cstheme="majorEastAsia"/>
          <w:sz w:val="24"/>
          <w:szCs w:val="24"/>
          <w:lang w:val="en-US" w:eastAsia="zh-CN"/>
        </w:rPr>
        <w:fldChar w:fldCharType="separate"/>
      </w:r>
      <w:r>
        <w:rPr>
          <w:rFonts w:hint="eastAsia" w:asciiTheme="majorEastAsia" w:hAnsiTheme="majorEastAsia" w:eastAsiaTheme="majorEastAsia" w:cstheme="majorEastAsia"/>
          <w:sz w:val="24"/>
          <w:szCs w:val="24"/>
        </w:rPr>
        <w:t xml:space="preserve">三、 </w:t>
      </w:r>
      <w:r>
        <w:rPr>
          <w:rFonts w:hint="eastAsia" w:asciiTheme="majorEastAsia" w:hAnsiTheme="majorEastAsia" w:eastAsiaTheme="majorEastAsia" w:cstheme="majorEastAsia"/>
          <w:sz w:val="24"/>
          <w:szCs w:val="24"/>
          <w:highlight w:val="none"/>
        </w:rPr>
        <w:t>支出决算情况说明</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_Toc3428 \h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5</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lang w:val="en-US" w:eastAsia="zh-CN"/>
        </w:rPr>
        <w:fldChar w:fldCharType="end"/>
      </w:r>
    </w:p>
    <w:p w14:paraId="290D5089">
      <w:pPr>
        <w:pStyle w:val="19"/>
        <w:keepNext w:val="0"/>
        <w:keepLines w:val="0"/>
        <w:pageBreakBefore w:val="0"/>
        <w:widowControl w:val="0"/>
        <w:tabs>
          <w:tab w:val="right" w:leader="dot" w:pos="8845"/>
          <w:tab w:val="clear" w:pos="8296"/>
        </w:tabs>
        <w:kinsoku/>
        <w:wordWrap/>
        <w:overflowPunct/>
        <w:topLinePunct w:val="0"/>
        <w:autoSpaceDE/>
        <w:autoSpaceDN/>
        <w:bidi w:val="0"/>
        <w:adjustRightInd/>
        <w:snapToGrid/>
        <w:spacing w:line="560" w:lineRule="exac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fldChar w:fldCharType="begin"/>
      </w:r>
      <w:r>
        <w:rPr>
          <w:rFonts w:hint="eastAsia" w:asciiTheme="majorEastAsia" w:hAnsiTheme="majorEastAsia" w:eastAsiaTheme="majorEastAsia" w:cstheme="majorEastAsia"/>
          <w:sz w:val="24"/>
          <w:szCs w:val="24"/>
          <w:lang w:val="en-US" w:eastAsia="zh-CN"/>
        </w:rPr>
        <w:instrText xml:space="preserve"> HYPERLINK \l _Toc3580 </w:instrText>
      </w:r>
      <w:r>
        <w:rPr>
          <w:rFonts w:hint="eastAsia" w:asciiTheme="majorEastAsia" w:hAnsiTheme="majorEastAsia" w:eastAsiaTheme="majorEastAsia" w:cstheme="majorEastAsia"/>
          <w:sz w:val="24"/>
          <w:szCs w:val="24"/>
          <w:lang w:val="en-US" w:eastAsia="zh-CN"/>
        </w:rPr>
        <w:fldChar w:fldCharType="separate"/>
      </w:r>
      <w:r>
        <w:rPr>
          <w:rFonts w:hint="eastAsia" w:asciiTheme="majorEastAsia" w:hAnsiTheme="majorEastAsia" w:eastAsiaTheme="majorEastAsia" w:cstheme="majorEastAsia"/>
          <w:sz w:val="24"/>
          <w:szCs w:val="24"/>
          <w:highlight w:val="none"/>
        </w:rPr>
        <w:t>四、财政拨款收入支出决算总体情况说明</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_Toc3580 \h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6</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lang w:val="en-US" w:eastAsia="zh-CN"/>
        </w:rPr>
        <w:fldChar w:fldCharType="end"/>
      </w:r>
    </w:p>
    <w:p w14:paraId="2FACF20C">
      <w:pPr>
        <w:pStyle w:val="19"/>
        <w:keepNext w:val="0"/>
        <w:keepLines w:val="0"/>
        <w:pageBreakBefore w:val="0"/>
        <w:widowControl w:val="0"/>
        <w:tabs>
          <w:tab w:val="right" w:leader="dot" w:pos="8845"/>
          <w:tab w:val="clear" w:pos="8296"/>
        </w:tabs>
        <w:kinsoku/>
        <w:wordWrap/>
        <w:overflowPunct/>
        <w:topLinePunct w:val="0"/>
        <w:autoSpaceDE/>
        <w:autoSpaceDN/>
        <w:bidi w:val="0"/>
        <w:adjustRightInd/>
        <w:snapToGrid/>
        <w:spacing w:line="560" w:lineRule="exac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fldChar w:fldCharType="begin"/>
      </w:r>
      <w:r>
        <w:rPr>
          <w:rFonts w:hint="eastAsia" w:asciiTheme="majorEastAsia" w:hAnsiTheme="majorEastAsia" w:eastAsiaTheme="majorEastAsia" w:cstheme="majorEastAsia"/>
          <w:sz w:val="24"/>
          <w:szCs w:val="24"/>
          <w:lang w:val="en-US" w:eastAsia="zh-CN"/>
        </w:rPr>
        <w:instrText xml:space="preserve"> HYPERLINK \l _Toc6085 </w:instrText>
      </w:r>
      <w:r>
        <w:rPr>
          <w:rFonts w:hint="eastAsia" w:asciiTheme="majorEastAsia" w:hAnsiTheme="majorEastAsia" w:eastAsiaTheme="majorEastAsia" w:cstheme="majorEastAsia"/>
          <w:sz w:val="24"/>
          <w:szCs w:val="24"/>
          <w:lang w:val="en-US" w:eastAsia="zh-CN"/>
        </w:rPr>
        <w:fldChar w:fldCharType="separate"/>
      </w:r>
      <w:r>
        <w:rPr>
          <w:rFonts w:hint="eastAsia" w:asciiTheme="majorEastAsia" w:hAnsiTheme="majorEastAsia" w:eastAsiaTheme="majorEastAsia" w:cstheme="majorEastAsia"/>
          <w:sz w:val="24"/>
          <w:szCs w:val="24"/>
          <w:highlight w:val="none"/>
        </w:rPr>
        <w:t>五、一般公共预算财政拨款支出决算情况说明</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_Toc6085 \h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6</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lang w:val="en-US" w:eastAsia="zh-CN"/>
        </w:rPr>
        <w:fldChar w:fldCharType="end"/>
      </w:r>
    </w:p>
    <w:p w14:paraId="58680087">
      <w:pPr>
        <w:pStyle w:val="19"/>
        <w:keepNext w:val="0"/>
        <w:keepLines w:val="0"/>
        <w:pageBreakBefore w:val="0"/>
        <w:widowControl w:val="0"/>
        <w:tabs>
          <w:tab w:val="right" w:leader="dot" w:pos="8845"/>
          <w:tab w:val="clear" w:pos="8296"/>
        </w:tabs>
        <w:kinsoku/>
        <w:wordWrap/>
        <w:overflowPunct/>
        <w:topLinePunct w:val="0"/>
        <w:autoSpaceDE/>
        <w:autoSpaceDN/>
        <w:bidi w:val="0"/>
        <w:adjustRightInd/>
        <w:snapToGrid/>
        <w:spacing w:line="560" w:lineRule="exac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fldChar w:fldCharType="begin"/>
      </w:r>
      <w:r>
        <w:rPr>
          <w:rFonts w:hint="eastAsia" w:asciiTheme="majorEastAsia" w:hAnsiTheme="majorEastAsia" w:eastAsiaTheme="majorEastAsia" w:cstheme="majorEastAsia"/>
          <w:sz w:val="24"/>
          <w:szCs w:val="24"/>
          <w:lang w:val="en-US" w:eastAsia="zh-CN"/>
        </w:rPr>
        <w:instrText xml:space="preserve"> HYPERLINK \l _Toc25724 </w:instrText>
      </w:r>
      <w:r>
        <w:rPr>
          <w:rFonts w:hint="eastAsia" w:asciiTheme="majorEastAsia" w:hAnsiTheme="majorEastAsia" w:eastAsiaTheme="majorEastAsia" w:cstheme="majorEastAsia"/>
          <w:sz w:val="24"/>
          <w:szCs w:val="24"/>
          <w:lang w:val="en-US" w:eastAsia="zh-CN"/>
        </w:rPr>
        <w:fldChar w:fldCharType="separate"/>
      </w:r>
      <w:r>
        <w:rPr>
          <w:rFonts w:hint="eastAsia" w:asciiTheme="majorEastAsia" w:hAnsiTheme="majorEastAsia" w:eastAsiaTheme="majorEastAsia" w:cstheme="majorEastAsia"/>
          <w:sz w:val="24"/>
          <w:szCs w:val="24"/>
          <w:highlight w:val="none"/>
        </w:rPr>
        <w:t>六、一般公共预算财政拨款基本支出决算情况说明</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_Toc25724 \h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11</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lang w:val="en-US" w:eastAsia="zh-CN"/>
        </w:rPr>
        <w:fldChar w:fldCharType="end"/>
      </w:r>
    </w:p>
    <w:p w14:paraId="233FA09B">
      <w:pPr>
        <w:pStyle w:val="19"/>
        <w:keepNext w:val="0"/>
        <w:keepLines w:val="0"/>
        <w:pageBreakBefore w:val="0"/>
        <w:widowControl w:val="0"/>
        <w:tabs>
          <w:tab w:val="right" w:leader="dot" w:pos="8845"/>
          <w:tab w:val="clear" w:pos="8296"/>
        </w:tabs>
        <w:kinsoku/>
        <w:wordWrap/>
        <w:overflowPunct/>
        <w:topLinePunct w:val="0"/>
        <w:autoSpaceDE/>
        <w:autoSpaceDN/>
        <w:bidi w:val="0"/>
        <w:adjustRightInd/>
        <w:snapToGrid/>
        <w:spacing w:line="560" w:lineRule="exac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fldChar w:fldCharType="begin"/>
      </w:r>
      <w:r>
        <w:rPr>
          <w:rFonts w:hint="eastAsia" w:asciiTheme="majorEastAsia" w:hAnsiTheme="majorEastAsia" w:eastAsiaTheme="majorEastAsia" w:cstheme="majorEastAsia"/>
          <w:sz w:val="24"/>
          <w:szCs w:val="24"/>
          <w:lang w:val="en-US" w:eastAsia="zh-CN"/>
        </w:rPr>
        <w:instrText xml:space="preserve"> HYPERLINK \l _Toc31692 </w:instrText>
      </w:r>
      <w:r>
        <w:rPr>
          <w:rFonts w:hint="eastAsia" w:asciiTheme="majorEastAsia" w:hAnsiTheme="majorEastAsia" w:eastAsiaTheme="majorEastAsia" w:cstheme="majorEastAsia"/>
          <w:sz w:val="24"/>
          <w:szCs w:val="24"/>
          <w:lang w:val="en-US" w:eastAsia="zh-CN"/>
        </w:rPr>
        <w:fldChar w:fldCharType="separate"/>
      </w:r>
      <w:r>
        <w:rPr>
          <w:rFonts w:hint="eastAsia" w:asciiTheme="majorEastAsia" w:hAnsiTheme="majorEastAsia" w:eastAsiaTheme="majorEastAsia" w:cstheme="majorEastAsia"/>
          <w:sz w:val="24"/>
          <w:szCs w:val="24"/>
          <w:highlight w:val="none"/>
        </w:rPr>
        <w:t>七、财政拨款“三公”经费支出决算情况说明</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_Toc31692 \h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11</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lang w:val="en-US" w:eastAsia="zh-CN"/>
        </w:rPr>
        <w:fldChar w:fldCharType="end"/>
      </w:r>
    </w:p>
    <w:p w14:paraId="27CE1121">
      <w:pPr>
        <w:pStyle w:val="19"/>
        <w:keepNext w:val="0"/>
        <w:keepLines w:val="0"/>
        <w:pageBreakBefore w:val="0"/>
        <w:widowControl w:val="0"/>
        <w:tabs>
          <w:tab w:val="right" w:leader="dot" w:pos="8845"/>
          <w:tab w:val="clear" w:pos="8296"/>
        </w:tabs>
        <w:kinsoku/>
        <w:wordWrap/>
        <w:overflowPunct/>
        <w:topLinePunct w:val="0"/>
        <w:autoSpaceDE/>
        <w:autoSpaceDN/>
        <w:bidi w:val="0"/>
        <w:adjustRightInd/>
        <w:snapToGrid/>
        <w:spacing w:line="560" w:lineRule="exac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fldChar w:fldCharType="begin"/>
      </w:r>
      <w:r>
        <w:rPr>
          <w:rFonts w:hint="eastAsia" w:asciiTheme="majorEastAsia" w:hAnsiTheme="majorEastAsia" w:eastAsiaTheme="majorEastAsia" w:cstheme="majorEastAsia"/>
          <w:sz w:val="24"/>
          <w:szCs w:val="24"/>
          <w:lang w:val="en-US" w:eastAsia="zh-CN"/>
        </w:rPr>
        <w:instrText xml:space="preserve"> HYPERLINK \l _Toc6134 </w:instrText>
      </w:r>
      <w:r>
        <w:rPr>
          <w:rFonts w:hint="eastAsia" w:asciiTheme="majorEastAsia" w:hAnsiTheme="majorEastAsia" w:eastAsiaTheme="majorEastAsia" w:cstheme="majorEastAsia"/>
          <w:sz w:val="24"/>
          <w:szCs w:val="24"/>
          <w:lang w:val="en-US" w:eastAsia="zh-CN"/>
        </w:rPr>
        <w:fldChar w:fldCharType="separate"/>
      </w:r>
      <w:r>
        <w:rPr>
          <w:rFonts w:hint="eastAsia" w:asciiTheme="majorEastAsia" w:hAnsiTheme="majorEastAsia" w:eastAsiaTheme="majorEastAsia" w:cstheme="majorEastAsia"/>
          <w:sz w:val="24"/>
          <w:szCs w:val="24"/>
          <w:highlight w:val="none"/>
        </w:rPr>
        <w:t>八、政府性基金预算支出决算情况说明</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_Toc6134 \h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14</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lang w:val="en-US" w:eastAsia="zh-CN"/>
        </w:rPr>
        <w:fldChar w:fldCharType="end"/>
      </w:r>
    </w:p>
    <w:p w14:paraId="5841D2A3">
      <w:pPr>
        <w:pStyle w:val="19"/>
        <w:keepNext w:val="0"/>
        <w:keepLines w:val="0"/>
        <w:pageBreakBefore w:val="0"/>
        <w:widowControl w:val="0"/>
        <w:tabs>
          <w:tab w:val="right" w:leader="dot" w:pos="8845"/>
          <w:tab w:val="clear" w:pos="8296"/>
        </w:tabs>
        <w:kinsoku/>
        <w:wordWrap/>
        <w:overflowPunct/>
        <w:topLinePunct w:val="0"/>
        <w:autoSpaceDE/>
        <w:autoSpaceDN/>
        <w:bidi w:val="0"/>
        <w:adjustRightInd/>
        <w:snapToGrid/>
        <w:spacing w:line="560" w:lineRule="exac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fldChar w:fldCharType="begin"/>
      </w:r>
      <w:r>
        <w:rPr>
          <w:rFonts w:hint="eastAsia" w:asciiTheme="majorEastAsia" w:hAnsiTheme="majorEastAsia" w:eastAsiaTheme="majorEastAsia" w:cstheme="majorEastAsia"/>
          <w:sz w:val="24"/>
          <w:szCs w:val="24"/>
          <w:lang w:val="en-US" w:eastAsia="zh-CN"/>
        </w:rPr>
        <w:instrText xml:space="preserve"> HYPERLINK \l _Toc10010 </w:instrText>
      </w:r>
      <w:r>
        <w:rPr>
          <w:rFonts w:hint="eastAsia" w:asciiTheme="majorEastAsia" w:hAnsiTheme="majorEastAsia" w:eastAsiaTheme="majorEastAsia" w:cstheme="majorEastAsia"/>
          <w:sz w:val="24"/>
          <w:szCs w:val="24"/>
          <w:lang w:val="en-US" w:eastAsia="zh-CN"/>
        </w:rPr>
        <w:fldChar w:fldCharType="separate"/>
      </w:r>
      <w:r>
        <w:rPr>
          <w:rFonts w:hint="eastAsia" w:asciiTheme="majorEastAsia" w:hAnsiTheme="majorEastAsia" w:eastAsiaTheme="majorEastAsia" w:cstheme="majorEastAsia"/>
          <w:sz w:val="24"/>
          <w:szCs w:val="24"/>
        </w:rPr>
        <w:t xml:space="preserve">九、 </w:t>
      </w:r>
      <w:r>
        <w:rPr>
          <w:rFonts w:hint="eastAsia" w:asciiTheme="majorEastAsia" w:hAnsiTheme="majorEastAsia" w:eastAsiaTheme="majorEastAsia" w:cstheme="majorEastAsia"/>
          <w:sz w:val="24"/>
          <w:szCs w:val="24"/>
          <w:highlight w:val="none"/>
        </w:rPr>
        <w:t>国有资本经营预算支出决算情况说明</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_Toc10010 \h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14</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lang w:val="en-US" w:eastAsia="zh-CN"/>
        </w:rPr>
        <w:fldChar w:fldCharType="end"/>
      </w:r>
    </w:p>
    <w:p w14:paraId="6BCA2C16">
      <w:pPr>
        <w:pStyle w:val="19"/>
        <w:keepNext w:val="0"/>
        <w:keepLines w:val="0"/>
        <w:pageBreakBefore w:val="0"/>
        <w:widowControl w:val="0"/>
        <w:tabs>
          <w:tab w:val="right" w:leader="dot" w:pos="8845"/>
          <w:tab w:val="clear" w:pos="8296"/>
        </w:tabs>
        <w:kinsoku/>
        <w:wordWrap/>
        <w:overflowPunct/>
        <w:topLinePunct w:val="0"/>
        <w:autoSpaceDE/>
        <w:autoSpaceDN/>
        <w:bidi w:val="0"/>
        <w:adjustRightInd/>
        <w:snapToGrid/>
        <w:spacing w:line="560" w:lineRule="exac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fldChar w:fldCharType="begin"/>
      </w:r>
      <w:r>
        <w:rPr>
          <w:rFonts w:hint="eastAsia" w:asciiTheme="majorEastAsia" w:hAnsiTheme="majorEastAsia" w:eastAsiaTheme="majorEastAsia" w:cstheme="majorEastAsia"/>
          <w:sz w:val="24"/>
          <w:szCs w:val="24"/>
          <w:lang w:val="en-US" w:eastAsia="zh-CN"/>
        </w:rPr>
        <w:instrText xml:space="preserve"> HYPERLINK \l _Toc28916 </w:instrText>
      </w:r>
      <w:r>
        <w:rPr>
          <w:rFonts w:hint="eastAsia" w:asciiTheme="majorEastAsia" w:hAnsiTheme="majorEastAsia" w:eastAsiaTheme="majorEastAsia" w:cstheme="majorEastAsia"/>
          <w:sz w:val="24"/>
          <w:szCs w:val="24"/>
          <w:lang w:val="en-US" w:eastAsia="zh-CN"/>
        </w:rPr>
        <w:fldChar w:fldCharType="separate"/>
      </w:r>
      <w:r>
        <w:rPr>
          <w:rFonts w:hint="eastAsia" w:asciiTheme="majorEastAsia" w:hAnsiTheme="majorEastAsia" w:eastAsiaTheme="majorEastAsia" w:cstheme="majorEastAsia"/>
          <w:sz w:val="24"/>
          <w:szCs w:val="24"/>
        </w:rPr>
        <w:t xml:space="preserve">十、 </w:t>
      </w:r>
      <w:r>
        <w:rPr>
          <w:rFonts w:hint="eastAsia" w:asciiTheme="majorEastAsia" w:hAnsiTheme="majorEastAsia" w:eastAsiaTheme="majorEastAsia" w:cstheme="majorEastAsia"/>
          <w:sz w:val="24"/>
          <w:szCs w:val="24"/>
          <w:highlight w:val="none"/>
        </w:rPr>
        <w:t>其他重要事项的情况说明</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_Toc28916 \h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14</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lang w:val="en-US" w:eastAsia="zh-CN"/>
        </w:rPr>
        <w:fldChar w:fldCharType="end"/>
      </w:r>
    </w:p>
    <w:p w14:paraId="7A49117E">
      <w:pPr>
        <w:pStyle w:val="17"/>
        <w:keepNext w:val="0"/>
        <w:keepLines w:val="0"/>
        <w:pageBreakBefore w:val="0"/>
        <w:widowControl w:val="0"/>
        <w:tabs>
          <w:tab w:val="right" w:leader="dot" w:pos="8845"/>
          <w:tab w:val="clear" w:pos="8296"/>
        </w:tabs>
        <w:kinsoku/>
        <w:wordWrap/>
        <w:overflowPunct/>
        <w:topLinePunct w:val="0"/>
        <w:autoSpaceDE/>
        <w:autoSpaceDN/>
        <w:bidi w:val="0"/>
        <w:adjustRightInd/>
        <w:snapToGrid/>
        <w:spacing w:before="0" w:line="560" w:lineRule="exac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fldChar w:fldCharType="begin"/>
      </w:r>
      <w:r>
        <w:rPr>
          <w:rFonts w:hint="eastAsia" w:asciiTheme="majorEastAsia" w:hAnsiTheme="majorEastAsia" w:eastAsiaTheme="majorEastAsia" w:cstheme="majorEastAsia"/>
          <w:sz w:val="24"/>
          <w:szCs w:val="24"/>
          <w:lang w:val="en-US" w:eastAsia="zh-CN"/>
        </w:rPr>
        <w:instrText xml:space="preserve"> HYPERLINK \l _Toc1792 </w:instrText>
      </w:r>
      <w:r>
        <w:rPr>
          <w:rFonts w:hint="eastAsia" w:asciiTheme="majorEastAsia" w:hAnsiTheme="majorEastAsia" w:eastAsiaTheme="majorEastAsia" w:cstheme="majorEastAsia"/>
          <w:sz w:val="24"/>
          <w:szCs w:val="24"/>
          <w:lang w:val="en-US" w:eastAsia="zh-CN"/>
        </w:rPr>
        <w:fldChar w:fldCharType="separate"/>
      </w:r>
      <w:r>
        <w:rPr>
          <w:rFonts w:hint="eastAsia" w:asciiTheme="majorEastAsia" w:hAnsiTheme="majorEastAsia" w:eastAsiaTheme="majorEastAsia" w:cstheme="majorEastAsia"/>
          <w:sz w:val="24"/>
          <w:szCs w:val="24"/>
        </w:rPr>
        <w:t xml:space="preserve">第三部分 </w:t>
      </w:r>
      <w:r>
        <w:rPr>
          <w:rFonts w:hint="eastAsia" w:asciiTheme="majorEastAsia" w:hAnsiTheme="majorEastAsia" w:eastAsiaTheme="majorEastAsia" w:cstheme="majorEastAsia"/>
          <w:sz w:val="24"/>
          <w:szCs w:val="24"/>
          <w:highlight w:val="none"/>
        </w:rPr>
        <w:t>名词解释</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_Toc1792 \h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18</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lang w:val="en-US" w:eastAsia="zh-CN"/>
        </w:rPr>
        <w:fldChar w:fldCharType="end"/>
      </w:r>
    </w:p>
    <w:p w14:paraId="20C1B1C0">
      <w:pPr>
        <w:pStyle w:val="17"/>
        <w:keepNext w:val="0"/>
        <w:keepLines w:val="0"/>
        <w:pageBreakBefore w:val="0"/>
        <w:widowControl w:val="0"/>
        <w:tabs>
          <w:tab w:val="right" w:leader="dot" w:pos="8845"/>
          <w:tab w:val="clear" w:pos="8296"/>
        </w:tabs>
        <w:kinsoku/>
        <w:wordWrap/>
        <w:overflowPunct/>
        <w:topLinePunct w:val="0"/>
        <w:autoSpaceDE/>
        <w:autoSpaceDN/>
        <w:bidi w:val="0"/>
        <w:adjustRightInd/>
        <w:snapToGrid/>
        <w:spacing w:before="0" w:line="560" w:lineRule="exac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fldChar w:fldCharType="begin"/>
      </w:r>
      <w:r>
        <w:rPr>
          <w:rFonts w:hint="eastAsia" w:asciiTheme="majorEastAsia" w:hAnsiTheme="majorEastAsia" w:eastAsiaTheme="majorEastAsia" w:cstheme="majorEastAsia"/>
          <w:sz w:val="24"/>
          <w:szCs w:val="24"/>
          <w:lang w:val="en-US" w:eastAsia="zh-CN"/>
        </w:rPr>
        <w:instrText xml:space="preserve"> HYPERLINK \l _Toc7618 </w:instrText>
      </w:r>
      <w:r>
        <w:rPr>
          <w:rFonts w:hint="eastAsia" w:asciiTheme="majorEastAsia" w:hAnsiTheme="majorEastAsia" w:eastAsiaTheme="majorEastAsia" w:cstheme="majorEastAsia"/>
          <w:sz w:val="24"/>
          <w:szCs w:val="24"/>
          <w:lang w:val="en-US" w:eastAsia="zh-CN"/>
        </w:rPr>
        <w:fldChar w:fldCharType="separate"/>
      </w:r>
      <w:r>
        <w:rPr>
          <w:rFonts w:hint="eastAsia" w:asciiTheme="majorEastAsia" w:hAnsiTheme="majorEastAsia" w:eastAsiaTheme="majorEastAsia" w:cstheme="majorEastAsia"/>
          <w:bCs w:val="0"/>
          <w:sz w:val="24"/>
          <w:szCs w:val="24"/>
          <w:lang w:val="en-US" w:eastAsia="zh-CN"/>
        </w:rPr>
        <w:t>第四部分 附件</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_Toc7618 \h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21</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lang w:val="en-US" w:eastAsia="zh-CN"/>
        </w:rPr>
        <w:fldChar w:fldCharType="end"/>
      </w:r>
    </w:p>
    <w:p w14:paraId="6E1E23A4">
      <w:pPr>
        <w:pStyle w:val="17"/>
        <w:keepNext w:val="0"/>
        <w:keepLines w:val="0"/>
        <w:pageBreakBefore w:val="0"/>
        <w:widowControl w:val="0"/>
        <w:tabs>
          <w:tab w:val="right" w:leader="dot" w:pos="8845"/>
          <w:tab w:val="clear" w:pos="8296"/>
        </w:tabs>
        <w:kinsoku/>
        <w:wordWrap/>
        <w:overflowPunct/>
        <w:topLinePunct w:val="0"/>
        <w:autoSpaceDE/>
        <w:autoSpaceDN/>
        <w:bidi w:val="0"/>
        <w:adjustRightInd/>
        <w:snapToGrid/>
        <w:spacing w:before="0" w:line="560" w:lineRule="exac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fldChar w:fldCharType="begin"/>
      </w:r>
      <w:r>
        <w:rPr>
          <w:rFonts w:hint="eastAsia" w:asciiTheme="majorEastAsia" w:hAnsiTheme="majorEastAsia" w:eastAsiaTheme="majorEastAsia" w:cstheme="majorEastAsia"/>
          <w:sz w:val="24"/>
          <w:szCs w:val="24"/>
          <w:lang w:val="en-US" w:eastAsia="zh-CN"/>
        </w:rPr>
        <w:instrText xml:space="preserve"> HYPERLINK \l _Toc22782 </w:instrText>
      </w:r>
      <w:r>
        <w:rPr>
          <w:rFonts w:hint="eastAsia" w:asciiTheme="majorEastAsia" w:hAnsiTheme="majorEastAsia" w:eastAsiaTheme="majorEastAsia" w:cstheme="majorEastAsia"/>
          <w:sz w:val="24"/>
          <w:szCs w:val="24"/>
          <w:lang w:val="en-US" w:eastAsia="zh-CN"/>
        </w:rPr>
        <w:fldChar w:fldCharType="separate"/>
      </w:r>
      <w:r>
        <w:rPr>
          <w:rFonts w:hint="eastAsia" w:asciiTheme="majorEastAsia" w:hAnsiTheme="majorEastAsia" w:eastAsiaTheme="majorEastAsia" w:cstheme="majorEastAsia"/>
          <w:sz w:val="24"/>
          <w:szCs w:val="24"/>
          <w:highlight w:val="none"/>
        </w:rPr>
        <w:t>第五部分 附表</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_Toc22782 \h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161</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lang w:val="en-US" w:eastAsia="zh-CN"/>
        </w:rPr>
        <w:fldChar w:fldCharType="end"/>
      </w:r>
    </w:p>
    <w:p w14:paraId="0B2B94E6">
      <w:pPr>
        <w:pStyle w:val="19"/>
        <w:keepNext w:val="0"/>
        <w:keepLines w:val="0"/>
        <w:pageBreakBefore w:val="0"/>
        <w:widowControl w:val="0"/>
        <w:tabs>
          <w:tab w:val="right" w:leader="dot" w:pos="8845"/>
          <w:tab w:val="clear" w:pos="8296"/>
        </w:tabs>
        <w:kinsoku/>
        <w:wordWrap/>
        <w:overflowPunct/>
        <w:topLinePunct w:val="0"/>
        <w:autoSpaceDE/>
        <w:autoSpaceDN/>
        <w:bidi w:val="0"/>
        <w:adjustRightInd/>
        <w:snapToGrid/>
        <w:spacing w:line="560" w:lineRule="exac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fldChar w:fldCharType="begin"/>
      </w:r>
      <w:r>
        <w:rPr>
          <w:rFonts w:hint="eastAsia" w:asciiTheme="majorEastAsia" w:hAnsiTheme="majorEastAsia" w:eastAsiaTheme="majorEastAsia" w:cstheme="majorEastAsia"/>
          <w:sz w:val="24"/>
          <w:szCs w:val="24"/>
          <w:lang w:val="en-US" w:eastAsia="zh-CN"/>
        </w:rPr>
        <w:instrText xml:space="preserve"> HYPERLINK \l _Toc5945 </w:instrText>
      </w:r>
      <w:r>
        <w:rPr>
          <w:rFonts w:hint="eastAsia" w:asciiTheme="majorEastAsia" w:hAnsiTheme="majorEastAsia" w:eastAsiaTheme="majorEastAsia" w:cstheme="majorEastAsia"/>
          <w:sz w:val="24"/>
          <w:szCs w:val="24"/>
          <w:lang w:val="en-US" w:eastAsia="zh-CN"/>
        </w:rPr>
        <w:fldChar w:fldCharType="separate"/>
      </w:r>
      <w:r>
        <w:rPr>
          <w:rFonts w:hint="eastAsia" w:asciiTheme="majorEastAsia" w:hAnsiTheme="majorEastAsia" w:eastAsiaTheme="majorEastAsia" w:cstheme="majorEastAsia"/>
          <w:sz w:val="24"/>
          <w:szCs w:val="24"/>
          <w:highlight w:val="none"/>
        </w:rPr>
        <w:t>一、收</w:t>
      </w:r>
      <w:r>
        <w:rPr>
          <w:rFonts w:hint="eastAsia" w:asciiTheme="majorEastAsia" w:hAnsiTheme="majorEastAsia" w:eastAsiaTheme="majorEastAsia" w:cstheme="majorEastAsia"/>
          <w:bCs w:val="0"/>
          <w:sz w:val="24"/>
          <w:szCs w:val="24"/>
          <w:highlight w:val="none"/>
        </w:rPr>
        <w:t>入支出决算总表</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_Toc5945 \h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161</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lang w:val="en-US" w:eastAsia="zh-CN"/>
        </w:rPr>
        <w:fldChar w:fldCharType="end"/>
      </w:r>
    </w:p>
    <w:p w14:paraId="5C12C54C">
      <w:pPr>
        <w:pStyle w:val="19"/>
        <w:keepNext w:val="0"/>
        <w:keepLines w:val="0"/>
        <w:pageBreakBefore w:val="0"/>
        <w:widowControl w:val="0"/>
        <w:tabs>
          <w:tab w:val="right" w:leader="dot" w:pos="8845"/>
          <w:tab w:val="clear" w:pos="8296"/>
        </w:tabs>
        <w:kinsoku/>
        <w:wordWrap/>
        <w:overflowPunct/>
        <w:topLinePunct w:val="0"/>
        <w:autoSpaceDE/>
        <w:autoSpaceDN/>
        <w:bidi w:val="0"/>
        <w:adjustRightInd/>
        <w:snapToGrid/>
        <w:spacing w:line="560" w:lineRule="exac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fldChar w:fldCharType="begin"/>
      </w:r>
      <w:r>
        <w:rPr>
          <w:rFonts w:hint="eastAsia" w:asciiTheme="majorEastAsia" w:hAnsiTheme="majorEastAsia" w:eastAsiaTheme="majorEastAsia" w:cstheme="majorEastAsia"/>
          <w:sz w:val="24"/>
          <w:szCs w:val="24"/>
          <w:lang w:val="en-US" w:eastAsia="zh-CN"/>
        </w:rPr>
        <w:instrText xml:space="preserve"> HYPERLINK \l _Toc29024 </w:instrText>
      </w:r>
      <w:r>
        <w:rPr>
          <w:rFonts w:hint="eastAsia" w:asciiTheme="majorEastAsia" w:hAnsiTheme="majorEastAsia" w:eastAsiaTheme="majorEastAsia" w:cstheme="majorEastAsia"/>
          <w:sz w:val="24"/>
          <w:szCs w:val="24"/>
          <w:lang w:val="en-US" w:eastAsia="zh-CN"/>
        </w:rPr>
        <w:fldChar w:fldCharType="separate"/>
      </w:r>
      <w:r>
        <w:rPr>
          <w:rFonts w:hint="eastAsia" w:asciiTheme="majorEastAsia" w:hAnsiTheme="majorEastAsia" w:eastAsiaTheme="majorEastAsia" w:cstheme="majorEastAsia"/>
          <w:sz w:val="24"/>
          <w:szCs w:val="24"/>
          <w:highlight w:val="none"/>
        </w:rPr>
        <w:t>二、收</w:t>
      </w:r>
      <w:r>
        <w:rPr>
          <w:rFonts w:hint="eastAsia" w:asciiTheme="majorEastAsia" w:hAnsiTheme="majorEastAsia" w:eastAsiaTheme="majorEastAsia" w:cstheme="majorEastAsia"/>
          <w:bCs w:val="0"/>
          <w:sz w:val="24"/>
          <w:szCs w:val="24"/>
          <w:highlight w:val="none"/>
        </w:rPr>
        <w:t>入决算表</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_Toc29024 \h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161</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lang w:val="en-US" w:eastAsia="zh-CN"/>
        </w:rPr>
        <w:fldChar w:fldCharType="end"/>
      </w:r>
    </w:p>
    <w:p w14:paraId="3736A86A">
      <w:pPr>
        <w:pStyle w:val="19"/>
        <w:keepNext w:val="0"/>
        <w:keepLines w:val="0"/>
        <w:pageBreakBefore w:val="0"/>
        <w:widowControl w:val="0"/>
        <w:tabs>
          <w:tab w:val="right" w:leader="dot" w:pos="8845"/>
          <w:tab w:val="clear" w:pos="8296"/>
        </w:tabs>
        <w:kinsoku/>
        <w:wordWrap/>
        <w:overflowPunct/>
        <w:topLinePunct w:val="0"/>
        <w:autoSpaceDE/>
        <w:autoSpaceDN/>
        <w:bidi w:val="0"/>
        <w:adjustRightInd/>
        <w:snapToGrid/>
        <w:spacing w:line="560" w:lineRule="exac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fldChar w:fldCharType="begin"/>
      </w:r>
      <w:r>
        <w:rPr>
          <w:rFonts w:hint="eastAsia" w:asciiTheme="majorEastAsia" w:hAnsiTheme="majorEastAsia" w:eastAsiaTheme="majorEastAsia" w:cstheme="majorEastAsia"/>
          <w:sz w:val="24"/>
          <w:szCs w:val="24"/>
          <w:lang w:val="en-US" w:eastAsia="zh-CN"/>
        </w:rPr>
        <w:instrText xml:space="preserve"> HYPERLINK \l _Toc5139 </w:instrText>
      </w:r>
      <w:r>
        <w:rPr>
          <w:rFonts w:hint="eastAsia" w:asciiTheme="majorEastAsia" w:hAnsiTheme="majorEastAsia" w:eastAsiaTheme="majorEastAsia" w:cstheme="majorEastAsia"/>
          <w:sz w:val="24"/>
          <w:szCs w:val="24"/>
          <w:lang w:val="en-US" w:eastAsia="zh-CN"/>
        </w:rPr>
        <w:fldChar w:fldCharType="separate"/>
      </w:r>
      <w:r>
        <w:rPr>
          <w:rFonts w:hint="eastAsia" w:asciiTheme="majorEastAsia" w:hAnsiTheme="majorEastAsia" w:eastAsiaTheme="majorEastAsia" w:cstheme="majorEastAsia"/>
          <w:bCs w:val="0"/>
          <w:sz w:val="24"/>
          <w:szCs w:val="24"/>
          <w:highlight w:val="none"/>
        </w:rPr>
        <w:t>三、</w:t>
      </w:r>
      <w:r>
        <w:rPr>
          <w:rFonts w:hint="eastAsia" w:asciiTheme="majorEastAsia" w:hAnsiTheme="majorEastAsia" w:eastAsiaTheme="majorEastAsia" w:cstheme="majorEastAsia"/>
          <w:sz w:val="24"/>
          <w:szCs w:val="24"/>
          <w:highlight w:val="none"/>
        </w:rPr>
        <w:t>支</w:t>
      </w:r>
      <w:r>
        <w:rPr>
          <w:rFonts w:hint="eastAsia" w:asciiTheme="majorEastAsia" w:hAnsiTheme="majorEastAsia" w:eastAsiaTheme="majorEastAsia" w:cstheme="majorEastAsia"/>
          <w:bCs w:val="0"/>
          <w:sz w:val="24"/>
          <w:szCs w:val="24"/>
          <w:highlight w:val="none"/>
        </w:rPr>
        <w:t>出决算表</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_Toc5139 \h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161</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lang w:val="en-US" w:eastAsia="zh-CN"/>
        </w:rPr>
        <w:fldChar w:fldCharType="end"/>
      </w:r>
    </w:p>
    <w:p w14:paraId="5FA4CCCC">
      <w:pPr>
        <w:pStyle w:val="19"/>
        <w:keepNext w:val="0"/>
        <w:keepLines w:val="0"/>
        <w:pageBreakBefore w:val="0"/>
        <w:widowControl w:val="0"/>
        <w:tabs>
          <w:tab w:val="right" w:leader="dot" w:pos="8845"/>
          <w:tab w:val="clear" w:pos="8296"/>
        </w:tabs>
        <w:kinsoku/>
        <w:wordWrap/>
        <w:overflowPunct/>
        <w:topLinePunct w:val="0"/>
        <w:autoSpaceDE/>
        <w:autoSpaceDN/>
        <w:bidi w:val="0"/>
        <w:adjustRightInd/>
        <w:snapToGrid/>
        <w:spacing w:line="560" w:lineRule="exac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fldChar w:fldCharType="begin"/>
      </w:r>
      <w:r>
        <w:rPr>
          <w:rFonts w:hint="eastAsia" w:asciiTheme="majorEastAsia" w:hAnsiTheme="majorEastAsia" w:eastAsiaTheme="majorEastAsia" w:cstheme="majorEastAsia"/>
          <w:sz w:val="24"/>
          <w:szCs w:val="24"/>
          <w:lang w:val="en-US" w:eastAsia="zh-CN"/>
        </w:rPr>
        <w:instrText xml:space="preserve"> HYPERLINK \l _Toc2419 </w:instrText>
      </w:r>
      <w:r>
        <w:rPr>
          <w:rFonts w:hint="eastAsia" w:asciiTheme="majorEastAsia" w:hAnsiTheme="majorEastAsia" w:eastAsiaTheme="majorEastAsia" w:cstheme="majorEastAsia"/>
          <w:sz w:val="24"/>
          <w:szCs w:val="24"/>
          <w:lang w:val="en-US" w:eastAsia="zh-CN"/>
        </w:rPr>
        <w:fldChar w:fldCharType="separate"/>
      </w:r>
      <w:r>
        <w:rPr>
          <w:rFonts w:hint="eastAsia" w:asciiTheme="majorEastAsia" w:hAnsiTheme="majorEastAsia" w:eastAsiaTheme="majorEastAsia" w:cstheme="majorEastAsia"/>
          <w:bCs w:val="0"/>
          <w:sz w:val="24"/>
          <w:szCs w:val="24"/>
          <w:highlight w:val="none"/>
        </w:rPr>
        <w:t>四、</w:t>
      </w:r>
      <w:r>
        <w:rPr>
          <w:rFonts w:hint="eastAsia" w:asciiTheme="majorEastAsia" w:hAnsiTheme="majorEastAsia" w:eastAsiaTheme="majorEastAsia" w:cstheme="majorEastAsia"/>
          <w:sz w:val="24"/>
          <w:szCs w:val="24"/>
          <w:highlight w:val="none"/>
        </w:rPr>
        <w:t>财</w:t>
      </w:r>
      <w:r>
        <w:rPr>
          <w:rFonts w:hint="eastAsia" w:asciiTheme="majorEastAsia" w:hAnsiTheme="majorEastAsia" w:eastAsiaTheme="majorEastAsia" w:cstheme="majorEastAsia"/>
          <w:bCs w:val="0"/>
          <w:sz w:val="24"/>
          <w:szCs w:val="24"/>
          <w:highlight w:val="none"/>
        </w:rPr>
        <w:t>政拨款收入支出决算总表</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_Toc2419 \h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161</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lang w:val="en-US" w:eastAsia="zh-CN"/>
        </w:rPr>
        <w:fldChar w:fldCharType="end"/>
      </w:r>
    </w:p>
    <w:p w14:paraId="37DEF4CB">
      <w:pPr>
        <w:pStyle w:val="19"/>
        <w:keepNext w:val="0"/>
        <w:keepLines w:val="0"/>
        <w:pageBreakBefore w:val="0"/>
        <w:widowControl w:val="0"/>
        <w:tabs>
          <w:tab w:val="right" w:leader="dot" w:pos="8845"/>
          <w:tab w:val="clear" w:pos="8296"/>
        </w:tabs>
        <w:kinsoku/>
        <w:wordWrap/>
        <w:overflowPunct/>
        <w:topLinePunct w:val="0"/>
        <w:autoSpaceDE/>
        <w:autoSpaceDN/>
        <w:bidi w:val="0"/>
        <w:adjustRightInd/>
        <w:snapToGrid/>
        <w:spacing w:line="560" w:lineRule="exac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fldChar w:fldCharType="begin"/>
      </w:r>
      <w:r>
        <w:rPr>
          <w:rFonts w:hint="eastAsia" w:asciiTheme="majorEastAsia" w:hAnsiTheme="majorEastAsia" w:eastAsiaTheme="majorEastAsia" w:cstheme="majorEastAsia"/>
          <w:sz w:val="24"/>
          <w:szCs w:val="24"/>
          <w:lang w:val="en-US" w:eastAsia="zh-CN"/>
        </w:rPr>
        <w:instrText xml:space="preserve"> HYPERLINK \l _Toc32278 </w:instrText>
      </w:r>
      <w:r>
        <w:rPr>
          <w:rFonts w:hint="eastAsia" w:asciiTheme="majorEastAsia" w:hAnsiTheme="majorEastAsia" w:eastAsiaTheme="majorEastAsia" w:cstheme="majorEastAsia"/>
          <w:sz w:val="24"/>
          <w:szCs w:val="24"/>
          <w:lang w:val="en-US" w:eastAsia="zh-CN"/>
        </w:rPr>
        <w:fldChar w:fldCharType="separate"/>
      </w:r>
      <w:r>
        <w:rPr>
          <w:rFonts w:hint="eastAsia" w:asciiTheme="majorEastAsia" w:hAnsiTheme="majorEastAsia" w:eastAsiaTheme="majorEastAsia" w:cstheme="majorEastAsia"/>
          <w:bCs w:val="0"/>
          <w:sz w:val="24"/>
          <w:szCs w:val="24"/>
          <w:highlight w:val="none"/>
        </w:rPr>
        <w:t>五、</w:t>
      </w:r>
      <w:r>
        <w:rPr>
          <w:rFonts w:hint="eastAsia" w:asciiTheme="majorEastAsia" w:hAnsiTheme="majorEastAsia" w:eastAsiaTheme="majorEastAsia" w:cstheme="majorEastAsia"/>
          <w:sz w:val="24"/>
          <w:szCs w:val="24"/>
          <w:highlight w:val="none"/>
        </w:rPr>
        <w:t>财</w:t>
      </w:r>
      <w:r>
        <w:rPr>
          <w:rFonts w:hint="eastAsia" w:asciiTheme="majorEastAsia" w:hAnsiTheme="majorEastAsia" w:eastAsiaTheme="majorEastAsia" w:cstheme="majorEastAsia"/>
          <w:bCs w:val="0"/>
          <w:sz w:val="24"/>
          <w:szCs w:val="24"/>
          <w:highlight w:val="none"/>
        </w:rPr>
        <w:t>政拨款支出决算明细表</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_Toc32278 \h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161</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lang w:val="en-US" w:eastAsia="zh-CN"/>
        </w:rPr>
        <w:fldChar w:fldCharType="end"/>
      </w:r>
    </w:p>
    <w:p w14:paraId="44826F73">
      <w:pPr>
        <w:pStyle w:val="19"/>
        <w:keepNext w:val="0"/>
        <w:keepLines w:val="0"/>
        <w:pageBreakBefore w:val="0"/>
        <w:widowControl w:val="0"/>
        <w:tabs>
          <w:tab w:val="right" w:leader="dot" w:pos="8845"/>
          <w:tab w:val="clear" w:pos="8296"/>
        </w:tabs>
        <w:kinsoku/>
        <w:wordWrap/>
        <w:overflowPunct/>
        <w:topLinePunct w:val="0"/>
        <w:autoSpaceDE/>
        <w:autoSpaceDN/>
        <w:bidi w:val="0"/>
        <w:adjustRightInd/>
        <w:snapToGrid/>
        <w:spacing w:line="560" w:lineRule="exac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fldChar w:fldCharType="begin"/>
      </w:r>
      <w:r>
        <w:rPr>
          <w:rFonts w:hint="eastAsia" w:asciiTheme="majorEastAsia" w:hAnsiTheme="majorEastAsia" w:eastAsiaTheme="majorEastAsia" w:cstheme="majorEastAsia"/>
          <w:sz w:val="24"/>
          <w:szCs w:val="24"/>
          <w:lang w:val="en-US" w:eastAsia="zh-CN"/>
        </w:rPr>
        <w:instrText xml:space="preserve"> HYPERLINK \l _Toc6740 </w:instrText>
      </w:r>
      <w:r>
        <w:rPr>
          <w:rFonts w:hint="eastAsia" w:asciiTheme="majorEastAsia" w:hAnsiTheme="majorEastAsia" w:eastAsiaTheme="majorEastAsia" w:cstheme="majorEastAsia"/>
          <w:sz w:val="24"/>
          <w:szCs w:val="24"/>
          <w:lang w:val="en-US" w:eastAsia="zh-CN"/>
        </w:rPr>
        <w:fldChar w:fldCharType="separate"/>
      </w:r>
      <w:r>
        <w:rPr>
          <w:rFonts w:hint="eastAsia" w:asciiTheme="majorEastAsia" w:hAnsiTheme="majorEastAsia" w:eastAsiaTheme="majorEastAsia" w:cstheme="majorEastAsia"/>
          <w:bCs w:val="0"/>
          <w:sz w:val="24"/>
          <w:szCs w:val="24"/>
          <w:highlight w:val="none"/>
        </w:rPr>
        <w:t>六、</w:t>
      </w:r>
      <w:r>
        <w:rPr>
          <w:rFonts w:hint="eastAsia" w:asciiTheme="majorEastAsia" w:hAnsiTheme="majorEastAsia" w:eastAsiaTheme="majorEastAsia" w:cstheme="majorEastAsia"/>
          <w:sz w:val="24"/>
          <w:szCs w:val="24"/>
          <w:highlight w:val="none"/>
        </w:rPr>
        <w:t>一</w:t>
      </w:r>
      <w:r>
        <w:rPr>
          <w:rFonts w:hint="eastAsia" w:asciiTheme="majorEastAsia" w:hAnsiTheme="majorEastAsia" w:eastAsiaTheme="majorEastAsia" w:cstheme="majorEastAsia"/>
          <w:bCs w:val="0"/>
          <w:sz w:val="24"/>
          <w:szCs w:val="24"/>
          <w:highlight w:val="none"/>
        </w:rPr>
        <w:t>般公共预算财政拨款支出决算表</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_Toc6740 \h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161</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lang w:val="en-US" w:eastAsia="zh-CN"/>
        </w:rPr>
        <w:fldChar w:fldCharType="end"/>
      </w:r>
    </w:p>
    <w:p w14:paraId="54BA9F76">
      <w:pPr>
        <w:pStyle w:val="19"/>
        <w:keepNext w:val="0"/>
        <w:keepLines w:val="0"/>
        <w:pageBreakBefore w:val="0"/>
        <w:widowControl w:val="0"/>
        <w:tabs>
          <w:tab w:val="right" w:leader="dot" w:pos="8845"/>
          <w:tab w:val="clear" w:pos="8296"/>
        </w:tabs>
        <w:kinsoku/>
        <w:wordWrap/>
        <w:overflowPunct/>
        <w:topLinePunct w:val="0"/>
        <w:autoSpaceDE/>
        <w:autoSpaceDN/>
        <w:bidi w:val="0"/>
        <w:adjustRightInd/>
        <w:snapToGrid/>
        <w:spacing w:line="560" w:lineRule="exac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fldChar w:fldCharType="begin"/>
      </w:r>
      <w:r>
        <w:rPr>
          <w:rFonts w:hint="eastAsia" w:asciiTheme="majorEastAsia" w:hAnsiTheme="majorEastAsia" w:eastAsiaTheme="majorEastAsia" w:cstheme="majorEastAsia"/>
          <w:sz w:val="24"/>
          <w:szCs w:val="24"/>
          <w:lang w:val="en-US" w:eastAsia="zh-CN"/>
        </w:rPr>
        <w:instrText xml:space="preserve"> HYPERLINK \l _Toc11736 </w:instrText>
      </w:r>
      <w:r>
        <w:rPr>
          <w:rFonts w:hint="eastAsia" w:asciiTheme="majorEastAsia" w:hAnsiTheme="majorEastAsia" w:eastAsiaTheme="majorEastAsia" w:cstheme="majorEastAsia"/>
          <w:sz w:val="24"/>
          <w:szCs w:val="24"/>
          <w:lang w:val="en-US" w:eastAsia="zh-CN"/>
        </w:rPr>
        <w:fldChar w:fldCharType="separate"/>
      </w:r>
      <w:r>
        <w:rPr>
          <w:rFonts w:hint="eastAsia" w:asciiTheme="majorEastAsia" w:hAnsiTheme="majorEastAsia" w:eastAsiaTheme="majorEastAsia" w:cstheme="majorEastAsia"/>
          <w:bCs w:val="0"/>
          <w:sz w:val="24"/>
          <w:szCs w:val="24"/>
          <w:highlight w:val="none"/>
        </w:rPr>
        <w:t>七、</w:t>
      </w:r>
      <w:r>
        <w:rPr>
          <w:rFonts w:hint="eastAsia" w:asciiTheme="majorEastAsia" w:hAnsiTheme="majorEastAsia" w:eastAsiaTheme="majorEastAsia" w:cstheme="majorEastAsia"/>
          <w:sz w:val="24"/>
          <w:szCs w:val="24"/>
          <w:highlight w:val="none"/>
        </w:rPr>
        <w:t>一</w:t>
      </w:r>
      <w:r>
        <w:rPr>
          <w:rFonts w:hint="eastAsia" w:asciiTheme="majorEastAsia" w:hAnsiTheme="majorEastAsia" w:eastAsiaTheme="majorEastAsia" w:cstheme="majorEastAsia"/>
          <w:bCs w:val="0"/>
          <w:sz w:val="24"/>
          <w:szCs w:val="24"/>
          <w:highlight w:val="none"/>
        </w:rPr>
        <w:t>般公共预算财政拨款支出决算明细表</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_Toc11736 \h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161</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lang w:val="en-US" w:eastAsia="zh-CN"/>
        </w:rPr>
        <w:fldChar w:fldCharType="end"/>
      </w:r>
    </w:p>
    <w:p w14:paraId="51FEC47D">
      <w:pPr>
        <w:pStyle w:val="19"/>
        <w:keepNext w:val="0"/>
        <w:keepLines w:val="0"/>
        <w:pageBreakBefore w:val="0"/>
        <w:widowControl w:val="0"/>
        <w:tabs>
          <w:tab w:val="right" w:leader="dot" w:pos="8845"/>
          <w:tab w:val="clear" w:pos="8296"/>
        </w:tabs>
        <w:kinsoku/>
        <w:wordWrap/>
        <w:overflowPunct/>
        <w:topLinePunct w:val="0"/>
        <w:autoSpaceDE/>
        <w:autoSpaceDN/>
        <w:bidi w:val="0"/>
        <w:adjustRightInd/>
        <w:snapToGrid/>
        <w:spacing w:line="560" w:lineRule="exac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fldChar w:fldCharType="begin"/>
      </w:r>
      <w:r>
        <w:rPr>
          <w:rFonts w:hint="eastAsia" w:asciiTheme="majorEastAsia" w:hAnsiTheme="majorEastAsia" w:eastAsiaTheme="majorEastAsia" w:cstheme="majorEastAsia"/>
          <w:sz w:val="24"/>
          <w:szCs w:val="24"/>
          <w:lang w:val="en-US" w:eastAsia="zh-CN"/>
        </w:rPr>
        <w:instrText xml:space="preserve"> HYPERLINK \l _Toc30338 </w:instrText>
      </w:r>
      <w:r>
        <w:rPr>
          <w:rFonts w:hint="eastAsia" w:asciiTheme="majorEastAsia" w:hAnsiTheme="majorEastAsia" w:eastAsiaTheme="majorEastAsia" w:cstheme="majorEastAsia"/>
          <w:sz w:val="24"/>
          <w:szCs w:val="24"/>
          <w:lang w:val="en-US" w:eastAsia="zh-CN"/>
        </w:rPr>
        <w:fldChar w:fldCharType="separate"/>
      </w:r>
      <w:r>
        <w:rPr>
          <w:rFonts w:hint="eastAsia" w:asciiTheme="majorEastAsia" w:hAnsiTheme="majorEastAsia" w:eastAsiaTheme="majorEastAsia" w:cstheme="majorEastAsia"/>
          <w:bCs w:val="0"/>
          <w:sz w:val="24"/>
          <w:szCs w:val="24"/>
          <w:highlight w:val="none"/>
        </w:rPr>
        <w:t>八、</w:t>
      </w:r>
      <w:r>
        <w:rPr>
          <w:rFonts w:hint="eastAsia" w:asciiTheme="majorEastAsia" w:hAnsiTheme="majorEastAsia" w:eastAsiaTheme="majorEastAsia" w:cstheme="majorEastAsia"/>
          <w:sz w:val="24"/>
          <w:szCs w:val="24"/>
          <w:highlight w:val="none"/>
        </w:rPr>
        <w:t>一</w:t>
      </w:r>
      <w:r>
        <w:rPr>
          <w:rFonts w:hint="eastAsia" w:asciiTheme="majorEastAsia" w:hAnsiTheme="majorEastAsia" w:eastAsiaTheme="majorEastAsia" w:cstheme="majorEastAsia"/>
          <w:bCs w:val="0"/>
          <w:sz w:val="24"/>
          <w:szCs w:val="24"/>
          <w:highlight w:val="none"/>
        </w:rPr>
        <w:t>般公共预算财政拨款基本支出决算表</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_Toc30338 \h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161</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lang w:val="en-US" w:eastAsia="zh-CN"/>
        </w:rPr>
        <w:fldChar w:fldCharType="end"/>
      </w:r>
    </w:p>
    <w:p w14:paraId="7CE30891">
      <w:pPr>
        <w:pStyle w:val="19"/>
        <w:keepNext w:val="0"/>
        <w:keepLines w:val="0"/>
        <w:pageBreakBefore w:val="0"/>
        <w:widowControl w:val="0"/>
        <w:tabs>
          <w:tab w:val="right" w:leader="dot" w:pos="8845"/>
          <w:tab w:val="clear" w:pos="8296"/>
        </w:tabs>
        <w:kinsoku/>
        <w:wordWrap/>
        <w:overflowPunct/>
        <w:topLinePunct w:val="0"/>
        <w:autoSpaceDE/>
        <w:autoSpaceDN/>
        <w:bidi w:val="0"/>
        <w:adjustRightInd/>
        <w:snapToGrid/>
        <w:spacing w:line="560" w:lineRule="exac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fldChar w:fldCharType="begin"/>
      </w:r>
      <w:r>
        <w:rPr>
          <w:rFonts w:hint="eastAsia" w:asciiTheme="majorEastAsia" w:hAnsiTheme="majorEastAsia" w:eastAsiaTheme="majorEastAsia" w:cstheme="majorEastAsia"/>
          <w:sz w:val="24"/>
          <w:szCs w:val="24"/>
          <w:lang w:val="en-US" w:eastAsia="zh-CN"/>
        </w:rPr>
        <w:instrText xml:space="preserve"> HYPERLINK \l _Toc7957 </w:instrText>
      </w:r>
      <w:r>
        <w:rPr>
          <w:rFonts w:hint="eastAsia" w:asciiTheme="majorEastAsia" w:hAnsiTheme="majorEastAsia" w:eastAsiaTheme="majorEastAsia" w:cstheme="majorEastAsia"/>
          <w:sz w:val="24"/>
          <w:szCs w:val="24"/>
          <w:lang w:val="en-US" w:eastAsia="zh-CN"/>
        </w:rPr>
        <w:fldChar w:fldCharType="separate"/>
      </w:r>
      <w:r>
        <w:rPr>
          <w:rFonts w:hint="eastAsia" w:asciiTheme="majorEastAsia" w:hAnsiTheme="majorEastAsia" w:eastAsiaTheme="majorEastAsia" w:cstheme="majorEastAsia"/>
          <w:bCs w:val="0"/>
          <w:sz w:val="24"/>
          <w:szCs w:val="24"/>
          <w:highlight w:val="none"/>
        </w:rPr>
        <w:t>九、</w:t>
      </w:r>
      <w:r>
        <w:rPr>
          <w:rFonts w:hint="eastAsia" w:asciiTheme="majorEastAsia" w:hAnsiTheme="majorEastAsia" w:eastAsiaTheme="majorEastAsia" w:cstheme="majorEastAsia"/>
          <w:sz w:val="24"/>
          <w:szCs w:val="24"/>
          <w:highlight w:val="none"/>
        </w:rPr>
        <w:t>一</w:t>
      </w:r>
      <w:r>
        <w:rPr>
          <w:rFonts w:hint="eastAsia" w:asciiTheme="majorEastAsia" w:hAnsiTheme="majorEastAsia" w:eastAsiaTheme="majorEastAsia" w:cstheme="majorEastAsia"/>
          <w:bCs w:val="0"/>
          <w:sz w:val="24"/>
          <w:szCs w:val="24"/>
          <w:highlight w:val="none"/>
        </w:rPr>
        <w:t>般公共预算财政拨款项目支出决算表</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_Toc7957 \h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161</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lang w:val="en-US" w:eastAsia="zh-CN"/>
        </w:rPr>
        <w:fldChar w:fldCharType="end"/>
      </w:r>
    </w:p>
    <w:p w14:paraId="67863E57">
      <w:pPr>
        <w:pStyle w:val="19"/>
        <w:keepNext w:val="0"/>
        <w:keepLines w:val="0"/>
        <w:pageBreakBefore w:val="0"/>
        <w:widowControl w:val="0"/>
        <w:tabs>
          <w:tab w:val="right" w:leader="dot" w:pos="8845"/>
          <w:tab w:val="clear" w:pos="8296"/>
        </w:tabs>
        <w:kinsoku/>
        <w:wordWrap/>
        <w:overflowPunct/>
        <w:topLinePunct w:val="0"/>
        <w:autoSpaceDE/>
        <w:autoSpaceDN/>
        <w:bidi w:val="0"/>
        <w:adjustRightInd/>
        <w:snapToGrid/>
        <w:spacing w:line="560" w:lineRule="exac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fldChar w:fldCharType="begin"/>
      </w:r>
      <w:r>
        <w:rPr>
          <w:rFonts w:hint="eastAsia" w:asciiTheme="majorEastAsia" w:hAnsiTheme="majorEastAsia" w:eastAsiaTheme="majorEastAsia" w:cstheme="majorEastAsia"/>
          <w:sz w:val="24"/>
          <w:szCs w:val="24"/>
          <w:lang w:val="en-US" w:eastAsia="zh-CN"/>
        </w:rPr>
        <w:instrText xml:space="preserve"> HYPERLINK \l _Toc14620 </w:instrText>
      </w:r>
      <w:r>
        <w:rPr>
          <w:rFonts w:hint="eastAsia" w:asciiTheme="majorEastAsia" w:hAnsiTheme="majorEastAsia" w:eastAsiaTheme="majorEastAsia" w:cstheme="majorEastAsia"/>
          <w:sz w:val="24"/>
          <w:szCs w:val="24"/>
          <w:lang w:val="en-US" w:eastAsia="zh-CN"/>
        </w:rPr>
        <w:fldChar w:fldCharType="separate"/>
      </w:r>
      <w:r>
        <w:rPr>
          <w:rFonts w:hint="eastAsia" w:asciiTheme="majorEastAsia" w:hAnsiTheme="majorEastAsia" w:eastAsiaTheme="majorEastAsia" w:cstheme="majorEastAsia"/>
          <w:bCs w:val="0"/>
          <w:sz w:val="24"/>
          <w:szCs w:val="24"/>
          <w:highlight w:val="none"/>
        </w:rPr>
        <w:t>十、</w:t>
      </w:r>
      <w:r>
        <w:rPr>
          <w:rFonts w:hint="eastAsia" w:asciiTheme="majorEastAsia" w:hAnsiTheme="majorEastAsia" w:eastAsiaTheme="majorEastAsia" w:cstheme="majorEastAsia"/>
          <w:sz w:val="24"/>
          <w:szCs w:val="24"/>
          <w:highlight w:val="none"/>
        </w:rPr>
        <w:t>政</w:t>
      </w:r>
      <w:r>
        <w:rPr>
          <w:rFonts w:hint="eastAsia" w:asciiTheme="majorEastAsia" w:hAnsiTheme="majorEastAsia" w:eastAsiaTheme="majorEastAsia" w:cstheme="majorEastAsia"/>
          <w:bCs w:val="0"/>
          <w:sz w:val="24"/>
          <w:szCs w:val="24"/>
          <w:highlight w:val="none"/>
        </w:rPr>
        <w:t>府性基金预算财政拨款收入支出决算表</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_Toc14620 \h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161</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lang w:val="en-US" w:eastAsia="zh-CN"/>
        </w:rPr>
        <w:fldChar w:fldCharType="end"/>
      </w:r>
    </w:p>
    <w:p w14:paraId="0043303D">
      <w:pPr>
        <w:pStyle w:val="19"/>
        <w:keepNext w:val="0"/>
        <w:keepLines w:val="0"/>
        <w:pageBreakBefore w:val="0"/>
        <w:widowControl w:val="0"/>
        <w:tabs>
          <w:tab w:val="right" w:leader="dot" w:pos="8845"/>
          <w:tab w:val="clear" w:pos="8296"/>
        </w:tabs>
        <w:kinsoku/>
        <w:wordWrap/>
        <w:overflowPunct/>
        <w:topLinePunct w:val="0"/>
        <w:autoSpaceDE/>
        <w:autoSpaceDN/>
        <w:bidi w:val="0"/>
        <w:adjustRightInd/>
        <w:snapToGrid/>
        <w:spacing w:line="560" w:lineRule="exac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fldChar w:fldCharType="begin"/>
      </w:r>
      <w:r>
        <w:rPr>
          <w:rFonts w:hint="eastAsia" w:asciiTheme="majorEastAsia" w:hAnsiTheme="majorEastAsia" w:eastAsiaTheme="majorEastAsia" w:cstheme="majorEastAsia"/>
          <w:sz w:val="24"/>
          <w:szCs w:val="24"/>
          <w:lang w:val="en-US" w:eastAsia="zh-CN"/>
        </w:rPr>
        <w:instrText xml:space="preserve"> HYPERLINK \l _Toc7542 </w:instrText>
      </w:r>
      <w:r>
        <w:rPr>
          <w:rFonts w:hint="eastAsia" w:asciiTheme="majorEastAsia" w:hAnsiTheme="majorEastAsia" w:eastAsiaTheme="majorEastAsia" w:cstheme="majorEastAsia"/>
          <w:sz w:val="24"/>
          <w:szCs w:val="24"/>
          <w:lang w:val="en-US" w:eastAsia="zh-CN"/>
        </w:rPr>
        <w:fldChar w:fldCharType="separate"/>
      </w:r>
      <w:r>
        <w:rPr>
          <w:rFonts w:hint="eastAsia" w:asciiTheme="majorEastAsia" w:hAnsiTheme="majorEastAsia" w:eastAsiaTheme="majorEastAsia" w:cstheme="majorEastAsia"/>
          <w:bCs w:val="0"/>
          <w:sz w:val="24"/>
          <w:szCs w:val="24"/>
          <w:highlight w:val="none"/>
        </w:rPr>
        <w:t>十一、</w:t>
      </w:r>
      <w:r>
        <w:rPr>
          <w:rFonts w:hint="eastAsia" w:asciiTheme="majorEastAsia" w:hAnsiTheme="majorEastAsia" w:eastAsiaTheme="majorEastAsia" w:cstheme="majorEastAsia"/>
          <w:sz w:val="24"/>
          <w:szCs w:val="24"/>
          <w:highlight w:val="none"/>
        </w:rPr>
        <w:t>国</w:t>
      </w:r>
      <w:r>
        <w:rPr>
          <w:rFonts w:hint="eastAsia" w:asciiTheme="majorEastAsia" w:hAnsiTheme="majorEastAsia" w:eastAsiaTheme="majorEastAsia" w:cstheme="majorEastAsia"/>
          <w:bCs w:val="0"/>
          <w:sz w:val="24"/>
          <w:szCs w:val="24"/>
          <w:highlight w:val="none"/>
        </w:rPr>
        <w:t>有资本经营预算</w:t>
      </w:r>
      <w:r>
        <w:rPr>
          <w:rFonts w:hint="eastAsia" w:asciiTheme="majorEastAsia" w:hAnsiTheme="majorEastAsia" w:eastAsiaTheme="majorEastAsia" w:cstheme="majorEastAsia"/>
          <w:bCs w:val="0"/>
          <w:sz w:val="24"/>
          <w:szCs w:val="24"/>
          <w:highlight w:val="none"/>
          <w:lang w:eastAsia="zh-CN"/>
        </w:rPr>
        <w:t>财政拨款收入</w:t>
      </w:r>
      <w:r>
        <w:rPr>
          <w:rFonts w:hint="eastAsia" w:asciiTheme="majorEastAsia" w:hAnsiTheme="majorEastAsia" w:eastAsiaTheme="majorEastAsia" w:cstheme="majorEastAsia"/>
          <w:bCs w:val="0"/>
          <w:sz w:val="24"/>
          <w:szCs w:val="24"/>
          <w:highlight w:val="none"/>
        </w:rPr>
        <w:t>支出决算表</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_Toc7542 \h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161</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lang w:val="en-US" w:eastAsia="zh-CN"/>
        </w:rPr>
        <w:fldChar w:fldCharType="end"/>
      </w:r>
    </w:p>
    <w:p w14:paraId="713D92EA">
      <w:pPr>
        <w:pStyle w:val="19"/>
        <w:keepNext w:val="0"/>
        <w:keepLines w:val="0"/>
        <w:pageBreakBefore w:val="0"/>
        <w:widowControl w:val="0"/>
        <w:tabs>
          <w:tab w:val="right" w:leader="dot" w:pos="8845"/>
          <w:tab w:val="clear" w:pos="8296"/>
        </w:tabs>
        <w:kinsoku/>
        <w:wordWrap/>
        <w:overflowPunct/>
        <w:topLinePunct w:val="0"/>
        <w:autoSpaceDE/>
        <w:autoSpaceDN/>
        <w:bidi w:val="0"/>
        <w:adjustRightInd/>
        <w:snapToGrid/>
        <w:spacing w:line="560" w:lineRule="exac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fldChar w:fldCharType="begin"/>
      </w:r>
      <w:r>
        <w:rPr>
          <w:rFonts w:hint="eastAsia" w:asciiTheme="majorEastAsia" w:hAnsiTheme="majorEastAsia" w:eastAsiaTheme="majorEastAsia" w:cstheme="majorEastAsia"/>
          <w:sz w:val="24"/>
          <w:szCs w:val="24"/>
          <w:lang w:val="en-US" w:eastAsia="zh-CN"/>
        </w:rPr>
        <w:instrText xml:space="preserve"> HYPERLINK \l _Toc20485 </w:instrText>
      </w:r>
      <w:r>
        <w:rPr>
          <w:rFonts w:hint="eastAsia" w:asciiTheme="majorEastAsia" w:hAnsiTheme="majorEastAsia" w:eastAsiaTheme="majorEastAsia" w:cstheme="majorEastAsia"/>
          <w:sz w:val="24"/>
          <w:szCs w:val="24"/>
          <w:lang w:val="en-US" w:eastAsia="zh-CN"/>
        </w:rPr>
        <w:fldChar w:fldCharType="separate"/>
      </w:r>
      <w:r>
        <w:rPr>
          <w:rFonts w:hint="eastAsia" w:asciiTheme="majorEastAsia" w:hAnsiTheme="majorEastAsia" w:eastAsiaTheme="majorEastAsia" w:cstheme="majorEastAsia"/>
          <w:bCs w:val="0"/>
          <w:sz w:val="24"/>
          <w:szCs w:val="24"/>
          <w:highlight w:val="none"/>
        </w:rPr>
        <w:t>十二、</w:t>
      </w:r>
      <w:r>
        <w:rPr>
          <w:rFonts w:hint="eastAsia" w:asciiTheme="majorEastAsia" w:hAnsiTheme="majorEastAsia" w:eastAsiaTheme="majorEastAsia" w:cstheme="majorEastAsia"/>
          <w:bCs w:val="0"/>
          <w:sz w:val="24"/>
          <w:szCs w:val="24"/>
          <w:highlight w:val="none"/>
          <w:lang w:eastAsia="zh-CN"/>
        </w:rPr>
        <w:t>国有资本经营预算财政拨款支出决算表</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_Toc20485 \h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161</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lang w:val="en-US" w:eastAsia="zh-CN"/>
        </w:rPr>
        <w:fldChar w:fldCharType="end"/>
      </w:r>
    </w:p>
    <w:p w14:paraId="752AC2B3">
      <w:pPr>
        <w:pStyle w:val="19"/>
        <w:keepNext w:val="0"/>
        <w:keepLines w:val="0"/>
        <w:pageBreakBefore w:val="0"/>
        <w:widowControl w:val="0"/>
        <w:tabs>
          <w:tab w:val="right" w:leader="dot" w:pos="8845"/>
          <w:tab w:val="clear" w:pos="8296"/>
        </w:tabs>
        <w:kinsoku/>
        <w:wordWrap/>
        <w:overflowPunct/>
        <w:topLinePunct w:val="0"/>
        <w:autoSpaceDE/>
        <w:autoSpaceDN/>
        <w:bidi w:val="0"/>
        <w:adjustRightInd/>
        <w:snapToGrid/>
        <w:spacing w:line="560" w:lineRule="exac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fldChar w:fldCharType="begin"/>
      </w:r>
      <w:r>
        <w:rPr>
          <w:rFonts w:hint="eastAsia" w:asciiTheme="majorEastAsia" w:hAnsiTheme="majorEastAsia" w:eastAsiaTheme="majorEastAsia" w:cstheme="majorEastAsia"/>
          <w:sz w:val="24"/>
          <w:szCs w:val="24"/>
          <w:lang w:val="en-US" w:eastAsia="zh-CN"/>
        </w:rPr>
        <w:instrText xml:space="preserve"> HYPERLINK \l _Toc29875 </w:instrText>
      </w:r>
      <w:r>
        <w:rPr>
          <w:rFonts w:hint="eastAsia" w:asciiTheme="majorEastAsia" w:hAnsiTheme="majorEastAsia" w:eastAsiaTheme="majorEastAsia" w:cstheme="majorEastAsia"/>
          <w:sz w:val="24"/>
          <w:szCs w:val="24"/>
          <w:lang w:val="en-US" w:eastAsia="zh-CN"/>
        </w:rPr>
        <w:fldChar w:fldCharType="separate"/>
      </w:r>
      <w:r>
        <w:rPr>
          <w:rFonts w:hint="eastAsia" w:asciiTheme="majorEastAsia" w:hAnsiTheme="majorEastAsia" w:eastAsiaTheme="majorEastAsia" w:cstheme="majorEastAsia"/>
          <w:bCs w:val="0"/>
          <w:sz w:val="24"/>
          <w:szCs w:val="24"/>
          <w:highlight w:val="none"/>
        </w:rPr>
        <w:t>十三、</w:t>
      </w:r>
      <w:r>
        <w:rPr>
          <w:rFonts w:hint="eastAsia" w:asciiTheme="majorEastAsia" w:hAnsiTheme="majorEastAsia" w:eastAsiaTheme="majorEastAsia" w:cstheme="majorEastAsia"/>
          <w:bCs w:val="0"/>
          <w:sz w:val="24"/>
          <w:szCs w:val="24"/>
          <w:highlight w:val="none"/>
          <w:lang w:eastAsia="zh-CN"/>
        </w:rPr>
        <w:t>财政拨款“三公”经费支出决算表</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_Toc29875 \h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161</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lang w:val="en-US" w:eastAsia="zh-CN"/>
        </w:rPr>
        <w:fldChar w:fldCharType="end"/>
      </w:r>
    </w:p>
    <w:p w14:paraId="51251094">
      <w:pPr>
        <w:pStyle w:val="17"/>
        <w:keepNext w:val="0"/>
        <w:keepLines w:val="0"/>
        <w:pageBreakBefore w:val="0"/>
        <w:widowControl w:val="0"/>
        <w:kinsoku/>
        <w:wordWrap/>
        <w:overflowPunct/>
        <w:topLinePunct w:val="0"/>
        <w:autoSpaceDE/>
        <w:autoSpaceDN/>
        <w:bidi w:val="0"/>
        <w:adjustRightInd/>
        <w:snapToGrid/>
        <w:spacing w:before="0" w:line="560" w:lineRule="exact"/>
        <w:jc w:val="center"/>
        <w:textAlignment w:val="auto"/>
        <w:rPr>
          <w:rFonts w:hint="eastAsia" w:asciiTheme="majorEastAsia" w:hAnsiTheme="majorEastAsia" w:eastAsiaTheme="majorEastAsia" w:cstheme="majorEastAsia"/>
          <w:sz w:val="28"/>
          <w:szCs w:val="28"/>
          <w:lang w:val="en-US" w:eastAsia="zh-CN"/>
        </w:rPr>
      </w:pPr>
      <w:r>
        <w:rPr>
          <w:rFonts w:hint="eastAsia" w:asciiTheme="majorEastAsia" w:hAnsiTheme="majorEastAsia" w:eastAsiaTheme="majorEastAsia" w:cstheme="majorEastAsia"/>
          <w:sz w:val="28"/>
          <w:szCs w:val="28"/>
          <w:lang w:val="en-US" w:eastAsia="zh-CN"/>
        </w:rPr>
        <w:fldChar w:fldCharType="end"/>
      </w:r>
    </w:p>
    <w:p w14:paraId="36FBA2C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heme="majorEastAsia" w:hAnsiTheme="majorEastAsia" w:eastAsiaTheme="majorEastAsia" w:cstheme="majorEastAsia"/>
          <w:sz w:val="28"/>
          <w:szCs w:val="28"/>
        </w:rPr>
        <w:sectPr>
          <w:footerReference r:id="rId6" w:type="default"/>
          <w:pgSz w:w="11906" w:h="16838"/>
          <w:pgMar w:top="2098" w:right="1474" w:bottom="1984" w:left="1587" w:header="851" w:footer="992" w:gutter="0"/>
          <w:pgNumType w:fmt="decimal" w:start="1"/>
          <w:cols w:space="0" w:num="1"/>
          <w:rtlGutter w:val="0"/>
          <w:docGrid w:type="lines" w:linePitch="312" w:charSpace="0"/>
        </w:sectPr>
      </w:pPr>
    </w:p>
    <w:p w14:paraId="384281B2">
      <w:pPr>
        <w:pStyle w:val="5"/>
        <w:jc w:val="center"/>
        <w:rPr>
          <w:rStyle w:val="38"/>
          <w:rFonts w:ascii="黑体" w:hAnsi="黑体" w:eastAsia="黑体"/>
          <w:b/>
          <w:bCs w:val="0"/>
          <w:color w:val="auto"/>
          <w:highlight w:val="none"/>
        </w:rPr>
      </w:pPr>
      <w:bookmarkStart w:id="22" w:name="_Toc17918"/>
      <w:bookmarkStart w:id="23" w:name="_Toc20603"/>
      <w:r>
        <w:rPr>
          <w:rFonts w:hint="eastAsia" w:ascii="黑体" w:hAnsi="黑体" w:eastAsia="黑体"/>
          <w:b w:val="0"/>
          <w:color w:val="auto"/>
          <w:highlight w:val="none"/>
        </w:rPr>
        <w:t xml:space="preserve">第一部分 </w:t>
      </w:r>
      <w:r>
        <w:rPr>
          <w:rStyle w:val="38"/>
          <w:rFonts w:hint="eastAsia" w:ascii="黑体" w:hAnsi="黑体" w:eastAsia="黑体"/>
          <w:b w:val="0"/>
          <w:bCs w:val="0"/>
          <w:color w:val="auto"/>
          <w:highlight w:val="none"/>
        </w:rPr>
        <w:t>部门概况</w:t>
      </w:r>
      <w:bookmarkEnd w:id="21"/>
      <w:bookmarkEnd w:id="22"/>
      <w:bookmarkEnd w:id="23"/>
    </w:p>
    <w:p w14:paraId="79089457">
      <w:pPr>
        <w:pStyle w:val="6"/>
        <w:keepNext w:val="0"/>
        <w:keepLines w:val="0"/>
        <w:spacing w:before="0" w:beforeLines="0" w:after="0" w:line="576" w:lineRule="exact"/>
        <w:ind w:firstLine="640" w:firstLineChars="200"/>
        <w:rPr>
          <w:rStyle w:val="39"/>
          <w:rFonts w:hint="eastAsia" w:ascii="仿宋" w:hAnsi="仿宋" w:eastAsia="黑体"/>
          <w:b w:val="0"/>
          <w:bCs w:val="0"/>
          <w:color w:val="auto"/>
          <w:highlight w:val="none"/>
          <w:lang w:eastAsia="zh-CN"/>
        </w:rPr>
      </w:pPr>
      <w:bookmarkStart w:id="24" w:name="_Toc15377197"/>
      <w:bookmarkStart w:id="25" w:name="_Toc15396600"/>
      <w:bookmarkStart w:id="26" w:name="_Toc9671"/>
      <w:bookmarkStart w:id="27" w:name="_Toc214_WPSOffice_Level2"/>
      <w:bookmarkStart w:id="28" w:name="_Toc10928"/>
      <w:r>
        <w:rPr>
          <w:rFonts w:hint="eastAsia" w:ascii="黑体" w:hAnsi="黑体" w:eastAsia="黑体"/>
          <w:b w:val="0"/>
          <w:color w:val="auto"/>
          <w:highlight w:val="none"/>
        </w:rPr>
        <w:t>一、</w:t>
      </w:r>
      <w:bookmarkEnd w:id="24"/>
      <w:bookmarkEnd w:id="25"/>
      <w:r>
        <w:rPr>
          <w:rFonts w:hint="eastAsia" w:ascii="黑体" w:hAnsi="黑体" w:eastAsia="黑体"/>
          <w:b w:val="0"/>
          <w:color w:val="auto"/>
          <w:highlight w:val="none"/>
          <w:lang w:eastAsia="zh-CN"/>
        </w:rPr>
        <w:t>部门职责</w:t>
      </w:r>
      <w:bookmarkEnd w:id="26"/>
      <w:bookmarkEnd w:id="27"/>
      <w:bookmarkEnd w:id="28"/>
    </w:p>
    <w:p w14:paraId="19B9AE90">
      <w:pPr>
        <w:pageBreakBefore w:val="0"/>
        <w:numPr>
          <w:ilvl w:val="0"/>
          <w:numId w:val="0"/>
        </w:numPr>
        <w:kinsoku/>
        <w:wordWrap/>
        <w:overflowPunct/>
        <w:topLinePunct w:val="0"/>
        <w:bidi w:val="0"/>
        <w:snapToGrid/>
        <w:spacing w:beforeLines="0" w:line="576" w:lineRule="exact"/>
        <w:ind w:firstLine="640" w:firstLineChars="200"/>
        <w:textAlignment w:val="auto"/>
        <w:rPr>
          <w:rFonts w:hint="eastAsia" w:ascii="仿宋" w:hAnsi="仿宋" w:eastAsia="仿宋" w:cs="仿宋"/>
          <w:sz w:val="32"/>
          <w:szCs w:val="32"/>
        </w:rPr>
      </w:pPr>
      <w:bookmarkStart w:id="29" w:name="_Toc15396601"/>
      <w:bookmarkStart w:id="30" w:name="_Toc15377200"/>
      <w:r>
        <w:rPr>
          <w:rFonts w:hint="eastAsia" w:ascii="仿宋" w:hAnsi="仿宋" w:eastAsia="仿宋" w:cs="仿宋"/>
          <w:sz w:val="32"/>
          <w:szCs w:val="32"/>
          <w:lang w:eastAsia="zh-CN"/>
        </w:rPr>
        <w:t>（</w:t>
      </w:r>
      <w:r>
        <w:rPr>
          <w:rFonts w:hint="eastAsia" w:ascii="仿宋" w:hAnsi="仿宋" w:eastAsia="仿宋" w:cs="仿宋"/>
          <w:sz w:val="32"/>
          <w:szCs w:val="32"/>
        </w:rPr>
        <w:t>一）负责水资源的合理开发利用和保护工作。</w:t>
      </w:r>
      <w:r>
        <w:rPr>
          <w:rFonts w:hint="eastAsia" w:ascii="仿宋" w:hAnsi="仿宋" w:eastAsia="仿宋" w:cs="仿宋"/>
          <w:sz w:val="32"/>
          <w:szCs w:val="32"/>
          <w:lang w:eastAsia="zh-CN"/>
        </w:rPr>
        <w:t>拟定全区</w:t>
      </w:r>
      <w:r>
        <w:rPr>
          <w:rFonts w:hint="eastAsia" w:ascii="仿宋" w:hAnsi="仿宋" w:eastAsia="仿宋" w:cs="仿宋"/>
          <w:sz w:val="32"/>
          <w:szCs w:val="32"/>
        </w:rPr>
        <w:t>水利发展规划和政策，组织编制全区水资源综合规划、水资源保护规划、重要江河湖泊流域综合规划、防洪规划等重大水利规划。指导饮用水水源保护有关工作。指导地下水开发利用和地下水资源管理保护。</w:t>
      </w:r>
    </w:p>
    <w:p w14:paraId="051EF985">
      <w:pPr>
        <w:pageBreakBefore w:val="0"/>
        <w:numPr>
          <w:ilvl w:val="0"/>
          <w:numId w:val="0"/>
        </w:numPr>
        <w:kinsoku/>
        <w:wordWrap/>
        <w:overflowPunct/>
        <w:topLinePunct w:val="0"/>
        <w:bidi w:val="0"/>
        <w:snapToGrid/>
        <w:spacing w:beforeLines="0" w:line="576"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负责生活、生产经营和生态环境用水的统筹和保障。组织实施最严格水资源管理制度，实施水资源的统一监督管理。拟定全区中长期供求规划,水量分配方案并监督实施。负责重要流域、区域以及重要水工程的水资源调度。组织实施取水许可、水资源论证和防洪论证制度，指导实施水资源有偿使用工作。指导水利行业供水和乡镇供水工作。</w:t>
      </w:r>
    </w:p>
    <w:p w14:paraId="3961F98D">
      <w:pPr>
        <w:pageBreakBefore w:val="0"/>
        <w:numPr>
          <w:ilvl w:val="0"/>
          <w:numId w:val="0"/>
        </w:numPr>
        <w:kinsoku/>
        <w:wordWrap/>
        <w:overflowPunct/>
        <w:topLinePunct w:val="0"/>
        <w:bidi w:val="0"/>
        <w:snapToGrid/>
        <w:spacing w:beforeLines="0" w:line="576"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（三）根据《四川省水利工程管理条例》，受市水利局委托，负责主管全区中型水利工程（包括麻子滩、跑马滩、新生水库和三仙湖水库）；负责管理或委托乡镇政府管理全区的小[一]、[二]型水库。</w:t>
      </w:r>
    </w:p>
    <w:p w14:paraId="2E85F4FF">
      <w:pPr>
        <w:pageBreakBefore w:val="0"/>
        <w:numPr>
          <w:ilvl w:val="0"/>
          <w:numId w:val="0"/>
        </w:numPr>
        <w:kinsoku/>
        <w:wordWrap/>
        <w:overflowPunct/>
        <w:topLinePunct w:val="0"/>
        <w:bidi w:val="0"/>
        <w:snapToGrid/>
        <w:spacing w:beforeLines="0" w:line="576"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负责水利工程建设与运行管理，按管理权限制定水利工程建设有关制度并组织实施，负责提出水利固定资产投资规模、方向和区级财政资金安排的建议。提出区级水利建设投资安排建议并负责项目实施的监督管理。组织实施具有控制性的重要水利工程建设与运行管理。</w:t>
      </w:r>
    </w:p>
    <w:p w14:paraId="4DB5B472">
      <w:pPr>
        <w:pageBreakBefore w:val="0"/>
        <w:numPr>
          <w:ilvl w:val="0"/>
          <w:numId w:val="0"/>
        </w:numPr>
        <w:kinsoku/>
        <w:wordWrap/>
        <w:overflowPunct/>
        <w:topLinePunct w:val="0"/>
        <w:bidi w:val="0"/>
        <w:snapToGrid/>
        <w:spacing w:beforeLines="0" w:line="576"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（四）负责节约用水工作。</w:t>
      </w:r>
      <w:r>
        <w:rPr>
          <w:rFonts w:hint="eastAsia" w:ascii="仿宋" w:hAnsi="仿宋" w:eastAsia="仿宋" w:cs="仿宋"/>
          <w:sz w:val="32"/>
          <w:szCs w:val="32"/>
          <w:lang w:eastAsia="zh-CN"/>
        </w:rPr>
        <w:t>拟定全区</w:t>
      </w:r>
      <w:r>
        <w:rPr>
          <w:rFonts w:hint="eastAsia" w:ascii="仿宋" w:hAnsi="仿宋" w:eastAsia="仿宋" w:cs="仿宋"/>
          <w:sz w:val="32"/>
          <w:szCs w:val="32"/>
        </w:rPr>
        <w:t>节约用水政策，组织、指导和监督节约用水工作。组织编制节约用水规划并监督实施，组织实施用水总量控制等管理制度，指导和推动节水型社会建设工作。</w:t>
      </w:r>
    </w:p>
    <w:p w14:paraId="4E4A7887">
      <w:pPr>
        <w:pageBreakBefore w:val="0"/>
        <w:numPr>
          <w:ilvl w:val="0"/>
          <w:numId w:val="0"/>
        </w:numPr>
        <w:kinsoku/>
        <w:wordWrap/>
        <w:overflowPunct/>
        <w:topLinePunct w:val="0"/>
        <w:bidi w:val="0"/>
        <w:snapToGrid/>
        <w:spacing w:beforeLines="0" w:line="576"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（五）负责水资源的监督管理。对江河湖泊和地下水实施监测，发布水资源信息、情报预报和全区水资源公报。</w:t>
      </w:r>
    </w:p>
    <w:p w14:paraId="1AE43EDD">
      <w:pPr>
        <w:pageBreakBefore w:val="0"/>
        <w:numPr>
          <w:ilvl w:val="0"/>
          <w:numId w:val="0"/>
        </w:numPr>
        <w:kinsoku/>
        <w:wordWrap/>
        <w:overflowPunct/>
        <w:topLinePunct w:val="0"/>
        <w:bidi w:val="0"/>
        <w:snapToGrid/>
        <w:spacing w:beforeLines="0" w:line="576"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六）指导全区水利设施、江河湖泊及其岸线的管理、保护与综合利用。组织指导水利基础设施网络建设。指导重要江河湖泊及滩涂的保护、治理和开发。指导河湖水生态保护与修复、河湖生态流量水量管理以及河湖水系连通工作。</w:t>
      </w:r>
    </w:p>
    <w:p w14:paraId="5C341375">
      <w:pPr>
        <w:pageBreakBefore w:val="0"/>
        <w:numPr>
          <w:ilvl w:val="0"/>
          <w:numId w:val="0"/>
        </w:numPr>
        <w:kinsoku/>
        <w:wordWrap/>
        <w:overflowPunct/>
        <w:topLinePunct w:val="0"/>
        <w:bidi w:val="0"/>
        <w:snapToGrid/>
        <w:spacing w:beforeLines="0" w:line="576"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七）负责全区水土保持工作。拟订水土保持规划并监督实施，组织实施全区水土流失的综合防治、监测预报并定期公告。负责建设项目水土保持监督管理工作，指导重点水土保持建设项目的实施，指导水土保持监测站点建设工作。</w:t>
      </w:r>
    </w:p>
    <w:p w14:paraId="254EBA1D">
      <w:pPr>
        <w:pageBreakBefore w:val="0"/>
        <w:numPr>
          <w:ilvl w:val="0"/>
          <w:numId w:val="0"/>
        </w:numPr>
        <w:kinsoku/>
        <w:wordWrap/>
        <w:overflowPunct/>
        <w:topLinePunct w:val="0"/>
        <w:bidi w:val="0"/>
        <w:snapToGrid/>
        <w:spacing w:beforeLines="0" w:line="576"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八）指导农村水利工作。组织开展灌区灌排工程建设与改造。负责农村饮水安全工程建设管理工作；指导节水灌溉有关工作。负责农村水利改革创新和社会化服务体系建设，组织农村水能资源开发，指导小水电改造工作。</w:t>
      </w:r>
    </w:p>
    <w:p w14:paraId="78EA3AB0">
      <w:pPr>
        <w:pageBreakBefore w:val="0"/>
        <w:numPr>
          <w:ilvl w:val="0"/>
          <w:numId w:val="0"/>
        </w:numPr>
        <w:kinsoku/>
        <w:wordWrap/>
        <w:overflowPunct/>
        <w:topLinePunct w:val="0"/>
        <w:bidi w:val="0"/>
        <w:snapToGrid/>
        <w:spacing w:beforeLines="0" w:line="576"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（九）负责辖区内涉水违法事件的查处、协调水事纠纷，指导水政监察和水行政执法。依法负责水利行业安全生产工作。指导水利建设市场的监督检查，组织实施水利工程建设的监督检查。</w:t>
      </w:r>
    </w:p>
    <w:p w14:paraId="2F35B86A">
      <w:pPr>
        <w:pageBreakBefore w:val="0"/>
        <w:numPr>
          <w:ilvl w:val="0"/>
          <w:numId w:val="0"/>
        </w:numPr>
        <w:kinsoku/>
        <w:wordWrap/>
        <w:overflowPunct/>
        <w:topLinePunct w:val="0"/>
        <w:bidi w:val="0"/>
        <w:snapToGrid/>
        <w:spacing w:beforeLines="0" w:line="576"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（十）开展水利科技对外合作交流工作。组织开展水利行业质量监督工作。组织水利科学研究、技术推广工作。组织全区水利系统的对外经济联络，技术经济合作。承担全区水利统计工作。</w:t>
      </w:r>
    </w:p>
    <w:p w14:paraId="3DBED849">
      <w:pPr>
        <w:pageBreakBefore w:val="0"/>
        <w:numPr>
          <w:ilvl w:val="0"/>
          <w:numId w:val="0"/>
        </w:numPr>
        <w:kinsoku/>
        <w:wordWrap/>
        <w:overflowPunct/>
        <w:topLinePunct w:val="0"/>
        <w:bidi w:val="0"/>
        <w:snapToGrid/>
        <w:spacing w:beforeLines="0" w:line="576"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十一）负责落实综合防灾减灾规划相关要求，组织编制并实施全区洪水干旱灾害防治规划。承担水情旱情监测预警工作。按管理权限，组织编制全区重要江河湖泊和重要水工程的防御洪水、抗御旱灾调度及应急水量调度方案，按程序报批并组织实施。承担防御洪水应急抢险的技术保障工作。</w:t>
      </w:r>
    </w:p>
    <w:p w14:paraId="6677F2C9">
      <w:pPr>
        <w:pageBreakBefore w:val="0"/>
        <w:numPr>
          <w:ilvl w:val="0"/>
          <w:numId w:val="0"/>
        </w:numPr>
        <w:kinsoku/>
        <w:wordWrap/>
        <w:overflowPunct/>
        <w:topLinePunct w:val="0"/>
        <w:bidi w:val="0"/>
        <w:snapToGrid/>
        <w:spacing w:beforeLines="0" w:line="576"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（十二）负责职责范围内的安全生产和职业健康、生态环境保护、审批服务便民化。</w:t>
      </w:r>
    </w:p>
    <w:p w14:paraId="0DCF9611">
      <w:pPr>
        <w:pStyle w:val="6"/>
        <w:keepNext w:val="0"/>
        <w:keepLines w:val="0"/>
        <w:spacing w:before="0" w:beforeLines="0" w:after="0" w:line="576" w:lineRule="exact"/>
        <w:ind w:firstLine="640" w:firstLineChars="200"/>
        <w:rPr>
          <w:rFonts w:hint="eastAsia" w:ascii="黑体" w:eastAsia="黑体"/>
          <w:b w:val="0"/>
          <w:color w:val="auto"/>
          <w:highlight w:val="none"/>
        </w:rPr>
      </w:pPr>
      <w:bookmarkStart w:id="31" w:name="_Toc24376"/>
      <w:bookmarkStart w:id="32" w:name="_Toc14226"/>
      <w:bookmarkStart w:id="33" w:name="_Toc4600"/>
      <w:bookmarkStart w:id="34" w:name="_Toc542"/>
      <w:r>
        <w:rPr>
          <w:rFonts w:hint="eastAsia" w:ascii="仿宋" w:hAnsi="仿宋" w:eastAsia="仿宋" w:cs="仿宋"/>
          <w:b w:val="0"/>
          <w:bCs w:val="0"/>
          <w:kern w:val="2"/>
          <w:sz w:val="32"/>
          <w:szCs w:val="32"/>
          <w:lang w:val="en-US" w:eastAsia="zh-CN" w:bidi="ar-SA"/>
        </w:rPr>
        <w:t>（十三）完成区委和区政府交办的其他任务。</w:t>
      </w:r>
      <w:bookmarkEnd w:id="31"/>
      <w:bookmarkEnd w:id="32"/>
      <w:bookmarkEnd w:id="33"/>
      <w:bookmarkEnd w:id="34"/>
      <w:bookmarkStart w:id="35" w:name="_Toc21590"/>
      <w:bookmarkStart w:id="36" w:name="_Toc1772_WPSOffice_Level2"/>
    </w:p>
    <w:p w14:paraId="0218D43F">
      <w:pPr>
        <w:pStyle w:val="6"/>
        <w:keepNext w:val="0"/>
        <w:keepLines w:val="0"/>
        <w:spacing w:before="0" w:beforeLines="0" w:after="0" w:line="576" w:lineRule="exact"/>
        <w:ind w:firstLine="640" w:firstLineChars="200"/>
        <w:rPr>
          <w:rStyle w:val="39"/>
          <w:rFonts w:eastAsia="仿宋_GB2312"/>
          <w:b w:val="0"/>
          <w:bCs w:val="0"/>
          <w:color w:val="auto"/>
          <w:highlight w:val="none"/>
        </w:rPr>
      </w:pPr>
      <w:bookmarkStart w:id="37" w:name="_Toc25148"/>
      <w:r>
        <w:rPr>
          <w:rFonts w:hint="eastAsia" w:ascii="黑体" w:eastAsia="黑体"/>
          <w:b w:val="0"/>
          <w:color w:val="auto"/>
          <w:highlight w:val="none"/>
        </w:rPr>
        <w:t>二、</w:t>
      </w:r>
      <w:r>
        <w:rPr>
          <w:rFonts w:hint="eastAsia" w:ascii="黑体" w:hAnsi="黑体" w:eastAsia="黑体"/>
          <w:b w:val="0"/>
          <w:color w:val="auto"/>
          <w:highlight w:val="none"/>
        </w:rPr>
        <w:t>机</w:t>
      </w:r>
      <w:r>
        <w:rPr>
          <w:rStyle w:val="39"/>
          <w:rFonts w:hint="eastAsia" w:ascii="黑体" w:hAnsi="黑体" w:eastAsia="黑体"/>
          <w:b w:val="0"/>
          <w:bCs w:val="0"/>
          <w:color w:val="auto"/>
          <w:highlight w:val="none"/>
        </w:rPr>
        <w:t>构设置</w:t>
      </w:r>
      <w:bookmarkEnd w:id="29"/>
      <w:bookmarkEnd w:id="30"/>
      <w:bookmarkEnd w:id="35"/>
      <w:bookmarkEnd w:id="36"/>
      <w:bookmarkEnd w:id="37"/>
    </w:p>
    <w:p w14:paraId="1D410C12">
      <w:pPr>
        <w:pStyle w:val="12"/>
        <w:numPr>
          <w:ilvl w:val="-1"/>
          <w:numId w:val="0"/>
        </w:numPr>
        <w:adjustRightInd w:val="0"/>
        <w:snapToGrid w:val="0"/>
        <w:spacing w:before="0" w:beforeLines="0" w:line="576" w:lineRule="exact"/>
        <w:ind w:left="0" w:firstLine="640" w:firstLineChars="200"/>
        <w:outlineLvl w:val="2"/>
        <w:rPr>
          <w:rFonts w:hint="eastAsia" w:ascii="仿宋" w:hAnsi="仿宋" w:eastAsia="仿宋" w:cs="仿宋"/>
          <w:kern w:val="2"/>
          <w:sz w:val="32"/>
          <w:szCs w:val="32"/>
          <w:lang w:val="en-US" w:eastAsia="zh-CN" w:bidi="ar-SA"/>
        </w:rPr>
      </w:pPr>
      <w:bookmarkStart w:id="38" w:name="_Toc15377433"/>
      <w:bookmarkStart w:id="39" w:name="_Toc15377202"/>
      <w:bookmarkStart w:id="40" w:name="_Toc15378449"/>
      <w:bookmarkStart w:id="41" w:name="_Toc15306276"/>
      <w:bookmarkStart w:id="42" w:name="_Toc14161"/>
      <w:bookmarkStart w:id="43" w:name="_Toc26711"/>
      <w:r>
        <w:rPr>
          <w:rFonts w:hint="eastAsia" w:ascii="仿宋" w:hAnsi="仿宋" w:eastAsia="仿宋" w:cs="仿宋"/>
          <w:kern w:val="2"/>
          <w:sz w:val="32"/>
          <w:szCs w:val="32"/>
          <w:lang w:val="en-US" w:eastAsia="zh-CN" w:bidi="ar-SA"/>
        </w:rPr>
        <w:t>水利局下属二级预算单位7个，其中行政单位0个，参照公务员法管理的事业单位2个，其他事业单位5个。</w:t>
      </w:r>
      <w:r>
        <w:rPr>
          <w:rFonts w:hint="eastAsia" w:ascii="仿宋" w:hAnsi="仿宋" w:eastAsia="仿宋" w:cs="仿宋"/>
          <w:kern w:val="2"/>
          <w:sz w:val="32"/>
          <w:szCs w:val="32"/>
          <w:lang w:val="en-US" w:eastAsia="zh-CN" w:bidi="ar-SA"/>
        </w:rPr>
        <w:br w:type="textWrapping"/>
      </w:r>
      <w:r>
        <w:rPr>
          <w:rFonts w:hint="eastAsia" w:ascii="仿宋" w:hAnsi="仿宋" w:eastAsia="仿宋" w:cs="仿宋"/>
          <w:kern w:val="2"/>
          <w:sz w:val="32"/>
          <w:szCs w:val="32"/>
          <w:lang w:val="en-US" w:eastAsia="zh-CN" w:bidi="ar-SA"/>
        </w:rPr>
        <w:t>纳入水利局2024年度部门决算编制范围的二级预算单位包括：安居区新生水库管理所、安居区跑马滩水库管理所、安居区河湖管理保护中心（参公）、安居区水政监察大队（参公）、安居区水土保持服务中心、安居区水利电力服务中心、</w:t>
      </w:r>
      <w:bookmarkEnd w:id="38"/>
      <w:bookmarkEnd w:id="39"/>
      <w:bookmarkEnd w:id="40"/>
      <w:bookmarkEnd w:id="41"/>
      <w:bookmarkStart w:id="44" w:name="_Toc15378450"/>
      <w:bookmarkStart w:id="45" w:name="_Toc15377203"/>
      <w:bookmarkStart w:id="46" w:name="_Toc15377434"/>
      <w:bookmarkStart w:id="47" w:name="_Toc15306277"/>
      <w:r>
        <w:rPr>
          <w:rFonts w:hint="eastAsia" w:ascii="仿宋" w:hAnsi="仿宋" w:eastAsia="仿宋" w:cs="仿宋"/>
          <w:kern w:val="2"/>
          <w:sz w:val="32"/>
          <w:szCs w:val="32"/>
          <w:lang w:val="en-US" w:eastAsia="zh-CN" w:bidi="ar-SA"/>
        </w:rPr>
        <w:t>安居区三仙湖管理局</w:t>
      </w:r>
      <w:bookmarkEnd w:id="44"/>
      <w:bookmarkEnd w:id="45"/>
      <w:bookmarkEnd w:id="46"/>
      <w:bookmarkEnd w:id="47"/>
      <w:r>
        <w:rPr>
          <w:rFonts w:hint="eastAsia" w:ascii="仿宋" w:hAnsi="仿宋" w:eastAsia="仿宋" w:cs="仿宋"/>
          <w:kern w:val="2"/>
          <w:sz w:val="32"/>
          <w:szCs w:val="32"/>
          <w:lang w:val="en-US" w:eastAsia="zh-CN" w:bidi="ar-SA"/>
        </w:rPr>
        <w:t>。</w:t>
      </w:r>
      <w:bookmarkEnd w:id="42"/>
      <w:bookmarkEnd w:id="43"/>
    </w:p>
    <w:p w14:paraId="2072E4DF">
      <w:pPr>
        <w:widowControl/>
        <w:jc w:val="left"/>
        <w:rPr>
          <w:rFonts w:ascii="仿宋" w:hAnsi="仿宋" w:eastAsia="仿宋"/>
          <w:color w:val="auto"/>
          <w:kern w:val="0"/>
          <w:sz w:val="32"/>
          <w:szCs w:val="32"/>
          <w:highlight w:val="none"/>
        </w:rPr>
      </w:pPr>
      <w:r>
        <w:rPr>
          <w:rFonts w:ascii="仿宋" w:hAnsi="仿宋" w:eastAsia="仿宋"/>
          <w:color w:val="auto"/>
          <w:sz w:val="32"/>
          <w:szCs w:val="32"/>
          <w:highlight w:val="none"/>
        </w:rPr>
        <w:br w:type="page"/>
      </w:r>
    </w:p>
    <w:p w14:paraId="6A466580">
      <w:pPr>
        <w:pStyle w:val="5"/>
        <w:ind w:right="440"/>
        <w:jc w:val="center"/>
        <w:rPr>
          <w:rStyle w:val="38"/>
          <w:rFonts w:ascii="黑体" w:hAnsi="黑体" w:eastAsia="黑体"/>
          <w:b w:val="0"/>
          <w:bCs/>
          <w:color w:val="auto"/>
          <w:highlight w:val="none"/>
        </w:rPr>
      </w:pPr>
      <w:bookmarkStart w:id="48" w:name="_Toc15396602"/>
      <w:bookmarkStart w:id="49" w:name="_Toc15377204"/>
      <w:r>
        <w:rPr>
          <w:rFonts w:hint="eastAsia" w:ascii="黑体" w:hAnsi="黑体" w:eastAsia="黑体"/>
          <w:b w:val="0"/>
          <w:bCs/>
          <w:color w:val="auto"/>
          <w:highlight w:val="none"/>
          <w:lang w:val="en-US" w:eastAsia="zh-CN"/>
        </w:rPr>
        <w:t xml:space="preserve">  </w:t>
      </w:r>
      <w:bookmarkStart w:id="50" w:name="_Toc19594"/>
      <w:bookmarkStart w:id="51" w:name="_Toc214_WPSOffice_Level1"/>
      <w:bookmarkStart w:id="52" w:name="_Toc2873"/>
      <w:r>
        <w:rPr>
          <w:rFonts w:hint="eastAsia" w:ascii="黑体" w:hAnsi="黑体" w:eastAsia="黑体"/>
          <w:b w:val="0"/>
          <w:bCs/>
          <w:color w:val="auto"/>
          <w:highlight w:val="none"/>
        </w:rPr>
        <w:t xml:space="preserve">第二部分 </w:t>
      </w:r>
      <w:r>
        <w:rPr>
          <w:rFonts w:hint="eastAsia" w:ascii="黑体" w:hAnsi="黑体" w:eastAsia="黑体"/>
          <w:b w:val="0"/>
          <w:bCs/>
          <w:color w:val="auto"/>
          <w:highlight w:val="none"/>
          <w:lang w:val="en-US" w:eastAsia="zh-CN"/>
        </w:rPr>
        <w:t>2024年度</w:t>
      </w:r>
      <w:r>
        <w:rPr>
          <w:rStyle w:val="38"/>
          <w:rFonts w:hint="eastAsia" w:ascii="黑体" w:hAnsi="黑体" w:eastAsia="黑体"/>
          <w:b w:val="0"/>
          <w:bCs/>
          <w:color w:val="auto"/>
          <w:highlight w:val="none"/>
        </w:rPr>
        <w:t>部门决算情况说明</w:t>
      </w:r>
      <w:bookmarkEnd w:id="48"/>
      <w:bookmarkEnd w:id="49"/>
      <w:bookmarkEnd w:id="50"/>
      <w:bookmarkEnd w:id="51"/>
      <w:bookmarkEnd w:id="52"/>
    </w:p>
    <w:p w14:paraId="07D72546">
      <w:pPr>
        <w:pStyle w:val="37"/>
        <w:numPr>
          <w:ilvl w:val="0"/>
          <w:numId w:val="2"/>
        </w:numPr>
        <w:spacing w:line="600" w:lineRule="exact"/>
        <w:ind w:firstLineChars="0"/>
        <w:outlineLvl w:val="1"/>
        <w:rPr>
          <w:rStyle w:val="39"/>
          <w:rFonts w:ascii="黑体" w:hAnsi="黑体" w:eastAsia="黑体"/>
          <w:b w:val="0"/>
          <w:color w:val="auto"/>
          <w:highlight w:val="none"/>
        </w:rPr>
      </w:pPr>
      <w:bookmarkStart w:id="53" w:name="_Toc15396603"/>
      <w:bookmarkStart w:id="54" w:name="_Toc7611_WPSOffice_Level2"/>
      <w:bookmarkStart w:id="55" w:name="_Toc6935"/>
      <w:bookmarkStart w:id="56" w:name="_Toc15377205"/>
      <w:bookmarkStart w:id="57" w:name="_Toc29695"/>
      <w:r>
        <w:rPr>
          <w:rFonts w:hint="eastAsia" w:ascii="黑体" w:hAnsi="黑体" w:eastAsia="黑体"/>
          <w:color w:val="auto"/>
          <w:sz w:val="32"/>
          <w:szCs w:val="32"/>
          <w:highlight w:val="none"/>
        </w:rPr>
        <w:t>收</w:t>
      </w:r>
      <w:r>
        <w:rPr>
          <w:rStyle w:val="39"/>
          <w:rFonts w:hint="eastAsia" w:ascii="黑体" w:hAnsi="黑体" w:eastAsia="黑体"/>
          <w:b w:val="0"/>
          <w:color w:val="auto"/>
          <w:highlight w:val="none"/>
        </w:rPr>
        <w:t>入支出决算总体情况说明</w:t>
      </w:r>
      <w:bookmarkEnd w:id="53"/>
      <w:bookmarkEnd w:id="54"/>
      <w:bookmarkEnd w:id="55"/>
      <w:bookmarkEnd w:id="56"/>
      <w:bookmarkEnd w:id="57"/>
    </w:p>
    <w:p w14:paraId="2EB1F8AA">
      <w:pPr>
        <w:spacing w:line="600" w:lineRule="exact"/>
        <w:ind w:firstLine="640" w:firstLineChars="200"/>
        <w:rPr>
          <w:rFonts w:hint="eastAsia" w:ascii="仿宋" w:hAnsi="仿宋" w:eastAsia="宋体"/>
          <w:color w:val="auto"/>
          <w:sz w:val="32"/>
          <w:szCs w:val="32"/>
          <w:highlight w:val="none"/>
          <w:lang w:eastAsia="zh-CN"/>
        </w:rPr>
      </w:pPr>
      <w:r>
        <w:rPr>
          <w:rFonts w:hint="eastAsia" w:ascii="仿宋" w:hAnsi="仿宋" w:eastAsia="仿宋"/>
          <w:color w:val="auto"/>
          <w:sz w:val="32"/>
          <w:szCs w:val="32"/>
          <w:highlight w:val="none"/>
          <w:lang w:eastAsia="zh-CN"/>
        </w:rPr>
        <w:t>2024年</w:t>
      </w:r>
      <w:r>
        <w:rPr>
          <w:rFonts w:hint="eastAsia" w:ascii="仿宋" w:hAnsi="仿宋" w:eastAsia="仿宋"/>
          <w:color w:val="auto"/>
          <w:sz w:val="32"/>
          <w:szCs w:val="32"/>
          <w:highlight w:val="none"/>
        </w:rPr>
        <w:t>度收、支总计</w:t>
      </w:r>
      <w:r>
        <w:rPr>
          <w:rFonts w:hint="eastAsia" w:ascii="仿宋" w:hAnsi="仿宋" w:eastAsia="仿宋"/>
          <w:color w:val="auto"/>
          <w:sz w:val="32"/>
          <w:szCs w:val="32"/>
          <w:highlight w:val="none"/>
          <w:lang w:val="en-US" w:eastAsia="zh-CN"/>
        </w:rPr>
        <w:t>33322.22万</w:t>
      </w:r>
      <w:r>
        <w:rPr>
          <w:rFonts w:hint="eastAsia" w:ascii="仿宋" w:hAnsi="仿宋" w:eastAsia="仿宋"/>
          <w:color w:val="auto"/>
          <w:sz w:val="32"/>
          <w:szCs w:val="32"/>
          <w:highlight w:val="none"/>
        </w:rPr>
        <w:t>元。与</w:t>
      </w:r>
      <w:r>
        <w:rPr>
          <w:rFonts w:hint="eastAsia" w:ascii="仿宋" w:hAnsi="仿宋" w:eastAsia="仿宋"/>
          <w:color w:val="auto"/>
          <w:sz w:val="32"/>
          <w:szCs w:val="32"/>
          <w:highlight w:val="none"/>
          <w:lang w:eastAsia="zh-CN"/>
        </w:rPr>
        <w:t>2023年</w:t>
      </w:r>
      <w:r>
        <w:rPr>
          <w:rFonts w:hint="eastAsia" w:ascii="仿宋" w:hAnsi="仿宋" w:eastAsia="仿宋"/>
          <w:color w:val="auto"/>
          <w:sz w:val="32"/>
          <w:szCs w:val="32"/>
          <w:highlight w:val="none"/>
        </w:rPr>
        <w:t>相比，收、支总计各</w:t>
      </w:r>
      <w:r>
        <w:rPr>
          <w:rFonts w:hint="eastAsia" w:ascii="仿宋" w:hAnsi="仿宋" w:eastAsia="仿宋"/>
          <w:color w:val="auto"/>
          <w:sz w:val="32"/>
          <w:szCs w:val="32"/>
          <w:highlight w:val="none"/>
          <w:lang w:eastAsia="zh-CN"/>
        </w:rPr>
        <w:t>减少</w:t>
      </w:r>
      <w:r>
        <w:rPr>
          <w:rFonts w:hint="eastAsia" w:ascii="仿宋" w:hAnsi="仿宋" w:eastAsia="仿宋"/>
          <w:color w:val="auto"/>
          <w:sz w:val="32"/>
          <w:szCs w:val="32"/>
          <w:highlight w:val="none"/>
          <w:lang w:val="en-US" w:eastAsia="zh-CN"/>
        </w:rPr>
        <w:t>3908.6万</w:t>
      </w:r>
      <w:r>
        <w:rPr>
          <w:rFonts w:hint="eastAsia" w:ascii="仿宋" w:hAnsi="仿宋" w:eastAsia="仿宋"/>
          <w:color w:val="auto"/>
          <w:sz w:val="32"/>
          <w:szCs w:val="32"/>
          <w:highlight w:val="none"/>
        </w:rPr>
        <w:t>元，</w:t>
      </w:r>
      <w:r>
        <w:rPr>
          <w:rFonts w:hint="eastAsia" w:ascii="仿宋" w:hAnsi="仿宋" w:eastAsia="仿宋"/>
          <w:color w:val="auto"/>
          <w:sz w:val="32"/>
          <w:szCs w:val="32"/>
          <w:highlight w:val="none"/>
          <w:lang w:eastAsia="zh-CN"/>
        </w:rPr>
        <w:t>下降</w:t>
      </w:r>
      <w:r>
        <w:rPr>
          <w:rFonts w:hint="eastAsia" w:ascii="仿宋" w:hAnsi="仿宋" w:eastAsia="仿宋"/>
          <w:color w:val="auto"/>
          <w:sz w:val="32"/>
          <w:szCs w:val="32"/>
          <w:highlight w:val="none"/>
          <w:lang w:val="en-US" w:eastAsia="zh-CN"/>
        </w:rPr>
        <w:t>10.5%</w:t>
      </w:r>
      <w:r>
        <w:rPr>
          <w:rFonts w:hint="eastAsia" w:ascii="仿宋" w:hAnsi="仿宋" w:eastAsia="仿宋"/>
          <w:color w:val="auto"/>
          <w:sz w:val="32"/>
          <w:szCs w:val="32"/>
          <w:highlight w:val="none"/>
        </w:rPr>
        <w:t>。主要变动原因是</w:t>
      </w:r>
      <w:r>
        <w:rPr>
          <w:rFonts w:hint="eastAsia" w:ascii="仿宋" w:hAnsi="仿宋" w:eastAsia="仿宋"/>
          <w:color w:val="auto"/>
          <w:sz w:val="32"/>
          <w:szCs w:val="32"/>
          <w:highlight w:val="none"/>
          <w:lang w:eastAsia="zh-CN"/>
        </w:rPr>
        <w:t>项目支出减少。</w:t>
      </w:r>
      <w:r>
        <w:rPr>
          <w:rFonts w:hint="eastAsia"/>
          <w:lang w:eastAsia="zh-CN"/>
        </w:rPr>
        <w:t>如：</w:t>
      </w:r>
      <w:r>
        <w:rPr>
          <w:rFonts w:hint="eastAsia"/>
        </w:rPr>
        <w:t>安居区城镇全域供水基础设施建设项目</w:t>
      </w:r>
      <w:r>
        <w:rPr>
          <w:rFonts w:hint="eastAsia"/>
          <w:lang w:eastAsia="zh-CN"/>
        </w:rPr>
        <w:t>、三仙湖水库工程、农村饮水安全等项目。</w:t>
      </w:r>
    </w:p>
    <w:p w14:paraId="0F6D3F53">
      <w:pPr>
        <w:pStyle w:val="12"/>
        <w:rPr>
          <w:rFonts w:hint="eastAsia" w:ascii="仿宋" w:hAnsi="仿宋" w:eastAsia="仿宋"/>
          <w:color w:val="auto"/>
          <w:sz w:val="32"/>
          <w:szCs w:val="32"/>
          <w:highlight w:val="none"/>
          <w:lang w:eastAsia="zh-CN"/>
        </w:rPr>
      </w:pPr>
      <w:r>
        <w:rPr>
          <w:rFonts w:hint="eastAsia" w:ascii="仿宋" w:hAnsi="仿宋" w:eastAsia="仿宋"/>
          <w:color w:val="000000" w:themeColor="text1"/>
          <w:sz w:val="32"/>
          <w:szCs w:val="32"/>
          <w14:textFill>
            <w14:solidFill>
              <w14:schemeClr w14:val="tx1"/>
            </w14:solidFill>
          </w14:textFill>
        </w:rPr>
        <w:drawing>
          <wp:anchor distT="0" distB="0" distL="114300" distR="114300" simplePos="0" relativeHeight="251659264" behindDoc="0" locked="0" layoutInCell="1" allowOverlap="1">
            <wp:simplePos x="0" y="0"/>
            <wp:positionH relativeFrom="column">
              <wp:posOffset>115570</wp:posOffset>
            </wp:positionH>
            <wp:positionV relativeFrom="paragraph">
              <wp:posOffset>95885</wp:posOffset>
            </wp:positionV>
            <wp:extent cx="5400675" cy="2980055"/>
            <wp:effectExtent l="4445" t="4445" r="5080" b="6350"/>
            <wp:wrapNone/>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14:paraId="06EE4B7A">
      <w:pPr>
        <w:pStyle w:val="18"/>
        <w:rPr>
          <w:rFonts w:hint="eastAsia" w:ascii="仿宋" w:hAnsi="仿宋" w:eastAsia="仿宋"/>
          <w:color w:val="auto"/>
          <w:sz w:val="32"/>
          <w:szCs w:val="32"/>
          <w:highlight w:val="none"/>
          <w:lang w:eastAsia="zh-CN"/>
        </w:rPr>
      </w:pPr>
    </w:p>
    <w:p w14:paraId="3436CC94">
      <w:pPr>
        <w:rPr>
          <w:rFonts w:hint="eastAsia" w:ascii="仿宋" w:hAnsi="仿宋" w:eastAsia="仿宋"/>
          <w:color w:val="auto"/>
          <w:sz w:val="32"/>
          <w:szCs w:val="32"/>
          <w:highlight w:val="none"/>
          <w:lang w:eastAsia="zh-CN"/>
        </w:rPr>
      </w:pPr>
    </w:p>
    <w:p w14:paraId="10CE7690">
      <w:pPr>
        <w:pStyle w:val="12"/>
        <w:rPr>
          <w:rFonts w:hint="eastAsia" w:ascii="仿宋" w:hAnsi="仿宋" w:eastAsia="仿宋"/>
          <w:color w:val="auto"/>
          <w:sz w:val="32"/>
          <w:szCs w:val="32"/>
          <w:highlight w:val="none"/>
          <w:lang w:eastAsia="zh-CN"/>
        </w:rPr>
      </w:pPr>
    </w:p>
    <w:p w14:paraId="49D5135C">
      <w:pPr>
        <w:pStyle w:val="18"/>
        <w:rPr>
          <w:rFonts w:hint="eastAsia" w:ascii="仿宋" w:hAnsi="仿宋" w:eastAsia="仿宋"/>
          <w:color w:val="auto"/>
          <w:sz w:val="32"/>
          <w:szCs w:val="32"/>
          <w:highlight w:val="none"/>
          <w:lang w:eastAsia="zh-CN"/>
        </w:rPr>
      </w:pPr>
    </w:p>
    <w:p w14:paraId="7DB97977">
      <w:pPr>
        <w:rPr>
          <w:rFonts w:hint="eastAsia" w:ascii="仿宋" w:hAnsi="仿宋" w:eastAsia="仿宋"/>
          <w:color w:val="auto"/>
          <w:sz w:val="32"/>
          <w:szCs w:val="32"/>
          <w:highlight w:val="none"/>
          <w:lang w:eastAsia="zh-CN"/>
        </w:rPr>
      </w:pPr>
    </w:p>
    <w:p w14:paraId="6318C2FB">
      <w:pPr>
        <w:rPr>
          <w:rFonts w:hint="eastAsia" w:eastAsia="仿宋_GB2312"/>
          <w:lang w:eastAsia="zh-CN"/>
        </w:rPr>
      </w:pPr>
    </w:p>
    <w:p w14:paraId="7A526EEA">
      <w:pPr>
        <w:spacing w:line="600" w:lineRule="exact"/>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（图</w:t>
      </w:r>
      <w:r>
        <w:rPr>
          <w:rFonts w:ascii="仿宋" w:hAnsi="仿宋" w:eastAsia="仿宋"/>
          <w:color w:val="auto"/>
          <w:sz w:val="32"/>
          <w:szCs w:val="32"/>
          <w:highlight w:val="none"/>
        </w:rPr>
        <w:t>1</w:t>
      </w:r>
      <w:r>
        <w:rPr>
          <w:rFonts w:hint="eastAsia" w:ascii="仿宋" w:hAnsi="仿宋" w:eastAsia="仿宋"/>
          <w:color w:val="auto"/>
          <w:sz w:val="32"/>
          <w:szCs w:val="32"/>
          <w:highlight w:val="none"/>
        </w:rPr>
        <w:t>：收、支决算总计变动情况图）（柱状图）</w:t>
      </w:r>
    </w:p>
    <w:p w14:paraId="337CE0A0">
      <w:pPr>
        <w:spacing w:line="600" w:lineRule="exact"/>
        <w:ind w:firstLine="640" w:firstLineChars="200"/>
        <w:jc w:val="left"/>
        <w:rPr>
          <w:rFonts w:ascii="仿宋_GB2312" w:eastAsia="仿宋_GB2312"/>
          <w:color w:val="auto"/>
          <w:sz w:val="32"/>
          <w:szCs w:val="32"/>
          <w:highlight w:val="none"/>
        </w:rPr>
      </w:pPr>
    </w:p>
    <w:p w14:paraId="5752869A">
      <w:pPr>
        <w:pStyle w:val="37"/>
        <w:numPr>
          <w:ilvl w:val="0"/>
          <w:numId w:val="2"/>
        </w:numPr>
        <w:spacing w:line="600" w:lineRule="exact"/>
        <w:ind w:firstLineChars="0"/>
        <w:outlineLvl w:val="1"/>
        <w:rPr>
          <w:rStyle w:val="39"/>
          <w:rFonts w:ascii="黑体" w:hAnsi="黑体" w:eastAsia="黑体"/>
          <w:b w:val="0"/>
          <w:color w:val="auto"/>
          <w:highlight w:val="none"/>
        </w:rPr>
      </w:pPr>
      <w:bookmarkStart w:id="58" w:name="_Toc15396604"/>
      <w:bookmarkStart w:id="59" w:name="_Toc2379_WPSOffice_Level2"/>
      <w:bookmarkStart w:id="60" w:name="_Toc604"/>
      <w:bookmarkStart w:id="61" w:name="_Toc15377206"/>
      <w:bookmarkStart w:id="62" w:name="_Toc9068"/>
      <w:r>
        <w:rPr>
          <w:rFonts w:hint="eastAsia" w:ascii="黑体" w:hAnsi="黑体" w:eastAsia="黑体"/>
          <w:color w:val="auto"/>
          <w:sz w:val="32"/>
          <w:szCs w:val="32"/>
          <w:highlight w:val="none"/>
        </w:rPr>
        <w:t>收</w:t>
      </w:r>
      <w:r>
        <w:rPr>
          <w:rStyle w:val="39"/>
          <w:rFonts w:hint="eastAsia" w:ascii="黑体" w:hAnsi="黑体" w:eastAsia="黑体"/>
          <w:b w:val="0"/>
          <w:color w:val="auto"/>
          <w:highlight w:val="none"/>
        </w:rPr>
        <w:t>入决算情况说明</w:t>
      </w:r>
      <w:bookmarkEnd w:id="58"/>
      <w:bookmarkEnd w:id="59"/>
      <w:bookmarkEnd w:id="60"/>
      <w:bookmarkEnd w:id="61"/>
      <w:bookmarkEnd w:id="62"/>
    </w:p>
    <w:p w14:paraId="45AF27E5">
      <w:pPr>
        <w:spacing w:line="600" w:lineRule="exact"/>
        <w:ind w:firstLine="640" w:firstLineChars="200"/>
        <w:outlineLvl w:val="1"/>
        <w:rPr>
          <w:rFonts w:hint="eastAsia" w:ascii="仿宋" w:hAnsi="仿宋" w:eastAsia="仿宋"/>
          <w:color w:val="auto"/>
          <w:sz w:val="32"/>
          <w:szCs w:val="32"/>
          <w:highlight w:val="none"/>
        </w:rPr>
      </w:pPr>
      <w:bookmarkStart w:id="63" w:name="_Toc9038"/>
      <w:bookmarkStart w:id="64" w:name="_Toc12788"/>
      <w:bookmarkStart w:id="65" w:name="_Toc22772"/>
      <w:bookmarkStart w:id="66" w:name="_Toc18079"/>
      <w:r>
        <w:rPr>
          <w:rFonts w:hint="eastAsia" w:ascii="仿宋" w:hAnsi="仿宋" w:eastAsia="仿宋"/>
          <w:color w:val="auto"/>
          <w:sz w:val="32"/>
          <w:szCs w:val="32"/>
          <w:highlight w:val="none"/>
          <w:lang w:eastAsia="zh-CN"/>
        </w:rPr>
        <w:t>2024年</w:t>
      </w:r>
      <w:r>
        <w:rPr>
          <w:rFonts w:hint="eastAsia" w:ascii="仿宋" w:hAnsi="仿宋" w:eastAsia="仿宋"/>
          <w:color w:val="auto"/>
          <w:sz w:val="32"/>
          <w:szCs w:val="32"/>
          <w:highlight w:val="none"/>
        </w:rPr>
        <w:t>本年收入合计</w:t>
      </w:r>
      <w:r>
        <w:rPr>
          <w:rFonts w:hint="eastAsia" w:ascii="仿宋" w:hAnsi="仿宋" w:eastAsia="仿宋"/>
          <w:color w:val="auto"/>
          <w:sz w:val="32"/>
          <w:szCs w:val="32"/>
          <w:highlight w:val="none"/>
          <w:lang w:val="en-US" w:eastAsia="zh-CN"/>
        </w:rPr>
        <w:t>33322.22万</w:t>
      </w:r>
      <w:r>
        <w:rPr>
          <w:rFonts w:hint="eastAsia" w:ascii="仿宋" w:hAnsi="仿宋" w:eastAsia="仿宋"/>
          <w:color w:val="auto"/>
          <w:sz w:val="32"/>
          <w:szCs w:val="32"/>
          <w:highlight w:val="none"/>
        </w:rPr>
        <w:t>元，其中：一般公共预算财政拨款收入</w:t>
      </w:r>
      <w:r>
        <w:rPr>
          <w:rFonts w:hint="eastAsia" w:ascii="仿宋" w:hAnsi="仿宋" w:eastAsia="仿宋"/>
          <w:color w:val="auto"/>
          <w:sz w:val="32"/>
          <w:szCs w:val="32"/>
          <w:highlight w:val="none"/>
          <w:lang w:val="en-US" w:eastAsia="zh-CN"/>
        </w:rPr>
        <w:t>29415.79万</w:t>
      </w:r>
      <w:r>
        <w:rPr>
          <w:rFonts w:hint="eastAsia" w:ascii="仿宋" w:hAnsi="仿宋" w:eastAsia="仿宋"/>
          <w:color w:val="auto"/>
          <w:sz w:val="32"/>
          <w:szCs w:val="32"/>
          <w:highlight w:val="none"/>
        </w:rPr>
        <w:t>元，占</w:t>
      </w:r>
      <w:r>
        <w:rPr>
          <w:rFonts w:hint="eastAsia" w:ascii="仿宋" w:hAnsi="仿宋" w:eastAsia="仿宋"/>
          <w:color w:val="auto"/>
          <w:sz w:val="32"/>
          <w:szCs w:val="32"/>
          <w:highlight w:val="none"/>
          <w:lang w:val="en-US" w:eastAsia="zh-CN"/>
        </w:rPr>
        <w:t>88.28</w:t>
      </w:r>
      <w:r>
        <w:rPr>
          <w:rFonts w:ascii="仿宋" w:hAnsi="仿宋" w:eastAsia="仿宋"/>
          <w:color w:val="auto"/>
          <w:sz w:val="32"/>
          <w:szCs w:val="32"/>
          <w:highlight w:val="none"/>
        </w:rPr>
        <w:t>%</w:t>
      </w:r>
      <w:r>
        <w:rPr>
          <w:rFonts w:hint="eastAsia" w:ascii="仿宋" w:hAnsi="仿宋" w:eastAsia="仿宋"/>
          <w:color w:val="auto"/>
          <w:sz w:val="32"/>
          <w:szCs w:val="32"/>
          <w:highlight w:val="none"/>
        </w:rPr>
        <w:t>；政府性基金预算财政拨款收入</w:t>
      </w:r>
      <w:r>
        <w:rPr>
          <w:rFonts w:hint="eastAsia" w:ascii="仿宋" w:hAnsi="仿宋" w:eastAsia="仿宋"/>
          <w:color w:val="auto"/>
          <w:sz w:val="32"/>
          <w:szCs w:val="32"/>
          <w:highlight w:val="none"/>
          <w:lang w:val="en-US" w:eastAsia="zh-CN"/>
        </w:rPr>
        <w:t>3906.43万</w:t>
      </w:r>
      <w:r>
        <w:rPr>
          <w:rFonts w:hint="eastAsia" w:ascii="仿宋" w:hAnsi="仿宋" w:eastAsia="仿宋"/>
          <w:color w:val="auto"/>
          <w:sz w:val="32"/>
          <w:szCs w:val="32"/>
          <w:highlight w:val="none"/>
        </w:rPr>
        <w:t>元，占</w:t>
      </w:r>
      <w:r>
        <w:rPr>
          <w:rFonts w:hint="eastAsia" w:ascii="仿宋" w:hAnsi="仿宋" w:eastAsia="仿宋"/>
          <w:color w:val="auto"/>
          <w:sz w:val="32"/>
          <w:szCs w:val="32"/>
          <w:highlight w:val="none"/>
          <w:lang w:val="en-US" w:eastAsia="zh-CN"/>
        </w:rPr>
        <w:t>11.72</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bookmarkEnd w:id="63"/>
      <w:bookmarkEnd w:id="64"/>
      <w:bookmarkEnd w:id="65"/>
      <w:bookmarkEnd w:id="66"/>
    </w:p>
    <w:p w14:paraId="7122581E">
      <w:pPr>
        <w:pStyle w:val="9"/>
        <w:numPr>
          <w:ilvl w:val="0"/>
          <w:numId w:val="0"/>
        </w:numPr>
        <w:ind w:leftChars="0"/>
        <w:rPr>
          <w:rFonts w:hint="eastAsia" w:ascii="仿宋" w:hAnsi="仿宋" w:eastAsia="仿宋"/>
          <w:color w:val="auto"/>
          <w:sz w:val="32"/>
          <w:szCs w:val="32"/>
          <w:highlight w:val="none"/>
        </w:rPr>
      </w:pPr>
      <w:r>
        <w:rPr>
          <w:rFonts w:hint="eastAsia" w:ascii="仿宋" w:hAnsi="仿宋" w:eastAsia="仿宋"/>
          <w:color w:val="000000" w:themeColor="text1"/>
          <w:sz w:val="32"/>
          <w:szCs w:val="32"/>
          <w14:textFill>
            <w14:solidFill>
              <w14:schemeClr w14:val="tx1"/>
            </w14:solidFill>
          </w14:textFill>
        </w:rPr>
        <w:drawing>
          <wp:anchor distT="0" distB="0" distL="114300" distR="114300" simplePos="0" relativeHeight="251660288" behindDoc="0" locked="0" layoutInCell="1" allowOverlap="1">
            <wp:simplePos x="0" y="0"/>
            <wp:positionH relativeFrom="column">
              <wp:posOffset>44450</wp:posOffset>
            </wp:positionH>
            <wp:positionV relativeFrom="paragraph">
              <wp:posOffset>170180</wp:posOffset>
            </wp:positionV>
            <wp:extent cx="5200650" cy="3155315"/>
            <wp:effectExtent l="4445" t="4445" r="14605" b="21590"/>
            <wp:wrapNone/>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14:paraId="5B633B75">
      <w:pPr>
        <w:pStyle w:val="9"/>
        <w:numPr>
          <w:ilvl w:val="0"/>
          <w:numId w:val="0"/>
        </w:numPr>
        <w:ind w:leftChars="0"/>
        <w:rPr>
          <w:rFonts w:hint="eastAsia" w:ascii="仿宋" w:hAnsi="仿宋" w:eastAsia="仿宋"/>
          <w:color w:val="auto"/>
          <w:sz w:val="32"/>
          <w:szCs w:val="32"/>
          <w:highlight w:val="none"/>
        </w:rPr>
      </w:pPr>
    </w:p>
    <w:p w14:paraId="28DCE14C">
      <w:pPr>
        <w:spacing w:line="600" w:lineRule="exact"/>
        <w:ind w:firstLine="640" w:firstLineChars="200"/>
        <w:outlineLvl w:val="1"/>
        <w:rPr>
          <w:rFonts w:ascii="仿宋" w:hAnsi="仿宋" w:eastAsia="仿宋"/>
          <w:color w:val="auto"/>
          <w:sz w:val="32"/>
          <w:szCs w:val="32"/>
          <w:highlight w:val="none"/>
        </w:rPr>
      </w:pPr>
    </w:p>
    <w:p w14:paraId="2799AAAC">
      <w:pPr>
        <w:pStyle w:val="12"/>
        <w:rPr>
          <w:rFonts w:ascii="仿宋" w:hAnsi="仿宋" w:eastAsia="仿宋"/>
          <w:color w:val="auto"/>
          <w:sz w:val="32"/>
          <w:szCs w:val="32"/>
          <w:highlight w:val="none"/>
        </w:rPr>
      </w:pPr>
    </w:p>
    <w:p w14:paraId="5B311BDD">
      <w:pPr>
        <w:pStyle w:val="18"/>
        <w:rPr>
          <w:rFonts w:ascii="仿宋" w:hAnsi="仿宋" w:eastAsia="仿宋"/>
          <w:color w:val="auto"/>
          <w:sz w:val="32"/>
          <w:szCs w:val="32"/>
          <w:highlight w:val="none"/>
        </w:rPr>
      </w:pPr>
    </w:p>
    <w:p w14:paraId="7F3F137A">
      <w:pPr>
        <w:rPr>
          <w:rFonts w:ascii="仿宋" w:hAnsi="仿宋" w:eastAsia="仿宋"/>
          <w:color w:val="auto"/>
          <w:sz w:val="32"/>
          <w:szCs w:val="32"/>
          <w:highlight w:val="none"/>
        </w:rPr>
      </w:pPr>
    </w:p>
    <w:p w14:paraId="20C83900">
      <w:pPr>
        <w:pStyle w:val="12"/>
        <w:rPr>
          <w:rFonts w:ascii="仿宋" w:hAnsi="仿宋" w:eastAsia="仿宋"/>
          <w:color w:val="auto"/>
          <w:sz w:val="32"/>
          <w:szCs w:val="32"/>
          <w:highlight w:val="none"/>
        </w:rPr>
      </w:pPr>
    </w:p>
    <w:p w14:paraId="5888092A">
      <w:pPr>
        <w:rPr>
          <w:rFonts w:eastAsia="仿宋_GB2312"/>
        </w:rPr>
      </w:pPr>
    </w:p>
    <w:p w14:paraId="30B97B57">
      <w:pPr>
        <w:spacing w:line="600" w:lineRule="exact"/>
        <w:ind w:firstLine="1280" w:firstLineChars="400"/>
        <w:rPr>
          <w:rFonts w:ascii="仿宋" w:hAnsi="仿宋" w:eastAsia="仿宋"/>
          <w:color w:val="auto"/>
          <w:sz w:val="32"/>
          <w:szCs w:val="32"/>
          <w:highlight w:val="none"/>
        </w:rPr>
      </w:pPr>
      <w:r>
        <w:rPr>
          <w:rFonts w:hint="eastAsia" w:ascii="仿宋" w:hAnsi="仿宋" w:eastAsia="仿宋"/>
          <w:color w:val="auto"/>
          <w:sz w:val="32"/>
          <w:szCs w:val="32"/>
          <w:highlight w:val="none"/>
        </w:rPr>
        <w:t>（图2：收入决算结构图）（饼状图）</w:t>
      </w:r>
    </w:p>
    <w:p w14:paraId="1DED668D">
      <w:pPr>
        <w:pStyle w:val="37"/>
        <w:numPr>
          <w:ilvl w:val="0"/>
          <w:numId w:val="2"/>
        </w:numPr>
        <w:spacing w:line="600" w:lineRule="exact"/>
        <w:ind w:firstLineChars="0"/>
        <w:outlineLvl w:val="1"/>
        <w:rPr>
          <w:rStyle w:val="39"/>
          <w:rFonts w:ascii="黑体" w:hAnsi="黑体" w:eastAsia="黑体"/>
          <w:b w:val="0"/>
          <w:color w:val="auto"/>
          <w:highlight w:val="none"/>
        </w:rPr>
      </w:pPr>
      <w:bookmarkStart w:id="67" w:name="_Toc3428"/>
      <w:bookmarkStart w:id="68" w:name="_Toc3989"/>
      <w:bookmarkStart w:id="69" w:name="_Toc29971_WPSOffice_Level2"/>
      <w:bookmarkStart w:id="70" w:name="_Toc15396605"/>
      <w:bookmarkStart w:id="71" w:name="_Toc15377207"/>
      <w:r>
        <w:rPr>
          <w:rFonts w:hint="eastAsia" w:ascii="黑体" w:hAnsi="黑体" w:eastAsia="黑体"/>
          <w:color w:val="auto"/>
          <w:sz w:val="32"/>
          <w:szCs w:val="32"/>
          <w:highlight w:val="none"/>
        </w:rPr>
        <w:t>支</w:t>
      </w:r>
      <w:r>
        <w:rPr>
          <w:rStyle w:val="39"/>
          <w:rFonts w:hint="eastAsia" w:ascii="黑体" w:hAnsi="黑体" w:eastAsia="黑体"/>
          <w:b w:val="0"/>
          <w:color w:val="auto"/>
          <w:highlight w:val="none"/>
        </w:rPr>
        <w:t>出决算情况说明</w:t>
      </w:r>
      <w:bookmarkEnd w:id="67"/>
      <w:bookmarkEnd w:id="68"/>
      <w:bookmarkEnd w:id="69"/>
      <w:bookmarkEnd w:id="70"/>
      <w:bookmarkEnd w:id="71"/>
    </w:p>
    <w:p w14:paraId="3FEF0837">
      <w:pPr>
        <w:spacing w:line="600" w:lineRule="exact"/>
        <w:ind w:firstLine="640" w:firstLineChars="200"/>
        <w:outlineLvl w:val="1"/>
        <w:rPr>
          <w:rFonts w:ascii="仿宋" w:hAnsi="仿宋" w:eastAsia="仿宋"/>
          <w:color w:val="auto"/>
          <w:sz w:val="32"/>
          <w:szCs w:val="32"/>
          <w:highlight w:val="none"/>
        </w:rPr>
      </w:pPr>
      <w:bookmarkStart w:id="72" w:name="_Toc2861"/>
      <w:bookmarkStart w:id="73" w:name="_Toc20396"/>
      <w:bookmarkStart w:id="74" w:name="_Toc13730"/>
      <w:bookmarkStart w:id="75" w:name="_Toc10148"/>
      <w:r>
        <w:rPr>
          <w:rFonts w:hint="eastAsia" w:ascii="仿宋" w:hAnsi="仿宋" w:eastAsia="仿宋"/>
          <w:color w:val="auto"/>
          <w:sz w:val="32"/>
          <w:szCs w:val="32"/>
          <w:highlight w:val="none"/>
          <w:lang w:eastAsia="zh-CN"/>
        </w:rPr>
        <w:t>2024年</w:t>
      </w:r>
      <w:r>
        <w:rPr>
          <w:rFonts w:hint="eastAsia" w:ascii="仿宋" w:hAnsi="仿宋" w:eastAsia="仿宋"/>
          <w:color w:val="auto"/>
          <w:sz w:val="32"/>
          <w:szCs w:val="32"/>
          <w:highlight w:val="none"/>
        </w:rPr>
        <w:t>本年支出合计</w:t>
      </w:r>
      <w:r>
        <w:rPr>
          <w:rFonts w:hint="eastAsia" w:ascii="仿宋" w:hAnsi="仿宋" w:eastAsia="仿宋"/>
          <w:color w:val="auto"/>
          <w:sz w:val="32"/>
          <w:szCs w:val="32"/>
          <w:highlight w:val="none"/>
          <w:lang w:val="en-US" w:eastAsia="zh-CN"/>
        </w:rPr>
        <w:t>33322.22万</w:t>
      </w:r>
      <w:r>
        <w:rPr>
          <w:rFonts w:hint="eastAsia" w:ascii="仿宋" w:hAnsi="仿宋" w:eastAsia="仿宋"/>
          <w:color w:val="auto"/>
          <w:sz w:val="32"/>
          <w:szCs w:val="32"/>
          <w:highlight w:val="none"/>
        </w:rPr>
        <w:t>元，其中：基本支出</w:t>
      </w:r>
      <w:r>
        <w:rPr>
          <w:rFonts w:hint="eastAsia" w:ascii="仿宋" w:hAnsi="仿宋" w:eastAsia="仿宋"/>
          <w:color w:val="auto"/>
          <w:sz w:val="32"/>
          <w:szCs w:val="32"/>
          <w:highlight w:val="none"/>
          <w:lang w:val="en-US" w:eastAsia="zh-CN"/>
        </w:rPr>
        <w:t>1445.32</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4.34</w:t>
      </w:r>
      <w:r>
        <w:rPr>
          <w:rFonts w:ascii="仿宋" w:hAnsi="仿宋" w:eastAsia="仿宋"/>
          <w:color w:val="auto"/>
          <w:sz w:val="32"/>
          <w:szCs w:val="32"/>
          <w:highlight w:val="none"/>
        </w:rPr>
        <w:t>%</w:t>
      </w:r>
      <w:r>
        <w:rPr>
          <w:rFonts w:hint="eastAsia" w:ascii="仿宋" w:hAnsi="仿宋" w:eastAsia="仿宋"/>
          <w:color w:val="auto"/>
          <w:sz w:val="32"/>
          <w:szCs w:val="32"/>
          <w:highlight w:val="none"/>
        </w:rPr>
        <w:t>；项目支出</w:t>
      </w:r>
      <w:r>
        <w:rPr>
          <w:rFonts w:hint="eastAsia" w:ascii="仿宋" w:hAnsi="仿宋" w:eastAsia="仿宋"/>
          <w:color w:val="auto"/>
          <w:sz w:val="32"/>
          <w:szCs w:val="32"/>
          <w:highlight w:val="none"/>
          <w:lang w:val="en-US" w:eastAsia="zh-CN"/>
        </w:rPr>
        <w:t>31876.9</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95.66</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bookmarkEnd w:id="72"/>
      <w:bookmarkEnd w:id="73"/>
      <w:bookmarkEnd w:id="74"/>
      <w:bookmarkEnd w:id="75"/>
    </w:p>
    <w:p w14:paraId="7EE1754D">
      <w:pPr>
        <w:spacing w:line="600" w:lineRule="exact"/>
        <w:ind w:firstLine="640"/>
        <w:rPr>
          <w:rFonts w:ascii="仿宋" w:hAnsi="仿宋" w:eastAsia="仿宋"/>
          <w:color w:val="auto"/>
          <w:sz w:val="32"/>
          <w:szCs w:val="32"/>
          <w:highlight w:val="none"/>
          <w:shd w:val="pct10" w:color="auto" w:fill="FFFFFF"/>
        </w:rPr>
      </w:pPr>
      <w:r>
        <w:rPr>
          <w:rFonts w:hint="eastAsia" w:ascii="仿宋" w:hAnsi="仿宋" w:eastAsia="仿宋"/>
          <w:color w:val="000000" w:themeColor="text1"/>
          <w:sz w:val="32"/>
          <w:szCs w:val="32"/>
          <w14:textFill>
            <w14:solidFill>
              <w14:schemeClr w14:val="tx1"/>
            </w14:solidFill>
          </w14:textFill>
        </w:rPr>
        <w:drawing>
          <wp:anchor distT="0" distB="0" distL="114300" distR="114300" simplePos="0" relativeHeight="251661312" behindDoc="0" locked="0" layoutInCell="1" allowOverlap="1">
            <wp:simplePos x="0" y="0"/>
            <wp:positionH relativeFrom="column">
              <wp:posOffset>127000</wp:posOffset>
            </wp:positionH>
            <wp:positionV relativeFrom="paragraph">
              <wp:posOffset>46990</wp:posOffset>
            </wp:positionV>
            <wp:extent cx="5391150" cy="2900680"/>
            <wp:effectExtent l="4445" t="4445" r="14605" b="9525"/>
            <wp:wrapNone/>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14:paraId="23D957DF">
      <w:pPr>
        <w:pStyle w:val="12"/>
        <w:rPr>
          <w:rFonts w:ascii="仿宋" w:hAnsi="仿宋" w:eastAsia="仿宋"/>
          <w:color w:val="auto"/>
          <w:sz w:val="32"/>
          <w:szCs w:val="32"/>
          <w:highlight w:val="none"/>
          <w:shd w:val="pct10" w:color="auto" w:fill="FFFFFF"/>
        </w:rPr>
      </w:pPr>
    </w:p>
    <w:p w14:paraId="73040AFE">
      <w:pPr>
        <w:pStyle w:val="18"/>
        <w:rPr>
          <w:rFonts w:ascii="仿宋" w:hAnsi="仿宋" w:eastAsia="仿宋"/>
          <w:color w:val="auto"/>
          <w:sz w:val="32"/>
          <w:szCs w:val="32"/>
          <w:highlight w:val="none"/>
          <w:shd w:val="pct10" w:color="auto" w:fill="FFFFFF"/>
        </w:rPr>
      </w:pPr>
    </w:p>
    <w:p w14:paraId="1953C8DD">
      <w:pPr>
        <w:rPr>
          <w:rFonts w:ascii="仿宋" w:hAnsi="仿宋" w:eastAsia="仿宋"/>
          <w:color w:val="auto"/>
          <w:sz w:val="32"/>
          <w:szCs w:val="32"/>
          <w:highlight w:val="none"/>
          <w:shd w:val="pct10" w:color="auto" w:fill="FFFFFF"/>
        </w:rPr>
      </w:pPr>
    </w:p>
    <w:p w14:paraId="27801DF6">
      <w:pPr>
        <w:pStyle w:val="12"/>
        <w:rPr>
          <w:rFonts w:ascii="仿宋" w:hAnsi="仿宋" w:eastAsia="仿宋"/>
          <w:color w:val="auto"/>
          <w:sz w:val="32"/>
          <w:szCs w:val="32"/>
          <w:highlight w:val="none"/>
          <w:shd w:val="pct10" w:color="auto" w:fill="FFFFFF"/>
        </w:rPr>
      </w:pPr>
    </w:p>
    <w:p w14:paraId="27EFBF9F">
      <w:pPr>
        <w:pStyle w:val="18"/>
        <w:rPr>
          <w:rFonts w:eastAsia="仿宋_GB2312"/>
        </w:rPr>
      </w:pPr>
    </w:p>
    <w:p w14:paraId="4482F75F">
      <w:pPr>
        <w:spacing w:line="600" w:lineRule="exact"/>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lang w:eastAsia="zh-CN"/>
        </w:rPr>
        <w:t>　　　</w:t>
      </w:r>
      <w:r>
        <w:rPr>
          <w:rFonts w:hint="eastAsia" w:ascii="仿宋" w:hAnsi="仿宋" w:eastAsia="仿宋"/>
          <w:color w:val="auto"/>
          <w:sz w:val="32"/>
          <w:szCs w:val="32"/>
          <w:highlight w:val="none"/>
        </w:rPr>
        <w:t>（图3：支出决算结构图）（饼状图）</w:t>
      </w:r>
    </w:p>
    <w:p w14:paraId="1461E448">
      <w:pPr>
        <w:spacing w:line="600" w:lineRule="exact"/>
        <w:ind w:firstLine="640" w:firstLineChars="200"/>
        <w:outlineLvl w:val="1"/>
        <w:rPr>
          <w:rStyle w:val="39"/>
          <w:rFonts w:ascii="黑体" w:hAnsi="黑体" w:eastAsia="黑体"/>
          <w:b w:val="0"/>
          <w:color w:val="auto"/>
          <w:highlight w:val="none"/>
        </w:rPr>
      </w:pPr>
      <w:bookmarkStart w:id="76" w:name="_Toc10770"/>
      <w:bookmarkStart w:id="77" w:name="_Toc15377208"/>
      <w:bookmarkStart w:id="78" w:name="_Toc15396606"/>
      <w:bookmarkStart w:id="79" w:name="_Toc3580"/>
      <w:bookmarkStart w:id="80" w:name="_Toc11008_WPSOffice_Level2"/>
      <w:r>
        <w:rPr>
          <w:rFonts w:hint="eastAsia" w:ascii="黑体" w:hAnsi="黑体" w:eastAsia="黑体"/>
          <w:color w:val="auto"/>
          <w:sz w:val="32"/>
          <w:szCs w:val="32"/>
          <w:highlight w:val="none"/>
        </w:rPr>
        <w:t>四、财</w:t>
      </w:r>
      <w:r>
        <w:rPr>
          <w:rStyle w:val="39"/>
          <w:rFonts w:hint="eastAsia" w:ascii="黑体" w:hAnsi="黑体" w:eastAsia="黑体"/>
          <w:b w:val="0"/>
          <w:color w:val="auto"/>
          <w:highlight w:val="none"/>
        </w:rPr>
        <w:t>政拨款收入支出决算总体情况说明</w:t>
      </w:r>
      <w:bookmarkEnd w:id="76"/>
      <w:bookmarkEnd w:id="77"/>
      <w:bookmarkEnd w:id="78"/>
      <w:bookmarkEnd w:id="79"/>
      <w:bookmarkEnd w:id="80"/>
    </w:p>
    <w:p w14:paraId="02802311">
      <w:pPr>
        <w:spacing w:line="600" w:lineRule="exact"/>
        <w:ind w:firstLine="640" w:firstLineChars="200"/>
        <w:rPr>
          <w:rFonts w:hint="eastAsia" w:ascii="仿宋" w:hAnsi="仿宋" w:eastAsia="宋体"/>
          <w:color w:val="auto"/>
          <w:sz w:val="32"/>
          <w:szCs w:val="32"/>
          <w:highlight w:val="none"/>
          <w:lang w:eastAsia="zh-CN"/>
        </w:rPr>
      </w:pPr>
      <w:r>
        <w:rPr>
          <w:rFonts w:hint="eastAsia" w:ascii="仿宋" w:hAnsi="仿宋" w:eastAsia="仿宋"/>
          <w:color w:val="auto"/>
          <w:sz w:val="32"/>
          <w:szCs w:val="32"/>
          <w:highlight w:val="none"/>
          <w:lang w:eastAsia="zh-CN"/>
        </w:rPr>
        <w:t>2024年</w:t>
      </w:r>
      <w:r>
        <w:rPr>
          <w:rFonts w:hint="eastAsia" w:ascii="仿宋" w:hAnsi="仿宋" w:eastAsia="仿宋"/>
          <w:color w:val="auto"/>
          <w:sz w:val="32"/>
          <w:szCs w:val="32"/>
          <w:highlight w:val="none"/>
        </w:rPr>
        <w:t>财政拨款收、支总计</w:t>
      </w:r>
      <w:r>
        <w:rPr>
          <w:rFonts w:hint="eastAsia" w:ascii="仿宋" w:hAnsi="仿宋" w:eastAsia="仿宋"/>
          <w:color w:val="auto"/>
          <w:sz w:val="32"/>
          <w:szCs w:val="32"/>
          <w:highlight w:val="none"/>
          <w:lang w:val="en-US" w:eastAsia="zh-CN"/>
        </w:rPr>
        <w:t>33322.22万</w:t>
      </w:r>
      <w:r>
        <w:rPr>
          <w:rFonts w:hint="eastAsia" w:ascii="仿宋" w:hAnsi="仿宋" w:eastAsia="仿宋"/>
          <w:color w:val="auto"/>
          <w:sz w:val="32"/>
          <w:szCs w:val="32"/>
          <w:highlight w:val="none"/>
        </w:rPr>
        <w:t>元。与</w:t>
      </w:r>
      <w:r>
        <w:rPr>
          <w:rFonts w:hint="eastAsia" w:ascii="仿宋" w:hAnsi="仿宋" w:eastAsia="仿宋"/>
          <w:color w:val="auto"/>
          <w:sz w:val="32"/>
          <w:szCs w:val="32"/>
          <w:highlight w:val="none"/>
          <w:lang w:eastAsia="zh-CN"/>
        </w:rPr>
        <w:t>2023年</w:t>
      </w:r>
      <w:r>
        <w:rPr>
          <w:rFonts w:hint="eastAsia" w:ascii="仿宋" w:hAnsi="仿宋" w:eastAsia="仿宋"/>
          <w:color w:val="auto"/>
          <w:sz w:val="32"/>
          <w:szCs w:val="32"/>
          <w:highlight w:val="none"/>
        </w:rPr>
        <w:t>相比，财政拨款收、支总计各</w:t>
      </w:r>
      <w:r>
        <w:rPr>
          <w:rFonts w:hint="eastAsia" w:ascii="仿宋" w:hAnsi="仿宋" w:eastAsia="仿宋"/>
          <w:color w:val="auto"/>
          <w:sz w:val="32"/>
          <w:szCs w:val="32"/>
          <w:highlight w:val="none"/>
          <w:lang w:eastAsia="zh-CN"/>
        </w:rPr>
        <w:t>减少</w:t>
      </w:r>
      <w:r>
        <w:rPr>
          <w:rFonts w:hint="eastAsia" w:ascii="仿宋" w:hAnsi="仿宋" w:eastAsia="仿宋"/>
          <w:color w:val="auto"/>
          <w:sz w:val="32"/>
          <w:szCs w:val="32"/>
          <w:highlight w:val="none"/>
          <w:lang w:val="en-US" w:eastAsia="zh-CN"/>
        </w:rPr>
        <w:t>3908.6万</w:t>
      </w:r>
      <w:r>
        <w:rPr>
          <w:rFonts w:hint="eastAsia" w:ascii="仿宋" w:hAnsi="仿宋" w:eastAsia="仿宋"/>
          <w:color w:val="auto"/>
          <w:sz w:val="32"/>
          <w:szCs w:val="32"/>
          <w:highlight w:val="none"/>
        </w:rPr>
        <w:t>元，</w:t>
      </w:r>
      <w:r>
        <w:rPr>
          <w:rFonts w:hint="eastAsia" w:ascii="仿宋" w:hAnsi="仿宋" w:eastAsia="仿宋"/>
          <w:color w:val="auto"/>
          <w:sz w:val="32"/>
          <w:szCs w:val="32"/>
          <w:highlight w:val="none"/>
          <w:lang w:eastAsia="zh-CN"/>
        </w:rPr>
        <w:t>下降</w:t>
      </w:r>
      <w:r>
        <w:rPr>
          <w:rFonts w:hint="eastAsia" w:ascii="仿宋" w:hAnsi="仿宋" w:eastAsia="仿宋"/>
          <w:color w:val="auto"/>
          <w:sz w:val="32"/>
          <w:szCs w:val="32"/>
          <w:highlight w:val="none"/>
          <w:lang w:val="en-US" w:eastAsia="zh-CN"/>
        </w:rPr>
        <w:t>10.5%</w:t>
      </w:r>
      <w:r>
        <w:rPr>
          <w:rFonts w:hint="eastAsia" w:ascii="仿宋" w:hAnsi="仿宋" w:eastAsia="仿宋"/>
          <w:color w:val="auto"/>
          <w:sz w:val="32"/>
          <w:szCs w:val="32"/>
          <w:highlight w:val="none"/>
        </w:rPr>
        <w:t>。主要变动原因是</w:t>
      </w:r>
      <w:r>
        <w:rPr>
          <w:rFonts w:hint="eastAsia" w:ascii="仿宋" w:hAnsi="仿宋" w:eastAsia="仿宋"/>
          <w:color w:val="auto"/>
          <w:sz w:val="32"/>
          <w:szCs w:val="32"/>
          <w:highlight w:val="none"/>
          <w:lang w:eastAsia="zh-CN"/>
        </w:rPr>
        <w:t>项目支出减少。</w:t>
      </w:r>
      <w:r>
        <w:rPr>
          <w:rFonts w:hint="eastAsia"/>
          <w:lang w:eastAsia="zh-CN"/>
        </w:rPr>
        <w:t>如：</w:t>
      </w:r>
      <w:r>
        <w:rPr>
          <w:rFonts w:hint="eastAsia"/>
        </w:rPr>
        <w:t>安居区城镇全域供水基础设施建设项目</w:t>
      </w:r>
      <w:r>
        <w:rPr>
          <w:rFonts w:hint="eastAsia"/>
          <w:lang w:eastAsia="zh-CN"/>
        </w:rPr>
        <w:t>、三仙湖水库工程、农村饮水安全等项目。</w:t>
      </w:r>
    </w:p>
    <w:p w14:paraId="120A8490">
      <w:pPr>
        <w:spacing w:line="600" w:lineRule="exact"/>
        <w:ind w:firstLine="640" w:firstLineChars="200"/>
        <w:rPr>
          <w:rFonts w:hint="eastAsia" w:ascii="仿宋" w:hAnsi="仿宋" w:eastAsia="仿宋"/>
          <w:color w:val="auto"/>
          <w:sz w:val="32"/>
          <w:szCs w:val="32"/>
          <w:highlight w:val="none"/>
          <w:lang w:eastAsia="zh-CN"/>
        </w:rPr>
      </w:pPr>
    </w:p>
    <w:p w14:paraId="1E8EFE5E">
      <w:pPr>
        <w:spacing w:line="600" w:lineRule="exact"/>
        <w:ind w:firstLine="640"/>
        <w:rPr>
          <w:rFonts w:ascii="仿宋" w:hAnsi="仿宋" w:eastAsia="仿宋"/>
          <w:b/>
          <w:color w:val="auto"/>
          <w:sz w:val="32"/>
          <w:szCs w:val="32"/>
          <w:highlight w:val="none"/>
        </w:rPr>
      </w:pPr>
      <w:r>
        <w:rPr>
          <w:rFonts w:hint="eastAsia" w:ascii="仿宋" w:hAnsi="仿宋" w:eastAsia="仿宋"/>
          <w:color w:val="000000" w:themeColor="text1"/>
          <w:sz w:val="32"/>
          <w:szCs w:val="32"/>
          <w14:textFill>
            <w14:solidFill>
              <w14:schemeClr w14:val="tx1"/>
            </w14:solidFill>
          </w14:textFill>
        </w:rPr>
        <w:drawing>
          <wp:anchor distT="0" distB="0" distL="114300" distR="114300" simplePos="0" relativeHeight="251662336" behindDoc="0" locked="0" layoutInCell="1" allowOverlap="1">
            <wp:simplePos x="0" y="0"/>
            <wp:positionH relativeFrom="column">
              <wp:posOffset>62865</wp:posOffset>
            </wp:positionH>
            <wp:positionV relativeFrom="paragraph">
              <wp:posOffset>80645</wp:posOffset>
            </wp:positionV>
            <wp:extent cx="5458460" cy="3130550"/>
            <wp:effectExtent l="4445" t="4445" r="23495" b="8255"/>
            <wp:wrapNone/>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14:paraId="4CD62CA7">
      <w:pPr>
        <w:pStyle w:val="12"/>
        <w:rPr>
          <w:rFonts w:ascii="仿宋" w:hAnsi="仿宋" w:eastAsia="仿宋"/>
          <w:b/>
          <w:color w:val="auto"/>
          <w:sz w:val="32"/>
          <w:szCs w:val="32"/>
          <w:highlight w:val="none"/>
        </w:rPr>
      </w:pPr>
    </w:p>
    <w:p w14:paraId="5297C368">
      <w:pPr>
        <w:pStyle w:val="18"/>
        <w:rPr>
          <w:rFonts w:ascii="仿宋" w:hAnsi="仿宋" w:eastAsia="仿宋"/>
          <w:b/>
          <w:color w:val="auto"/>
          <w:sz w:val="32"/>
          <w:szCs w:val="32"/>
          <w:highlight w:val="none"/>
        </w:rPr>
      </w:pPr>
    </w:p>
    <w:p w14:paraId="487DF214">
      <w:pPr>
        <w:rPr>
          <w:rFonts w:ascii="仿宋" w:hAnsi="仿宋" w:eastAsia="仿宋"/>
          <w:b/>
          <w:color w:val="auto"/>
          <w:sz w:val="32"/>
          <w:szCs w:val="32"/>
          <w:highlight w:val="none"/>
        </w:rPr>
      </w:pPr>
    </w:p>
    <w:p w14:paraId="3F0986C4">
      <w:pPr>
        <w:pStyle w:val="12"/>
      </w:pPr>
    </w:p>
    <w:p w14:paraId="48DE27A9">
      <w:pPr>
        <w:spacing w:line="600" w:lineRule="exact"/>
        <w:rPr>
          <w:rFonts w:ascii="仿宋" w:hAnsi="仿宋" w:eastAsia="仿宋"/>
          <w:color w:val="auto"/>
          <w:sz w:val="32"/>
          <w:szCs w:val="32"/>
          <w:highlight w:val="none"/>
        </w:rPr>
      </w:pPr>
    </w:p>
    <w:p w14:paraId="760AC42C">
      <w:pPr>
        <w:spacing w:line="600" w:lineRule="exact"/>
        <w:ind w:firstLine="640" w:firstLineChars="200"/>
        <w:rPr>
          <w:rFonts w:hint="eastAsia" w:ascii="仿宋" w:hAnsi="仿宋" w:eastAsia="仿宋"/>
          <w:color w:val="auto"/>
          <w:sz w:val="32"/>
          <w:szCs w:val="32"/>
          <w:highlight w:val="none"/>
        </w:rPr>
      </w:pPr>
    </w:p>
    <w:p w14:paraId="61D8BE4D">
      <w:pPr>
        <w:spacing w:line="600" w:lineRule="exact"/>
        <w:ind w:firstLine="640" w:firstLineChars="200"/>
        <w:rPr>
          <w:rFonts w:hint="eastAsia" w:ascii="仿宋" w:hAnsi="仿宋" w:eastAsia="仿宋"/>
          <w:color w:val="auto"/>
          <w:sz w:val="32"/>
          <w:szCs w:val="32"/>
          <w:highlight w:val="none"/>
        </w:rPr>
      </w:pPr>
    </w:p>
    <w:p w14:paraId="7423DC02">
      <w:pPr>
        <w:spacing w:line="600" w:lineRule="exact"/>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（图4：财政拨款收、支决算总计变动情况）（柱状图）</w:t>
      </w:r>
    </w:p>
    <w:p w14:paraId="0E0CB8CD">
      <w:pPr>
        <w:spacing w:line="600" w:lineRule="exact"/>
        <w:ind w:firstLine="640" w:firstLineChars="200"/>
        <w:outlineLvl w:val="1"/>
        <w:rPr>
          <w:rStyle w:val="39"/>
          <w:rFonts w:ascii="黑体" w:hAnsi="黑体" w:eastAsia="黑体"/>
          <w:b w:val="0"/>
          <w:color w:val="auto"/>
          <w:highlight w:val="none"/>
        </w:rPr>
      </w:pPr>
      <w:bookmarkStart w:id="81" w:name="_Toc15396607"/>
      <w:bookmarkStart w:id="82" w:name="_Toc6315"/>
      <w:bookmarkStart w:id="83" w:name="_Toc20318_WPSOffice_Level2"/>
      <w:bookmarkStart w:id="84" w:name="_Toc6085"/>
      <w:bookmarkStart w:id="85" w:name="_Toc15377209"/>
      <w:r>
        <w:rPr>
          <w:rFonts w:hint="eastAsia" w:ascii="黑体" w:hAnsi="黑体" w:eastAsia="黑体"/>
          <w:color w:val="auto"/>
          <w:sz w:val="32"/>
          <w:szCs w:val="32"/>
          <w:highlight w:val="none"/>
        </w:rPr>
        <w:t>五、</w:t>
      </w:r>
      <w:r>
        <w:rPr>
          <w:rFonts w:hint="eastAsia" w:ascii="黑体" w:hAnsi="黑体" w:eastAsia="黑体"/>
          <w:b/>
          <w:color w:val="auto"/>
          <w:sz w:val="32"/>
          <w:szCs w:val="32"/>
          <w:highlight w:val="none"/>
        </w:rPr>
        <w:t>一</w:t>
      </w:r>
      <w:r>
        <w:rPr>
          <w:rStyle w:val="39"/>
          <w:rFonts w:hint="eastAsia" w:ascii="黑体" w:hAnsi="黑体" w:eastAsia="黑体"/>
          <w:b w:val="0"/>
          <w:color w:val="auto"/>
          <w:highlight w:val="none"/>
        </w:rPr>
        <w:t>般公共预算财政拨款支出决算情况说明</w:t>
      </w:r>
      <w:bookmarkEnd w:id="81"/>
      <w:bookmarkEnd w:id="82"/>
      <w:bookmarkEnd w:id="83"/>
      <w:bookmarkEnd w:id="84"/>
      <w:bookmarkEnd w:id="85"/>
    </w:p>
    <w:p w14:paraId="40CA25D8">
      <w:pPr>
        <w:spacing w:line="600" w:lineRule="exact"/>
        <w:ind w:firstLine="643" w:firstLineChars="200"/>
        <w:outlineLvl w:val="2"/>
        <w:rPr>
          <w:rFonts w:ascii="仿宋" w:hAnsi="仿宋" w:eastAsia="仿宋"/>
          <w:b/>
          <w:color w:val="auto"/>
          <w:sz w:val="32"/>
          <w:szCs w:val="32"/>
          <w:highlight w:val="none"/>
        </w:rPr>
      </w:pPr>
      <w:bookmarkStart w:id="86" w:name="_Toc214_WPSOffice_Level3"/>
      <w:bookmarkStart w:id="87" w:name="_Toc10789"/>
      <w:bookmarkStart w:id="88" w:name="_Toc20734"/>
      <w:bookmarkStart w:id="89" w:name="_Toc15377210"/>
      <w:r>
        <w:rPr>
          <w:rFonts w:hint="eastAsia" w:ascii="仿宋" w:hAnsi="仿宋" w:eastAsia="仿宋"/>
          <w:b/>
          <w:color w:val="auto"/>
          <w:sz w:val="32"/>
          <w:szCs w:val="32"/>
          <w:highlight w:val="none"/>
        </w:rPr>
        <w:t>（一）一般公共预算财政拨款支出决算总体情况</w:t>
      </w:r>
      <w:bookmarkEnd w:id="86"/>
      <w:bookmarkEnd w:id="87"/>
      <w:bookmarkEnd w:id="88"/>
      <w:bookmarkEnd w:id="89"/>
    </w:p>
    <w:p w14:paraId="4F4D0343">
      <w:pPr>
        <w:spacing w:line="600" w:lineRule="exact"/>
        <w:ind w:firstLine="640" w:firstLineChars="200"/>
        <w:rPr>
          <w:rFonts w:hint="eastAsia" w:ascii="仿宋" w:hAnsi="仿宋" w:eastAsia="宋体"/>
          <w:color w:val="auto"/>
          <w:sz w:val="32"/>
          <w:szCs w:val="32"/>
          <w:highlight w:val="none"/>
          <w:lang w:eastAsia="zh-CN"/>
        </w:rPr>
      </w:pPr>
      <w:r>
        <w:rPr>
          <w:rFonts w:hint="eastAsia" w:ascii="仿宋" w:hAnsi="仿宋" w:eastAsia="仿宋"/>
          <w:color w:val="auto"/>
          <w:sz w:val="32"/>
          <w:szCs w:val="32"/>
          <w:highlight w:val="none"/>
          <w:lang w:eastAsia="zh-CN"/>
        </w:rPr>
        <w:t>2024年</w:t>
      </w:r>
      <w:r>
        <w:rPr>
          <w:rFonts w:hint="eastAsia" w:ascii="仿宋" w:hAnsi="仿宋" w:eastAsia="仿宋"/>
          <w:color w:val="auto"/>
          <w:sz w:val="32"/>
          <w:szCs w:val="32"/>
          <w:highlight w:val="none"/>
        </w:rPr>
        <w:t>一般公共预算财政拨款支出</w:t>
      </w:r>
      <w:r>
        <w:rPr>
          <w:rFonts w:hint="eastAsia" w:ascii="仿宋" w:hAnsi="仿宋" w:eastAsia="仿宋"/>
          <w:color w:val="auto"/>
          <w:sz w:val="32"/>
          <w:szCs w:val="32"/>
          <w:highlight w:val="none"/>
          <w:lang w:val="en-US" w:eastAsia="zh-CN"/>
        </w:rPr>
        <w:t>29415.79万</w:t>
      </w:r>
      <w:r>
        <w:rPr>
          <w:rFonts w:hint="eastAsia" w:ascii="仿宋" w:hAnsi="仿宋" w:eastAsia="仿宋"/>
          <w:color w:val="auto"/>
          <w:sz w:val="32"/>
          <w:szCs w:val="32"/>
          <w:highlight w:val="none"/>
        </w:rPr>
        <w:t>元，占本年支出合计的</w:t>
      </w:r>
      <w:r>
        <w:rPr>
          <w:rFonts w:hint="eastAsia" w:ascii="仿宋" w:hAnsi="仿宋" w:eastAsia="仿宋"/>
          <w:color w:val="auto"/>
          <w:sz w:val="32"/>
          <w:szCs w:val="32"/>
          <w:highlight w:val="none"/>
          <w:lang w:val="en-US" w:eastAsia="zh-CN"/>
        </w:rPr>
        <w:t>88.28</w:t>
      </w:r>
      <w:r>
        <w:rPr>
          <w:rFonts w:ascii="仿宋" w:hAnsi="仿宋" w:eastAsia="仿宋"/>
          <w:color w:val="auto"/>
          <w:sz w:val="32"/>
          <w:szCs w:val="32"/>
          <w:highlight w:val="none"/>
        </w:rPr>
        <w:t>%</w:t>
      </w:r>
      <w:r>
        <w:rPr>
          <w:rFonts w:hint="eastAsia" w:ascii="仿宋" w:hAnsi="仿宋" w:eastAsia="仿宋"/>
          <w:color w:val="auto"/>
          <w:sz w:val="32"/>
          <w:szCs w:val="32"/>
          <w:highlight w:val="none"/>
        </w:rPr>
        <w:t>。与</w:t>
      </w:r>
      <w:r>
        <w:rPr>
          <w:rFonts w:hint="eastAsia" w:ascii="仿宋" w:hAnsi="仿宋" w:eastAsia="仿宋"/>
          <w:color w:val="auto"/>
          <w:sz w:val="32"/>
          <w:szCs w:val="32"/>
          <w:highlight w:val="none"/>
          <w:lang w:eastAsia="zh-CN"/>
        </w:rPr>
        <w:t>2023年</w:t>
      </w:r>
      <w:r>
        <w:rPr>
          <w:rFonts w:hint="eastAsia" w:ascii="仿宋" w:hAnsi="仿宋" w:eastAsia="仿宋"/>
          <w:color w:val="auto"/>
          <w:sz w:val="32"/>
          <w:szCs w:val="32"/>
          <w:highlight w:val="none"/>
        </w:rPr>
        <w:t>相比，一般公共预算财政拨款</w:t>
      </w:r>
      <w:r>
        <w:rPr>
          <w:rFonts w:hint="eastAsia" w:ascii="仿宋" w:hAnsi="仿宋" w:eastAsia="仿宋"/>
          <w:color w:val="auto"/>
          <w:sz w:val="32"/>
          <w:szCs w:val="32"/>
          <w:highlight w:val="none"/>
          <w:lang w:eastAsia="zh-CN"/>
        </w:rPr>
        <w:t>支出</w:t>
      </w:r>
      <w:r>
        <w:rPr>
          <w:rFonts w:hint="eastAsia" w:ascii="仿宋" w:hAnsi="仿宋" w:eastAsia="仿宋"/>
          <w:color w:val="auto"/>
          <w:sz w:val="32"/>
          <w:szCs w:val="32"/>
          <w:highlight w:val="none"/>
        </w:rPr>
        <w:t>增加</w:t>
      </w:r>
      <w:r>
        <w:rPr>
          <w:rFonts w:hint="eastAsia" w:ascii="仿宋" w:hAnsi="仿宋" w:eastAsia="仿宋"/>
          <w:color w:val="auto"/>
          <w:sz w:val="32"/>
          <w:szCs w:val="32"/>
          <w:highlight w:val="none"/>
          <w:lang w:val="en-US" w:eastAsia="zh-CN"/>
        </w:rPr>
        <w:t>5617.75</w:t>
      </w:r>
      <w:r>
        <w:rPr>
          <w:rFonts w:hint="eastAsia" w:ascii="仿宋" w:hAnsi="仿宋" w:eastAsia="仿宋"/>
          <w:color w:val="auto"/>
          <w:sz w:val="32"/>
          <w:szCs w:val="32"/>
          <w:highlight w:val="none"/>
        </w:rPr>
        <w:t>万元，增长</w:t>
      </w:r>
      <w:r>
        <w:rPr>
          <w:rFonts w:hint="eastAsia" w:ascii="仿宋" w:hAnsi="仿宋" w:eastAsia="仿宋"/>
          <w:color w:val="auto"/>
          <w:sz w:val="32"/>
          <w:szCs w:val="32"/>
          <w:highlight w:val="none"/>
          <w:lang w:val="en-US" w:eastAsia="zh-CN"/>
        </w:rPr>
        <w:t>23.61</w:t>
      </w:r>
      <w:r>
        <w:rPr>
          <w:rFonts w:ascii="仿宋" w:hAnsi="仿宋" w:eastAsia="仿宋"/>
          <w:color w:val="auto"/>
          <w:sz w:val="32"/>
          <w:szCs w:val="32"/>
          <w:highlight w:val="none"/>
        </w:rPr>
        <w:t>%</w:t>
      </w:r>
      <w:r>
        <w:rPr>
          <w:rFonts w:hint="eastAsia" w:ascii="仿宋" w:hAnsi="仿宋" w:eastAsia="仿宋"/>
          <w:color w:val="auto"/>
          <w:sz w:val="32"/>
          <w:szCs w:val="32"/>
          <w:highlight w:val="none"/>
        </w:rPr>
        <w:t>。主要变动原因是</w:t>
      </w:r>
      <w:r>
        <w:rPr>
          <w:rFonts w:hint="eastAsia" w:ascii="仿宋" w:hAnsi="仿宋" w:eastAsia="仿宋"/>
          <w:color w:val="auto"/>
          <w:sz w:val="32"/>
          <w:szCs w:val="32"/>
          <w:highlight w:val="none"/>
          <w:lang w:eastAsia="zh-CN"/>
        </w:rPr>
        <w:t>一般公共预算项目支出增加。增加了</w:t>
      </w:r>
      <w:r>
        <w:rPr>
          <w:rFonts w:hint="eastAsia"/>
        </w:rPr>
        <w:t>水安全保障工程专项中央基建投资项目</w:t>
      </w:r>
      <w:r>
        <w:rPr>
          <w:rFonts w:hint="eastAsia"/>
          <w:lang w:eastAsia="zh-CN"/>
        </w:rPr>
        <w:t>、遂宁市安居区白家河磨溪镇永灵段防洪治理工程、遂宁市安居区磨溪镇防洪治理工程、宁市安居区白家河西眉镇和赤乡段防洪治理工程、遂宁市安居区小型病险水库除险加固建设项目等项目。</w:t>
      </w:r>
    </w:p>
    <w:p w14:paraId="24C35BA9">
      <w:pPr>
        <w:pStyle w:val="3"/>
        <w:rPr>
          <w:rFonts w:hint="eastAsia" w:eastAsia="仿宋_GB2312"/>
          <w:lang w:eastAsia="zh-CN"/>
        </w:rPr>
      </w:pPr>
    </w:p>
    <w:p w14:paraId="29EC4DDD">
      <w:pPr>
        <w:rPr>
          <w:rFonts w:hint="eastAsia" w:ascii="仿宋" w:hAnsi="仿宋" w:eastAsia="仿宋"/>
          <w:color w:val="auto"/>
          <w:sz w:val="32"/>
          <w:szCs w:val="32"/>
          <w:highlight w:val="none"/>
          <w:lang w:eastAsia="zh-CN"/>
        </w:rPr>
      </w:pPr>
      <w:r>
        <w:rPr>
          <w:rFonts w:hint="eastAsia" w:ascii="仿宋" w:hAnsi="仿宋" w:eastAsia="仿宋"/>
          <w:color w:val="000000" w:themeColor="text1"/>
          <w:sz w:val="32"/>
          <w:szCs w:val="32"/>
          <w14:textFill>
            <w14:solidFill>
              <w14:schemeClr w14:val="tx1"/>
            </w14:solidFill>
          </w14:textFill>
        </w:rPr>
        <w:drawing>
          <wp:anchor distT="0" distB="0" distL="114300" distR="114300" simplePos="0" relativeHeight="251663360" behindDoc="0" locked="0" layoutInCell="1" allowOverlap="1">
            <wp:simplePos x="0" y="0"/>
            <wp:positionH relativeFrom="column">
              <wp:posOffset>95250</wp:posOffset>
            </wp:positionH>
            <wp:positionV relativeFrom="paragraph">
              <wp:posOffset>166370</wp:posOffset>
            </wp:positionV>
            <wp:extent cx="5171440" cy="3138805"/>
            <wp:effectExtent l="4445" t="4445" r="5715" b="19050"/>
            <wp:wrapNone/>
            <wp:docPr id="8"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14:paraId="7A411125">
      <w:pPr>
        <w:pStyle w:val="29"/>
        <w:rPr>
          <w:rFonts w:hint="eastAsia" w:ascii="仿宋" w:hAnsi="仿宋" w:eastAsia="仿宋"/>
          <w:color w:val="auto"/>
          <w:sz w:val="32"/>
          <w:szCs w:val="32"/>
          <w:highlight w:val="none"/>
          <w:lang w:eastAsia="zh-CN"/>
        </w:rPr>
      </w:pPr>
    </w:p>
    <w:p w14:paraId="35B62C75">
      <w:pPr>
        <w:rPr>
          <w:rFonts w:hint="eastAsia" w:ascii="仿宋" w:hAnsi="仿宋" w:eastAsia="仿宋"/>
          <w:color w:val="auto"/>
          <w:sz w:val="32"/>
          <w:szCs w:val="32"/>
          <w:highlight w:val="none"/>
          <w:lang w:eastAsia="zh-CN"/>
        </w:rPr>
      </w:pPr>
    </w:p>
    <w:p w14:paraId="0CA15A7F">
      <w:pPr>
        <w:pStyle w:val="29"/>
        <w:rPr>
          <w:rFonts w:hint="eastAsia" w:eastAsia="仿宋_GB2312"/>
          <w:lang w:eastAsia="zh-CN"/>
        </w:rPr>
      </w:pPr>
    </w:p>
    <w:p w14:paraId="3865F7C1">
      <w:pPr>
        <w:pStyle w:val="12"/>
        <w:rPr>
          <w:rFonts w:hint="eastAsia" w:ascii="仿宋" w:hAnsi="仿宋" w:eastAsia="仿宋"/>
          <w:color w:val="auto"/>
          <w:sz w:val="32"/>
          <w:szCs w:val="32"/>
          <w:highlight w:val="none"/>
          <w:lang w:eastAsia="zh-CN"/>
        </w:rPr>
      </w:pPr>
    </w:p>
    <w:p w14:paraId="78DB80C3">
      <w:pPr>
        <w:pStyle w:val="18"/>
        <w:rPr>
          <w:rFonts w:hint="eastAsia" w:ascii="仿宋" w:hAnsi="仿宋" w:eastAsia="仿宋"/>
          <w:color w:val="auto"/>
          <w:sz w:val="32"/>
          <w:szCs w:val="32"/>
          <w:highlight w:val="none"/>
          <w:lang w:eastAsia="zh-CN"/>
        </w:rPr>
      </w:pPr>
    </w:p>
    <w:p w14:paraId="202D27A4">
      <w:pPr>
        <w:rPr>
          <w:rFonts w:hint="eastAsia" w:ascii="仿宋" w:hAnsi="仿宋" w:eastAsia="仿宋"/>
          <w:color w:val="auto"/>
          <w:sz w:val="32"/>
          <w:szCs w:val="32"/>
          <w:highlight w:val="none"/>
          <w:lang w:eastAsia="zh-CN"/>
        </w:rPr>
      </w:pPr>
    </w:p>
    <w:p w14:paraId="18C79628">
      <w:pPr>
        <w:pStyle w:val="12"/>
        <w:rPr>
          <w:rFonts w:hint="eastAsia" w:ascii="仿宋" w:hAnsi="仿宋" w:eastAsia="仿宋"/>
          <w:color w:val="auto"/>
          <w:sz w:val="32"/>
          <w:szCs w:val="32"/>
          <w:highlight w:val="none"/>
          <w:lang w:eastAsia="zh-CN"/>
        </w:rPr>
      </w:pPr>
    </w:p>
    <w:p w14:paraId="09E0B3BF">
      <w:pPr>
        <w:spacing w:line="600" w:lineRule="exact"/>
        <w:rPr>
          <w:rFonts w:ascii="仿宋" w:hAnsi="仿宋" w:eastAsia="仿宋"/>
          <w:color w:val="auto"/>
          <w:sz w:val="32"/>
          <w:szCs w:val="32"/>
          <w:highlight w:val="none"/>
        </w:rPr>
      </w:pPr>
      <w:r>
        <w:rPr>
          <w:rFonts w:hint="eastAsia" w:ascii="仿宋" w:hAnsi="仿宋" w:eastAsia="仿宋"/>
          <w:color w:val="auto"/>
          <w:sz w:val="32"/>
          <w:szCs w:val="32"/>
          <w:highlight w:val="none"/>
        </w:rPr>
        <w:t>（图5：一般公共预算财政拨款支出决算变动情况）（柱状图）</w:t>
      </w:r>
    </w:p>
    <w:p w14:paraId="45143D5D">
      <w:pPr>
        <w:spacing w:line="600" w:lineRule="exact"/>
        <w:ind w:firstLine="643" w:firstLineChars="200"/>
        <w:outlineLvl w:val="2"/>
        <w:rPr>
          <w:rFonts w:ascii="仿宋" w:hAnsi="仿宋" w:eastAsia="仿宋"/>
          <w:b/>
          <w:color w:val="auto"/>
          <w:sz w:val="32"/>
          <w:szCs w:val="32"/>
          <w:highlight w:val="none"/>
        </w:rPr>
      </w:pPr>
      <w:bookmarkStart w:id="90" w:name="_Toc12013"/>
      <w:bookmarkStart w:id="91" w:name="_Toc15377211"/>
      <w:bookmarkStart w:id="92" w:name="_Toc24850"/>
      <w:bookmarkStart w:id="93" w:name="_Toc1772_WPSOffice_Level3"/>
      <w:r>
        <w:rPr>
          <w:rFonts w:hint="eastAsia" w:ascii="仿宋" w:hAnsi="仿宋" w:eastAsia="仿宋"/>
          <w:b/>
          <w:color w:val="auto"/>
          <w:sz w:val="32"/>
          <w:szCs w:val="32"/>
          <w:highlight w:val="none"/>
        </w:rPr>
        <w:t>（二）一般公共预算财政拨款支出决算结构情况</w:t>
      </w:r>
      <w:bookmarkEnd w:id="90"/>
      <w:bookmarkEnd w:id="91"/>
      <w:bookmarkEnd w:id="92"/>
      <w:bookmarkEnd w:id="93"/>
    </w:p>
    <w:p w14:paraId="198163F9">
      <w:pPr>
        <w:spacing w:line="600" w:lineRule="exact"/>
        <w:ind w:firstLine="640"/>
        <w:rPr>
          <w:rFonts w:hint="eastAsia" w:ascii="仿宋" w:hAnsi="仿宋" w:eastAsia="仿宋"/>
          <w:color w:val="auto"/>
          <w:sz w:val="32"/>
          <w:szCs w:val="32"/>
          <w:highlight w:val="none"/>
        </w:rPr>
      </w:pPr>
      <w:r>
        <w:rPr>
          <w:rFonts w:hint="eastAsia" w:ascii="仿宋" w:hAnsi="仿宋" w:eastAsia="仿宋"/>
          <w:color w:val="auto"/>
          <w:sz w:val="32"/>
          <w:szCs w:val="32"/>
          <w:highlight w:val="none"/>
          <w:lang w:eastAsia="zh-CN"/>
        </w:rPr>
        <w:t>2024年</w:t>
      </w:r>
      <w:r>
        <w:rPr>
          <w:rFonts w:hint="eastAsia" w:ascii="仿宋" w:hAnsi="仿宋" w:eastAsia="仿宋"/>
          <w:color w:val="auto"/>
          <w:sz w:val="32"/>
          <w:szCs w:val="32"/>
          <w:highlight w:val="none"/>
        </w:rPr>
        <w:t>一般公共预算财政拨款支出</w:t>
      </w:r>
      <w:r>
        <w:rPr>
          <w:rFonts w:hint="eastAsia" w:ascii="仿宋" w:hAnsi="仿宋" w:eastAsia="仿宋"/>
          <w:color w:val="auto"/>
          <w:sz w:val="32"/>
          <w:szCs w:val="32"/>
          <w:highlight w:val="none"/>
          <w:lang w:val="en-US" w:eastAsia="zh-CN"/>
        </w:rPr>
        <w:t>29415.79万</w:t>
      </w:r>
      <w:r>
        <w:rPr>
          <w:rFonts w:hint="eastAsia" w:ascii="仿宋" w:hAnsi="仿宋" w:eastAsia="仿宋"/>
          <w:color w:val="auto"/>
          <w:sz w:val="32"/>
          <w:szCs w:val="32"/>
          <w:highlight w:val="none"/>
        </w:rPr>
        <w:t>元，主要用于以下方面</w:t>
      </w:r>
      <w:r>
        <w:rPr>
          <w:rFonts w:ascii="仿宋" w:hAnsi="仿宋" w:eastAsia="仿宋"/>
          <w:color w:val="auto"/>
          <w:sz w:val="32"/>
          <w:szCs w:val="32"/>
          <w:highlight w:val="none"/>
        </w:rPr>
        <w:t>:</w:t>
      </w:r>
      <w:r>
        <w:rPr>
          <w:rFonts w:hint="eastAsia" w:ascii="仿宋" w:hAnsi="仿宋" w:eastAsia="仿宋"/>
          <w:b/>
          <w:color w:val="auto"/>
          <w:sz w:val="32"/>
          <w:szCs w:val="32"/>
          <w:highlight w:val="none"/>
        </w:rPr>
        <w:t>商贸事务</w:t>
      </w:r>
      <w:r>
        <w:rPr>
          <w:rFonts w:hint="eastAsia" w:ascii="仿宋" w:hAnsi="仿宋" w:eastAsia="仿宋"/>
          <w:b/>
          <w:color w:val="auto"/>
          <w:sz w:val="32"/>
          <w:szCs w:val="32"/>
          <w:highlight w:val="none"/>
          <w:lang w:eastAsia="zh-CN"/>
        </w:rPr>
        <w:t>支出</w:t>
      </w:r>
      <w:r>
        <w:rPr>
          <w:rFonts w:hint="eastAsia" w:ascii="仿宋" w:hAnsi="仿宋" w:eastAsia="仿宋"/>
          <w:b/>
          <w:color w:val="auto"/>
          <w:sz w:val="32"/>
          <w:szCs w:val="32"/>
          <w:highlight w:val="none"/>
          <w:lang w:val="en-US" w:eastAsia="zh-CN"/>
        </w:rPr>
        <w:t>5万元，占0.02%；</w:t>
      </w:r>
      <w:r>
        <w:rPr>
          <w:rFonts w:hint="eastAsia" w:ascii="仿宋" w:hAnsi="仿宋" w:eastAsia="仿宋"/>
          <w:b/>
          <w:color w:val="auto"/>
          <w:sz w:val="32"/>
          <w:szCs w:val="32"/>
          <w:highlight w:val="none"/>
        </w:rPr>
        <w:t>社会保障和就业</w:t>
      </w:r>
      <w:r>
        <w:rPr>
          <w:rFonts w:hint="eastAsia" w:ascii="仿宋" w:hAnsi="仿宋" w:eastAsia="仿宋"/>
          <w:b/>
          <w:bCs/>
          <w:color w:val="auto"/>
          <w:sz w:val="32"/>
          <w:szCs w:val="32"/>
          <w:highlight w:val="none"/>
        </w:rPr>
        <w:t>支出</w:t>
      </w:r>
      <w:r>
        <w:rPr>
          <w:rFonts w:hint="eastAsia" w:ascii="仿宋" w:hAnsi="仿宋" w:eastAsia="仿宋"/>
          <w:color w:val="auto"/>
          <w:sz w:val="32"/>
          <w:szCs w:val="32"/>
          <w:highlight w:val="none"/>
          <w:lang w:val="en-US" w:eastAsia="zh-CN"/>
        </w:rPr>
        <w:t>214.03</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0.73</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r>
        <w:rPr>
          <w:rFonts w:hint="eastAsia" w:ascii="仿宋" w:hAnsi="仿宋" w:eastAsia="仿宋"/>
          <w:b/>
          <w:bCs/>
          <w:color w:val="auto"/>
          <w:sz w:val="32"/>
          <w:szCs w:val="32"/>
          <w:highlight w:val="none"/>
        </w:rPr>
        <w:t>卫生健康支出</w:t>
      </w:r>
      <w:r>
        <w:rPr>
          <w:rFonts w:hint="eastAsia" w:ascii="仿宋" w:hAnsi="仿宋" w:eastAsia="仿宋"/>
          <w:color w:val="auto"/>
          <w:sz w:val="32"/>
          <w:szCs w:val="32"/>
          <w:highlight w:val="none"/>
          <w:lang w:val="en-US" w:eastAsia="zh-CN"/>
        </w:rPr>
        <w:t>81.95</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0.28</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r>
        <w:rPr>
          <w:rFonts w:hint="eastAsia" w:ascii="仿宋" w:hAnsi="仿宋" w:eastAsia="仿宋"/>
          <w:b/>
          <w:bCs/>
          <w:color w:val="auto"/>
          <w:sz w:val="32"/>
          <w:szCs w:val="32"/>
          <w:highlight w:val="none"/>
          <w:lang w:eastAsia="zh-CN"/>
        </w:rPr>
        <w:t>节能环保支出</w:t>
      </w:r>
      <w:r>
        <w:rPr>
          <w:rFonts w:hint="eastAsia" w:ascii="仿宋" w:hAnsi="仿宋" w:eastAsia="仿宋"/>
          <w:b/>
          <w:bCs/>
          <w:color w:val="auto"/>
          <w:sz w:val="32"/>
          <w:szCs w:val="32"/>
          <w:highlight w:val="none"/>
          <w:lang w:val="en-US" w:eastAsia="zh-CN"/>
        </w:rPr>
        <w:t>2060</w:t>
      </w:r>
      <w:r>
        <w:rPr>
          <w:rFonts w:hint="eastAsia" w:ascii="仿宋" w:hAnsi="仿宋" w:eastAsia="仿宋"/>
          <w:color w:val="auto"/>
          <w:sz w:val="32"/>
          <w:szCs w:val="32"/>
          <w:highlight w:val="none"/>
          <w:lang w:val="en-US" w:eastAsia="zh-CN"/>
        </w:rPr>
        <w:t>万元，</w:t>
      </w:r>
      <w:r>
        <w:rPr>
          <w:rFonts w:hint="eastAsia" w:ascii="仿宋" w:hAnsi="仿宋" w:eastAsia="仿宋"/>
          <w:color w:val="auto"/>
          <w:sz w:val="32"/>
          <w:szCs w:val="32"/>
          <w:highlight w:val="none"/>
        </w:rPr>
        <w:t>占</w:t>
      </w:r>
      <w:r>
        <w:rPr>
          <w:rFonts w:hint="eastAsia" w:ascii="仿宋" w:hAnsi="仿宋" w:eastAsia="仿宋"/>
          <w:color w:val="auto"/>
          <w:sz w:val="32"/>
          <w:szCs w:val="32"/>
          <w:highlight w:val="none"/>
          <w:lang w:val="en-US" w:eastAsia="zh-CN"/>
        </w:rPr>
        <w:t>7.0</w:t>
      </w:r>
      <w:r>
        <w:rPr>
          <w:rFonts w:ascii="仿宋" w:hAnsi="仿宋" w:eastAsia="仿宋"/>
          <w:color w:val="auto"/>
          <w:sz w:val="32"/>
          <w:szCs w:val="32"/>
          <w:highlight w:val="none"/>
        </w:rPr>
        <w:t>%</w:t>
      </w:r>
      <w:r>
        <w:rPr>
          <w:rFonts w:hint="eastAsia" w:ascii="仿宋" w:hAnsi="仿宋" w:eastAsia="仿宋"/>
          <w:color w:val="auto"/>
          <w:sz w:val="32"/>
          <w:szCs w:val="32"/>
          <w:highlight w:val="none"/>
          <w:lang w:eastAsia="zh-CN"/>
        </w:rPr>
        <w:t>；</w:t>
      </w:r>
      <w:r>
        <w:rPr>
          <w:rFonts w:hint="eastAsia" w:ascii="仿宋" w:hAnsi="仿宋" w:eastAsia="仿宋"/>
          <w:b/>
          <w:color w:val="auto"/>
          <w:sz w:val="32"/>
          <w:szCs w:val="32"/>
          <w:highlight w:val="none"/>
          <w:lang w:eastAsia="zh-CN"/>
        </w:rPr>
        <w:t>农林水</w:t>
      </w:r>
      <w:r>
        <w:rPr>
          <w:rFonts w:hint="eastAsia" w:ascii="仿宋" w:hAnsi="仿宋" w:eastAsia="仿宋"/>
          <w:b/>
          <w:bCs/>
          <w:color w:val="auto"/>
          <w:sz w:val="32"/>
          <w:szCs w:val="32"/>
          <w:highlight w:val="none"/>
        </w:rPr>
        <w:t>支出</w:t>
      </w:r>
      <w:r>
        <w:rPr>
          <w:rFonts w:hint="eastAsia" w:ascii="仿宋" w:hAnsi="仿宋" w:eastAsia="仿宋"/>
          <w:color w:val="auto"/>
          <w:sz w:val="32"/>
          <w:szCs w:val="32"/>
          <w:highlight w:val="none"/>
          <w:lang w:val="en-US" w:eastAsia="zh-CN"/>
        </w:rPr>
        <w:t>26954.25</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91.63</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r>
        <w:rPr>
          <w:rFonts w:hint="eastAsia" w:ascii="仿宋" w:hAnsi="仿宋" w:eastAsia="仿宋"/>
          <w:b/>
          <w:bCs/>
          <w:color w:val="auto"/>
          <w:sz w:val="32"/>
          <w:szCs w:val="32"/>
          <w:highlight w:val="none"/>
        </w:rPr>
        <w:t>住房保障支出</w:t>
      </w:r>
      <w:r>
        <w:rPr>
          <w:rFonts w:hint="eastAsia" w:ascii="仿宋" w:hAnsi="仿宋" w:eastAsia="仿宋"/>
          <w:color w:val="auto"/>
          <w:sz w:val="32"/>
          <w:szCs w:val="32"/>
          <w:highlight w:val="none"/>
          <w:lang w:val="en-US" w:eastAsia="zh-CN"/>
        </w:rPr>
        <w:t>100.56</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0.34</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p>
    <w:p w14:paraId="56C70D96">
      <w:pPr>
        <w:pStyle w:val="3"/>
        <w:rPr>
          <w:rFonts w:hint="eastAsia" w:ascii="仿宋" w:hAnsi="仿宋" w:eastAsia="仿宋"/>
          <w:color w:val="auto"/>
          <w:sz w:val="32"/>
          <w:szCs w:val="32"/>
          <w:highlight w:val="none"/>
        </w:rPr>
      </w:pPr>
    </w:p>
    <w:p w14:paraId="630F8534">
      <w:pPr>
        <w:pStyle w:val="18"/>
        <w:rPr>
          <w:rFonts w:ascii="仿宋" w:hAnsi="仿宋" w:eastAsia="仿宋"/>
          <w:b/>
          <w:color w:val="auto"/>
          <w:sz w:val="32"/>
          <w:szCs w:val="32"/>
          <w:highlight w:val="none"/>
        </w:rPr>
      </w:pPr>
      <w:r>
        <w:rPr>
          <w:rFonts w:hint="eastAsia" w:ascii="仿宋" w:hAnsi="仿宋" w:eastAsia="仿宋"/>
          <w:color w:val="000000"/>
          <w:sz w:val="32"/>
          <w:szCs w:val="32"/>
        </w:rPr>
        <w:drawing>
          <wp:anchor distT="0" distB="0" distL="114300" distR="114300" simplePos="0" relativeHeight="251664384" behindDoc="0" locked="0" layoutInCell="1" allowOverlap="1">
            <wp:simplePos x="0" y="0"/>
            <wp:positionH relativeFrom="column">
              <wp:posOffset>167640</wp:posOffset>
            </wp:positionH>
            <wp:positionV relativeFrom="paragraph">
              <wp:posOffset>156845</wp:posOffset>
            </wp:positionV>
            <wp:extent cx="5340350" cy="3053080"/>
            <wp:effectExtent l="4445" t="4445" r="8255" b="9525"/>
            <wp:wrapNone/>
            <wp:docPr id="10"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14:paraId="245C602F">
      <w:pPr>
        <w:rPr>
          <w:rFonts w:ascii="仿宋" w:hAnsi="仿宋" w:eastAsia="仿宋"/>
          <w:b/>
          <w:color w:val="auto"/>
          <w:sz w:val="32"/>
          <w:szCs w:val="32"/>
          <w:highlight w:val="none"/>
        </w:rPr>
      </w:pPr>
    </w:p>
    <w:p w14:paraId="39134991">
      <w:pPr>
        <w:pStyle w:val="12"/>
        <w:rPr>
          <w:rFonts w:ascii="仿宋" w:hAnsi="仿宋" w:eastAsia="仿宋"/>
          <w:b/>
          <w:color w:val="auto"/>
          <w:sz w:val="32"/>
          <w:szCs w:val="32"/>
          <w:highlight w:val="none"/>
        </w:rPr>
      </w:pPr>
    </w:p>
    <w:p w14:paraId="383FC730">
      <w:pPr>
        <w:pStyle w:val="18"/>
        <w:rPr>
          <w:rFonts w:ascii="仿宋" w:hAnsi="仿宋" w:eastAsia="仿宋"/>
          <w:b/>
          <w:color w:val="auto"/>
          <w:sz w:val="32"/>
          <w:szCs w:val="32"/>
          <w:highlight w:val="none"/>
        </w:rPr>
      </w:pPr>
    </w:p>
    <w:p w14:paraId="7FD3B57D">
      <w:pPr>
        <w:rPr>
          <w:rFonts w:ascii="仿宋" w:hAnsi="仿宋" w:eastAsia="仿宋"/>
          <w:b/>
          <w:color w:val="auto"/>
          <w:sz w:val="32"/>
          <w:szCs w:val="32"/>
          <w:highlight w:val="none"/>
        </w:rPr>
      </w:pPr>
    </w:p>
    <w:p w14:paraId="33D39D60">
      <w:pPr>
        <w:pStyle w:val="12"/>
      </w:pPr>
    </w:p>
    <w:p w14:paraId="312A653F">
      <w:pPr>
        <w:pStyle w:val="18"/>
        <w:rPr>
          <w:rFonts w:eastAsia="仿宋_GB2312"/>
        </w:rPr>
      </w:pPr>
    </w:p>
    <w:p w14:paraId="4888C099">
      <w:pPr>
        <w:spacing w:line="600" w:lineRule="exact"/>
        <w:ind w:firstLine="320" w:firstLineChars="100"/>
        <w:rPr>
          <w:rFonts w:ascii="仿宋" w:hAnsi="仿宋" w:eastAsia="仿宋"/>
          <w:color w:val="auto"/>
          <w:sz w:val="32"/>
          <w:szCs w:val="32"/>
          <w:highlight w:val="none"/>
        </w:rPr>
      </w:pPr>
      <w:r>
        <w:rPr>
          <w:rFonts w:hint="eastAsia" w:ascii="仿宋" w:hAnsi="仿宋" w:eastAsia="仿宋"/>
          <w:color w:val="auto"/>
          <w:sz w:val="32"/>
          <w:szCs w:val="32"/>
          <w:highlight w:val="none"/>
        </w:rPr>
        <w:t>（图6：一般公共预算财政拨款支出决算结构）（饼状图）</w:t>
      </w:r>
    </w:p>
    <w:p w14:paraId="2E970194">
      <w:pPr>
        <w:spacing w:beforeLines="0" w:line="576" w:lineRule="exact"/>
        <w:ind w:firstLine="643" w:firstLineChars="200"/>
        <w:outlineLvl w:val="2"/>
        <w:rPr>
          <w:rFonts w:ascii="仿宋" w:hAnsi="仿宋" w:eastAsia="仿宋"/>
          <w:b/>
          <w:color w:val="auto"/>
          <w:sz w:val="32"/>
          <w:szCs w:val="32"/>
          <w:highlight w:val="none"/>
        </w:rPr>
      </w:pPr>
      <w:bookmarkStart w:id="94" w:name="_Toc8638"/>
      <w:bookmarkStart w:id="95" w:name="_Toc370"/>
      <w:bookmarkStart w:id="96" w:name="_Toc7611_WPSOffice_Level3"/>
      <w:bookmarkStart w:id="97" w:name="_Toc15377212"/>
      <w:r>
        <w:rPr>
          <w:rFonts w:hint="eastAsia" w:ascii="仿宋" w:hAnsi="仿宋" w:eastAsia="仿宋"/>
          <w:b/>
          <w:color w:val="auto"/>
          <w:sz w:val="32"/>
          <w:szCs w:val="32"/>
          <w:highlight w:val="none"/>
        </w:rPr>
        <w:t>（三）一般公共预算财政拨款支出决算具体情况</w:t>
      </w:r>
      <w:bookmarkEnd w:id="94"/>
      <w:bookmarkEnd w:id="95"/>
      <w:bookmarkEnd w:id="96"/>
      <w:bookmarkEnd w:id="97"/>
    </w:p>
    <w:p w14:paraId="12332682">
      <w:pPr>
        <w:spacing w:beforeLines="0" w:line="576" w:lineRule="exact"/>
        <w:ind w:firstLine="643" w:firstLineChars="200"/>
        <w:outlineLvl w:val="2"/>
        <w:rPr>
          <w:rStyle w:val="26"/>
          <w:rFonts w:hint="eastAsia" w:ascii="仿宋" w:hAnsi="仿宋" w:eastAsia="仿宋"/>
          <w:bCs/>
          <w:color w:val="auto"/>
          <w:sz w:val="32"/>
          <w:szCs w:val="32"/>
          <w:highlight w:val="none"/>
        </w:rPr>
      </w:pPr>
      <w:bookmarkStart w:id="98" w:name="_Toc14936"/>
      <w:bookmarkStart w:id="99" w:name="_Toc15378460"/>
      <w:bookmarkStart w:id="100" w:name="_Toc15377444"/>
      <w:bookmarkStart w:id="101" w:name="_Toc12112"/>
      <w:bookmarkStart w:id="102" w:name="_Toc15377213"/>
      <w:r>
        <w:rPr>
          <w:rFonts w:hint="eastAsia" w:ascii="仿宋" w:hAnsi="仿宋" w:eastAsia="仿宋"/>
          <w:b/>
          <w:color w:val="auto"/>
          <w:sz w:val="32"/>
          <w:szCs w:val="32"/>
          <w:highlight w:val="none"/>
          <w:lang w:eastAsia="zh-CN"/>
        </w:rPr>
        <w:t>2024年一</w:t>
      </w:r>
      <w:r>
        <w:rPr>
          <w:rFonts w:hint="eastAsia" w:ascii="仿宋" w:hAnsi="仿宋" w:eastAsia="仿宋"/>
          <w:b/>
          <w:color w:val="auto"/>
          <w:sz w:val="32"/>
          <w:szCs w:val="32"/>
          <w:highlight w:val="none"/>
        </w:rPr>
        <w:t>般公共预算支出决算数为</w:t>
      </w:r>
      <w:r>
        <w:rPr>
          <w:rFonts w:hint="eastAsia" w:ascii="仿宋" w:hAnsi="仿宋" w:eastAsia="仿宋"/>
          <w:b/>
          <w:color w:val="auto"/>
          <w:sz w:val="32"/>
          <w:szCs w:val="32"/>
          <w:highlight w:val="none"/>
          <w:lang w:val="en-US" w:eastAsia="zh-CN"/>
        </w:rPr>
        <w:t>29415.79万元</w:t>
      </w:r>
      <w:r>
        <w:rPr>
          <w:rFonts w:hint="eastAsia" w:ascii="仿宋" w:hAnsi="仿宋" w:eastAsia="仿宋"/>
          <w:color w:val="auto"/>
          <w:sz w:val="32"/>
          <w:szCs w:val="32"/>
          <w:highlight w:val="none"/>
        </w:rPr>
        <w:t>，</w:t>
      </w:r>
      <w:r>
        <w:rPr>
          <w:rStyle w:val="26"/>
          <w:rFonts w:hint="eastAsia" w:ascii="仿宋" w:hAnsi="仿宋" w:eastAsia="仿宋"/>
          <w:bCs/>
          <w:color w:val="auto"/>
          <w:sz w:val="32"/>
          <w:szCs w:val="32"/>
          <w:highlight w:val="none"/>
        </w:rPr>
        <w:t>完成预算</w:t>
      </w:r>
      <w:r>
        <w:rPr>
          <w:rStyle w:val="26"/>
          <w:rFonts w:hint="eastAsia" w:ascii="仿宋" w:hAnsi="仿宋" w:eastAsia="仿宋"/>
          <w:bCs/>
          <w:color w:val="auto"/>
          <w:sz w:val="32"/>
          <w:szCs w:val="32"/>
          <w:highlight w:val="none"/>
          <w:lang w:val="en-US" w:eastAsia="zh-CN"/>
        </w:rPr>
        <w:t>100</w:t>
      </w:r>
      <w:r>
        <w:rPr>
          <w:rStyle w:val="26"/>
          <w:rFonts w:ascii="仿宋" w:hAnsi="仿宋" w:eastAsia="仿宋"/>
          <w:bCs/>
          <w:color w:val="auto"/>
          <w:sz w:val="32"/>
          <w:szCs w:val="32"/>
          <w:highlight w:val="none"/>
        </w:rPr>
        <w:t>%</w:t>
      </w:r>
      <w:r>
        <w:rPr>
          <w:rStyle w:val="26"/>
          <w:rFonts w:hint="eastAsia" w:ascii="仿宋" w:hAnsi="仿宋" w:eastAsia="仿宋"/>
          <w:bCs/>
          <w:color w:val="auto"/>
          <w:sz w:val="32"/>
          <w:szCs w:val="32"/>
          <w:highlight w:val="none"/>
        </w:rPr>
        <w:t>。其中：</w:t>
      </w:r>
      <w:bookmarkEnd w:id="98"/>
      <w:bookmarkEnd w:id="99"/>
      <w:bookmarkEnd w:id="100"/>
      <w:bookmarkEnd w:id="101"/>
      <w:bookmarkEnd w:id="102"/>
    </w:p>
    <w:p w14:paraId="6BAA4811">
      <w:pPr>
        <w:numPr>
          <w:ilvl w:val="-1"/>
          <w:numId w:val="0"/>
        </w:numPr>
        <w:spacing w:beforeLines="0" w:line="576" w:lineRule="exact"/>
        <w:ind w:firstLine="643" w:firstLineChars="200"/>
        <w:rPr>
          <w:rStyle w:val="26"/>
          <w:rFonts w:hint="eastAsia" w:ascii="仿宋" w:hAnsi="仿宋" w:eastAsia="仿宋"/>
          <w:b w:val="0"/>
          <w:bCs/>
          <w:color w:val="auto"/>
          <w:sz w:val="32"/>
          <w:szCs w:val="32"/>
          <w:highlight w:val="none"/>
        </w:rPr>
      </w:pPr>
      <w:r>
        <w:rPr>
          <w:rStyle w:val="26"/>
          <w:rFonts w:hint="eastAsia" w:ascii="仿宋" w:hAnsi="仿宋" w:eastAsia="仿宋"/>
          <w:bCs/>
          <w:color w:val="auto"/>
          <w:sz w:val="32"/>
          <w:szCs w:val="32"/>
          <w:highlight w:val="none"/>
          <w:lang w:val="en-US" w:eastAsia="zh-CN"/>
        </w:rPr>
        <w:t>1.</w:t>
      </w:r>
      <w:r>
        <w:rPr>
          <w:rStyle w:val="26"/>
          <w:rFonts w:hint="eastAsia" w:ascii="仿宋" w:hAnsi="仿宋" w:eastAsia="仿宋"/>
          <w:bCs/>
          <w:color w:val="auto"/>
          <w:sz w:val="32"/>
          <w:szCs w:val="32"/>
          <w:highlight w:val="none"/>
        </w:rPr>
        <w:t>一般公共服务支出</w:t>
      </w:r>
      <w:r>
        <w:rPr>
          <w:rStyle w:val="26"/>
          <w:rFonts w:hint="eastAsia" w:ascii="仿宋" w:hAnsi="仿宋" w:eastAsia="仿宋"/>
          <w:bCs/>
          <w:color w:val="auto"/>
          <w:sz w:val="32"/>
          <w:szCs w:val="32"/>
          <w:highlight w:val="none"/>
          <w:lang w:val="en-US" w:eastAsia="zh-CN"/>
        </w:rPr>
        <w:t>201</w:t>
      </w:r>
      <w:r>
        <w:rPr>
          <w:rStyle w:val="26"/>
          <w:rFonts w:hint="eastAsia" w:ascii="仿宋" w:hAnsi="仿宋" w:eastAsia="仿宋"/>
          <w:bCs/>
          <w:color w:val="auto"/>
          <w:sz w:val="32"/>
          <w:szCs w:val="32"/>
          <w:highlight w:val="none"/>
        </w:rPr>
        <w:t>（类）商贸事务</w:t>
      </w:r>
      <w:r>
        <w:rPr>
          <w:rStyle w:val="26"/>
          <w:rFonts w:hint="eastAsia" w:ascii="仿宋" w:hAnsi="仿宋" w:eastAsia="仿宋"/>
          <w:bCs/>
          <w:color w:val="auto"/>
          <w:sz w:val="32"/>
          <w:szCs w:val="32"/>
          <w:highlight w:val="none"/>
          <w:lang w:val="en-US" w:eastAsia="zh-CN"/>
        </w:rPr>
        <w:t>13</w:t>
      </w:r>
      <w:r>
        <w:rPr>
          <w:rStyle w:val="26"/>
          <w:rFonts w:hint="eastAsia" w:ascii="仿宋" w:hAnsi="仿宋" w:eastAsia="仿宋"/>
          <w:bCs/>
          <w:color w:val="auto"/>
          <w:sz w:val="32"/>
          <w:szCs w:val="32"/>
          <w:highlight w:val="none"/>
        </w:rPr>
        <w:t>（款）其他商贸事务支出</w:t>
      </w:r>
      <w:r>
        <w:rPr>
          <w:rStyle w:val="26"/>
          <w:rFonts w:hint="eastAsia" w:ascii="仿宋" w:hAnsi="仿宋" w:eastAsia="仿宋"/>
          <w:bCs/>
          <w:color w:val="auto"/>
          <w:sz w:val="32"/>
          <w:szCs w:val="32"/>
          <w:highlight w:val="none"/>
          <w:lang w:val="en-US" w:eastAsia="zh-CN"/>
        </w:rPr>
        <w:t>99</w:t>
      </w:r>
      <w:r>
        <w:rPr>
          <w:rStyle w:val="26"/>
          <w:rFonts w:hint="eastAsia" w:ascii="仿宋" w:hAnsi="仿宋" w:eastAsia="仿宋"/>
          <w:bCs/>
          <w:color w:val="auto"/>
          <w:sz w:val="32"/>
          <w:szCs w:val="32"/>
          <w:highlight w:val="none"/>
        </w:rPr>
        <w:t>（项）</w:t>
      </w:r>
      <w:r>
        <w:rPr>
          <w:rStyle w:val="26"/>
          <w:rFonts w:ascii="仿宋" w:hAnsi="仿宋" w:eastAsia="仿宋"/>
          <w:bCs/>
          <w:color w:val="auto"/>
          <w:sz w:val="32"/>
          <w:szCs w:val="32"/>
          <w:highlight w:val="none"/>
        </w:rPr>
        <w:t>:</w:t>
      </w:r>
      <w:r>
        <w:rPr>
          <w:rStyle w:val="26"/>
          <w:rFonts w:ascii="仿宋" w:hAnsi="仿宋" w:eastAsia="仿宋"/>
          <w:b w:val="0"/>
          <w:bCs/>
          <w:color w:val="auto"/>
          <w:sz w:val="32"/>
          <w:szCs w:val="32"/>
          <w:highlight w:val="none"/>
        </w:rPr>
        <w:t xml:space="preserve"> </w:t>
      </w:r>
      <w:r>
        <w:rPr>
          <w:rStyle w:val="26"/>
          <w:rFonts w:hint="eastAsia" w:ascii="仿宋" w:hAnsi="仿宋" w:eastAsia="仿宋"/>
          <w:b w:val="0"/>
          <w:bCs/>
          <w:color w:val="auto"/>
          <w:sz w:val="32"/>
          <w:szCs w:val="32"/>
          <w:highlight w:val="none"/>
        </w:rPr>
        <w:t>支出决算为</w:t>
      </w:r>
      <w:r>
        <w:rPr>
          <w:rStyle w:val="26"/>
          <w:rFonts w:hint="eastAsia" w:ascii="仿宋" w:hAnsi="仿宋" w:eastAsia="仿宋"/>
          <w:b w:val="0"/>
          <w:bCs/>
          <w:color w:val="auto"/>
          <w:sz w:val="32"/>
          <w:szCs w:val="32"/>
          <w:highlight w:val="none"/>
          <w:lang w:val="en-US" w:eastAsia="zh-CN"/>
        </w:rPr>
        <w:t>5.0</w:t>
      </w:r>
      <w:r>
        <w:rPr>
          <w:rStyle w:val="26"/>
          <w:rFonts w:hint="eastAsia" w:ascii="仿宋" w:hAnsi="仿宋" w:eastAsia="仿宋"/>
          <w:b w:val="0"/>
          <w:bCs/>
          <w:color w:val="auto"/>
          <w:sz w:val="32"/>
          <w:szCs w:val="32"/>
          <w:highlight w:val="none"/>
        </w:rPr>
        <w:t>万元，完成预算</w:t>
      </w:r>
      <w:r>
        <w:rPr>
          <w:rStyle w:val="26"/>
          <w:rFonts w:hint="eastAsia" w:ascii="仿宋" w:hAnsi="仿宋" w:eastAsia="仿宋"/>
          <w:b w:val="0"/>
          <w:bCs/>
          <w:color w:val="auto"/>
          <w:sz w:val="32"/>
          <w:szCs w:val="32"/>
          <w:highlight w:val="none"/>
          <w:lang w:val="en-US" w:eastAsia="zh-CN"/>
        </w:rPr>
        <w:t>100</w:t>
      </w:r>
      <w:r>
        <w:rPr>
          <w:rStyle w:val="26"/>
          <w:rFonts w:ascii="仿宋" w:hAnsi="仿宋" w:eastAsia="仿宋"/>
          <w:b w:val="0"/>
          <w:bCs/>
          <w:color w:val="auto"/>
          <w:sz w:val="32"/>
          <w:szCs w:val="32"/>
          <w:highlight w:val="none"/>
        </w:rPr>
        <w:t>%</w:t>
      </w:r>
      <w:r>
        <w:rPr>
          <w:rStyle w:val="26"/>
          <w:rFonts w:hint="eastAsia" w:ascii="仿宋" w:hAnsi="仿宋" w:eastAsia="仿宋"/>
          <w:b w:val="0"/>
          <w:bCs/>
          <w:color w:val="auto"/>
          <w:sz w:val="32"/>
          <w:szCs w:val="32"/>
          <w:highlight w:val="none"/>
        </w:rPr>
        <w:t>，决算数等于预算数。</w:t>
      </w:r>
    </w:p>
    <w:p w14:paraId="5E589F18">
      <w:pPr>
        <w:numPr>
          <w:ilvl w:val="-1"/>
          <w:numId w:val="0"/>
        </w:numPr>
        <w:spacing w:beforeLines="0" w:line="576" w:lineRule="exact"/>
        <w:ind w:firstLine="643" w:firstLineChars="200"/>
        <w:rPr>
          <w:rStyle w:val="26"/>
          <w:rFonts w:hint="eastAsia" w:ascii="仿宋" w:hAnsi="仿宋" w:eastAsia="仿宋"/>
          <w:b w:val="0"/>
          <w:bCs/>
          <w:color w:val="auto"/>
          <w:sz w:val="32"/>
          <w:szCs w:val="32"/>
          <w:highlight w:val="none"/>
        </w:rPr>
      </w:pPr>
      <w:r>
        <w:rPr>
          <w:rStyle w:val="26"/>
          <w:rFonts w:hint="eastAsia" w:ascii="仿宋" w:hAnsi="仿宋" w:eastAsia="仿宋"/>
          <w:bCs/>
          <w:color w:val="auto"/>
          <w:sz w:val="32"/>
          <w:szCs w:val="32"/>
          <w:highlight w:val="none"/>
          <w:lang w:val="en-US" w:eastAsia="zh-CN"/>
        </w:rPr>
        <w:t>2.</w:t>
      </w:r>
      <w:r>
        <w:rPr>
          <w:rStyle w:val="26"/>
          <w:rFonts w:hint="eastAsia" w:ascii="仿宋" w:hAnsi="仿宋" w:eastAsia="仿宋"/>
          <w:bCs/>
          <w:color w:val="auto"/>
          <w:sz w:val="32"/>
          <w:szCs w:val="32"/>
          <w:highlight w:val="none"/>
        </w:rPr>
        <w:t>社会保障和就业</w:t>
      </w:r>
      <w:r>
        <w:rPr>
          <w:rStyle w:val="26"/>
          <w:rFonts w:hint="eastAsia" w:ascii="仿宋" w:hAnsi="仿宋" w:eastAsia="仿宋"/>
          <w:bCs/>
          <w:color w:val="auto"/>
          <w:sz w:val="32"/>
          <w:szCs w:val="32"/>
          <w:highlight w:val="none"/>
          <w:lang w:val="en-US" w:eastAsia="zh-CN"/>
        </w:rPr>
        <w:t>208</w:t>
      </w:r>
      <w:r>
        <w:rPr>
          <w:rStyle w:val="26"/>
          <w:rFonts w:hint="eastAsia" w:ascii="仿宋" w:hAnsi="仿宋" w:eastAsia="仿宋"/>
          <w:bCs/>
          <w:color w:val="auto"/>
          <w:sz w:val="32"/>
          <w:szCs w:val="32"/>
          <w:highlight w:val="none"/>
        </w:rPr>
        <w:t>（类）行政事业单位养老支出</w:t>
      </w:r>
      <w:r>
        <w:rPr>
          <w:rStyle w:val="26"/>
          <w:rFonts w:hint="eastAsia" w:ascii="仿宋" w:hAnsi="仿宋" w:eastAsia="仿宋"/>
          <w:bCs/>
          <w:color w:val="auto"/>
          <w:sz w:val="32"/>
          <w:szCs w:val="32"/>
          <w:highlight w:val="none"/>
          <w:lang w:val="en-US" w:eastAsia="zh-CN"/>
        </w:rPr>
        <w:t>05</w:t>
      </w:r>
      <w:r>
        <w:rPr>
          <w:rStyle w:val="26"/>
          <w:rFonts w:hint="eastAsia" w:ascii="仿宋" w:hAnsi="仿宋" w:eastAsia="仿宋"/>
          <w:bCs/>
          <w:color w:val="auto"/>
          <w:sz w:val="32"/>
          <w:szCs w:val="32"/>
          <w:highlight w:val="none"/>
        </w:rPr>
        <w:t>（款）行政单位离退休</w:t>
      </w:r>
      <w:r>
        <w:rPr>
          <w:rStyle w:val="26"/>
          <w:rFonts w:hint="eastAsia" w:ascii="仿宋" w:hAnsi="仿宋" w:eastAsia="仿宋"/>
          <w:bCs/>
          <w:color w:val="auto"/>
          <w:sz w:val="32"/>
          <w:szCs w:val="32"/>
          <w:highlight w:val="none"/>
          <w:lang w:val="en-US" w:eastAsia="zh-CN"/>
        </w:rPr>
        <w:t>01</w:t>
      </w:r>
      <w:r>
        <w:rPr>
          <w:rStyle w:val="26"/>
          <w:rFonts w:hint="eastAsia" w:ascii="仿宋" w:hAnsi="仿宋" w:eastAsia="仿宋"/>
          <w:bCs/>
          <w:color w:val="auto"/>
          <w:sz w:val="32"/>
          <w:szCs w:val="32"/>
          <w:highlight w:val="none"/>
        </w:rPr>
        <w:t>（项）</w:t>
      </w:r>
      <w:r>
        <w:rPr>
          <w:rStyle w:val="26"/>
          <w:rFonts w:ascii="仿宋" w:hAnsi="仿宋" w:eastAsia="仿宋"/>
          <w:bCs/>
          <w:color w:val="auto"/>
          <w:sz w:val="32"/>
          <w:szCs w:val="32"/>
          <w:highlight w:val="none"/>
        </w:rPr>
        <w:t>:</w:t>
      </w:r>
      <w:r>
        <w:rPr>
          <w:rStyle w:val="26"/>
          <w:rFonts w:ascii="仿宋" w:hAnsi="仿宋" w:eastAsia="仿宋"/>
          <w:b w:val="0"/>
          <w:bCs/>
          <w:color w:val="auto"/>
          <w:sz w:val="32"/>
          <w:szCs w:val="32"/>
          <w:highlight w:val="none"/>
        </w:rPr>
        <w:t xml:space="preserve"> </w:t>
      </w:r>
      <w:r>
        <w:rPr>
          <w:rStyle w:val="26"/>
          <w:rFonts w:hint="eastAsia" w:ascii="仿宋" w:hAnsi="仿宋" w:eastAsia="仿宋"/>
          <w:b w:val="0"/>
          <w:bCs/>
          <w:color w:val="auto"/>
          <w:sz w:val="32"/>
          <w:szCs w:val="32"/>
          <w:highlight w:val="none"/>
        </w:rPr>
        <w:t>支出决算为</w:t>
      </w:r>
      <w:r>
        <w:rPr>
          <w:rStyle w:val="26"/>
          <w:rFonts w:hint="eastAsia" w:ascii="仿宋" w:hAnsi="仿宋" w:eastAsia="仿宋"/>
          <w:b w:val="0"/>
          <w:bCs/>
          <w:color w:val="auto"/>
          <w:sz w:val="32"/>
          <w:szCs w:val="32"/>
          <w:highlight w:val="none"/>
          <w:lang w:val="en-US" w:eastAsia="zh-CN"/>
        </w:rPr>
        <w:t>61.27</w:t>
      </w:r>
      <w:r>
        <w:rPr>
          <w:rStyle w:val="26"/>
          <w:rFonts w:hint="eastAsia" w:ascii="仿宋" w:hAnsi="仿宋" w:eastAsia="仿宋"/>
          <w:b w:val="0"/>
          <w:bCs/>
          <w:color w:val="auto"/>
          <w:sz w:val="32"/>
          <w:szCs w:val="32"/>
          <w:highlight w:val="none"/>
        </w:rPr>
        <w:t>万元，完成预算</w:t>
      </w:r>
      <w:r>
        <w:rPr>
          <w:rStyle w:val="26"/>
          <w:rFonts w:hint="eastAsia" w:ascii="仿宋" w:hAnsi="仿宋" w:eastAsia="仿宋"/>
          <w:b w:val="0"/>
          <w:bCs/>
          <w:color w:val="auto"/>
          <w:sz w:val="32"/>
          <w:szCs w:val="32"/>
          <w:highlight w:val="none"/>
          <w:lang w:val="en-US" w:eastAsia="zh-CN"/>
        </w:rPr>
        <w:t>100</w:t>
      </w:r>
      <w:r>
        <w:rPr>
          <w:rStyle w:val="26"/>
          <w:rFonts w:ascii="仿宋" w:hAnsi="仿宋" w:eastAsia="仿宋"/>
          <w:b w:val="0"/>
          <w:bCs/>
          <w:color w:val="auto"/>
          <w:sz w:val="32"/>
          <w:szCs w:val="32"/>
          <w:highlight w:val="none"/>
        </w:rPr>
        <w:t>%</w:t>
      </w:r>
      <w:r>
        <w:rPr>
          <w:rStyle w:val="26"/>
          <w:rFonts w:hint="eastAsia" w:ascii="仿宋" w:hAnsi="仿宋" w:eastAsia="仿宋"/>
          <w:b w:val="0"/>
          <w:bCs/>
          <w:color w:val="auto"/>
          <w:sz w:val="32"/>
          <w:szCs w:val="32"/>
          <w:highlight w:val="none"/>
        </w:rPr>
        <w:t>，决算数等于预算数。</w:t>
      </w:r>
    </w:p>
    <w:p w14:paraId="1272E39E">
      <w:pPr>
        <w:numPr>
          <w:ilvl w:val="-1"/>
          <w:numId w:val="0"/>
        </w:numPr>
        <w:spacing w:beforeLines="0" w:line="576" w:lineRule="exact"/>
        <w:ind w:firstLine="643" w:firstLineChars="200"/>
        <w:rPr>
          <w:rStyle w:val="26"/>
          <w:rFonts w:hint="eastAsia" w:ascii="仿宋" w:hAnsi="仿宋" w:eastAsia="仿宋"/>
          <w:b w:val="0"/>
          <w:bCs/>
          <w:color w:val="auto"/>
          <w:sz w:val="32"/>
          <w:szCs w:val="32"/>
          <w:highlight w:val="none"/>
        </w:rPr>
      </w:pPr>
      <w:r>
        <w:rPr>
          <w:rStyle w:val="26"/>
          <w:rFonts w:hint="eastAsia" w:ascii="仿宋" w:hAnsi="仿宋" w:eastAsia="仿宋"/>
          <w:bCs/>
          <w:color w:val="auto"/>
          <w:sz w:val="32"/>
          <w:szCs w:val="32"/>
          <w:highlight w:val="none"/>
          <w:lang w:val="en-US" w:eastAsia="zh-CN"/>
        </w:rPr>
        <w:t>3.</w:t>
      </w:r>
      <w:r>
        <w:rPr>
          <w:rStyle w:val="26"/>
          <w:rFonts w:hint="eastAsia" w:ascii="仿宋" w:hAnsi="仿宋" w:eastAsia="仿宋"/>
          <w:bCs/>
          <w:color w:val="auto"/>
          <w:sz w:val="32"/>
          <w:szCs w:val="32"/>
          <w:highlight w:val="none"/>
        </w:rPr>
        <w:t>社会保障和就业</w:t>
      </w:r>
      <w:r>
        <w:rPr>
          <w:rStyle w:val="26"/>
          <w:rFonts w:hint="eastAsia" w:ascii="仿宋" w:hAnsi="仿宋" w:eastAsia="仿宋"/>
          <w:bCs/>
          <w:color w:val="auto"/>
          <w:sz w:val="32"/>
          <w:szCs w:val="32"/>
          <w:highlight w:val="none"/>
          <w:lang w:val="en-US" w:eastAsia="zh-CN"/>
        </w:rPr>
        <w:t>208</w:t>
      </w:r>
      <w:r>
        <w:rPr>
          <w:rStyle w:val="26"/>
          <w:rFonts w:hint="eastAsia" w:ascii="仿宋" w:hAnsi="仿宋" w:eastAsia="仿宋"/>
          <w:bCs/>
          <w:color w:val="auto"/>
          <w:sz w:val="32"/>
          <w:szCs w:val="32"/>
          <w:highlight w:val="none"/>
        </w:rPr>
        <w:t>（类）行政事业单位养老支出</w:t>
      </w:r>
      <w:r>
        <w:rPr>
          <w:rStyle w:val="26"/>
          <w:rFonts w:hint="eastAsia" w:ascii="仿宋" w:hAnsi="仿宋" w:eastAsia="仿宋"/>
          <w:bCs/>
          <w:color w:val="auto"/>
          <w:sz w:val="32"/>
          <w:szCs w:val="32"/>
          <w:highlight w:val="none"/>
          <w:lang w:val="en-US" w:eastAsia="zh-CN"/>
        </w:rPr>
        <w:t>05</w:t>
      </w:r>
      <w:r>
        <w:rPr>
          <w:rStyle w:val="26"/>
          <w:rFonts w:hint="eastAsia" w:ascii="仿宋" w:hAnsi="仿宋" w:eastAsia="仿宋"/>
          <w:bCs/>
          <w:color w:val="auto"/>
          <w:sz w:val="32"/>
          <w:szCs w:val="32"/>
          <w:highlight w:val="none"/>
        </w:rPr>
        <w:t>（款）机关事业单位基本养老保险缴费支出</w:t>
      </w:r>
      <w:r>
        <w:rPr>
          <w:rStyle w:val="26"/>
          <w:rFonts w:hint="eastAsia" w:ascii="仿宋" w:hAnsi="仿宋" w:eastAsia="仿宋"/>
          <w:bCs/>
          <w:color w:val="auto"/>
          <w:sz w:val="32"/>
          <w:szCs w:val="32"/>
          <w:highlight w:val="none"/>
          <w:lang w:val="en-US" w:eastAsia="zh-CN"/>
        </w:rPr>
        <w:t>05</w:t>
      </w:r>
      <w:r>
        <w:rPr>
          <w:rStyle w:val="26"/>
          <w:rFonts w:hint="eastAsia" w:ascii="仿宋" w:hAnsi="仿宋" w:eastAsia="仿宋"/>
          <w:bCs/>
          <w:color w:val="auto"/>
          <w:sz w:val="32"/>
          <w:szCs w:val="32"/>
          <w:highlight w:val="none"/>
        </w:rPr>
        <w:t>（项）</w:t>
      </w:r>
      <w:r>
        <w:rPr>
          <w:rStyle w:val="26"/>
          <w:rFonts w:ascii="仿宋" w:hAnsi="仿宋" w:eastAsia="仿宋"/>
          <w:bCs/>
          <w:color w:val="auto"/>
          <w:sz w:val="32"/>
          <w:szCs w:val="32"/>
          <w:highlight w:val="none"/>
        </w:rPr>
        <w:t>:</w:t>
      </w:r>
      <w:r>
        <w:rPr>
          <w:rStyle w:val="26"/>
          <w:rFonts w:ascii="仿宋" w:hAnsi="仿宋" w:eastAsia="仿宋"/>
          <w:b w:val="0"/>
          <w:bCs/>
          <w:color w:val="auto"/>
          <w:sz w:val="32"/>
          <w:szCs w:val="32"/>
          <w:highlight w:val="none"/>
        </w:rPr>
        <w:t xml:space="preserve"> </w:t>
      </w:r>
      <w:r>
        <w:rPr>
          <w:rStyle w:val="26"/>
          <w:rFonts w:hint="eastAsia" w:ascii="仿宋" w:hAnsi="仿宋" w:eastAsia="仿宋"/>
          <w:b w:val="0"/>
          <w:bCs/>
          <w:color w:val="auto"/>
          <w:sz w:val="32"/>
          <w:szCs w:val="32"/>
          <w:highlight w:val="none"/>
        </w:rPr>
        <w:t>支出决算为</w:t>
      </w:r>
      <w:r>
        <w:rPr>
          <w:rStyle w:val="26"/>
          <w:rFonts w:hint="eastAsia" w:ascii="仿宋" w:hAnsi="仿宋" w:eastAsia="仿宋"/>
          <w:b w:val="0"/>
          <w:bCs/>
          <w:color w:val="auto"/>
          <w:sz w:val="32"/>
          <w:szCs w:val="32"/>
          <w:highlight w:val="none"/>
          <w:lang w:val="en-US" w:eastAsia="zh-CN"/>
        </w:rPr>
        <w:t>147.76</w:t>
      </w:r>
      <w:r>
        <w:rPr>
          <w:rStyle w:val="26"/>
          <w:rFonts w:hint="eastAsia" w:ascii="仿宋" w:hAnsi="仿宋" w:eastAsia="仿宋"/>
          <w:b w:val="0"/>
          <w:bCs/>
          <w:color w:val="auto"/>
          <w:sz w:val="32"/>
          <w:szCs w:val="32"/>
          <w:highlight w:val="none"/>
        </w:rPr>
        <w:t>万元，完成预算</w:t>
      </w:r>
      <w:r>
        <w:rPr>
          <w:rStyle w:val="26"/>
          <w:rFonts w:hint="eastAsia" w:ascii="仿宋" w:hAnsi="仿宋" w:eastAsia="仿宋"/>
          <w:b w:val="0"/>
          <w:bCs/>
          <w:color w:val="auto"/>
          <w:sz w:val="32"/>
          <w:szCs w:val="32"/>
          <w:highlight w:val="none"/>
          <w:lang w:val="en-US" w:eastAsia="zh-CN"/>
        </w:rPr>
        <w:t>100</w:t>
      </w:r>
      <w:r>
        <w:rPr>
          <w:rStyle w:val="26"/>
          <w:rFonts w:ascii="仿宋" w:hAnsi="仿宋" w:eastAsia="仿宋"/>
          <w:b w:val="0"/>
          <w:bCs/>
          <w:color w:val="auto"/>
          <w:sz w:val="32"/>
          <w:szCs w:val="32"/>
          <w:highlight w:val="none"/>
        </w:rPr>
        <w:t>%</w:t>
      </w:r>
      <w:r>
        <w:rPr>
          <w:rStyle w:val="26"/>
          <w:rFonts w:hint="eastAsia" w:ascii="仿宋" w:hAnsi="仿宋" w:eastAsia="仿宋"/>
          <w:b w:val="0"/>
          <w:bCs/>
          <w:color w:val="auto"/>
          <w:sz w:val="32"/>
          <w:szCs w:val="32"/>
          <w:highlight w:val="none"/>
        </w:rPr>
        <w:t>，决算数等于预算数。</w:t>
      </w:r>
    </w:p>
    <w:p w14:paraId="45A6FD78">
      <w:pPr>
        <w:spacing w:beforeLines="0" w:line="576" w:lineRule="exact"/>
        <w:ind w:firstLine="643" w:firstLineChars="200"/>
        <w:rPr>
          <w:rFonts w:ascii="仿宋" w:hAnsi="仿宋" w:eastAsia="仿宋"/>
          <w:b/>
          <w:color w:val="auto"/>
          <w:sz w:val="32"/>
          <w:szCs w:val="32"/>
          <w:highlight w:val="none"/>
        </w:rPr>
      </w:pPr>
      <w:r>
        <w:rPr>
          <w:rStyle w:val="26"/>
          <w:rFonts w:hint="eastAsia" w:ascii="仿宋" w:hAnsi="仿宋" w:eastAsia="仿宋"/>
          <w:bCs/>
          <w:color w:val="auto"/>
          <w:sz w:val="32"/>
          <w:szCs w:val="32"/>
          <w:highlight w:val="none"/>
          <w:lang w:val="en-US" w:eastAsia="zh-CN"/>
        </w:rPr>
        <w:t>4</w:t>
      </w:r>
      <w:r>
        <w:rPr>
          <w:rStyle w:val="26"/>
          <w:rFonts w:ascii="仿宋" w:hAnsi="仿宋" w:eastAsia="仿宋"/>
          <w:bCs/>
          <w:color w:val="auto"/>
          <w:sz w:val="32"/>
          <w:szCs w:val="32"/>
          <w:highlight w:val="none"/>
        </w:rPr>
        <w:t>.</w:t>
      </w:r>
      <w:r>
        <w:rPr>
          <w:rStyle w:val="26"/>
          <w:rFonts w:hint="eastAsia" w:ascii="仿宋" w:hAnsi="仿宋" w:eastAsia="仿宋"/>
          <w:bCs/>
          <w:color w:val="auto"/>
          <w:sz w:val="32"/>
          <w:szCs w:val="32"/>
          <w:highlight w:val="none"/>
        </w:rPr>
        <w:t>社会保障和就业</w:t>
      </w:r>
      <w:r>
        <w:rPr>
          <w:rStyle w:val="26"/>
          <w:rFonts w:hint="eastAsia" w:ascii="仿宋" w:hAnsi="仿宋" w:eastAsia="仿宋"/>
          <w:bCs/>
          <w:color w:val="auto"/>
          <w:sz w:val="32"/>
          <w:szCs w:val="32"/>
          <w:highlight w:val="none"/>
          <w:lang w:val="en-US" w:eastAsia="zh-CN"/>
        </w:rPr>
        <w:t>208</w:t>
      </w:r>
      <w:r>
        <w:rPr>
          <w:rStyle w:val="26"/>
          <w:rFonts w:hint="eastAsia" w:ascii="仿宋" w:hAnsi="仿宋" w:eastAsia="仿宋"/>
          <w:bCs/>
          <w:color w:val="auto"/>
          <w:sz w:val="32"/>
          <w:szCs w:val="32"/>
          <w:highlight w:val="none"/>
        </w:rPr>
        <w:t>（类）其他社会保障和就业支出</w:t>
      </w:r>
      <w:r>
        <w:rPr>
          <w:rStyle w:val="26"/>
          <w:rFonts w:hint="eastAsia" w:ascii="仿宋" w:hAnsi="仿宋" w:eastAsia="仿宋"/>
          <w:bCs/>
          <w:color w:val="auto"/>
          <w:sz w:val="32"/>
          <w:szCs w:val="32"/>
          <w:highlight w:val="none"/>
          <w:lang w:val="en-US" w:eastAsia="zh-CN"/>
        </w:rPr>
        <w:t>99</w:t>
      </w:r>
      <w:r>
        <w:rPr>
          <w:rStyle w:val="26"/>
          <w:rFonts w:hint="eastAsia" w:ascii="仿宋" w:hAnsi="仿宋" w:eastAsia="仿宋"/>
          <w:bCs/>
          <w:color w:val="auto"/>
          <w:sz w:val="32"/>
          <w:szCs w:val="32"/>
          <w:highlight w:val="none"/>
        </w:rPr>
        <w:t>（款）其他社会保障和就业支出</w:t>
      </w:r>
      <w:r>
        <w:rPr>
          <w:rStyle w:val="26"/>
          <w:rFonts w:hint="eastAsia" w:ascii="仿宋" w:hAnsi="仿宋" w:eastAsia="仿宋"/>
          <w:bCs/>
          <w:color w:val="auto"/>
          <w:sz w:val="32"/>
          <w:szCs w:val="32"/>
          <w:highlight w:val="none"/>
          <w:lang w:val="en-US" w:eastAsia="zh-CN"/>
        </w:rPr>
        <w:t>99</w:t>
      </w:r>
      <w:r>
        <w:rPr>
          <w:rStyle w:val="26"/>
          <w:rFonts w:hint="eastAsia" w:ascii="仿宋" w:hAnsi="仿宋" w:eastAsia="仿宋"/>
          <w:bCs/>
          <w:color w:val="auto"/>
          <w:sz w:val="32"/>
          <w:szCs w:val="32"/>
          <w:highlight w:val="none"/>
        </w:rPr>
        <w:t>（项）</w:t>
      </w:r>
      <w:r>
        <w:rPr>
          <w:rStyle w:val="26"/>
          <w:rFonts w:ascii="仿宋" w:hAnsi="仿宋" w:eastAsia="仿宋"/>
          <w:bCs/>
          <w:color w:val="auto"/>
          <w:sz w:val="32"/>
          <w:szCs w:val="32"/>
          <w:highlight w:val="none"/>
        </w:rPr>
        <w:t>:</w:t>
      </w:r>
      <w:r>
        <w:rPr>
          <w:rStyle w:val="26"/>
          <w:rFonts w:ascii="仿宋" w:hAnsi="仿宋" w:eastAsia="仿宋"/>
          <w:b w:val="0"/>
          <w:bCs/>
          <w:color w:val="auto"/>
          <w:sz w:val="32"/>
          <w:szCs w:val="32"/>
          <w:highlight w:val="none"/>
        </w:rPr>
        <w:t xml:space="preserve"> </w:t>
      </w:r>
      <w:r>
        <w:rPr>
          <w:rStyle w:val="26"/>
          <w:rFonts w:hint="eastAsia" w:ascii="仿宋" w:hAnsi="仿宋" w:eastAsia="仿宋"/>
          <w:b w:val="0"/>
          <w:bCs/>
          <w:color w:val="auto"/>
          <w:sz w:val="32"/>
          <w:szCs w:val="32"/>
          <w:highlight w:val="none"/>
        </w:rPr>
        <w:t>支出决算为</w:t>
      </w:r>
      <w:r>
        <w:rPr>
          <w:rStyle w:val="26"/>
          <w:rFonts w:hint="eastAsia" w:ascii="仿宋" w:hAnsi="仿宋" w:eastAsia="仿宋"/>
          <w:b w:val="0"/>
          <w:bCs/>
          <w:color w:val="auto"/>
          <w:sz w:val="32"/>
          <w:szCs w:val="32"/>
          <w:highlight w:val="none"/>
          <w:lang w:val="en-US" w:eastAsia="zh-CN"/>
        </w:rPr>
        <w:t>5.0</w:t>
      </w:r>
      <w:r>
        <w:rPr>
          <w:rStyle w:val="26"/>
          <w:rFonts w:hint="eastAsia" w:ascii="仿宋" w:hAnsi="仿宋" w:eastAsia="仿宋"/>
          <w:b w:val="0"/>
          <w:bCs/>
          <w:color w:val="auto"/>
          <w:sz w:val="32"/>
          <w:szCs w:val="32"/>
          <w:highlight w:val="none"/>
        </w:rPr>
        <w:t>万元，完成预算</w:t>
      </w:r>
      <w:r>
        <w:rPr>
          <w:rStyle w:val="26"/>
          <w:rFonts w:hint="eastAsia" w:ascii="仿宋" w:hAnsi="仿宋" w:eastAsia="仿宋"/>
          <w:b w:val="0"/>
          <w:bCs/>
          <w:color w:val="auto"/>
          <w:sz w:val="32"/>
          <w:szCs w:val="32"/>
          <w:highlight w:val="none"/>
          <w:lang w:val="en-US" w:eastAsia="zh-CN"/>
        </w:rPr>
        <w:t>100</w:t>
      </w:r>
      <w:r>
        <w:rPr>
          <w:rStyle w:val="26"/>
          <w:rFonts w:ascii="仿宋" w:hAnsi="仿宋" w:eastAsia="仿宋"/>
          <w:b w:val="0"/>
          <w:bCs/>
          <w:color w:val="auto"/>
          <w:sz w:val="32"/>
          <w:szCs w:val="32"/>
          <w:highlight w:val="none"/>
        </w:rPr>
        <w:t>%</w:t>
      </w:r>
      <w:r>
        <w:rPr>
          <w:rStyle w:val="26"/>
          <w:rFonts w:hint="eastAsia" w:ascii="仿宋" w:hAnsi="仿宋" w:eastAsia="仿宋"/>
          <w:b w:val="0"/>
          <w:bCs/>
          <w:color w:val="auto"/>
          <w:sz w:val="32"/>
          <w:szCs w:val="32"/>
          <w:highlight w:val="none"/>
        </w:rPr>
        <w:t>，决算数等于预算数。</w:t>
      </w:r>
    </w:p>
    <w:p w14:paraId="1FFED8F4">
      <w:pPr>
        <w:spacing w:beforeLines="0" w:line="576" w:lineRule="exact"/>
        <w:ind w:firstLine="643" w:firstLineChars="200"/>
        <w:rPr>
          <w:rFonts w:ascii="仿宋" w:hAnsi="仿宋" w:eastAsia="仿宋"/>
          <w:b/>
          <w:color w:val="auto"/>
          <w:sz w:val="32"/>
          <w:szCs w:val="32"/>
          <w:highlight w:val="none"/>
        </w:rPr>
      </w:pPr>
      <w:r>
        <w:rPr>
          <w:rStyle w:val="26"/>
          <w:rFonts w:hint="eastAsia" w:ascii="仿宋" w:hAnsi="仿宋" w:eastAsia="仿宋"/>
          <w:bCs/>
          <w:color w:val="auto"/>
          <w:sz w:val="32"/>
          <w:szCs w:val="32"/>
          <w:highlight w:val="none"/>
          <w:lang w:val="en-US" w:eastAsia="zh-CN"/>
        </w:rPr>
        <w:t>5</w:t>
      </w:r>
      <w:r>
        <w:rPr>
          <w:rStyle w:val="26"/>
          <w:rFonts w:ascii="仿宋" w:hAnsi="仿宋" w:eastAsia="仿宋"/>
          <w:bCs/>
          <w:color w:val="auto"/>
          <w:sz w:val="32"/>
          <w:szCs w:val="32"/>
          <w:highlight w:val="none"/>
        </w:rPr>
        <w:t>.</w:t>
      </w:r>
      <w:r>
        <w:rPr>
          <w:rFonts w:hint="eastAsia" w:ascii="仿宋" w:hAnsi="仿宋" w:eastAsia="仿宋"/>
          <w:b/>
          <w:bCs/>
          <w:color w:val="auto"/>
          <w:sz w:val="32"/>
          <w:szCs w:val="32"/>
          <w:highlight w:val="none"/>
        </w:rPr>
        <w:t>卫生健康</w:t>
      </w:r>
      <w:r>
        <w:rPr>
          <w:rFonts w:hint="eastAsia" w:ascii="仿宋" w:hAnsi="仿宋" w:eastAsia="仿宋"/>
          <w:b/>
          <w:bCs/>
          <w:color w:val="auto"/>
          <w:sz w:val="32"/>
          <w:szCs w:val="32"/>
          <w:highlight w:val="none"/>
          <w:lang w:val="en-US" w:eastAsia="zh-CN"/>
        </w:rPr>
        <w:t>210</w:t>
      </w:r>
      <w:r>
        <w:rPr>
          <w:rStyle w:val="26"/>
          <w:rFonts w:hint="eastAsia" w:ascii="仿宋" w:hAnsi="仿宋" w:eastAsia="仿宋"/>
          <w:bCs/>
          <w:color w:val="auto"/>
          <w:sz w:val="32"/>
          <w:szCs w:val="32"/>
          <w:highlight w:val="none"/>
        </w:rPr>
        <w:t>（类）行政事业单位医疗</w:t>
      </w:r>
      <w:r>
        <w:rPr>
          <w:rStyle w:val="26"/>
          <w:rFonts w:hint="eastAsia" w:ascii="仿宋" w:hAnsi="仿宋" w:eastAsia="仿宋"/>
          <w:bCs/>
          <w:color w:val="auto"/>
          <w:sz w:val="32"/>
          <w:szCs w:val="32"/>
          <w:highlight w:val="none"/>
          <w:lang w:val="en-US" w:eastAsia="zh-CN"/>
        </w:rPr>
        <w:t>11</w:t>
      </w:r>
      <w:r>
        <w:rPr>
          <w:rStyle w:val="26"/>
          <w:rFonts w:hint="eastAsia" w:ascii="仿宋" w:hAnsi="仿宋" w:eastAsia="仿宋"/>
          <w:bCs/>
          <w:color w:val="auto"/>
          <w:sz w:val="32"/>
          <w:szCs w:val="32"/>
          <w:highlight w:val="none"/>
        </w:rPr>
        <w:t>（款）行政单位医疗</w:t>
      </w:r>
      <w:r>
        <w:rPr>
          <w:rStyle w:val="26"/>
          <w:rFonts w:hint="eastAsia" w:ascii="仿宋" w:hAnsi="仿宋" w:eastAsia="仿宋"/>
          <w:bCs/>
          <w:color w:val="auto"/>
          <w:sz w:val="32"/>
          <w:szCs w:val="32"/>
          <w:highlight w:val="none"/>
          <w:lang w:val="en-US" w:eastAsia="zh-CN"/>
        </w:rPr>
        <w:t>01</w:t>
      </w:r>
      <w:r>
        <w:rPr>
          <w:rStyle w:val="26"/>
          <w:rFonts w:hint="eastAsia" w:ascii="仿宋" w:hAnsi="仿宋" w:eastAsia="仿宋"/>
          <w:bCs/>
          <w:color w:val="auto"/>
          <w:sz w:val="32"/>
          <w:szCs w:val="32"/>
          <w:highlight w:val="none"/>
        </w:rPr>
        <w:t>（项）</w:t>
      </w:r>
      <w:r>
        <w:rPr>
          <w:rStyle w:val="26"/>
          <w:rFonts w:ascii="仿宋" w:hAnsi="仿宋" w:eastAsia="仿宋"/>
          <w:bCs/>
          <w:color w:val="auto"/>
          <w:sz w:val="32"/>
          <w:szCs w:val="32"/>
          <w:highlight w:val="none"/>
        </w:rPr>
        <w:t>:</w:t>
      </w:r>
      <w:r>
        <w:rPr>
          <w:rStyle w:val="26"/>
          <w:rFonts w:hint="eastAsia" w:ascii="仿宋" w:hAnsi="仿宋" w:eastAsia="仿宋"/>
          <w:b w:val="0"/>
          <w:bCs/>
          <w:color w:val="auto"/>
          <w:sz w:val="32"/>
          <w:szCs w:val="32"/>
          <w:highlight w:val="none"/>
        </w:rPr>
        <w:t>支出决算为</w:t>
      </w:r>
      <w:r>
        <w:rPr>
          <w:rStyle w:val="26"/>
          <w:rFonts w:hint="eastAsia" w:ascii="仿宋" w:hAnsi="仿宋" w:eastAsia="仿宋"/>
          <w:b w:val="0"/>
          <w:bCs/>
          <w:color w:val="auto"/>
          <w:sz w:val="32"/>
          <w:szCs w:val="32"/>
          <w:highlight w:val="none"/>
          <w:lang w:val="en-US" w:eastAsia="zh-CN"/>
        </w:rPr>
        <w:t>14.3</w:t>
      </w:r>
      <w:r>
        <w:rPr>
          <w:rStyle w:val="26"/>
          <w:rFonts w:hint="eastAsia" w:ascii="仿宋" w:hAnsi="仿宋" w:eastAsia="仿宋"/>
          <w:b w:val="0"/>
          <w:bCs/>
          <w:color w:val="auto"/>
          <w:sz w:val="32"/>
          <w:szCs w:val="32"/>
          <w:highlight w:val="none"/>
        </w:rPr>
        <w:t>万元，完成预算</w:t>
      </w:r>
      <w:r>
        <w:rPr>
          <w:rStyle w:val="26"/>
          <w:rFonts w:hint="eastAsia" w:ascii="仿宋" w:hAnsi="仿宋" w:eastAsia="仿宋"/>
          <w:b w:val="0"/>
          <w:bCs/>
          <w:color w:val="auto"/>
          <w:sz w:val="32"/>
          <w:szCs w:val="32"/>
          <w:highlight w:val="none"/>
          <w:lang w:val="en-US" w:eastAsia="zh-CN"/>
        </w:rPr>
        <w:t>100</w:t>
      </w:r>
      <w:r>
        <w:rPr>
          <w:rStyle w:val="26"/>
          <w:rFonts w:ascii="仿宋" w:hAnsi="仿宋" w:eastAsia="仿宋"/>
          <w:b w:val="0"/>
          <w:bCs/>
          <w:color w:val="auto"/>
          <w:sz w:val="32"/>
          <w:szCs w:val="32"/>
          <w:highlight w:val="none"/>
        </w:rPr>
        <w:t>%</w:t>
      </w:r>
      <w:r>
        <w:rPr>
          <w:rStyle w:val="26"/>
          <w:rFonts w:hint="eastAsia" w:ascii="仿宋" w:hAnsi="仿宋" w:eastAsia="仿宋"/>
          <w:b w:val="0"/>
          <w:bCs/>
          <w:color w:val="auto"/>
          <w:sz w:val="32"/>
          <w:szCs w:val="32"/>
          <w:highlight w:val="none"/>
        </w:rPr>
        <w:t>，决算数等于预算数。</w:t>
      </w:r>
    </w:p>
    <w:p w14:paraId="2B875EB2">
      <w:pPr>
        <w:numPr>
          <w:ilvl w:val="0"/>
          <w:numId w:val="0"/>
        </w:numPr>
        <w:spacing w:beforeLines="0" w:line="576" w:lineRule="exact"/>
        <w:rPr>
          <w:rStyle w:val="26"/>
          <w:rFonts w:hint="eastAsia" w:ascii="仿宋" w:hAnsi="仿宋" w:eastAsia="仿宋"/>
          <w:b w:val="0"/>
          <w:bCs/>
          <w:color w:val="auto"/>
          <w:sz w:val="32"/>
          <w:szCs w:val="32"/>
          <w:highlight w:val="none"/>
        </w:rPr>
      </w:pPr>
      <w:r>
        <w:rPr>
          <w:rStyle w:val="26"/>
          <w:rFonts w:hint="eastAsia" w:ascii="仿宋" w:hAnsi="仿宋" w:eastAsia="仿宋"/>
          <w:bCs/>
          <w:color w:val="auto"/>
          <w:sz w:val="32"/>
          <w:szCs w:val="32"/>
          <w:highlight w:val="none"/>
          <w:lang w:eastAsia="zh-CN"/>
        </w:rPr>
        <w:t>　　</w:t>
      </w:r>
      <w:r>
        <w:rPr>
          <w:rStyle w:val="26"/>
          <w:rFonts w:hint="eastAsia" w:ascii="仿宋" w:hAnsi="仿宋" w:eastAsia="仿宋"/>
          <w:bCs/>
          <w:color w:val="auto"/>
          <w:sz w:val="32"/>
          <w:szCs w:val="32"/>
          <w:highlight w:val="none"/>
          <w:lang w:val="en-US" w:eastAsia="zh-CN"/>
        </w:rPr>
        <w:t>6</w:t>
      </w:r>
      <w:r>
        <w:rPr>
          <w:rStyle w:val="26"/>
          <w:rFonts w:ascii="仿宋" w:hAnsi="仿宋" w:eastAsia="仿宋"/>
          <w:bCs/>
          <w:color w:val="auto"/>
          <w:sz w:val="32"/>
          <w:szCs w:val="32"/>
          <w:highlight w:val="none"/>
        </w:rPr>
        <w:t>.</w:t>
      </w:r>
      <w:r>
        <w:rPr>
          <w:rFonts w:hint="eastAsia" w:ascii="仿宋" w:hAnsi="仿宋" w:eastAsia="仿宋"/>
          <w:b/>
          <w:bCs/>
          <w:color w:val="auto"/>
          <w:sz w:val="32"/>
          <w:szCs w:val="32"/>
          <w:highlight w:val="none"/>
        </w:rPr>
        <w:t>卫生健康</w:t>
      </w:r>
      <w:r>
        <w:rPr>
          <w:rFonts w:hint="eastAsia" w:ascii="仿宋" w:hAnsi="仿宋" w:eastAsia="仿宋"/>
          <w:b/>
          <w:bCs/>
          <w:color w:val="auto"/>
          <w:sz w:val="32"/>
          <w:szCs w:val="32"/>
          <w:highlight w:val="none"/>
          <w:lang w:val="en-US" w:eastAsia="zh-CN"/>
        </w:rPr>
        <w:t>210</w:t>
      </w:r>
      <w:r>
        <w:rPr>
          <w:rStyle w:val="26"/>
          <w:rFonts w:hint="eastAsia" w:ascii="仿宋" w:hAnsi="仿宋" w:eastAsia="仿宋"/>
          <w:bCs/>
          <w:color w:val="auto"/>
          <w:sz w:val="32"/>
          <w:szCs w:val="32"/>
          <w:highlight w:val="none"/>
        </w:rPr>
        <w:t>（类）行政事业单位医疗</w:t>
      </w:r>
      <w:r>
        <w:rPr>
          <w:rStyle w:val="26"/>
          <w:rFonts w:hint="eastAsia" w:ascii="仿宋" w:hAnsi="仿宋" w:eastAsia="仿宋"/>
          <w:bCs/>
          <w:color w:val="auto"/>
          <w:sz w:val="32"/>
          <w:szCs w:val="32"/>
          <w:highlight w:val="none"/>
          <w:lang w:val="en-US" w:eastAsia="zh-CN"/>
        </w:rPr>
        <w:t>11</w:t>
      </w:r>
      <w:r>
        <w:rPr>
          <w:rStyle w:val="26"/>
          <w:rFonts w:hint="eastAsia" w:ascii="仿宋" w:hAnsi="仿宋" w:eastAsia="仿宋"/>
          <w:bCs/>
          <w:color w:val="auto"/>
          <w:sz w:val="32"/>
          <w:szCs w:val="32"/>
          <w:highlight w:val="none"/>
        </w:rPr>
        <w:t>（款）事业单位医疗</w:t>
      </w:r>
      <w:r>
        <w:rPr>
          <w:rStyle w:val="26"/>
          <w:rFonts w:hint="eastAsia" w:ascii="仿宋" w:hAnsi="仿宋" w:eastAsia="仿宋"/>
          <w:bCs/>
          <w:color w:val="auto"/>
          <w:sz w:val="32"/>
          <w:szCs w:val="32"/>
          <w:highlight w:val="none"/>
          <w:lang w:val="en-US" w:eastAsia="zh-CN"/>
        </w:rPr>
        <w:t>02</w:t>
      </w:r>
      <w:r>
        <w:rPr>
          <w:rStyle w:val="26"/>
          <w:rFonts w:hint="eastAsia" w:ascii="仿宋" w:hAnsi="仿宋" w:eastAsia="仿宋"/>
          <w:bCs/>
          <w:color w:val="auto"/>
          <w:sz w:val="32"/>
          <w:szCs w:val="32"/>
          <w:highlight w:val="none"/>
        </w:rPr>
        <w:t>（项）</w:t>
      </w:r>
      <w:r>
        <w:rPr>
          <w:rStyle w:val="26"/>
          <w:rFonts w:ascii="仿宋" w:hAnsi="仿宋" w:eastAsia="仿宋"/>
          <w:bCs/>
          <w:color w:val="auto"/>
          <w:sz w:val="32"/>
          <w:szCs w:val="32"/>
          <w:highlight w:val="none"/>
        </w:rPr>
        <w:t>:</w:t>
      </w:r>
      <w:r>
        <w:rPr>
          <w:rStyle w:val="26"/>
          <w:rFonts w:hint="eastAsia" w:ascii="仿宋" w:hAnsi="仿宋" w:eastAsia="仿宋"/>
          <w:b w:val="0"/>
          <w:bCs/>
          <w:color w:val="auto"/>
          <w:sz w:val="32"/>
          <w:szCs w:val="32"/>
          <w:highlight w:val="none"/>
        </w:rPr>
        <w:t>支出决算为</w:t>
      </w:r>
      <w:r>
        <w:rPr>
          <w:rStyle w:val="26"/>
          <w:rFonts w:hint="eastAsia" w:ascii="仿宋" w:hAnsi="仿宋" w:eastAsia="仿宋"/>
          <w:b w:val="0"/>
          <w:bCs/>
          <w:color w:val="auto"/>
          <w:sz w:val="32"/>
          <w:szCs w:val="32"/>
          <w:highlight w:val="none"/>
          <w:lang w:val="en-US" w:eastAsia="zh-CN"/>
        </w:rPr>
        <w:t>48.25</w:t>
      </w:r>
      <w:r>
        <w:rPr>
          <w:rStyle w:val="26"/>
          <w:rFonts w:hint="eastAsia" w:ascii="仿宋" w:hAnsi="仿宋" w:eastAsia="仿宋"/>
          <w:b w:val="0"/>
          <w:bCs/>
          <w:color w:val="auto"/>
          <w:sz w:val="32"/>
          <w:szCs w:val="32"/>
          <w:highlight w:val="none"/>
        </w:rPr>
        <w:t>万元，完成预算</w:t>
      </w:r>
      <w:r>
        <w:rPr>
          <w:rStyle w:val="26"/>
          <w:rFonts w:hint="eastAsia" w:ascii="仿宋" w:hAnsi="仿宋" w:eastAsia="仿宋"/>
          <w:b w:val="0"/>
          <w:bCs/>
          <w:color w:val="auto"/>
          <w:sz w:val="32"/>
          <w:szCs w:val="32"/>
          <w:highlight w:val="none"/>
          <w:lang w:val="en-US" w:eastAsia="zh-CN"/>
        </w:rPr>
        <w:t>100</w:t>
      </w:r>
      <w:r>
        <w:rPr>
          <w:rStyle w:val="26"/>
          <w:rFonts w:ascii="仿宋" w:hAnsi="仿宋" w:eastAsia="仿宋"/>
          <w:b w:val="0"/>
          <w:bCs/>
          <w:color w:val="auto"/>
          <w:sz w:val="32"/>
          <w:szCs w:val="32"/>
          <w:highlight w:val="none"/>
        </w:rPr>
        <w:t>%</w:t>
      </w:r>
      <w:r>
        <w:rPr>
          <w:rStyle w:val="26"/>
          <w:rFonts w:hint="eastAsia" w:ascii="仿宋" w:hAnsi="仿宋" w:eastAsia="仿宋"/>
          <w:b w:val="0"/>
          <w:bCs/>
          <w:color w:val="auto"/>
          <w:sz w:val="32"/>
          <w:szCs w:val="32"/>
          <w:highlight w:val="none"/>
        </w:rPr>
        <w:t>，决算数等于预算数。</w:t>
      </w:r>
    </w:p>
    <w:p w14:paraId="7ACC1AB7">
      <w:pPr>
        <w:numPr>
          <w:ilvl w:val="0"/>
          <w:numId w:val="0"/>
        </w:numPr>
        <w:spacing w:beforeLines="0" w:line="576" w:lineRule="exact"/>
        <w:rPr>
          <w:rFonts w:ascii="仿宋" w:hAnsi="仿宋" w:eastAsia="仿宋"/>
          <w:b/>
          <w:color w:val="auto"/>
          <w:sz w:val="32"/>
          <w:szCs w:val="32"/>
          <w:highlight w:val="none"/>
        </w:rPr>
      </w:pPr>
      <w:r>
        <w:rPr>
          <w:rStyle w:val="26"/>
          <w:rFonts w:hint="eastAsia" w:ascii="仿宋" w:hAnsi="仿宋" w:eastAsia="仿宋"/>
          <w:bCs/>
          <w:color w:val="auto"/>
          <w:sz w:val="32"/>
          <w:szCs w:val="32"/>
          <w:highlight w:val="none"/>
          <w:lang w:val="en-US" w:eastAsia="zh-CN"/>
        </w:rPr>
        <w:t>　　7</w:t>
      </w:r>
      <w:r>
        <w:rPr>
          <w:rStyle w:val="26"/>
          <w:rFonts w:ascii="仿宋" w:hAnsi="仿宋" w:eastAsia="仿宋"/>
          <w:bCs/>
          <w:color w:val="auto"/>
          <w:sz w:val="32"/>
          <w:szCs w:val="32"/>
          <w:highlight w:val="none"/>
        </w:rPr>
        <w:t>.</w:t>
      </w:r>
      <w:r>
        <w:rPr>
          <w:rFonts w:hint="eastAsia" w:ascii="仿宋" w:hAnsi="仿宋" w:eastAsia="仿宋"/>
          <w:b/>
          <w:bCs/>
          <w:color w:val="auto"/>
          <w:sz w:val="32"/>
          <w:szCs w:val="32"/>
          <w:highlight w:val="none"/>
        </w:rPr>
        <w:t>卫生健康</w:t>
      </w:r>
      <w:r>
        <w:rPr>
          <w:rFonts w:hint="eastAsia" w:ascii="仿宋" w:hAnsi="仿宋" w:eastAsia="仿宋"/>
          <w:b/>
          <w:bCs/>
          <w:color w:val="auto"/>
          <w:sz w:val="32"/>
          <w:szCs w:val="32"/>
          <w:highlight w:val="none"/>
          <w:lang w:val="en-US" w:eastAsia="zh-CN"/>
        </w:rPr>
        <w:t>210</w:t>
      </w:r>
      <w:r>
        <w:rPr>
          <w:rStyle w:val="26"/>
          <w:rFonts w:hint="eastAsia" w:ascii="仿宋" w:hAnsi="仿宋" w:eastAsia="仿宋"/>
          <w:bCs/>
          <w:color w:val="auto"/>
          <w:sz w:val="32"/>
          <w:szCs w:val="32"/>
          <w:highlight w:val="none"/>
        </w:rPr>
        <w:t>（类）行政事业单位医疗</w:t>
      </w:r>
      <w:r>
        <w:rPr>
          <w:rStyle w:val="26"/>
          <w:rFonts w:hint="eastAsia" w:ascii="仿宋" w:hAnsi="仿宋" w:eastAsia="仿宋"/>
          <w:bCs/>
          <w:color w:val="auto"/>
          <w:sz w:val="32"/>
          <w:szCs w:val="32"/>
          <w:highlight w:val="none"/>
          <w:lang w:val="en-US" w:eastAsia="zh-CN"/>
        </w:rPr>
        <w:t>11</w:t>
      </w:r>
      <w:r>
        <w:rPr>
          <w:rStyle w:val="26"/>
          <w:rFonts w:hint="eastAsia" w:ascii="仿宋" w:hAnsi="仿宋" w:eastAsia="仿宋"/>
          <w:bCs/>
          <w:color w:val="auto"/>
          <w:sz w:val="32"/>
          <w:szCs w:val="32"/>
          <w:highlight w:val="none"/>
        </w:rPr>
        <w:t>（款）公务员医疗补助</w:t>
      </w:r>
      <w:r>
        <w:rPr>
          <w:rStyle w:val="26"/>
          <w:rFonts w:hint="eastAsia" w:ascii="仿宋" w:hAnsi="仿宋" w:eastAsia="仿宋"/>
          <w:bCs/>
          <w:color w:val="auto"/>
          <w:sz w:val="32"/>
          <w:szCs w:val="32"/>
          <w:highlight w:val="none"/>
          <w:lang w:val="en-US" w:eastAsia="zh-CN"/>
        </w:rPr>
        <w:t>03</w:t>
      </w:r>
      <w:r>
        <w:rPr>
          <w:rStyle w:val="26"/>
          <w:rFonts w:hint="eastAsia" w:ascii="仿宋" w:hAnsi="仿宋" w:eastAsia="仿宋"/>
          <w:bCs/>
          <w:color w:val="auto"/>
          <w:sz w:val="32"/>
          <w:szCs w:val="32"/>
          <w:highlight w:val="none"/>
        </w:rPr>
        <w:t>（项）</w:t>
      </w:r>
      <w:r>
        <w:rPr>
          <w:rStyle w:val="26"/>
          <w:rFonts w:ascii="仿宋" w:hAnsi="仿宋" w:eastAsia="仿宋"/>
          <w:bCs/>
          <w:color w:val="auto"/>
          <w:sz w:val="32"/>
          <w:szCs w:val="32"/>
          <w:highlight w:val="none"/>
        </w:rPr>
        <w:t>:</w:t>
      </w:r>
      <w:r>
        <w:rPr>
          <w:rStyle w:val="26"/>
          <w:rFonts w:hint="eastAsia" w:ascii="仿宋" w:hAnsi="仿宋" w:eastAsia="仿宋"/>
          <w:b w:val="0"/>
          <w:bCs/>
          <w:color w:val="auto"/>
          <w:sz w:val="32"/>
          <w:szCs w:val="32"/>
          <w:highlight w:val="none"/>
        </w:rPr>
        <w:t>支出决算为</w:t>
      </w:r>
      <w:r>
        <w:rPr>
          <w:rStyle w:val="26"/>
          <w:rFonts w:hint="eastAsia" w:ascii="仿宋" w:hAnsi="仿宋" w:eastAsia="仿宋"/>
          <w:b w:val="0"/>
          <w:bCs/>
          <w:color w:val="auto"/>
          <w:sz w:val="32"/>
          <w:szCs w:val="32"/>
          <w:highlight w:val="none"/>
          <w:lang w:val="en-US" w:eastAsia="zh-CN"/>
        </w:rPr>
        <w:t>19.4</w:t>
      </w:r>
      <w:r>
        <w:rPr>
          <w:rStyle w:val="26"/>
          <w:rFonts w:hint="eastAsia" w:ascii="仿宋" w:hAnsi="仿宋" w:eastAsia="仿宋"/>
          <w:b w:val="0"/>
          <w:bCs/>
          <w:color w:val="auto"/>
          <w:sz w:val="32"/>
          <w:szCs w:val="32"/>
          <w:highlight w:val="none"/>
        </w:rPr>
        <w:t>万元，完成预算</w:t>
      </w:r>
      <w:r>
        <w:rPr>
          <w:rStyle w:val="26"/>
          <w:rFonts w:hint="eastAsia" w:ascii="仿宋" w:hAnsi="仿宋" w:eastAsia="仿宋"/>
          <w:b w:val="0"/>
          <w:bCs/>
          <w:color w:val="auto"/>
          <w:sz w:val="32"/>
          <w:szCs w:val="32"/>
          <w:highlight w:val="none"/>
          <w:lang w:val="en-US" w:eastAsia="zh-CN"/>
        </w:rPr>
        <w:t>100</w:t>
      </w:r>
      <w:r>
        <w:rPr>
          <w:rStyle w:val="26"/>
          <w:rFonts w:ascii="仿宋" w:hAnsi="仿宋" w:eastAsia="仿宋"/>
          <w:b w:val="0"/>
          <w:bCs/>
          <w:color w:val="auto"/>
          <w:sz w:val="32"/>
          <w:szCs w:val="32"/>
          <w:highlight w:val="none"/>
        </w:rPr>
        <w:t>%</w:t>
      </w:r>
      <w:r>
        <w:rPr>
          <w:rStyle w:val="26"/>
          <w:rFonts w:hint="eastAsia" w:ascii="仿宋" w:hAnsi="仿宋" w:eastAsia="仿宋"/>
          <w:b w:val="0"/>
          <w:bCs/>
          <w:color w:val="auto"/>
          <w:sz w:val="32"/>
          <w:szCs w:val="32"/>
          <w:highlight w:val="none"/>
        </w:rPr>
        <w:t>，决算数等于预算数。</w:t>
      </w:r>
    </w:p>
    <w:p w14:paraId="12BCC667">
      <w:pPr>
        <w:spacing w:beforeLines="0" w:line="576" w:lineRule="exact"/>
        <w:ind w:firstLine="643" w:firstLineChars="200"/>
        <w:rPr>
          <w:rStyle w:val="26"/>
          <w:rFonts w:hint="eastAsia" w:ascii="仿宋" w:hAnsi="仿宋" w:eastAsia="仿宋"/>
          <w:b w:val="0"/>
          <w:bCs/>
          <w:color w:val="auto"/>
          <w:sz w:val="32"/>
          <w:szCs w:val="32"/>
          <w:highlight w:val="none"/>
        </w:rPr>
      </w:pPr>
      <w:r>
        <w:rPr>
          <w:rStyle w:val="26"/>
          <w:rFonts w:hint="eastAsia" w:ascii="仿宋" w:hAnsi="仿宋" w:eastAsia="仿宋"/>
          <w:bCs/>
          <w:color w:val="auto"/>
          <w:sz w:val="32"/>
          <w:szCs w:val="32"/>
          <w:highlight w:val="none"/>
          <w:lang w:val="en-US" w:eastAsia="zh-CN"/>
        </w:rPr>
        <w:t>8</w:t>
      </w:r>
      <w:r>
        <w:rPr>
          <w:rStyle w:val="26"/>
          <w:rFonts w:ascii="仿宋" w:hAnsi="仿宋" w:eastAsia="仿宋"/>
          <w:bCs/>
          <w:color w:val="auto"/>
          <w:sz w:val="32"/>
          <w:szCs w:val="32"/>
          <w:highlight w:val="none"/>
        </w:rPr>
        <w:t>.</w:t>
      </w:r>
      <w:r>
        <w:rPr>
          <w:rStyle w:val="26"/>
          <w:rFonts w:hint="eastAsia" w:ascii="仿宋" w:hAnsi="仿宋" w:eastAsia="仿宋"/>
          <w:bCs/>
          <w:color w:val="auto"/>
          <w:sz w:val="32"/>
          <w:szCs w:val="32"/>
          <w:highlight w:val="none"/>
          <w:lang w:eastAsia="zh-CN"/>
        </w:rPr>
        <w:t>节能环保支出</w:t>
      </w:r>
      <w:r>
        <w:rPr>
          <w:rStyle w:val="26"/>
          <w:rFonts w:hint="eastAsia" w:ascii="仿宋" w:hAnsi="仿宋" w:eastAsia="仿宋"/>
          <w:bCs/>
          <w:color w:val="auto"/>
          <w:sz w:val="32"/>
          <w:szCs w:val="32"/>
          <w:highlight w:val="none"/>
          <w:lang w:val="en-US" w:eastAsia="zh-CN"/>
        </w:rPr>
        <w:t>211</w:t>
      </w:r>
      <w:r>
        <w:rPr>
          <w:rStyle w:val="26"/>
          <w:rFonts w:hint="eastAsia" w:ascii="仿宋" w:hAnsi="仿宋" w:eastAsia="仿宋"/>
          <w:bCs/>
          <w:color w:val="auto"/>
          <w:sz w:val="32"/>
          <w:szCs w:val="32"/>
          <w:highlight w:val="none"/>
        </w:rPr>
        <w:t>（类）</w:t>
      </w:r>
      <w:r>
        <w:rPr>
          <w:rStyle w:val="26"/>
          <w:rFonts w:hint="eastAsia" w:ascii="仿宋" w:hAnsi="仿宋" w:eastAsia="仿宋"/>
          <w:bCs/>
          <w:color w:val="auto"/>
          <w:sz w:val="32"/>
          <w:szCs w:val="32"/>
          <w:highlight w:val="none"/>
          <w:lang w:eastAsia="zh-CN"/>
        </w:rPr>
        <w:t>环境保护管理事务</w:t>
      </w:r>
      <w:r>
        <w:rPr>
          <w:rStyle w:val="26"/>
          <w:rFonts w:hint="eastAsia" w:ascii="仿宋" w:hAnsi="仿宋" w:eastAsia="仿宋"/>
          <w:bCs/>
          <w:color w:val="auto"/>
          <w:sz w:val="32"/>
          <w:szCs w:val="32"/>
          <w:highlight w:val="none"/>
          <w:lang w:val="en-US" w:eastAsia="zh-CN"/>
        </w:rPr>
        <w:t>01</w:t>
      </w:r>
      <w:r>
        <w:rPr>
          <w:rStyle w:val="26"/>
          <w:rFonts w:hint="eastAsia" w:ascii="仿宋" w:hAnsi="仿宋" w:eastAsia="仿宋"/>
          <w:bCs/>
          <w:color w:val="auto"/>
          <w:sz w:val="32"/>
          <w:szCs w:val="32"/>
          <w:highlight w:val="none"/>
        </w:rPr>
        <w:t>（款）</w:t>
      </w:r>
      <w:r>
        <w:rPr>
          <w:rStyle w:val="26"/>
          <w:rFonts w:hint="eastAsia" w:ascii="仿宋" w:hAnsi="仿宋" w:eastAsia="仿宋"/>
          <w:bCs/>
          <w:color w:val="auto"/>
          <w:sz w:val="32"/>
          <w:szCs w:val="32"/>
          <w:highlight w:val="none"/>
          <w:lang w:eastAsia="zh-CN"/>
        </w:rPr>
        <w:t>其他环境保护管理事务支出</w:t>
      </w:r>
      <w:r>
        <w:rPr>
          <w:rStyle w:val="26"/>
          <w:rFonts w:hint="eastAsia" w:ascii="仿宋" w:hAnsi="仿宋" w:eastAsia="仿宋"/>
          <w:bCs/>
          <w:color w:val="auto"/>
          <w:sz w:val="32"/>
          <w:szCs w:val="32"/>
          <w:highlight w:val="none"/>
          <w:lang w:val="en-US" w:eastAsia="zh-CN"/>
        </w:rPr>
        <w:t>99</w:t>
      </w:r>
      <w:r>
        <w:rPr>
          <w:rStyle w:val="26"/>
          <w:rFonts w:hint="eastAsia" w:ascii="仿宋" w:hAnsi="仿宋" w:eastAsia="仿宋"/>
          <w:bCs/>
          <w:color w:val="auto"/>
          <w:sz w:val="32"/>
          <w:szCs w:val="32"/>
          <w:highlight w:val="none"/>
        </w:rPr>
        <w:t>（项）</w:t>
      </w:r>
      <w:r>
        <w:rPr>
          <w:rStyle w:val="26"/>
          <w:rFonts w:ascii="仿宋" w:hAnsi="仿宋" w:eastAsia="仿宋"/>
          <w:bCs/>
          <w:color w:val="auto"/>
          <w:sz w:val="32"/>
          <w:szCs w:val="32"/>
          <w:highlight w:val="none"/>
        </w:rPr>
        <w:t>:</w:t>
      </w:r>
      <w:r>
        <w:rPr>
          <w:rStyle w:val="26"/>
          <w:rFonts w:ascii="仿宋" w:hAnsi="仿宋" w:eastAsia="仿宋"/>
          <w:b w:val="0"/>
          <w:bCs/>
          <w:color w:val="auto"/>
          <w:sz w:val="32"/>
          <w:szCs w:val="32"/>
          <w:highlight w:val="none"/>
        </w:rPr>
        <w:t xml:space="preserve"> </w:t>
      </w:r>
      <w:r>
        <w:rPr>
          <w:rStyle w:val="26"/>
          <w:rFonts w:hint="eastAsia" w:ascii="仿宋" w:hAnsi="仿宋" w:eastAsia="仿宋"/>
          <w:b w:val="0"/>
          <w:bCs/>
          <w:color w:val="auto"/>
          <w:sz w:val="32"/>
          <w:szCs w:val="32"/>
          <w:highlight w:val="none"/>
        </w:rPr>
        <w:t>支出决算为</w:t>
      </w:r>
      <w:r>
        <w:rPr>
          <w:rStyle w:val="26"/>
          <w:rFonts w:hint="eastAsia" w:ascii="仿宋" w:hAnsi="仿宋" w:eastAsia="仿宋"/>
          <w:b w:val="0"/>
          <w:bCs/>
          <w:color w:val="auto"/>
          <w:sz w:val="32"/>
          <w:szCs w:val="32"/>
          <w:highlight w:val="none"/>
          <w:lang w:val="en-US" w:eastAsia="zh-CN"/>
        </w:rPr>
        <w:t>60</w:t>
      </w:r>
      <w:r>
        <w:rPr>
          <w:rStyle w:val="26"/>
          <w:rFonts w:hint="eastAsia" w:ascii="仿宋" w:hAnsi="仿宋" w:eastAsia="仿宋"/>
          <w:b w:val="0"/>
          <w:bCs/>
          <w:color w:val="auto"/>
          <w:sz w:val="32"/>
          <w:szCs w:val="32"/>
          <w:highlight w:val="none"/>
        </w:rPr>
        <w:t>万元，完成预算</w:t>
      </w:r>
      <w:r>
        <w:rPr>
          <w:rStyle w:val="26"/>
          <w:rFonts w:hint="eastAsia" w:ascii="仿宋" w:hAnsi="仿宋" w:eastAsia="仿宋"/>
          <w:b w:val="0"/>
          <w:bCs/>
          <w:color w:val="auto"/>
          <w:sz w:val="32"/>
          <w:szCs w:val="32"/>
          <w:highlight w:val="none"/>
          <w:lang w:val="en-US" w:eastAsia="zh-CN"/>
        </w:rPr>
        <w:t>100</w:t>
      </w:r>
      <w:r>
        <w:rPr>
          <w:rStyle w:val="26"/>
          <w:rFonts w:ascii="仿宋" w:hAnsi="仿宋" w:eastAsia="仿宋"/>
          <w:b w:val="0"/>
          <w:bCs/>
          <w:color w:val="auto"/>
          <w:sz w:val="32"/>
          <w:szCs w:val="32"/>
          <w:highlight w:val="none"/>
        </w:rPr>
        <w:t>%</w:t>
      </w:r>
      <w:r>
        <w:rPr>
          <w:rStyle w:val="26"/>
          <w:rFonts w:hint="eastAsia" w:ascii="仿宋" w:hAnsi="仿宋" w:eastAsia="仿宋"/>
          <w:b w:val="0"/>
          <w:bCs/>
          <w:color w:val="auto"/>
          <w:sz w:val="32"/>
          <w:szCs w:val="32"/>
          <w:highlight w:val="none"/>
        </w:rPr>
        <w:t>，决算数等于预算数。</w:t>
      </w:r>
    </w:p>
    <w:p w14:paraId="4D309FCA">
      <w:pPr>
        <w:spacing w:beforeLines="0" w:line="576" w:lineRule="exact"/>
        <w:ind w:firstLine="643" w:firstLineChars="200"/>
        <w:rPr>
          <w:rStyle w:val="26"/>
          <w:rFonts w:hint="eastAsia" w:ascii="仿宋" w:hAnsi="仿宋" w:eastAsia="仿宋"/>
          <w:b w:val="0"/>
          <w:bCs/>
          <w:color w:val="auto"/>
          <w:sz w:val="32"/>
          <w:szCs w:val="32"/>
          <w:highlight w:val="none"/>
        </w:rPr>
      </w:pPr>
      <w:r>
        <w:rPr>
          <w:rStyle w:val="26"/>
          <w:rFonts w:hint="eastAsia" w:ascii="仿宋" w:hAnsi="仿宋" w:eastAsia="仿宋"/>
          <w:bCs/>
          <w:color w:val="auto"/>
          <w:sz w:val="32"/>
          <w:szCs w:val="32"/>
          <w:highlight w:val="none"/>
          <w:lang w:val="en-US" w:eastAsia="zh-CN"/>
        </w:rPr>
        <w:t>9</w:t>
      </w:r>
      <w:r>
        <w:rPr>
          <w:rStyle w:val="26"/>
          <w:rFonts w:ascii="仿宋" w:hAnsi="仿宋" w:eastAsia="仿宋"/>
          <w:bCs/>
          <w:color w:val="auto"/>
          <w:sz w:val="32"/>
          <w:szCs w:val="32"/>
          <w:highlight w:val="none"/>
        </w:rPr>
        <w:t>.</w:t>
      </w:r>
      <w:r>
        <w:rPr>
          <w:rStyle w:val="26"/>
          <w:rFonts w:hint="eastAsia" w:ascii="仿宋" w:hAnsi="仿宋" w:eastAsia="仿宋"/>
          <w:bCs/>
          <w:color w:val="auto"/>
          <w:sz w:val="32"/>
          <w:szCs w:val="32"/>
          <w:highlight w:val="none"/>
          <w:lang w:eastAsia="zh-CN"/>
        </w:rPr>
        <w:t>节能环保支出</w:t>
      </w:r>
      <w:r>
        <w:rPr>
          <w:rStyle w:val="26"/>
          <w:rFonts w:hint="eastAsia" w:ascii="仿宋" w:hAnsi="仿宋" w:eastAsia="仿宋"/>
          <w:bCs/>
          <w:color w:val="auto"/>
          <w:sz w:val="32"/>
          <w:szCs w:val="32"/>
          <w:highlight w:val="none"/>
          <w:lang w:val="en-US" w:eastAsia="zh-CN"/>
        </w:rPr>
        <w:t>211</w:t>
      </w:r>
      <w:r>
        <w:rPr>
          <w:rStyle w:val="26"/>
          <w:rFonts w:hint="eastAsia" w:ascii="仿宋" w:hAnsi="仿宋" w:eastAsia="仿宋"/>
          <w:bCs/>
          <w:color w:val="auto"/>
          <w:sz w:val="32"/>
          <w:szCs w:val="32"/>
          <w:highlight w:val="none"/>
        </w:rPr>
        <w:t>（类）</w:t>
      </w:r>
      <w:r>
        <w:rPr>
          <w:rStyle w:val="26"/>
          <w:rFonts w:hint="eastAsia" w:ascii="仿宋" w:hAnsi="仿宋" w:eastAsia="仿宋"/>
          <w:bCs/>
          <w:color w:val="auto"/>
          <w:sz w:val="32"/>
          <w:szCs w:val="32"/>
          <w:highlight w:val="none"/>
          <w:lang w:eastAsia="zh-CN"/>
        </w:rPr>
        <w:t>污染防治</w:t>
      </w:r>
      <w:r>
        <w:rPr>
          <w:rStyle w:val="26"/>
          <w:rFonts w:hint="eastAsia" w:ascii="仿宋" w:hAnsi="仿宋" w:eastAsia="仿宋"/>
          <w:bCs/>
          <w:color w:val="auto"/>
          <w:sz w:val="32"/>
          <w:szCs w:val="32"/>
          <w:highlight w:val="none"/>
          <w:lang w:val="en-US" w:eastAsia="zh-CN"/>
        </w:rPr>
        <w:t>03</w:t>
      </w:r>
      <w:r>
        <w:rPr>
          <w:rStyle w:val="26"/>
          <w:rFonts w:hint="eastAsia" w:ascii="仿宋" w:hAnsi="仿宋" w:eastAsia="仿宋"/>
          <w:bCs/>
          <w:color w:val="auto"/>
          <w:sz w:val="32"/>
          <w:szCs w:val="32"/>
          <w:highlight w:val="none"/>
        </w:rPr>
        <w:t>（款）</w:t>
      </w:r>
      <w:r>
        <w:rPr>
          <w:rStyle w:val="26"/>
          <w:rFonts w:hint="eastAsia" w:ascii="仿宋" w:hAnsi="仿宋" w:eastAsia="仿宋"/>
          <w:bCs/>
          <w:color w:val="auto"/>
          <w:sz w:val="32"/>
          <w:szCs w:val="32"/>
          <w:highlight w:val="none"/>
          <w:lang w:eastAsia="zh-CN"/>
        </w:rPr>
        <w:t>其他环境水体</w:t>
      </w:r>
      <w:r>
        <w:rPr>
          <w:rStyle w:val="26"/>
          <w:rFonts w:hint="eastAsia" w:ascii="仿宋" w:hAnsi="仿宋" w:eastAsia="仿宋"/>
          <w:bCs/>
          <w:color w:val="auto"/>
          <w:sz w:val="32"/>
          <w:szCs w:val="32"/>
          <w:highlight w:val="none"/>
          <w:lang w:val="en-US" w:eastAsia="zh-CN"/>
        </w:rPr>
        <w:t>02</w:t>
      </w:r>
      <w:r>
        <w:rPr>
          <w:rStyle w:val="26"/>
          <w:rFonts w:hint="eastAsia" w:ascii="仿宋" w:hAnsi="仿宋" w:eastAsia="仿宋"/>
          <w:bCs/>
          <w:color w:val="auto"/>
          <w:sz w:val="32"/>
          <w:szCs w:val="32"/>
          <w:highlight w:val="none"/>
        </w:rPr>
        <w:t>（项）</w:t>
      </w:r>
      <w:r>
        <w:rPr>
          <w:rStyle w:val="26"/>
          <w:rFonts w:ascii="仿宋" w:hAnsi="仿宋" w:eastAsia="仿宋"/>
          <w:bCs/>
          <w:color w:val="auto"/>
          <w:sz w:val="32"/>
          <w:szCs w:val="32"/>
          <w:highlight w:val="none"/>
        </w:rPr>
        <w:t>:</w:t>
      </w:r>
      <w:r>
        <w:rPr>
          <w:rStyle w:val="26"/>
          <w:rFonts w:ascii="仿宋" w:hAnsi="仿宋" w:eastAsia="仿宋"/>
          <w:b w:val="0"/>
          <w:bCs/>
          <w:color w:val="auto"/>
          <w:sz w:val="32"/>
          <w:szCs w:val="32"/>
          <w:highlight w:val="none"/>
        </w:rPr>
        <w:t xml:space="preserve"> </w:t>
      </w:r>
      <w:r>
        <w:rPr>
          <w:rStyle w:val="26"/>
          <w:rFonts w:hint="eastAsia" w:ascii="仿宋" w:hAnsi="仿宋" w:eastAsia="仿宋"/>
          <w:b w:val="0"/>
          <w:bCs/>
          <w:color w:val="auto"/>
          <w:sz w:val="32"/>
          <w:szCs w:val="32"/>
          <w:highlight w:val="none"/>
        </w:rPr>
        <w:t>支出决算为</w:t>
      </w:r>
      <w:r>
        <w:rPr>
          <w:rStyle w:val="26"/>
          <w:rFonts w:hint="eastAsia" w:ascii="仿宋" w:hAnsi="仿宋" w:eastAsia="仿宋"/>
          <w:b w:val="0"/>
          <w:bCs/>
          <w:color w:val="auto"/>
          <w:sz w:val="32"/>
          <w:szCs w:val="32"/>
          <w:highlight w:val="none"/>
          <w:lang w:val="en-US" w:eastAsia="zh-CN"/>
        </w:rPr>
        <w:t>2000</w:t>
      </w:r>
      <w:r>
        <w:rPr>
          <w:rStyle w:val="26"/>
          <w:rFonts w:hint="eastAsia" w:ascii="仿宋" w:hAnsi="仿宋" w:eastAsia="仿宋"/>
          <w:b w:val="0"/>
          <w:bCs/>
          <w:color w:val="auto"/>
          <w:sz w:val="32"/>
          <w:szCs w:val="32"/>
          <w:highlight w:val="none"/>
        </w:rPr>
        <w:t>万元，完成预算</w:t>
      </w:r>
      <w:r>
        <w:rPr>
          <w:rStyle w:val="26"/>
          <w:rFonts w:hint="eastAsia" w:ascii="仿宋" w:hAnsi="仿宋" w:eastAsia="仿宋"/>
          <w:b w:val="0"/>
          <w:bCs/>
          <w:color w:val="auto"/>
          <w:sz w:val="32"/>
          <w:szCs w:val="32"/>
          <w:highlight w:val="none"/>
          <w:lang w:val="en-US" w:eastAsia="zh-CN"/>
        </w:rPr>
        <w:t>100</w:t>
      </w:r>
      <w:r>
        <w:rPr>
          <w:rStyle w:val="26"/>
          <w:rFonts w:ascii="仿宋" w:hAnsi="仿宋" w:eastAsia="仿宋"/>
          <w:b w:val="0"/>
          <w:bCs/>
          <w:color w:val="auto"/>
          <w:sz w:val="32"/>
          <w:szCs w:val="32"/>
          <w:highlight w:val="none"/>
        </w:rPr>
        <w:t>%</w:t>
      </w:r>
      <w:r>
        <w:rPr>
          <w:rStyle w:val="26"/>
          <w:rFonts w:hint="eastAsia" w:ascii="仿宋" w:hAnsi="仿宋" w:eastAsia="仿宋"/>
          <w:b w:val="0"/>
          <w:bCs/>
          <w:color w:val="auto"/>
          <w:sz w:val="32"/>
          <w:szCs w:val="32"/>
          <w:highlight w:val="none"/>
        </w:rPr>
        <w:t>，决算数等于预算数。</w:t>
      </w:r>
    </w:p>
    <w:p w14:paraId="39A3A574">
      <w:pPr>
        <w:pStyle w:val="2"/>
        <w:spacing w:beforeLines="0" w:line="576" w:lineRule="exact"/>
        <w:rPr>
          <w:rFonts w:eastAsia="仿宋_GB2312"/>
        </w:rPr>
      </w:pPr>
    </w:p>
    <w:p w14:paraId="77590840">
      <w:pPr>
        <w:spacing w:beforeLines="0" w:line="576" w:lineRule="exact"/>
        <w:ind w:firstLine="643" w:firstLineChars="200"/>
        <w:rPr>
          <w:rFonts w:ascii="仿宋" w:hAnsi="仿宋" w:eastAsia="仿宋"/>
          <w:b/>
          <w:color w:val="auto"/>
          <w:sz w:val="32"/>
          <w:szCs w:val="32"/>
          <w:highlight w:val="none"/>
        </w:rPr>
      </w:pPr>
      <w:r>
        <w:rPr>
          <w:rStyle w:val="26"/>
          <w:rFonts w:hint="eastAsia" w:ascii="仿宋" w:hAnsi="仿宋" w:eastAsia="仿宋"/>
          <w:bCs/>
          <w:color w:val="auto"/>
          <w:sz w:val="32"/>
          <w:szCs w:val="32"/>
          <w:highlight w:val="none"/>
          <w:lang w:val="en-US" w:eastAsia="zh-CN"/>
        </w:rPr>
        <w:t>10</w:t>
      </w:r>
      <w:r>
        <w:rPr>
          <w:rStyle w:val="26"/>
          <w:rFonts w:ascii="仿宋" w:hAnsi="仿宋" w:eastAsia="仿宋"/>
          <w:bCs/>
          <w:color w:val="auto"/>
          <w:sz w:val="32"/>
          <w:szCs w:val="32"/>
          <w:highlight w:val="none"/>
        </w:rPr>
        <w:t>.</w:t>
      </w:r>
      <w:r>
        <w:rPr>
          <w:rFonts w:hint="eastAsia" w:ascii="仿宋" w:hAnsi="仿宋" w:eastAsia="仿宋"/>
          <w:b/>
          <w:bCs/>
          <w:color w:val="auto"/>
          <w:sz w:val="32"/>
          <w:szCs w:val="32"/>
          <w:highlight w:val="none"/>
        </w:rPr>
        <w:t>农林水支出</w:t>
      </w:r>
      <w:r>
        <w:rPr>
          <w:rFonts w:hint="eastAsia" w:ascii="仿宋" w:hAnsi="仿宋" w:eastAsia="仿宋"/>
          <w:b/>
          <w:bCs/>
          <w:color w:val="auto"/>
          <w:sz w:val="32"/>
          <w:szCs w:val="32"/>
          <w:highlight w:val="none"/>
          <w:lang w:val="en-US" w:eastAsia="zh-CN"/>
        </w:rPr>
        <w:t>213</w:t>
      </w:r>
      <w:r>
        <w:rPr>
          <w:rStyle w:val="26"/>
          <w:rFonts w:hint="eastAsia" w:ascii="仿宋" w:hAnsi="仿宋" w:eastAsia="仿宋"/>
          <w:bCs/>
          <w:color w:val="auto"/>
          <w:sz w:val="32"/>
          <w:szCs w:val="32"/>
          <w:highlight w:val="none"/>
        </w:rPr>
        <w:t>（类）水利</w:t>
      </w:r>
      <w:r>
        <w:rPr>
          <w:rStyle w:val="26"/>
          <w:rFonts w:hint="eastAsia" w:ascii="仿宋" w:hAnsi="仿宋" w:eastAsia="仿宋"/>
          <w:bCs/>
          <w:color w:val="auto"/>
          <w:sz w:val="32"/>
          <w:szCs w:val="32"/>
          <w:highlight w:val="none"/>
          <w:lang w:val="en-US" w:eastAsia="zh-CN"/>
        </w:rPr>
        <w:t>03</w:t>
      </w:r>
      <w:r>
        <w:rPr>
          <w:rStyle w:val="26"/>
          <w:rFonts w:hint="eastAsia" w:ascii="仿宋" w:hAnsi="仿宋" w:eastAsia="仿宋"/>
          <w:bCs/>
          <w:color w:val="auto"/>
          <w:sz w:val="32"/>
          <w:szCs w:val="32"/>
          <w:highlight w:val="none"/>
        </w:rPr>
        <w:t>（款）行政运行</w:t>
      </w:r>
      <w:r>
        <w:rPr>
          <w:rStyle w:val="26"/>
          <w:rFonts w:hint="eastAsia" w:ascii="仿宋" w:hAnsi="仿宋" w:eastAsia="仿宋"/>
          <w:bCs/>
          <w:color w:val="auto"/>
          <w:sz w:val="32"/>
          <w:szCs w:val="32"/>
          <w:highlight w:val="none"/>
          <w:lang w:val="en-US" w:eastAsia="zh-CN"/>
        </w:rPr>
        <w:t>01</w:t>
      </w:r>
      <w:r>
        <w:rPr>
          <w:rStyle w:val="26"/>
          <w:rFonts w:hint="eastAsia" w:ascii="仿宋" w:hAnsi="仿宋" w:eastAsia="仿宋"/>
          <w:bCs/>
          <w:color w:val="auto"/>
          <w:sz w:val="32"/>
          <w:szCs w:val="32"/>
          <w:highlight w:val="none"/>
        </w:rPr>
        <w:t>（项）</w:t>
      </w:r>
      <w:r>
        <w:rPr>
          <w:rStyle w:val="26"/>
          <w:rFonts w:ascii="仿宋" w:hAnsi="仿宋" w:eastAsia="仿宋"/>
          <w:bCs/>
          <w:color w:val="auto"/>
          <w:sz w:val="32"/>
          <w:szCs w:val="32"/>
          <w:highlight w:val="none"/>
        </w:rPr>
        <w:t>:</w:t>
      </w:r>
      <w:r>
        <w:rPr>
          <w:rStyle w:val="26"/>
          <w:rFonts w:hint="eastAsia" w:ascii="仿宋" w:hAnsi="仿宋" w:eastAsia="仿宋"/>
          <w:b w:val="0"/>
          <w:bCs/>
          <w:color w:val="auto"/>
          <w:sz w:val="32"/>
          <w:szCs w:val="32"/>
          <w:highlight w:val="none"/>
        </w:rPr>
        <w:t>支出决算为</w:t>
      </w:r>
      <w:r>
        <w:rPr>
          <w:rStyle w:val="26"/>
          <w:rFonts w:hint="eastAsia" w:ascii="仿宋" w:hAnsi="仿宋" w:eastAsia="仿宋"/>
          <w:b w:val="0"/>
          <w:bCs/>
          <w:color w:val="auto"/>
          <w:sz w:val="32"/>
          <w:szCs w:val="32"/>
          <w:highlight w:val="none"/>
          <w:lang w:val="en-US" w:eastAsia="zh-CN"/>
        </w:rPr>
        <w:t>270.25</w:t>
      </w:r>
      <w:r>
        <w:rPr>
          <w:rStyle w:val="26"/>
          <w:rFonts w:hint="eastAsia" w:ascii="仿宋" w:hAnsi="仿宋" w:eastAsia="仿宋"/>
          <w:b w:val="0"/>
          <w:bCs/>
          <w:color w:val="auto"/>
          <w:sz w:val="32"/>
          <w:szCs w:val="32"/>
          <w:highlight w:val="none"/>
        </w:rPr>
        <w:t>万元，完成预算</w:t>
      </w:r>
      <w:r>
        <w:rPr>
          <w:rStyle w:val="26"/>
          <w:rFonts w:hint="eastAsia" w:ascii="仿宋" w:hAnsi="仿宋" w:eastAsia="仿宋"/>
          <w:b w:val="0"/>
          <w:bCs/>
          <w:color w:val="auto"/>
          <w:sz w:val="32"/>
          <w:szCs w:val="32"/>
          <w:highlight w:val="none"/>
          <w:lang w:val="en-US" w:eastAsia="zh-CN"/>
        </w:rPr>
        <w:t>100</w:t>
      </w:r>
      <w:r>
        <w:rPr>
          <w:rStyle w:val="26"/>
          <w:rFonts w:ascii="仿宋" w:hAnsi="仿宋" w:eastAsia="仿宋"/>
          <w:b w:val="0"/>
          <w:bCs/>
          <w:color w:val="auto"/>
          <w:sz w:val="32"/>
          <w:szCs w:val="32"/>
          <w:highlight w:val="none"/>
        </w:rPr>
        <w:t>%</w:t>
      </w:r>
      <w:r>
        <w:rPr>
          <w:rStyle w:val="26"/>
          <w:rFonts w:hint="eastAsia" w:ascii="仿宋" w:hAnsi="仿宋" w:eastAsia="仿宋"/>
          <w:b w:val="0"/>
          <w:bCs/>
          <w:color w:val="auto"/>
          <w:sz w:val="32"/>
          <w:szCs w:val="32"/>
          <w:highlight w:val="none"/>
        </w:rPr>
        <w:t>，决算数等于预算数。</w:t>
      </w:r>
    </w:p>
    <w:p w14:paraId="63CBA3B1">
      <w:pPr>
        <w:spacing w:beforeLines="0" w:line="576" w:lineRule="exact"/>
        <w:ind w:firstLine="643" w:firstLineChars="200"/>
        <w:rPr>
          <w:rFonts w:ascii="仿宋" w:hAnsi="仿宋" w:eastAsia="仿宋"/>
          <w:b/>
          <w:color w:val="auto"/>
          <w:sz w:val="32"/>
          <w:szCs w:val="32"/>
          <w:highlight w:val="none"/>
        </w:rPr>
      </w:pPr>
      <w:r>
        <w:rPr>
          <w:rStyle w:val="26"/>
          <w:rFonts w:hint="eastAsia" w:ascii="仿宋" w:hAnsi="仿宋" w:eastAsia="仿宋"/>
          <w:bCs/>
          <w:color w:val="auto"/>
          <w:sz w:val="32"/>
          <w:szCs w:val="32"/>
          <w:highlight w:val="none"/>
          <w:lang w:val="en-US" w:eastAsia="zh-CN"/>
        </w:rPr>
        <w:t>11</w:t>
      </w:r>
      <w:r>
        <w:rPr>
          <w:rStyle w:val="26"/>
          <w:rFonts w:ascii="仿宋" w:hAnsi="仿宋" w:eastAsia="仿宋"/>
          <w:bCs/>
          <w:color w:val="auto"/>
          <w:sz w:val="32"/>
          <w:szCs w:val="32"/>
          <w:highlight w:val="none"/>
        </w:rPr>
        <w:t>.</w:t>
      </w:r>
      <w:r>
        <w:rPr>
          <w:rFonts w:hint="eastAsia" w:ascii="仿宋" w:hAnsi="仿宋" w:eastAsia="仿宋"/>
          <w:b/>
          <w:bCs/>
          <w:color w:val="auto"/>
          <w:sz w:val="32"/>
          <w:szCs w:val="32"/>
          <w:highlight w:val="none"/>
        </w:rPr>
        <w:t>农林水支出</w:t>
      </w:r>
      <w:r>
        <w:rPr>
          <w:rFonts w:hint="eastAsia" w:ascii="仿宋" w:hAnsi="仿宋" w:eastAsia="仿宋"/>
          <w:b/>
          <w:bCs/>
          <w:color w:val="auto"/>
          <w:sz w:val="32"/>
          <w:szCs w:val="32"/>
          <w:highlight w:val="none"/>
          <w:lang w:val="en-US" w:eastAsia="zh-CN"/>
        </w:rPr>
        <w:t>213</w:t>
      </w:r>
      <w:r>
        <w:rPr>
          <w:rStyle w:val="26"/>
          <w:rFonts w:hint="eastAsia" w:ascii="仿宋" w:hAnsi="仿宋" w:eastAsia="仿宋"/>
          <w:bCs/>
          <w:color w:val="auto"/>
          <w:sz w:val="32"/>
          <w:szCs w:val="32"/>
          <w:highlight w:val="none"/>
        </w:rPr>
        <w:t>（类）水利</w:t>
      </w:r>
      <w:r>
        <w:rPr>
          <w:rStyle w:val="26"/>
          <w:rFonts w:hint="eastAsia" w:ascii="仿宋" w:hAnsi="仿宋" w:eastAsia="仿宋"/>
          <w:bCs/>
          <w:color w:val="auto"/>
          <w:sz w:val="32"/>
          <w:szCs w:val="32"/>
          <w:highlight w:val="none"/>
          <w:lang w:val="en-US" w:eastAsia="zh-CN"/>
        </w:rPr>
        <w:t>03</w:t>
      </w:r>
      <w:r>
        <w:rPr>
          <w:rStyle w:val="26"/>
          <w:rFonts w:hint="eastAsia" w:ascii="仿宋" w:hAnsi="仿宋" w:eastAsia="仿宋"/>
          <w:bCs/>
          <w:color w:val="auto"/>
          <w:sz w:val="32"/>
          <w:szCs w:val="32"/>
          <w:highlight w:val="none"/>
        </w:rPr>
        <w:t>（款）</w:t>
      </w:r>
      <w:r>
        <w:rPr>
          <w:rStyle w:val="26"/>
          <w:rFonts w:hint="eastAsia" w:ascii="仿宋" w:hAnsi="仿宋" w:eastAsia="仿宋"/>
          <w:bCs/>
          <w:color w:val="auto"/>
          <w:sz w:val="32"/>
          <w:szCs w:val="32"/>
          <w:highlight w:val="none"/>
          <w:lang w:eastAsia="zh-CN"/>
        </w:rPr>
        <w:t>水利工程建设</w:t>
      </w:r>
      <w:r>
        <w:rPr>
          <w:rStyle w:val="26"/>
          <w:rFonts w:hint="eastAsia" w:ascii="仿宋" w:hAnsi="仿宋" w:eastAsia="仿宋"/>
          <w:bCs/>
          <w:color w:val="auto"/>
          <w:sz w:val="32"/>
          <w:szCs w:val="32"/>
          <w:highlight w:val="none"/>
          <w:lang w:val="en-US" w:eastAsia="zh-CN"/>
        </w:rPr>
        <w:t>05</w:t>
      </w:r>
      <w:r>
        <w:rPr>
          <w:rStyle w:val="26"/>
          <w:rFonts w:hint="eastAsia" w:ascii="仿宋" w:hAnsi="仿宋" w:eastAsia="仿宋"/>
          <w:bCs/>
          <w:color w:val="auto"/>
          <w:sz w:val="32"/>
          <w:szCs w:val="32"/>
          <w:highlight w:val="none"/>
        </w:rPr>
        <w:t>（项）</w:t>
      </w:r>
      <w:r>
        <w:rPr>
          <w:rStyle w:val="26"/>
          <w:rFonts w:ascii="仿宋" w:hAnsi="仿宋" w:eastAsia="仿宋"/>
          <w:bCs/>
          <w:color w:val="auto"/>
          <w:sz w:val="32"/>
          <w:szCs w:val="32"/>
          <w:highlight w:val="none"/>
        </w:rPr>
        <w:t>:</w:t>
      </w:r>
      <w:r>
        <w:rPr>
          <w:rStyle w:val="26"/>
          <w:rFonts w:hint="eastAsia" w:ascii="仿宋" w:hAnsi="仿宋" w:eastAsia="仿宋"/>
          <w:b w:val="0"/>
          <w:bCs/>
          <w:color w:val="auto"/>
          <w:sz w:val="32"/>
          <w:szCs w:val="32"/>
          <w:highlight w:val="none"/>
        </w:rPr>
        <w:t>支出决算为</w:t>
      </w:r>
      <w:r>
        <w:rPr>
          <w:rStyle w:val="26"/>
          <w:rFonts w:hint="eastAsia" w:ascii="仿宋" w:hAnsi="仿宋" w:eastAsia="仿宋"/>
          <w:b w:val="0"/>
          <w:bCs/>
          <w:color w:val="auto"/>
          <w:sz w:val="32"/>
          <w:szCs w:val="32"/>
          <w:highlight w:val="none"/>
          <w:lang w:val="en-US" w:eastAsia="zh-CN"/>
        </w:rPr>
        <w:t>15166.57</w:t>
      </w:r>
      <w:r>
        <w:rPr>
          <w:rStyle w:val="26"/>
          <w:rFonts w:hint="eastAsia" w:ascii="仿宋" w:hAnsi="仿宋" w:eastAsia="仿宋"/>
          <w:b w:val="0"/>
          <w:bCs/>
          <w:color w:val="auto"/>
          <w:sz w:val="32"/>
          <w:szCs w:val="32"/>
          <w:highlight w:val="none"/>
        </w:rPr>
        <w:t>万元，完成预算</w:t>
      </w:r>
      <w:r>
        <w:rPr>
          <w:rStyle w:val="26"/>
          <w:rFonts w:hint="eastAsia" w:ascii="仿宋" w:hAnsi="仿宋" w:eastAsia="仿宋"/>
          <w:b w:val="0"/>
          <w:bCs/>
          <w:color w:val="auto"/>
          <w:sz w:val="32"/>
          <w:szCs w:val="32"/>
          <w:highlight w:val="none"/>
          <w:lang w:val="en-US" w:eastAsia="zh-CN"/>
        </w:rPr>
        <w:t>100</w:t>
      </w:r>
      <w:r>
        <w:rPr>
          <w:rStyle w:val="26"/>
          <w:rFonts w:ascii="仿宋" w:hAnsi="仿宋" w:eastAsia="仿宋"/>
          <w:b w:val="0"/>
          <w:bCs/>
          <w:color w:val="auto"/>
          <w:sz w:val="32"/>
          <w:szCs w:val="32"/>
          <w:highlight w:val="none"/>
        </w:rPr>
        <w:t>%</w:t>
      </w:r>
      <w:r>
        <w:rPr>
          <w:rStyle w:val="26"/>
          <w:rFonts w:hint="eastAsia" w:ascii="仿宋" w:hAnsi="仿宋" w:eastAsia="仿宋"/>
          <w:b w:val="0"/>
          <w:bCs/>
          <w:color w:val="auto"/>
          <w:sz w:val="32"/>
          <w:szCs w:val="32"/>
          <w:highlight w:val="none"/>
        </w:rPr>
        <w:t>，决算数等于预算数。</w:t>
      </w:r>
    </w:p>
    <w:p w14:paraId="55220D1B">
      <w:pPr>
        <w:spacing w:beforeLines="0" w:line="576" w:lineRule="exact"/>
        <w:ind w:firstLine="643" w:firstLineChars="200"/>
        <w:rPr>
          <w:rStyle w:val="26"/>
          <w:rFonts w:hint="eastAsia" w:ascii="仿宋" w:hAnsi="仿宋" w:eastAsia="仿宋"/>
          <w:b w:val="0"/>
          <w:bCs/>
          <w:color w:val="auto"/>
          <w:sz w:val="32"/>
          <w:szCs w:val="32"/>
          <w:highlight w:val="none"/>
        </w:rPr>
      </w:pPr>
      <w:r>
        <w:rPr>
          <w:rStyle w:val="26"/>
          <w:rFonts w:hint="eastAsia" w:ascii="仿宋" w:hAnsi="仿宋" w:eastAsia="仿宋"/>
          <w:bCs/>
          <w:color w:val="auto"/>
          <w:sz w:val="32"/>
          <w:szCs w:val="32"/>
          <w:highlight w:val="none"/>
          <w:lang w:val="en-US" w:eastAsia="zh-CN"/>
        </w:rPr>
        <w:t>12</w:t>
      </w:r>
      <w:r>
        <w:rPr>
          <w:rStyle w:val="26"/>
          <w:rFonts w:ascii="仿宋" w:hAnsi="仿宋" w:eastAsia="仿宋"/>
          <w:bCs/>
          <w:color w:val="auto"/>
          <w:sz w:val="32"/>
          <w:szCs w:val="32"/>
          <w:highlight w:val="none"/>
        </w:rPr>
        <w:t>.</w:t>
      </w:r>
      <w:r>
        <w:rPr>
          <w:rFonts w:hint="eastAsia" w:ascii="仿宋" w:hAnsi="仿宋" w:eastAsia="仿宋"/>
          <w:b/>
          <w:bCs/>
          <w:color w:val="auto"/>
          <w:sz w:val="32"/>
          <w:szCs w:val="32"/>
          <w:highlight w:val="none"/>
        </w:rPr>
        <w:t>农林水支出</w:t>
      </w:r>
      <w:r>
        <w:rPr>
          <w:rFonts w:hint="eastAsia" w:ascii="仿宋" w:hAnsi="仿宋" w:eastAsia="仿宋"/>
          <w:b/>
          <w:bCs/>
          <w:color w:val="auto"/>
          <w:sz w:val="32"/>
          <w:szCs w:val="32"/>
          <w:highlight w:val="none"/>
          <w:lang w:val="en-US" w:eastAsia="zh-CN"/>
        </w:rPr>
        <w:t>213</w:t>
      </w:r>
      <w:r>
        <w:rPr>
          <w:rStyle w:val="26"/>
          <w:rFonts w:hint="eastAsia" w:ascii="仿宋" w:hAnsi="仿宋" w:eastAsia="仿宋"/>
          <w:bCs/>
          <w:color w:val="auto"/>
          <w:sz w:val="32"/>
          <w:szCs w:val="32"/>
          <w:highlight w:val="none"/>
        </w:rPr>
        <w:t>（类）水利</w:t>
      </w:r>
      <w:r>
        <w:rPr>
          <w:rStyle w:val="26"/>
          <w:rFonts w:hint="eastAsia" w:ascii="仿宋" w:hAnsi="仿宋" w:eastAsia="仿宋"/>
          <w:bCs/>
          <w:color w:val="auto"/>
          <w:sz w:val="32"/>
          <w:szCs w:val="32"/>
          <w:highlight w:val="none"/>
          <w:lang w:val="en-US" w:eastAsia="zh-CN"/>
        </w:rPr>
        <w:t>03</w:t>
      </w:r>
      <w:r>
        <w:rPr>
          <w:rStyle w:val="26"/>
          <w:rFonts w:hint="eastAsia" w:ascii="仿宋" w:hAnsi="仿宋" w:eastAsia="仿宋"/>
          <w:bCs/>
          <w:color w:val="auto"/>
          <w:sz w:val="32"/>
          <w:szCs w:val="32"/>
          <w:highlight w:val="none"/>
        </w:rPr>
        <w:t>（款）水利工程</w:t>
      </w:r>
      <w:r>
        <w:rPr>
          <w:rStyle w:val="26"/>
          <w:rFonts w:hint="eastAsia" w:ascii="仿宋" w:hAnsi="仿宋" w:eastAsia="仿宋"/>
          <w:bCs/>
          <w:color w:val="auto"/>
          <w:sz w:val="32"/>
          <w:szCs w:val="32"/>
          <w:highlight w:val="none"/>
          <w:lang w:eastAsia="zh-CN"/>
        </w:rPr>
        <w:t>运行与维护</w:t>
      </w:r>
      <w:r>
        <w:rPr>
          <w:rStyle w:val="26"/>
          <w:rFonts w:hint="eastAsia" w:ascii="仿宋" w:hAnsi="仿宋" w:eastAsia="仿宋"/>
          <w:bCs/>
          <w:color w:val="auto"/>
          <w:sz w:val="32"/>
          <w:szCs w:val="32"/>
          <w:highlight w:val="none"/>
          <w:lang w:val="en-US" w:eastAsia="zh-CN"/>
        </w:rPr>
        <w:t>06</w:t>
      </w:r>
      <w:r>
        <w:rPr>
          <w:rStyle w:val="26"/>
          <w:rFonts w:hint="eastAsia" w:ascii="仿宋" w:hAnsi="仿宋" w:eastAsia="仿宋"/>
          <w:bCs/>
          <w:color w:val="auto"/>
          <w:sz w:val="32"/>
          <w:szCs w:val="32"/>
          <w:highlight w:val="none"/>
        </w:rPr>
        <w:t>（项）</w:t>
      </w:r>
      <w:r>
        <w:rPr>
          <w:rStyle w:val="26"/>
          <w:rFonts w:ascii="仿宋" w:hAnsi="仿宋" w:eastAsia="仿宋"/>
          <w:bCs/>
          <w:color w:val="auto"/>
          <w:sz w:val="32"/>
          <w:szCs w:val="32"/>
          <w:highlight w:val="none"/>
        </w:rPr>
        <w:t>:</w:t>
      </w:r>
      <w:r>
        <w:rPr>
          <w:rStyle w:val="26"/>
          <w:rFonts w:hint="eastAsia" w:ascii="仿宋" w:hAnsi="仿宋" w:eastAsia="仿宋"/>
          <w:b w:val="0"/>
          <w:bCs/>
          <w:color w:val="auto"/>
          <w:sz w:val="32"/>
          <w:szCs w:val="32"/>
          <w:highlight w:val="none"/>
        </w:rPr>
        <w:t>支出决算为</w:t>
      </w:r>
      <w:r>
        <w:rPr>
          <w:rStyle w:val="26"/>
          <w:rFonts w:hint="eastAsia" w:ascii="仿宋" w:hAnsi="仿宋" w:eastAsia="仿宋"/>
          <w:b w:val="0"/>
          <w:bCs/>
          <w:color w:val="auto"/>
          <w:sz w:val="32"/>
          <w:szCs w:val="32"/>
          <w:highlight w:val="none"/>
          <w:lang w:val="en-US" w:eastAsia="zh-CN"/>
        </w:rPr>
        <w:t>293.82</w:t>
      </w:r>
      <w:r>
        <w:rPr>
          <w:rStyle w:val="26"/>
          <w:rFonts w:hint="eastAsia" w:ascii="仿宋" w:hAnsi="仿宋" w:eastAsia="仿宋"/>
          <w:b w:val="0"/>
          <w:bCs/>
          <w:color w:val="auto"/>
          <w:sz w:val="32"/>
          <w:szCs w:val="32"/>
          <w:highlight w:val="none"/>
        </w:rPr>
        <w:t>万元，完成预算</w:t>
      </w:r>
      <w:r>
        <w:rPr>
          <w:rStyle w:val="26"/>
          <w:rFonts w:hint="eastAsia" w:ascii="仿宋" w:hAnsi="仿宋" w:eastAsia="仿宋"/>
          <w:b w:val="0"/>
          <w:bCs/>
          <w:color w:val="auto"/>
          <w:sz w:val="32"/>
          <w:szCs w:val="32"/>
          <w:highlight w:val="none"/>
          <w:lang w:val="en-US" w:eastAsia="zh-CN"/>
        </w:rPr>
        <w:t>100</w:t>
      </w:r>
      <w:r>
        <w:rPr>
          <w:rStyle w:val="26"/>
          <w:rFonts w:ascii="仿宋" w:hAnsi="仿宋" w:eastAsia="仿宋"/>
          <w:b w:val="0"/>
          <w:bCs/>
          <w:color w:val="auto"/>
          <w:sz w:val="32"/>
          <w:szCs w:val="32"/>
          <w:highlight w:val="none"/>
        </w:rPr>
        <w:t>%</w:t>
      </w:r>
      <w:r>
        <w:rPr>
          <w:rStyle w:val="26"/>
          <w:rFonts w:hint="eastAsia" w:ascii="仿宋" w:hAnsi="仿宋" w:eastAsia="仿宋"/>
          <w:b w:val="0"/>
          <w:bCs/>
          <w:color w:val="auto"/>
          <w:sz w:val="32"/>
          <w:szCs w:val="32"/>
          <w:highlight w:val="none"/>
        </w:rPr>
        <w:t>，决算数等于预算数。</w:t>
      </w:r>
    </w:p>
    <w:p w14:paraId="6D8EC06D">
      <w:pPr>
        <w:pStyle w:val="2"/>
        <w:spacing w:beforeLines="0" w:line="576" w:lineRule="exact"/>
        <w:rPr>
          <w:rStyle w:val="26"/>
          <w:rFonts w:hint="eastAsia" w:ascii="仿宋" w:hAnsi="仿宋" w:eastAsia="仿宋"/>
          <w:b w:val="0"/>
          <w:bCs/>
          <w:color w:val="auto"/>
          <w:sz w:val="32"/>
          <w:szCs w:val="32"/>
          <w:highlight w:val="none"/>
        </w:rPr>
      </w:pPr>
      <w:r>
        <w:rPr>
          <w:rStyle w:val="26"/>
          <w:rFonts w:hint="eastAsia" w:ascii="仿宋" w:hAnsi="仿宋" w:eastAsia="仿宋"/>
          <w:bCs/>
          <w:color w:val="auto"/>
          <w:sz w:val="32"/>
          <w:szCs w:val="32"/>
          <w:highlight w:val="none"/>
          <w:lang w:val="en-US" w:eastAsia="zh-CN"/>
        </w:rPr>
        <w:t>　　13</w:t>
      </w:r>
      <w:r>
        <w:rPr>
          <w:rStyle w:val="26"/>
          <w:rFonts w:ascii="仿宋" w:hAnsi="仿宋" w:eastAsia="仿宋"/>
          <w:bCs/>
          <w:color w:val="auto"/>
          <w:sz w:val="32"/>
          <w:szCs w:val="32"/>
          <w:highlight w:val="none"/>
        </w:rPr>
        <w:t>.</w:t>
      </w:r>
      <w:r>
        <w:rPr>
          <w:rFonts w:hint="eastAsia" w:ascii="仿宋" w:hAnsi="仿宋" w:eastAsia="仿宋"/>
          <w:b/>
          <w:bCs/>
          <w:color w:val="auto"/>
          <w:sz w:val="32"/>
          <w:szCs w:val="32"/>
          <w:highlight w:val="none"/>
        </w:rPr>
        <w:t>农林水支出</w:t>
      </w:r>
      <w:r>
        <w:rPr>
          <w:rFonts w:hint="eastAsia" w:ascii="仿宋" w:hAnsi="仿宋" w:eastAsia="仿宋"/>
          <w:b/>
          <w:bCs/>
          <w:color w:val="auto"/>
          <w:sz w:val="32"/>
          <w:szCs w:val="32"/>
          <w:highlight w:val="none"/>
          <w:lang w:val="en-US" w:eastAsia="zh-CN"/>
        </w:rPr>
        <w:t>213</w:t>
      </w:r>
      <w:r>
        <w:rPr>
          <w:rStyle w:val="26"/>
          <w:rFonts w:hint="eastAsia" w:ascii="仿宋" w:hAnsi="仿宋" w:eastAsia="仿宋"/>
          <w:bCs/>
          <w:color w:val="auto"/>
          <w:sz w:val="32"/>
          <w:szCs w:val="32"/>
          <w:highlight w:val="none"/>
        </w:rPr>
        <w:t>（类）水利</w:t>
      </w:r>
      <w:r>
        <w:rPr>
          <w:rStyle w:val="26"/>
          <w:rFonts w:hint="eastAsia" w:ascii="仿宋" w:hAnsi="仿宋" w:eastAsia="仿宋"/>
          <w:bCs/>
          <w:color w:val="auto"/>
          <w:sz w:val="32"/>
          <w:szCs w:val="32"/>
          <w:highlight w:val="none"/>
          <w:lang w:val="en-US" w:eastAsia="zh-CN"/>
        </w:rPr>
        <w:t>03</w:t>
      </w:r>
      <w:r>
        <w:rPr>
          <w:rStyle w:val="26"/>
          <w:rFonts w:hint="eastAsia" w:ascii="仿宋" w:hAnsi="仿宋" w:eastAsia="仿宋"/>
          <w:bCs/>
          <w:color w:val="auto"/>
          <w:sz w:val="32"/>
          <w:szCs w:val="32"/>
          <w:highlight w:val="none"/>
        </w:rPr>
        <w:t>（款）水土保持</w:t>
      </w:r>
      <w:r>
        <w:rPr>
          <w:rStyle w:val="26"/>
          <w:rFonts w:hint="eastAsia" w:ascii="仿宋" w:hAnsi="仿宋" w:eastAsia="仿宋"/>
          <w:bCs/>
          <w:color w:val="auto"/>
          <w:sz w:val="32"/>
          <w:szCs w:val="32"/>
          <w:highlight w:val="none"/>
          <w:lang w:val="en-US" w:eastAsia="zh-CN"/>
        </w:rPr>
        <w:t>10</w:t>
      </w:r>
      <w:r>
        <w:rPr>
          <w:rStyle w:val="26"/>
          <w:rFonts w:hint="eastAsia" w:ascii="仿宋" w:hAnsi="仿宋" w:eastAsia="仿宋"/>
          <w:bCs/>
          <w:color w:val="auto"/>
          <w:sz w:val="32"/>
          <w:szCs w:val="32"/>
          <w:highlight w:val="none"/>
        </w:rPr>
        <w:t>（项）</w:t>
      </w:r>
      <w:r>
        <w:rPr>
          <w:rStyle w:val="26"/>
          <w:rFonts w:ascii="仿宋" w:hAnsi="仿宋" w:eastAsia="仿宋"/>
          <w:bCs/>
          <w:color w:val="auto"/>
          <w:sz w:val="32"/>
          <w:szCs w:val="32"/>
          <w:highlight w:val="none"/>
        </w:rPr>
        <w:t>:</w:t>
      </w:r>
      <w:r>
        <w:rPr>
          <w:rStyle w:val="26"/>
          <w:rFonts w:hint="eastAsia" w:ascii="仿宋" w:hAnsi="仿宋" w:eastAsia="仿宋"/>
          <w:b w:val="0"/>
          <w:bCs/>
          <w:color w:val="auto"/>
          <w:sz w:val="32"/>
          <w:szCs w:val="32"/>
          <w:highlight w:val="none"/>
        </w:rPr>
        <w:t>支出决算为</w:t>
      </w:r>
      <w:r>
        <w:rPr>
          <w:rStyle w:val="26"/>
          <w:rFonts w:hint="eastAsia" w:ascii="仿宋" w:hAnsi="仿宋" w:eastAsia="仿宋"/>
          <w:b w:val="0"/>
          <w:bCs/>
          <w:color w:val="auto"/>
          <w:sz w:val="32"/>
          <w:szCs w:val="32"/>
          <w:highlight w:val="none"/>
          <w:lang w:val="en-US" w:eastAsia="zh-CN"/>
        </w:rPr>
        <w:t>67.17</w:t>
      </w:r>
      <w:r>
        <w:rPr>
          <w:rStyle w:val="26"/>
          <w:rFonts w:hint="eastAsia" w:ascii="仿宋" w:hAnsi="仿宋" w:eastAsia="仿宋"/>
          <w:b w:val="0"/>
          <w:bCs/>
          <w:color w:val="auto"/>
          <w:sz w:val="32"/>
          <w:szCs w:val="32"/>
          <w:highlight w:val="none"/>
        </w:rPr>
        <w:t>万元，完成预算</w:t>
      </w:r>
      <w:r>
        <w:rPr>
          <w:rStyle w:val="26"/>
          <w:rFonts w:hint="eastAsia" w:ascii="仿宋" w:hAnsi="仿宋" w:eastAsia="仿宋"/>
          <w:b w:val="0"/>
          <w:bCs/>
          <w:color w:val="auto"/>
          <w:sz w:val="32"/>
          <w:szCs w:val="32"/>
          <w:highlight w:val="none"/>
          <w:lang w:val="en-US" w:eastAsia="zh-CN"/>
        </w:rPr>
        <w:t>100</w:t>
      </w:r>
      <w:r>
        <w:rPr>
          <w:rStyle w:val="26"/>
          <w:rFonts w:ascii="仿宋" w:hAnsi="仿宋" w:eastAsia="仿宋"/>
          <w:b w:val="0"/>
          <w:bCs/>
          <w:color w:val="auto"/>
          <w:sz w:val="32"/>
          <w:szCs w:val="32"/>
          <w:highlight w:val="none"/>
        </w:rPr>
        <w:t>%</w:t>
      </w:r>
      <w:r>
        <w:rPr>
          <w:rStyle w:val="26"/>
          <w:rFonts w:hint="eastAsia" w:ascii="仿宋" w:hAnsi="仿宋" w:eastAsia="仿宋"/>
          <w:b w:val="0"/>
          <w:bCs/>
          <w:color w:val="auto"/>
          <w:sz w:val="32"/>
          <w:szCs w:val="32"/>
          <w:highlight w:val="none"/>
        </w:rPr>
        <w:t>，决算数等于预算数。</w:t>
      </w:r>
    </w:p>
    <w:p w14:paraId="3D819441">
      <w:pPr>
        <w:pStyle w:val="3"/>
        <w:spacing w:beforeLines="0" w:after="0" w:line="576" w:lineRule="exact"/>
        <w:ind w:left="0" w:leftChars="0" w:firstLine="0" w:firstLineChars="0"/>
        <w:rPr>
          <w:rFonts w:hint="eastAsia" w:eastAsia="仿宋_GB2312"/>
        </w:rPr>
      </w:pPr>
      <w:r>
        <w:rPr>
          <w:rStyle w:val="26"/>
          <w:rFonts w:hint="eastAsia" w:ascii="仿宋" w:hAnsi="仿宋" w:eastAsia="仿宋"/>
          <w:bCs/>
          <w:color w:val="auto"/>
          <w:sz w:val="32"/>
          <w:szCs w:val="32"/>
          <w:highlight w:val="none"/>
          <w:lang w:val="en-US" w:eastAsia="zh-CN"/>
        </w:rPr>
        <w:t>　　14</w:t>
      </w:r>
      <w:r>
        <w:rPr>
          <w:rStyle w:val="26"/>
          <w:rFonts w:ascii="仿宋" w:hAnsi="仿宋" w:eastAsia="仿宋"/>
          <w:bCs/>
          <w:color w:val="auto"/>
          <w:sz w:val="32"/>
          <w:szCs w:val="32"/>
          <w:highlight w:val="none"/>
        </w:rPr>
        <w:t>.</w:t>
      </w:r>
      <w:r>
        <w:rPr>
          <w:rFonts w:hint="eastAsia" w:ascii="仿宋" w:hAnsi="仿宋" w:eastAsia="仿宋"/>
          <w:b/>
          <w:bCs/>
          <w:color w:val="auto"/>
          <w:sz w:val="32"/>
          <w:szCs w:val="32"/>
          <w:highlight w:val="none"/>
        </w:rPr>
        <w:t>农林水支出</w:t>
      </w:r>
      <w:r>
        <w:rPr>
          <w:rFonts w:hint="eastAsia" w:ascii="仿宋" w:hAnsi="仿宋" w:eastAsia="仿宋"/>
          <w:b/>
          <w:bCs/>
          <w:color w:val="auto"/>
          <w:sz w:val="32"/>
          <w:szCs w:val="32"/>
          <w:highlight w:val="none"/>
          <w:lang w:val="en-US" w:eastAsia="zh-CN"/>
        </w:rPr>
        <w:t>213</w:t>
      </w:r>
      <w:r>
        <w:rPr>
          <w:rStyle w:val="26"/>
          <w:rFonts w:hint="eastAsia" w:ascii="仿宋" w:hAnsi="仿宋" w:eastAsia="仿宋"/>
          <w:bCs/>
          <w:color w:val="auto"/>
          <w:sz w:val="32"/>
          <w:szCs w:val="32"/>
          <w:highlight w:val="none"/>
        </w:rPr>
        <w:t>（类）水利</w:t>
      </w:r>
      <w:r>
        <w:rPr>
          <w:rStyle w:val="26"/>
          <w:rFonts w:hint="eastAsia" w:ascii="仿宋" w:hAnsi="仿宋" w:eastAsia="仿宋"/>
          <w:bCs/>
          <w:color w:val="auto"/>
          <w:sz w:val="32"/>
          <w:szCs w:val="32"/>
          <w:highlight w:val="none"/>
          <w:lang w:val="en-US" w:eastAsia="zh-CN"/>
        </w:rPr>
        <w:t>03</w:t>
      </w:r>
      <w:r>
        <w:rPr>
          <w:rStyle w:val="26"/>
          <w:rFonts w:hint="eastAsia" w:ascii="仿宋" w:hAnsi="仿宋" w:eastAsia="仿宋"/>
          <w:bCs/>
          <w:color w:val="auto"/>
          <w:sz w:val="32"/>
          <w:szCs w:val="32"/>
          <w:highlight w:val="none"/>
        </w:rPr>
        <w:t>（款）水资源节约管理与保护</w:t>
      </w:r>
      <w:r>
        <w:rPr>
          <w:rStyle w:val="26"/>
          <w:rFonts w:hint="eastAsia" w:ascii="仿宋" w:hAnsi="仿宋" w:eastAsia="仿宋"/>
          <w:bCs/>
          <w:color w:val="auto"/>
          <w:sz w:val="32"/>
          <w:szCs w:val="32"/>
          <w:highlight w:val="none"/>
          <w:lang w:val="en-US" w:eastAsia="zh-CN"/>
        </w:rPr>
        <w:t>11</w:t>
      </w:r>
      <w:r>
        <w:rPr>
          <w:rStyle w:val="26"/>
          <w:rFonts w:hint="eastAsia" w:ascii="仿宋" w:hAnsi="仿宋" w:eastAsia="仿宋"/>
          <w:bCs/>
          <w:color w:val="auto"/>
          <w:sz w:val="32"/>
          <w:szCs w:val="32"/>
          <w:highlight w:val="none"/>
        </w:rPr>
        <w:t>（项）</w:t>
      </w:r>
      <w:r>
        <w:rPr>
          <w:rStyle w:val="26"/>
          <w:rFonts w:ascii="仿宋" w:hAnsi="仿宋" w:eastAsia="仿宋"/>
          <w:bCs/>
          <w:color w:val="auto"/>
          <w:sz w:val="32"/>
          <w:szCs w:val="32"/>
          <w:highlight w:val="none"/>
        </w:rPr>
        <w:t>:</w:t>
      </w:r>
      <w:r>
        <w:rPr>
          <w:rStyle w:val="26"/>
          <w:rFonts w:hint="eastAsia" w:ascii="仿宋" w:hAnsi="仿宋" w:eastAsia="仿宋"/>
          <w:b w:val="0"/>
          <w:bCs/>
          <w:color w:val="auto"/>
          <w:sz w:val="32"/>
          <w:szCs w:val="32"/>
          <w:highlight w:val="none"/>
        </w:rPr>
        <w:t>支出决算为</w:t>
      </w:r>
      <w:r>
        <w:rPr>
          <w:rStyle w:val="26"/>
          <w:rFonts w:hint="eastAsia" w:ascii="仿宋" w:hAnsi="仿宋" w:eastAsia="仿宋"/>
          <w:b w:val="0"/>
          <w:bCs/>
          <w:color w:val="auto"/>
          <w:sz w:val="32"/>
          <w:szCs w:val="32"/>
          <w:highlight w:val="none"/>
          <w:lang w:val="en-US" w:eastAsia="zh-CN"/>
        </w:rPr>
        <w:t>523.94</w:t>
      </w:r>
      <w:r>
        <w:rPr>
          <w:rStyle w:val="26"/>
          <w:rFonts w:hint="eastAsia" w:ascii="仿宋" w:hAnsi="仿宋" w:eastAsia="仿宋"/>
          <w:b w:val="0"/>
          <w:bCs/>
          <w:color w:val="auto"/>
          <w:sz w:val="32"/>
          <w:szCs w:val="32"/>
          <w:highlight w:val="none"/>
        </w:rPr>
        <w:t>万元，完成预算</w:t>
      </w:r>
      <w:r>
        <w:rPr>
          <w:rStyle w:val="26"/>
          <w:rFonts w:hint="eastAsia" w:ascii="仿宋" w:hAnsi="仿宋" w:eastAsia="仿宋"/>
          <w:b w:val="0"/>
          <w:bCs/>
          <w:color w:val="auto"/>
          <w:sz w:val="32"/>
          <w:szCs w:val="32"/>
          <w:highlight w:val="none"/>
          <w:lang w:val="en-US" w:eastAsia="zh-CN"/>
        </w:rPr>
        <w:t>100</w:t>
      </w:r>
      <w:r>
        <w:rPr>
          <w:rStyle w:val="26"/>
          <w:rFonts w:ascii="仿宋" w:hAnsi="仿宋" w:eastAsia="仿宋"/>
          <w:b w:val="0"/>
          <w:bCs/>
          <w:color w:val="auto"/>
          <w:sz w:val="32"/>
          <w:szCs w:val="32"/>
          <w:highlight w:val="none"/>
        </w:rPr>
        <w:t>%</w:t>
      </w:r>
      <w:r>
        <w:rPr>
          <w:rStyle w:val="26"/>
          <w:rFonts w:hint="eastAsia" w:ascii="仿宋" w:hAnsi="仿宋" w:eastAsia="仿宋"/>
          <w:b w:val="0"/>
          <w:bCs/>
          <w:color w:val="auto"/>
          <w:sz w:val="32"/>
          <w:szCs w:val="32"/>
          <w:highlight w:val="none"/>
        </w:rPr>
        <w:t>，决算数等于预算数。</w:t>
      </w:r>
    </w:p>
    <w:p w14:paraId="45C369A1">
      <w:pPr>
        <w:spacing w:beforeLines="0" w:line="576" w:lineRule="exact"/>
        <w:ind w:firstLine="643" w:firstLineChars="200"/>
        <w:rPr>
          <w:rFonts w:hint="eastAsia" w:ascii="仿宋" w:hAnsi="仿宋" w:eastAsia="仿宋"/>
          <w:b/>
          <w:color w:val="auto"/>
          <w:sz w:val="32"/>
          <w:szCs w:val="32"/>
          <w:highlight w:val="none"/>
        </w:rPr>
      </w:pPr>
      <w:r>
        <w:rPr>
          <w:rStyle w:val="26"/>
          <w:rFonts w:hint="eastAsia" w:ascii="仿宋" w:hAnsi="仿宋" w:eastAsia="仿宋"/>
          <w:bCs/>
          <w:color w:val="auto"/>
          <w:sz w:val="32"/>
          <w:szCs w:val="32"/>
          <w:highlight w:val="none"/>
          <w:lang w:val="en-US" w:eastAsia="zh-CN"/>
        </w:rPr>
        <w:t>15</w:t>
      </w:r>
      <w:r>
        <w:rPr>
          <w:rStyle w:val="26"/>
          <w:rFonts w:ascii="仿宋" w:hAnsi="仿宋" w:eastAsia="仿宋"/>
          <w:bCs/>
          <w:color w:val="auto"/>
          <w:sz w:val="32"/>
          <w:szCs w:val="32"/>
          <w:highlight w:val="none"/>
        </w:rPr>
        <w:t>.</w:t>
      </w:r>
      <w:r>
        <w:rPr>
          <w:rFonts w:hint="eastAsia" w:ascii="仿宋" w:hAnsi="仿宋" w:eastAsia="仿宋"/>
          <w:b/>
          <w:bCs/>
          <w:color w:val="auto"/>
          <w:sz w:val="32"/>
          <w:szCs w:val="32"/>
          <w:highlight w:val="none"/>
        </w:rPr>
        <w:t>农林水支出</w:t>
      </w:r>
      <w:r>
        <w:rPr>
          <w:rFonts w:hint="eastAsia" w:ascii="仿宋" w:hAnsi="仿宋" w:eastAsia="仿宋"/>
          <w:b/>
          <w:bCs/>
          <w:color w:val="auto"/>
          <w:sz w:val="32"/>
          <w:szCs w:val="32"/>
          <w:highlight w:val="none"/>
          <w:lang w:val="en-US" w:eastAsia="zh-CN"/>
        </w:rPr>
        <w:t>213</w:t>
      </w:r>
      <w:r>
        <w:rPr>
          <w:rStyle w:val="26"/>
          <w:rFonts w:hint="eastAsia" w:ascii="仿宋" w:hAnsi="仿宋" w:eastAsia="仿宋"/>
          <w:bCs/>
          <w:color w:val="auto"/>
          <w:sz w:val="32"/>
          <w:szCs w:val="32"/>
          <w:highlight w:val="none"/>
        </w:rPr>
        <w:t>（类）水利</w:t>
      </w:r>
      <w:r>
        <w:rPr>
          <w:rStyle w:val="26"/>
          <w:rFonts w:hint="eastAsia" w:ascii="仿宋" w:hAnsi="仿宋" w:eastAsia="仿宋"/>
          <w:bCs/>
          <w:color w:val="auto"/>
          <w:sz w:val="32"/>
          <w:szCs w:val="32"/>
          <w:highlight w:val="none"/>
          <w:lang w:val="en-US" w:eastAsia="zh-CN"/>
        </w:rPr>
        <w:t>03</w:t>
      </w:r>
      <w:r>
        <w:rPr>
          <w:rStyle w:val="26"/>
          <w:rFonts w:hint="eastAsia" w:ascii="仿宋" w:hAnsi="仿宋" w:eastAsia="仿宋"/>
          <w:bCs/>
          <w:color w:val="auto"/>
          <w:sz w:val="32"/>
          <w:szCs w:val="32"/>
          <w:highlight w:val="none"/>
        </w:rPr>
        <w:t>（款）</w:t>
      </w:r>
      <w:r>
        <w:rPr>
          <w:rStyle w:val="26"/>
          <w:rFonts w:hint="eastAsia" w:ascii="仿宋" w:hAnsi="仿宋" w:eastAsia="仿宋"/>
          <w:bCs/>
          <w:color w:val="auto"/>
          <w:sz w:val="32"/>
          <w:szCs w:val="32"/>
          <w:highlight w:val="none"/>
          <w:lang w:eastAsia="zh-CN"/>
        </w:rPr>
        <w:t>防汛</w:t>
      </w:r>
      <w:r>
        <w:rPr>
          <w:rStyle w:val="26"/>
          <w:rFonts w:hint="eastAsia" w:ascii="仿宋" w:hAnsi="仿宋" w:eastAsia="仿宋"/>
          <w:bCs/>
          <w:color w:val="auto"/>
          <w:sz w:val="32"/>
          <w:szCs w:val="32"/>
          <w:highlight w:val="none"/>
          <w:lang w:val="en-US" w:eastAsia="zh-CN"/>
        </w:rPr>
        <w:t>14</w:t>
      </w:r>
      <w:r>
        <w:rPr>
          <w:rStyle w:val="26"/>
          <w:rFonts w:hint="eastAsia" w:ascii="仿宋" w:hAnsi="仿宋" w:eastAsia="仿宋"/>
          <w:bCs/>
          <w:color w:val="auto"/>
          <w:sz w:val="32"/>
          <w:szCs w:val="32"/>
          <w:highlight w:val="none"/>
        </w:rPr>
        <w:t>（项）</w:t>
      </w:r>
      <w:r>
        <w:rPr>
          <w:rStyle w:val="26"/>
          <w:rFonts w:ascii="仿宋" w:hAnsi="仿宋" w:eastAsia="仿宋"/>
          <w:bCs/>
          <w:color w:val="auto"/>
          <w:sz w:val="32"/>
          <w:szCs w:val="32"/>
          <w:highlight w:val="none"/>
        </w:rPr>
        <w:t>:</w:t>
      </w:r>
      <w:r>
        <w:rPr>
          <w:rStyle w:val="26"/>
          <w:rFonts w:hint="eastAsia" w:ascii="仿宋" w:hAnsi="仿宋" w:eastAsia="仿宋"/>
          <w:b w:val="0"/>
          <w:bCs/>
          <w:color w:val="auto"/>
          <w:sz w:val="32"/>
          <w:szCs w:val="32"/>
          <w:highlight w:val="none"/>
        </w:rPr>
        <w:t>支出决算为</w:t>
      </w:r>
      <w:r>
        <w:rPr>
          <w:rStyle w:val="26"/>
          <w:rFonts w:hint="eastAsia" w:ascii="仿宋" w:hAnsi="仿宋" w:eastAsia="仿宋"/>
          <w:b w:val="0"/>
          <w:bCs/>
          <w:color w:val="auto"/>
          <w:sz w:val="32"/>
          <w:szCs w:val="32"/>
          <w:highlight w:val="none"/>
          <w:lang w:val="en-US" w:eastAsia="zh-CN"/>
        </w:rPr>
        <w:t>803.82</w:t>
      </w:r>
      <w:r>
        <w:rPr>
          <w:rStyle w:val="26"/>
          <w:rFonts w:hint="eastAsia" w:ascii="仿宋" w:hAnsi="仿宋" w:eastAsia="仿宋"/>
          <w:b w:val="0"/>
          <w:bCs/>
          <w:color w:val="auto"/>
          <w:sz w:val="32"/>
          <w:szCs w:val="32"/>
          <w:highlight w:val="none"/>
        </w:rPr>
        <w:t>万元，完成预算</w:t>
      </w:r>
      <w:r>
        <w:rPr>
          <w:rStyle w:val="26"/>
          <w:rFonts w:hint="eastAsia" w:ascii="仿宋" w:hAnsi="仿宋" w:eastAsia="仿宋"/>
          <w:b w:val="0"/>
          <w:bCs/>
          <w:color w:val="auto"/>
          <w:sz w:val="32"/>
          <w:szCs w:val="32"/>
          <w:highlight w:val="none"/>
          <w:lang w:val="en-US" w:eastAsia="zh-CN"/>
        </w:rPr>
        <w:t>100</w:t>
      </w:r>
      <w:r>
        <w:rPr>
          <w:rStyle w:val="26"/>
          <w:rFonts w:ascii="仿宋" w:hAnsi="仿宋" w:eastAsia="仿宋"/>
          <w:b w:val="0"/>
          <w:bCs/>
          <w:color w:val="auto"/>
          <w:sz w:val="32"/>
          <w:szCs w:val="32"/>
          <w:highlight w:val="none"/>
        </w:rPr>
        <w:t>%</w:t>
      </w:r>
      <w:r>
        <w:rPr>
          <w:rStyle w:val="26"/>
          <w:rFonts w:hint="eastAsia" w:ascii="仿宋" w:hAnsi="仿宋" w:eastAsia="仿宋"/>
          <w:b w:val="0"/>
          <w:bCs/>
          <w:color w:val="auto"/>
          <w:sz w:val="32"/>
          <w:szCs w:val="32"/>
          <w:highlight w:val="none"/>
        </w:rPr>
        <w:t>，决算数等于预算数。</w:t>
      </w:r>
    </w:p>
    <w:p w14:paraId="5AD65A04">
      <w:pPr>
        <w:spacing w:beforeLines="0" w:line="576" w:lineRule="exact"/>
        <w:ind w:firstLine="643" w:firstLineChars="200"/>
        <w:rPr>
          <w:rFonts w:hint="eastAsia" w:ascii="仿宋" w:hAnsi="仿宋" w:eastAsia="仿宋"/>
          <w:b/>
          <w:color w:val="auto"/>
          <w:sz w:val="32"/>
          <w:szCs w:val="32"/>
          <w:highlight w:val="none"/>
        </w:rPr>
      </w:pPr>
      <w:r>
        <w:rPr>
          <w:rStyle w:val="26"/>
          <w:rFonts w:hint="eastAsia" w:ascii="仿宋" w:hAnsi="仿宋" w:eastAsia="仿宋"/>
          <w:bCs/>
          <w:color w:val="auto"/>
          <w:sz w:val="32"/>
          <w:szCs w:val="32"/>
          <w:highlight w:val="none"/>
          <w:lang w:val="en-US" w:eastAsia="zh-CN"/>
        </w:rPr>
        <w:t>16</w:t>
      </w:r>
      <w:r>
        <w:rPr>
          <w:rStyle w:val="26"/>
          <w:rFonts w:ascii="仿宋" w:hAnsi="仿宋" w:eastAsia="仿宋"/>
          <w:bCs/>
          <w:color w:val="auto"/>
          <w:sz w:val="32"/>
          <w:szCs w:val="32"/>
          <w:highlight w:val="none"/>
        </w:rPr>
        <w:t>.</w:t>
      </w:r>
      <w:r>
        <w:rPr>
          <w:rFonts w:hint="eastAsia" w:ascii="仿宋" w:hAnsi="仿宋" w:eastAsia="仿宋"/>
          <w:b/>
          <w:bCs/>
          <w:color w:val="auto"/>
          <w:sz w:val="32"/>
          <w:szCs w:val="32"/>
          <w:highlight w:val="none"/>
        </w:rPr>
        <w:t>农林水支出</w:t>
      </w:r>
      <w:r>
        <w:rPr>
          <w:rFonts w:hint="eastAsia" w:ascii="仿宋" w:hAnsi="仿宋" w:eastAsia="仿宋"/>
          <w:b/>
          <w:bCs/>
          <w:color w:val="auto"/>
          <w:sz w:val="32"/>
          <w:szCs w:val="32"/>
          <w:highlight w:val="none"/>
          <w:lang w:val="en-US" w:eastAsia="zh-CN"/>
        </w:rPr>
        <w:t>213</w:t>
      </w:r>
      <w:r>
        <w:rPr>
          <w:rStyle w:val="26"/>
          <w:rFonts w:hint="eastAsia" w:ascii="仿宋" w:hAnsi="仿宋" w:eastAsia="仿宋"/>
          <w:bCs/>
          <w:color w:val="auto"/>
          <w:sz w:val="32"/>
          <w:szCs w:val="32"/>
          <w:highlight w:val="none"/>
        </w:rPr>
        <w:t>（类）水利</w:t>
      </w:r>
      <w:r>
        <w:rPr>
          <w:rStyle w:val="26"/>
          <w:rFonts w:hint="eastAsia" w:ascii="仿宋" w:hAnsi="仿宋" w:eastAsia="仿宋"/>
          <w:bCs/>
          <w:color w:val="auto"/>
          <w:sz w:val="32"/>
          <w:szCs w:val="32"/>
          <w:highlight w:val="none"/>
          <w:lang w:val="en-US" w:eastAsia="zh-CN"/>
        </w:rPr>
        <w:t>03</w:t>
      </w:r>
      <w:r>
        <w:rPr>
          <w:rStyle w:val="26"/>
          <w:rFonts w:hint="eastAsia" w:ascii="仿宋" w:hAnsi="仿宋" w:eastAsia="仿宋"/>
          <w:bCs/>
          <w:color w:val="auto"/>
          <w:sz w:val="32"/>
          <w:szCs w:val="32"/>
          <w:highlight w:val="none"/>
        </w:rPr>
        <w:t>（款）</w:t>
      </w:r>
      <w:r>
        <w:rPr>
          <w:rStyle w:val="26"/>
          <w:rFonts w:hint="eastAsia" w:ascii="仿宋" w:hAnsi="仿宋" w:eastAsia="仿宋"/>
          <w:bCs/>
          <w:color w:val="auto"/>
          <w:sz w:val="32"/>
          <w:szCs w:val="32"/>
          <w:highlight w:val="none"/>
          <w:lang w:eastAsia="zh-CN"/>
        </w:rPr>
        <w:t>农村水利</w:t>
      </w:r>
      <w:r>
        <w:rPr>
          <w:rStyle w:val="26"/>
          <w:rFonts w:hint="eastAsia" w:ascii="仿宋" w:hAnsi="仿宋" w:eastAsia="仿宋"/>
          <w:bCs/>
          <w:color w:val="auto"/>
          <w:sz w:val="32"/>
          <w:szCs w:val="32"/>
          <w:highlight w:val="none"/>
          <w:lang w:val="en-US" w:eastAsia="zh-CN"/>
        </w:rPr>
        <w:t>16</w:t>
      </w:r>
      <w:r>
        <w:rPr>
          <w:rStyle w:val="26"/>
          <w:rFonts w:hint="eastAsia" w:ascii="仿宋" w:hAnsi="仿宋" w:eastAsia="仿宋"/>
          <w:bCs/>
          <w:color w:val="auto"/>
          <w:sz w:val="32"/>
          <w:szCs w:val="32"/>
          <w:highlight w:val="none"/>
        </w:rPr>
        <w:t>（项）</w:t>
      </w:r>
      <w:r>
        <w:rPr>
          <w:rStyle w:val="26"/>
          <w:rFonts w:ascii="仿宋" w:hAnsi="仿宋" w:eastAsia="仿宋"/>
          <w:bCs/>
          <w:color w:val="auto"/>
          <w:sz w:val="32"/>
          <w:szCs w:val="32"/>
          <w:highlight w:val="none"/>
        </w:rPr>
        <w:t>:</w:t>
      </w:r>
      <w:r>
        <w:rPr>
          <w:rStyle w:val="26"/>
          <w:rFonts w:hint="eastAsia" w:ascii="仿宋" w:hAnsi="仿宋" w:eastAsia="仿宋"/>
          <w:b w:val="0"/>
          <w:bCs/>
          <w:color w:val="auto"/>
          <w:sz w:val="32"/>
          <w:szCs w:val="32"/>
          <w:highlight w:val="none"/>
        </w:rPr>
        <w:t>支出决算为</w:t>
      </w:r>
      <w:r>
        <w:rPr>
          <w:rStyle w:val="26"/>
          <w:rFonts w:hint="eastAsia" w:ascii="仿宋" w:hAnsi="仿宋" w:eastAsia="仿宋"/>
          <w:b w:val="0"/>
          <w:bCs/>
          <w:color w:val="auto"/>
          <w:sz w:val="32"/>
          <w:szCs w:val="32"/>
          <w:highlight w:val="none"/>
          <w:lang w:val="en-US" w:eastAsia="zh-CN"/>
        </w:rPr>
        <w:t>201.19</w:t>
      </w:r>
      <w:r>
        <w:rPr>
          <w:rStyle w:val="26"/>
          <w:rFonts w:hint="eastAsia" w:ascii="仿宋" w:hAnsi="仿宋" w:eastAsia="仿宋"/>
          <w:b w:val="0"/>
          <w:bCs/>
          <w:color w:val="auto"/>
          <w:sz w:val="32"/>
          <w:szCs w:val="32"/>
          <w:highlight w:val="none"/>
        </w:rPr>
        <w:t>万元，完成预算</w:t>
      </w:r>
      <w:r>
        <w:rPr>
          <w:rStyle w:val="26"/>
          <w:rFonts w:hint="eastAsia" w:ascii="仿宋" w:hAnsi="仿宋" w:eastAsia="仿宋"/>
          <w:b w:val="0"/>
          <w:bCs/>
          <w:color w:val="auto"/>
          <w:sz w:val="32"/>
          <w:szCs w:val="32"/>
          <w:highlight w:val="none"/>
          <w:lang w:val="en-US" w:eastAsia="zh-CN"/>
        </w:rPr>
        <w:t>100</w:t>
      </w:r>
      <w:r>
        <w:rPr>
          <w:rStyle w:val="26"/>
          <w:rFonts w:ascii="仿宋" w:hAnsi="仿宋" w:eastAsia="仿宋"/>
          <w:b w:val="0"/>
          <w:bCs/>
          <w:color w:val="auto"/>
          <w:sz w:val="32"/>
          <w:szCs w:val="32"/>
          <w:highlight w:val="none"/>
        </w:rPr>
        <w:t>%</w:t>
      </w:r>
      <w:r>
        <w:rPr>
          <w:rStyle w:val="26"/>
          <w:rFonts w:hint="eastAsia" w:ascii="仿宋" w:hAnsi="仿宋" w:eastAsia="仿宋"/>
          <w:b w:val="0"/>
          <w:bCs/>
          <w:color w:val="auto"/>
          <w:sz w:val="32"/>
          <w:szCs w:val="32"/>
          <w:highlight w:val="none"/>
        </w:rPr>
        <w:t>，决算数等于预算数。</w:t>
      </w:r>
    </w:p>
    <w:p w14:paraId="6669902E">
      <w:pPr>
        <w:spacing w:beforeLines="0" w:line="576" w:lineRule="exact"/>
        <w:ind w:firstLine="643" w:firstLineChars="200"/>
        <w:rPr>
          <w:rStyle w:val="26"/>
          <w:rFonts w:hint="eastAsia" w:ascii="仿宋" w:hAnsi="仿宋" w:eastAsia="仿宋"/>
          <w:b w:val="0"/>
          <w:bCs/>
          <w:color w:val="auto"/>
          <w:sz w:val="32"/>
          <w:szCs w:val="32"/>
          <w:highlight w:val="none"/>
        </w:rPr>
      </w:pPr>
      <w:r>
        <w:rPr>
          <w:rStyle w:val="26"/>
          <w:rFonts w:hint="eastAsia" w:ascii="仿宋" w:hAnsi="仿宋" w:eastAsia="仿宋"/>
          <w:bCs/>
          <w:color w:val="auto"/>
          <w:sz w:val="32"/>
          <w:szCs w:val="32"/>
          <w:highlight w:val="none"/>
          <w:lang w:val="en-US" w:eastAsia="zh-CN"/>
        </w:rPr>
        <w:t>17</w:t>
      </w:r>
      <w:r>
        <w:rPr>
          <w:rStyle w:val="26"/>
          <w:rFonts w:ascii="仿宋" w:hAnsi="仿宋" w:eastAsia="仿宋"/>
          <w:bCs/>
          <w:color w:val="auto"/>
          <w:sz w:val="32"/>
          <w:szCs w:val="32"/>
          <w:highlight w:val="none"/>
        </w:rPr>
        <w:t>.</w:t>
      </w:r>
      <w:r>
        <w:rPr>
          <w:rFonts w:hint="eastAsia" w:ascii="仿宋" w:hAnsi="仿宋" w:eastAsia="仿宋"/>
          <w:b/>
          <w:bCs/>
          <w:color w:val="auto"/>
          <w:sz w:val="32"/>
          <w:szCs w:val="32"/>
          <w:highlight w:val="none"/>
        </w:rPr>
        <w:t>农林水支出</w:t>
      </w:r>
      <w:r>
        <w:rPr>
          <w:rFonts w:hint="eastAsia" w:ascii="仿宋" w:hAnsi="仿宋" w:eastAsia="仿宋"/>
          <w:b/>
          <w:bCs/>
          <w:color w:val="auto"/>
          <w:sz w:val="32"/>
          <w:szCs w:val="32"/>
          <w:highlight w:val="none"/>
          <w:lang w:val="en-US" w:eastAsia="zh-CN"/>
        </w:rPr>
        <w:t>213</w:t>
      </w:r>
      <w:r>
        <w:rPr>
          <w:rStyle w:val="26"/>
          <w:rFonts w:hint="eastAsia" w:ascii="仿宋" w:hAnsi="仿宋" w:eastAsia="仿宋"/>
          <w:bCs/>
          <w:color w:val="auto"/>
          <w:sz w:val="32"/>
          <w:szCs w:val="32"/>
          <w:highlight w:val="none"/>
        </w:rPr>
        <w:t>（类）水利</w:t>
      </w:r>
      <w:r>
        <w:rPr>
          <w:rStyle w:val="26"/>
          <w:rFonts w:hint="eastAsia" w:ascii="仿宋" w:hAnsi="仿宋" w:eastAsia="仿宋"/>
          <w:bCs/>
          <w:color w:val="auto"/>
          <w:sz w:val="32"/>
          <w:szCs w:val="32"/>
          <w:highlight w:val="none"/>
          <w:lang w:val="en-US" w:eastAsia="zh-CN"/>
        </w:rPr>
        <w:t>03</w:t>
      </w:r>
      <w:r>
        <w:rPr>
          <w:rStyle w:val="26"/>
          <w:rFonts w:hint="eastAsia" w:ascii="仿宋" w:hAnsi="仿宋" w:eastAsia="仿宋"/>
          <w:bCs/>
          <w:color w:val="auto"/>
          <w:sz w:val="32"/>
          <w:szCs w:val="32"/>
          <w:highlight w:val="none"/>
        </w:rPr>
        <w:t>（款）</w:t>
      </w:r>
      <w:r>
        <w:rPr>
          <w:rStyle w:val="26"/>
          <w:rFonts w:hint="eastAsia" w:ascii="仿宋" w:hAnsi="仿宋" w:eastAsia="仿宋"/>
          <w:bCs/>
          <w:color w:val="auto"/>
          <w:sz w:val="32"/>
          <w:szCs w:val="32"/>
          <w:highlight w:val="none"/>
          <w:lang w:eastAsia="zh-CN"/>
        </w:rPr>
        <w:t>水利安全监督</w:t>
      </w:r>
      <w:r>
        <w:rPr>
          <w:rStyle w:val="26"/>
          <w:rFonts w:hint="eastAsia" w:ascii="仿宋" w:hAnsi="仿宋" w:eastAsia="仿宋"/>
          <w:bCs/>
          <w:color w:val="auto"/>
          <w:sz w:val="32"/>
          <w:szCs w:val="32"/>
          <w:highlight w:val="none"/>
          <w:lang w:val="en-US" w:eastAsia="zh-CN"/>
        </w:rPr>
        <w:t>22</w:t>
      </w:r>
      <w:r>
        <w:rPr>
          <w:rStyle w:val="26"/>
          <w:rFonts w:hint="eastAsia" w:ascii="仿宋" w:hAnsi="仿宋" w:eastAsia="仿宋"/>
          <w:bCs/>
          <w:color w:val="auto"/>
          <w:sz w:val="32"/>
          <w:szCs w:val="32"/>
          <w:highlight w:val="none"/>
        </w:rPr>
        <w:t>（项）</w:t>
      </w:r>
      <w:r>
        <w:rPr>
          <w:rStyle w:val="26"/>
          <w:rFonts w:ascii="仿宋" w:hAnsi="仿宋" w:eastAsia="仿宋"/>
          <w:bCs/>
          <w:color w:val="auto"/>
          <w:sz w:val="32"/>
          <w:szCs w:val="32"/>
          <w:highlight w:val="none"/>
        </w:rPr>
        <w:t>:</w:t>
      </w:r>
      <w:r>
        <w:rPr>
          <w:rStyle w:val="26"/>
          <w:rFonts w:hint="eastAsia" w:ascii="仿宋" w:hAnsi="仿宋" w:eastAsia="仿宋"/>
          <w:b w:val="0"/>
          <w:bCs/>
          <w:color w:val="auto"/>
          <w:sz w:val="32"/>
          <w:szCs w:val="32"/>
          <w:highlight w:val="none"/>
        </w:rPr>
        <w:t>支出决算为</w:t>
      </w:r>
      <w:r>
        <w:rPr>
          <w:rStyle w:val="26"/>
          <w:rFonts w:hint="eastAsia" w:ascii="仿宋" w:hAnsi="仿宋" w:eastAsia="仿宋"/>
          <w:b w:val="0"/>
          <w:bCs/>
          <w:color w:val="auto"/>
          <w:sz w:val="32"/>
          <w:szCs w:val="32"/>
          <w:highlight w:val="none"/>
          <w:lang w:val="en-US" w:eastAsia="zh-CN"/>
        </w:rPr>
        <w:t>36</w:t>
      </w:r>
      <w:r>
        <w:rPr>
          <w:rStyle w:val="26"/>
          <w:rFonts w:hint="eastAsia" w:ascii="仿宋" w:hAnsi="仿宋" w:eastAsia="仿宋"/>
          <w:b w:val="0"/>
          <w:bCs/>
          <w:color w:val="auto"/>
          <w:sz w:val="32"/>
          <w:szCs w:val="32"/>
          <w:highlight w:val="none"/>
        </w:rPr>
        <w:t>万元，完成预算</w:t>
      </w:r>
      <w:r>
        <w:rPr>
          <w:rStyle w:val="26"/>
          <w:rFonts w:hint="eastAsia" w:ascii="仿宋" w:hAnsi="仿宋" w:eastAsia="仿宋"/>
          <w:b w:val="0"/>
          <w:bCs/>
          <w:color w:val="auto"/>
          <w:sz w:val="32"/>
          <w:szCs w:val="32"/>
          <w:highlight w:val="none"/>
          <w:lang w:val="en-US" w:eastAsia="zh-CN"/>
        </w:rPr>
        <w:t>100</w:t>
      </w:r>
      <w:r>
        <w:rPr>
          <w:rStyle w:val="26"/>
          <w:rFonts w:ascii="仿宋" w:hAnsi="仿宋" w:eastAsia="仿宋"/>
          <w:b w:val="0"/>
          <w:bCs/>
          <w:color w:val="auto"/>
          <w:sz w:val="32"/>
          <w:szCs w:val="32"/>
          <w:highlight w:val="none"/>
        </w:rPr>
        <w:t>%</w:t>
      </w:r>
      <w:r>
        <w:rPr>
          <w:rStyle w:val="26"/>
          <w:rFonts w:hint="eastAsia" w:ascii="仿宋" w:hAnsi="仿宋" w:eastAsia="仿宋"/>
          <w:b w:val="0"/>
          <w:bCs/>
          <w:color w:val="auto"/>
          <w:sz w:val="32"/>
          <w:szCs w:val="32"/>
          <w:highlight w:val="none"/>
        </w:rPr>
        <w:t>，决算数等于预算数。</w:t>
      </w:r>
    </w:p>
    <w:p w14:paraId="6A5AF340">
      <w:pPr>
        <w:pStyle w:val="2"/>
        <w:spacing w:beforeLines="0" w:line="576" w:lineRule="exact"/>
        <w:rPr>
          <w:rFonts w:hint="eastAsia" w:eastAsia="仿宋_GB2312"/>
        </w:rPr>
      </w:pPr>
      <w:r>
        <w:rPr>
          <w:rStyle w:val="26"/>
          <w:rFonts w:hint="eastAsia" w:ascii="仿宋" w:hAnsi="仿宋" w:eastAsia="仿宋"/>
          <w:bCs/>
          <w:color w:val="auto"/>
          <w:sz w:val="32"/>
          <w:szCs w:val="32"/>
          <w:highlight w:val="none"/>
          <w:lang w:val="en-US" w:eastAsia="zh-CN"/>
        </w:rPr>
        <w:t>　　18</w:t>
      </w:r>
      <w:r>
        <w:rPr>
          <w:rStyle w:val="26"/>
          <w:rFonts w:ascii="仿宋" w:hAnsi="仿宋" w:eastAsia="仿宋"/>
          <w:bCs/>
          <w:color w:val="auto"/>
          <w:sz w:val="32"/>
          <w:szCs w:val="32"/>
          <w:highlight w:val="none"/>
        </w:rPr>
        <w:t>.</w:t>
      </w:r>
      <w:r>
        <w:rPr>
          <w:rFonts w:hint="eastAsia" w:ascii="仿宋" w:hAnsi="仿宋" w:eastAsia="仿宋"/>
          <w:b/>
          <w:bCs/>
          <w:color w:val="auto"/>
          <w:sz w:val="32"/>
          <w:szCs w:val="32"/>
          <w:highlight w:val="none"/>
        </w:rPr>
        <w:t>农林水支出</w:t>
      </w:r>
      <w:r>
        <w:rPr>
          <w:rFonts w:hint="eastAsia" w:ascii="仿宋" w:hAnsi="仿宋" w:eastAsia="仿宋"/>
          <w:b/>
          <w:bCs/>
          <w:color w:val="auto"/>
          <w:sz w:val="32"/>
          <w:szCs w:val="32"/>
          <w:highlight w:val="none"/>
          <w:lang w:val="en-US" w:eastAsia="zh-CN"/>
        </w:rPr>
        <w:t>213</w:t>
      </w:r>
      <w:r>
        <w:rPr>
          <w:rStyle w:val="26"/>
          <w:rFonts w:hint="eastAsia" w:ascii="仿宋" w:hAnsi="仿宋" w:eastAsia="仿宋"/>
          <w:bCs/>
          <w:color w:val="auto"/>
          <w:sz w:val="32"/>
          <w:szCs w:val="32"/>
          <w:highlight w:val="none"/>
        </w:rPr>
        <w:t>（类）水利</w:t>
      </w:r>
      <w:r>
        <w:rPr>
          <w:rStyle w:val="26"/>
          <w:rFonts w:hint="eastAsia" w:ascii="仿宋" w:hAnsi="仿宋" w:eastAsia="仿宋"/>
          <w:bCs/>
          <w:color w:val="auto"/>
          <w:sz w:val="32"/>
          <w:szCs w:val="32"/>
          <w:highlight w:val="none"/>
          <w:lang w:val="en-US" w:eastAsia="zh-CN"/>
        </w:rPr>
        <w:t>03</w:t>
      </w:r>
      <w:r>
        <w:rPr>
          <w:rStyle w:val="26"/>
          <w:rFonts w:hint="eastAsia" w:ascii="仿宋" w:hAnsi="仿宋" w:eastAsia="仿宋"/>
          <w:bCs/>
          <w:color w:val="auto"/>
          <w:sz w:val="32"/>
          <w:szCs w:val="32"/>
          <w:highlight w:val="none"/>
        </w:rPr>
        <w:t>（款）</w:t>
      </w:r>
      <w:r>
        <w:rPr>
          <w:rStyle w:val="26"/>
          <w:rFonts w:hint="eastAsia" w:ascii="仿宋" w:hAnsi="仿宋" w:eastAsia="仿宋"/>
          <w:bCs/>
          <w:color w:val="auto"/>
          <w:sz w:val="32"/>
          <w:szCs w:val="32"/>
          <w:highlight w:val="none"/>
          <w:lang w:eastAsia="zh-CN"/>
        </w:rPr>
        <w:t>农村供水</w:t>
      </w:r>
      <w:r>
        <w:rPr>
          <w:rStyle w:val="26"/>
          <w:rFonts w:hint="eastAsia" w:ascii="仿宋" w:hAnsi="仿宋" w:eastAsia="仿宋"/>
          <w:bCs/>
          <w:color w:val="auto"/>
          <w:sz w:val="32"/>
          <w:szCs w:val="32"/>
          <w:highlight w:val="none"/>
          <w:lang w:val="en-US" w:eastAsia="zh-CN"/>
        </w:rPr>
        <w:t>35</w:t>
      </w:r>
      <w:r>
        <w:rPr>
          <w:rStyle w:val="26"/>
          <w:rFonts w:hint="eastAsia" w:ascii="仿宋" w:hAnsi="仿宋" w:eastAsia="仿宋"/>
          <w:bCs/>
          <w:color w:val="auto"/>
          <w:sz w:val="32"/>
          <w:szCs w:val="32"/>
          <w:highlight w:val="none"/>
        </w:rPr>
        <w:t>（项）</w:t>
      </w:r>
      <w:r>
        <w:rPr>
          <w:rStyle w:val="26"/>
          <w:rFonts w:ascii="仿宋" w:hAnsi="仿宋" w:eastAsia="仿宋"/>
          <w:bCs/>
          <w:color w:val="auto"/>
          <w:sz w:val="32"/>
          <w:szCs w:val="32"/>
          <w:highlight w:val="none"/>
        </w:rPr>
        <w:t>:</w:t>
      </w:r>
      <w:r>
        <w:rPr>
          <w:rStyle w:val="26"/>
          <w:rFonts w:hint="eastAsia" w:ascii="仿宋" w:hAnsi="仿宋" w:eastAsia="仿宋"/>
          <w:b w:val="0"/>
          <w:bCs/>
          <w:color w:val="auto"/>
          <w:sz w:val="32"/>
          <w:szCs w:val="32"/>
          <w:highlight w:val="none"/>
        </w:rPr>
        <w:t>支出决算为</w:t>
      </w:r>
      <w:r>
        <w:rPr>
          <w:rStyle w:val="26"/>
          <w:rFonts w:hint="eastAsia" w:ascii="仿宋" w:hAnsi="仿宋" w:eastAsia="仿宋"/>
          <w:b w:val="0"/>
          <w:bCs/>
          <w:color w:val="auto"/>
          <w:sz w:val="32"/>
          <w:szCs w:val="32"/>
          <w:highlight w:val="none"/>
          <w:lang w:val="en-US" w:eastAsia="zh-CN"/>
        </w:rPr>
        <w:t>182.21</w:t>
      </w:r>
      <w:r>
        <w:rPr>
          <w:rStyle w:val="26"/>
          <w:rFonts w:hint="eastAsia" w:ascii="仿宋" w:hAnsi="仿宋" w:eastAsia="仿宋"/>
          <w:b w:val="0"/>
          <w:bCs/>
          <w:color w:val="auto"/>
          <w:sz w:val="32"/>
          <w:szCs w:val="32"/>
          <w:highlight w:val="none"/>
        </w:rPr>
        <w:t>万元，完成预算</w:t>
      </w:r>
      <w:r>
        <w:rPr>
          <w:rStyle w:val="26"/>
          <w:rFonts w:hint="eastAsia" w:ascii="仿宋" w:hAnsi="仿宋" w:eastAsia="仿宋"/>
          <w:b w:val="0"/>
          <w:bCs/>
          <w:color w:val="auto"/>
          <w:sz w:val="32"/>
          <w:szCs w:val="32"/>
          <w:highlight w:val="none"/>
          <w:lang w:val="en-US" w:eastAsia="zh-CN"/>
        </w:rPr>
        <w:t>100</w:t>
      </w:r>
      <w:r>
        <w:rPr>
          <w:rStyle w:val="26"/>
          <w:rFonts w:ascii="仿宋" w:hAnsi="仿宋" w:eastAsia="仿宋"/>
          <w:b w:val="0"/>
          <w:bCs/>
          <w:color w:val="auto"/>
          <w:sz w:val="32"/>
          <w:szCs w:val="32"/>
          <w:highlight w:val="none"/>
        </w:rPr>
        <w:t>%</w:t>
      </w:r>
      <w:r>
        <w:rPr>
          <w:rStyle w:val="26"/>
          <w:rFonts w:hint="eastAsia" w:ascii="仿宋" w:hAnsi="仿宋" w:eastAsia="仿宋"/>
          <w:b w:val="0"/>
          <w:bCs/>
          <w:color w:val="auto"/>
          <w:sz w:val="32"/>
          <w:szCs w:val="32"/>
          <w:highlight w:val="none"/>
        </w:rPr>
        <w:t>，决算数等于预算数。</w:t>
      </w:r>
    </w:p>
    <w:p w14:paraId="4DC6270B">
      <w:pPr>
        <w:pStyle w:val="18"/>
        <w:spacing w:before="0" w:beforeLines="0" w:after="0" w:line="576" w:lineRule="exact"/>
        <w:ind w:firstLine="643"/>
        <w:jc w:val="both"/>
        <w:rPr>
          <w:rFonts w:hint="eastAsia" w:eastAsia="仿宋_GB2312"/>
        </w:rPr>
      </w:pPr>
      <w:bookmarkStart w:id="103" w:name="_Toc4135"/>
      <w:bookmarkStart w:id="104" w:name="_Toc74"/>
      <w:bookmarkStart w:id="105" w:name="_Toc32228"/>
      <w:bookmarkStart w:id="106" w:name="_Toc22825"/>
      <w:r>
        <w:rPr>
          <w:rStyle w:val="26"/>
          <w:rFonts w:hint="eastAsia" w:ascii="仿宋" w:hAnsi="仿宋" w:eastAsia="仿宋"/>
          <w:b/>
          <w:bCs/>
          <w:color w:val="auto"/>
          <w:sz w:val="32"/>
          <w:szCs w:val="32"/>
          <w:highlight w:val="none"/>
          <w:lang w:val="en-US" w:eastAsia="zh-CN"/>
        </w:rPr>
        <w:t>19</w:t>
      </w:r>
      <w:r>
        <w:rPr>
          <w:rStyle w:val="26"/>
          <w:rFonts w:ascii="仿宋" w:hAnsi="仿宋" w:eastAsia="仿宋"/>
          <w:b/>
          <w:bCs/>
          <w:color w:val="auto"/>
          <w:sz w:val="32"/>
          <w:szCs w:val="32"/>
          <w:highlight w:val="none"/>
        </w:rPr>
        <w:t>.</w:t>
      </w:r>
      <w:r>
        <w:rPr>
          <w:rFonts w:hint="eastAsia" w:ascii="仿宋" w:hAnsi="仿宋" w:eastAsia="仿宋"/>
          <w:b/>
          <w:bCs/>
          <w:color w:val="auto"/>
          <w:sz w:val="32"/>
          <w:szCs w:val="32"/>
          <w:highlight w:val="none"/>
        </w:rPr>
        <w:t>农林水支出</w:t>
      </w:r>
      <w:r>
        <w:rPr>
          <w:rFonts w:hint="eastAsia" w:ascii="仿宋" w:hAnsi="仿宋" w:eastAsia="仿宋"/>
          <w:b/>
          <w:bCs/>
          <w:color w:val="auto"/>
          <w:sz w:val="32"/>
          <w:szCs w:val="32"/>
          <w:highlight w:val="none"/>
          <w:lang w:val="en-US" w:eastAsia="zh-CN"/>
        </w:rPr>
        <w:t>213</w:t>
      </w:r>
      <w:r>
        <w:rPr>
          <w:rStyle w:val="26"/>
          <w:rFonts w:hint="eastAsia" w:ascii="仿宋" w:hAnsi="仿宋" w:eastAsia="仿宋"/>
          <w:b/>
          <w:bCs/>
          <w:color w:val="auto"/>
          <w:sz w:val="32"/>
          <w:szCs w:val="32"/>
          <w:highlight w:val="none"/>
        </w:rPr>
        <w:t>（类）水利</w:t>
      </w:r>
      <w:r>
        <w:rPr>
          <w:rStyle w:val="26"/>
          <w:rFonts w:hint="eastAsia" w:ascii="仿宋" w:hAnsi="仿宋" w:eastAsia="仿宋"/>
          <w:b/>
          <w:bCs/>
          <w:color w:val="auto"/>
          <w:sz w:val="32"/>
          <w:szCs w:val="32"/>
          <w:highlight w:val="none"/>
          <w:lang w:val="en-US" w:eastAsia="zh-CN"/>
        </w:rPr>
        <w:t>03</w:t>
      </w:r>
      <w:r>
        <w:rPr>
          <w:rStyle w:val="26"/>
          <w:rFonts w:hint="eastAsia" w:ascii="仿宋" w:hAnsi="仿宋" w:eastAsia="仿宋"/>
          <w:b/>
          <w:bCs/>
          <w:color w:val="auto"/>
          <w:sz w:val="32"/>
          <w:szCs w:val="32"/>
          <w:highlight w:val="none"/>
        </w:rPr>
        <w:t>（款）其他水利支出</w:t>
      </w:r>
      <w:r>
        <w:rPr>
          <w:rStyle w:val="26"/>
          <w:rFonts w:hint="eastAsia" w:ascii="仿宋" w:hAnsi="仿宋" w:eastAsia="仿宋"/>
          <w:b/>
          <w:bCs/>
          <w:color w:val="auto"/>
          <w:sz w:val="32"/>
          <w:szCs w:val="32"/>
          <w:highlight w:val="none"/>
          <w:lang w:val="en-US" w:eastAsia="zh-CN"/>
        </w:rPr>
        <w:t>99</w:t>
      </w:r>
      <w:r>
        <w:rPr>
          <w:rStyle w:val="26"/>
          <w:rFonts w:hint="eastAsia" w:ascii="仿宋" w:hAnsi="仿宋" w:eastAsia="仿宋"/>
          <w:b/>
          <w:bCs/>
          <w:color w:val="auto"/>
          <w:sz w:val="32"/>
          <w:szCs w:val="32"/>
          <w:highlight w:val="none"/>
        </w:rPr>
        <w:t>（项）</w:t>
      </w:r>
      <w:r>
        <w:rPr>
          <w:rStyle w:val="26"/>
          <w:rFonts w:ascii="仿宋" w:hAnsi="仿宋" w:eastAsia="仿宋"/>
          <w:b/>
          <w:bCs/>
          <w:color w:val="auto"/>
          <w:sz w:val="32"/>
          <w:szCs w:val="32"/>
          <w:highlight w:val="none"/>
        </w:rPr>
        <w:t>:</w:t>
      </w:r>
      <w:r>
        <w:rPr>
          <w:rStyle w:val="26"/>
          <w:rFonts w:hint="eastAsia" w:ascii="仿宋" w:hAnsi="仿宋" w:eastAsia="仿宋"/>
          <w:b w:val="0"/>
          <w:bCs/>
          <w:color w:val="auto"/>
          <w:sz w:val="32"/>
          <w:szCs w:val="32"/>
          <w:highlight w:val="none"/>
        </w:rPr>
        <w:t>支出决算为</w:t>
      </w:r>
      <w:r>
        <w:rPr>
          <w:rStyle w:val="26"/>
          <w:rFonts w:hint="eastAsia" w:ascii="仿宋" w:hAnsi="仿宋" w:eastAsia="仿宋"/>
          <w:b w:val="0"/>
          <w:bCs/>
          <w:color w:val="auto"/>
          <w:sz w:val="32"/>
          <w:szCs w:val="32"/>
          <w:highlight w:val="none"/>
          <w:lang w:val="en-US" w:eastAsia="zh-CN"/>
        </w:rPr>
        <w:t>2111.88</w:t>
      </w:r>
      <w:r>
        <w:rPr>
          <w:rStyle w:val="26"/>
          <w:rFonts w:hint="eastAsia" w:ascii="仿宋" w:hAnsi="仿宋" w:eastAsia="仿宋"/>
          <w:b w:val="0"/>
          <w:bCs/>
          <w:color w:val="auto"/>
          <w:sz w:val="32"/>
          <w:szCs w:val="32"/>
          <w:highlight w:val="none"/>
        </w:rPr>
        <w:t>万元，完成预算</w:t>
      </w:r>
      <w:r>
        <w:rPr>
          <w:rStyle w:val="26"/>
          <w:rFonts w:hint="eastAsia" w:ascii="仿宋" w:hAnsi="仿宋" w:eastAsia="仿宋"/>
          <w:b w:val="0"/>
          <w:bCs/>
          <w:color w:val="auto"/>
          <w:sz w:val="32"/>
          <w:szCs w:val="32"/>
          <w:highlight w:val="none"/>
          <w:lang w:val="en-US" w:eastAsia="zh-CN"/>
        </w:rPr>
        <w:t>100</w:t>
      </w:r>
      <w:r>
        <w:rPr>
          <w:rStyle w:val="26"/>
          <w:rFonts w:ascii="仿宋" w:hAnsi="仿宋" w:eastAsia="仿宋"/>
          <w:b w:val="0"/>
          <w:bCs/>
          <w:color w:val="auto"/>
          <w:sz w:val="32"/>
          <w:szCs w:val="32"/>
          <w:highlight w:val="none"/>
        </w:rPr>
        <w:t>%</w:t>
      </w:r>
      <w:r>
        <w:rPr>
          <w:rStyle w:val="26"/>
          <w:rFonts w:hint="eastAsia" w:ascii="仿宋" w:hAnsi="仿宋" w:eastAsia="仿宋"/>
          <w:b w:val="0"/>
          <w:bCs/>
          <w:color w:val="auto"/>
          <w:sz w:val="32"/>
          <w:szCs w:val="32"/>
          <w:highlight w:val="none"/>
        </w:rPr>
        <w:t>，决算数等于预算数。</w:t>
      </w:r>
      <w:bookmarkEnd w:id="103"/>
      <w:bookmarkEnd w:id="104"/>
      <w:bookmarkEnd w:id="105"/>
      <w:bookmarkEnd w:id="106"/>
    </w:p>
    <w:p w14:paraId="3089922C">
      <w:pPr>
        <w:pStyle w:val="18"/>
        <w:spacing w:before="0" w:beforeLines="0" w:after="0" w:line="576" w:lineRule="exact"/>
        <w:jc w:val="both"/>
        <w:rPr>
          <w:rFonts w:hint="eastAsia" w:ascii="仿宋" w:hAnsi="仿宋" w:eastAsia="仿宋"/>
          <w:b/>
          <w:color w:val="auto"/>
          <w:sz w:val="32"/>
          <w:szCs w:val="32"/>
          <w:highlight w:val="none"/>
        </w:rPr>
      </w:pPr>
      <w:r>
        <w:rPr>
          <w:rStyle w:val="26"/>
          <w:rFonts w:hint="eastAsia" w:ascii="仿宋" w:hAnsi="仿宋" w:eastAsia="仿宋"/>
          <w:b/>
          <w:bCs/>
          <w:color w:val="auto"/>
          <w:sz w:val="32"/>
          <w:szCs w:val="32"/>
          <w:highlight w:val="none"/>
          <w:lang w:val="en-US" w:eastAsia="zh-CN"/>
        </w:rPr>
        <w:t>　　</w:t>
      </w:r>
      <w:bookmarkStart w:id="107" w:name="_Toc10315"/>
      <w:bookmarkStart w:id="108" w:name="_Toc28777"/>
      <w:bookmarkStart w:id="109" w:name="_Toc30564"/>
      <w:bookmarkStart w:id="110" w:name="_Toc18091"/>
      <w:r>
        <w:rPr>
          <w:rStyle w:val="26"/>
          <w:rFonts w:hint="eastAsia" w:ascii="仿宋" w:hAnsi="仿宋" w:eastAsia="仿宋"/>
          <w:b/>
          <w:bCs/>
          <w:color w:val="auto"/>
          <w:sz w:val="32"/>
          <w:szCs w:val="32"/>
          <w:highlight w:val="none"/>
          <w:lang w:val="en-US" w:eastAsia="zh-CN"/>
        </w:rPr>
        <w:t>20</w:t>
      </w:r>
      <w:r>
        <w:rPr>
          <w:rStyle w:val="26"/>
          <w:rFonts w:ascii="仿宋" w:hAnsi="仿宋" w:eastAsia="仿宋"/>
          <w:b/>
          <w:bCs/>
          <w:color w:val="auto"/>
          <w:sz w:val="32"/>
          <w:szCs w:val="32"/>
          <w:highlight w:val="none"/>
        </w:rPr>
        <w:t>.</w:t>
      </w:r>
      <w:r>
        <w:rPr>
          <w:rFonts w:hint="eastAsia" w:ascii="仿宋" w:hAnsi="仿宋" w:eastAsia="仿宋"/>
          <w:b/>
          <w:bCs/>
          <w:color w:val="auto"/>
          <w:sz w:val="32"/>
          <w:szCs w:val="32"/>
          <w:highlight w:val="none"/>
        </w:rPr>
        <w:t>农林水支出</w:t>
      </w:r>
      <w:r>
        <w:rPr>
          <w:rFonts w:hint="eastAsia" w:ascii="仿宋" w:hAnsi="仿宋" w:eastAsia="仿宋"/>
          <w:b/>
          <w:bCs/>
          <w:color w:val="auto"/>
          <w:sz w:val="32"/>
          <w:szCs w:val="32"/>
          <w:highlight w:val="none"/>
          <w:lang w:val="en-US" w:eastAsia="zh-CN"/>
        </w:rPr>
        <w:t>213</w:t>
      </w:r>
      <w:r>
        <w:rPr>
          <w:rStyle w:val="26"/>
          <w:rFonts w:hint="eastAsia" w:ascii="仿宋" w:hAnsi="仿宋" w:eastAsia="仿宋"/>
          <w:b/>
          <w:bCs/>
          <w:color w:val="auto"/>
          <w:sz w:val="32"/>
          <w:szCs w:val="32"/>
          <w:highlight w:val="none"/>
        </w:rPr>
        <w:t>（类）巩固脱贫衔接乡村振兴</w:t>
      </w:r>
      <w:r>
        <w:rPr>
          <w:rStyle w:val="26"/>
          <w:rFonts w:hint="eastAsia" w:ascii="仿宋" w:hAnsi="仿宋" w:eastAsia="仿宋"/>
          <w:b/>
          <w:bCs/>
          <w:color w:val="auto"/>
          <w:sz w:val="32"/>
          <w:szCs w:val="32"/>
          <w:highlight w:val="none"/>
          <w:lang w:val="en-US" w:eastAsia="zh-CN"/>
        </w:rPr>
        <w:t>05</w:t>
      </w:r>
      <w:r>
        <w:rPr>
          <w:rStyle w:val="26"/>
          <w:rFonts w:hint="eastAsia" w:ascii="仿宋" w:hAnsi="仿宋" w:eastAsia="仿宋"/>
          <w:b/>
          <w:bCs/>
          <w:color w:val="auto"/>
          <w:sz w:val="32"/>
          <w:szCs w:val="32"/>
          <w:highlight w:val="none"/>
        </w:rPr>
        <w:t>（款）农村基础设施建设</w:t>
      </w:r>
      <w:r>
        <w:rPr>
          <w:rStyle w:val="26"/>
          <w:rFonts w:hint="eastAsia" w:ascii="仿宋" w:hAnsi="仿宋" w:eastAsia="仿宋"/>
          <w:b/>
          <w:bCs/>
          <w:color w:val="auto"/>
          <w:sz w:val="32"/>
          <w:szCs w:val="32"/>
          <w:highlight w:val="none"/>
          <w:lang w:val="en-US" w:eastAsia="zh-CN"/>
        </w:rPr>
        <w:t>04</w:t>
      </w:r>
      <w:r>
        <w:rPr>
          <w:rStyle w:val="26"/>
          <w:rFonts w:hint="eastAsia" w:ascii="仿宋" w:hAnsi="仿宋" w:eastAsia="仿宋"/>
          <w:b/>
          <w:bCs/>
          <w:color w:val="auto"/>
          <w:sz w:val="32"/>
          <w:szCs w:val="32"/>
          <w:highlight w:val="none"/>
        </w:rPr>
        <w:t>（项）</w:t>
      </w:r>
      <w:r>
        <w:rPr>
          <w:rStyle w:val="26"/>
          <w:rFonts w:ascii="仿宋" w:hAnsi="仿宋" w:eastAsia="仿宋"/>
          <w:b/>
          <w:bCs/>
          <w:color w:val="auto"/>
          <w:sz w:val="32"/>
          <w:szCs w:val="32"/>
          <w:highlight w:val="none"/>
        </w:rPr>
        <w:t>:</w:t>
      </w:r>
      <w:r>
        <w:rPr>
          <w:rStyle w:val="26"/>
          <w:rFonts w:hint="eastAsia" w:ascii="仿宋" w:hAnsi="仿宋" w:eastAsia="仿宋"/>
          <w:b w:val="0"/>
          <w:bCs/>
          <w:color w:val="auto"/>
          <w:sz w:val="32"/>
          <w:szCs w:val="32"/>
          <w:highlight w:val="none"/>
        </w:rPr>
        <w:t>支出决算为</w:t>
      </w:r>
      <w:r>
        <w:rPr>
          <w:rStyle w:val="26"/>
          <w:rFonts w:hint="eastAsia" w:ascii="仿宋" w:hAnsi="仿宋" w:eastAsia="仿宋"/>
          <w:b w:val="0"/>
          <w:bCs/>
          <w:color w:val="auto"/>
          <w:sz w:val="32"/>
          <w:szCs w:val="32"/>
          <w:highlight w:val="none"/>
          <w:lang w:val="en-US" w:eastAsia="zh-CN"/>
        </w:rPr>
        <w:t>21.25</w:t>
      </w:r>
      <w:r>
        <w:rPr>
          <w:rStyle w:val="26"/>
          <w:rFonts w:hint="eastAsia" w:ascii="仿宋" w:hAnsi="仿宋" w:eastAsia="仿宋"/>
          <w:b w:val="0"/>
          <w:bCs/>
          <w:color w:val="auto"/>
          <w:sz w:val="32"/>
          <w:szCs w:val="32"/>
          <w:highlight w:val="none"/>
        </w:rPr>
        <w:t>万元，完成预算</w:t>
      </w:r>
      <w:r>
        <w:rPr>
          <w:rStyle w:val="26"/>
          <w:rFonts w:hint="eastAsia" w:ascii="仿宋" w:hAnsi="仿宋" w:eastAsia="仿宋"/>
          <w:b w:val="0"/>
          <w:bCs/>
          <w:color w:val="auto"/>
          <w:sz w:val="32"/>
          <w:szCs w:val="32"/>
          <w:highlight w:val="none"/>
          <w:lang w:val="en-US" w:eastAsia="zh-CN"/>
        </w:rPr>
        <w:t>100</w:t>
      </w:r>
      <w:r>
        <w:rPr>
          <w:rStyle w:val="26"/>
          <w:rFonts w:ascii="仿宋" w:hAnsi="仿宋" w:eastAsia="仿宋"/>
          <w:b w:val="0"/>
          <w:bCs/>
          <w:color w:val="auto"/>
          <w:sz w:val="32"/>
          <w:szCs w:val="32"/>
          <w:highlight w:val="none"/>
        </w:rPr>
        <w:t>%</w:t>
      </w:r>
      <w:r>
        <w:rPr>
          <w:rStyle w:val="26"/>
          <w:rFonts w:hint="eastAsia" w:ascii="仿宋" w:hAnsi="仿宋" w:eastAsia="仿宋"/>
          <w:b w:val="0"/>
          <w:bCs/>
          <w:color w:val="auto"/>
          <w:sz w:val="32"/>
          <w:szCs w:val="32"/>
          <w:highlight w:val="none"/>
        </w:rPr>
        <w:t>，决算数等于预算数。</w:t>
      </w:r>
      <w:bookmarkEnd w:id="107"/>
      <w:bookmarkEnd w:id="108"/>
      <w:bookmarkEnd w:id="109"/>
      <w:bookmarkEnd w:id="110"/>
    </w:p>
    <w:p w14:paraId="3114E26A">
      <w:pPr>
        <w:spacing w:beforeLines="0" w:line="576" w:lineRule="exact"/>
        <w:ind w:firstLine="643"/>
        <w:rPr>
          <w:rStyle w:val="26"/>
          <w:rFonts w:hint="eastAsia" w:ascii="仿宋" w:hAnsi="仿宋" w:eastAsia="仿宋"/>
          <w:b w:val="0"/>
          <w:bCs/>
          <w:color w:val="auto"/>
          <w:sz w:val="32"/>
          <w:szCs w:val="32"/>
          <w:highlight w:val="none"/>
        </w:rPr>
      </w:pPr>
      <w:r>
        <w:rPr>
          <w:rStyle w:val="26"/>
          <w:rFonts w:hint="eastAsia" w:ascii="仿宋" w:hAnsi="仿宋" w:eastAsia="仿宋"/>
          <w:bCs/>
          <w:color w:val="auto"/>
          <w:sz w:val="32"/>
          <w:szCs w:val="32"/>
          <w:highlight w:val="none"/>
          <w:lang w:val="en-US" w:eastAsia="zh-CN"/>
        </w:rPr>
        <w:t>21</w:t>
      </w:r>
      <w:r>
        <w:rPr>
          <w:rStyle w:val="26"/>
          <w:rFonts w:ascii="仿宋" w:hAnsi="仿宋" w:eastAsia="仿宋"/>
          <w:bCs/>
          <w:color w:val="auto"/>
          <w:sz w:val="32"/>
          <w:szCs w:val="32"/>
          <w:highlight w:val="none"/>
        </w:rPr>
        <w:t>.</w:t>
      </w:r>
      <w:r>
        <w:rPr>
          <w:rFonts w:hint="eastAsia" w:ascii="仿宋" w:hAnsi="仿宋" w:eastAsia="仿宋"/>
          <w:b/>
          <w:bCs/>
          <w:color w:val="auto"/>
          <w:sz w:val="32"/>
          <w:szCs w:val="32"/>
          <w:highlight w:val="none"/>
        </w:rPr>
        <w:t>农林水支出</w:t>
      </w:r>
      <w:r>
        <w:rPr>
          <w:rFonts w:hint="eastAsia" w:ascii="仿宋" w:hAnsi="仿宋" w:eastAsia="仿宋"/>
          <w:b/>
          <w:bCs/>
          <w:color w:val="auto"/>
          <w:sz w:val="32"/>
          <w:szCs w:val="32"/>
          <w:highlight w:val="none"/>
          <w:lang w:val="en-US" w:eastAsia="zh-CN"/>
        </w:rPr>
        <w:t>213</w:t>
      </w:r>
      <w:r>
        <w:rPr>
          <w:rStyle w:val="26"/>
          <w:rFonts w:hint="eastAsia" w:ascii="仿宋" w:hAnsi="仿宋" w:eastAsia="仿宋"/>
          <w:bCs/>
          <w:color w:val="auto"/>
          <w:sz w:val="32"/>
          <w:szCs w:val="32"/>
          <w:highlight w:val="none"/>
        </w:rPr>
        <w:t>（类）巩固脱贫衔接乡村振兴</w:t>
      </w:r>
      <w:r>
        <w:rPr>
          <w:rStyle w:val="26"/>
          <w:rFonts w:hint="eastAsia" w:ascii="仿宋" w:hAnsi="仿宋" w:eastAsia="仿宋"/>
          <w:bCs/>
          <w:color w:val="auto"/>
          <w:sz w:val="32"/>
          <w:szCs w:val="32"/>
          <w:highlight w:val="none"/>
          <w:lang w:val="en-US" w:eastAsia="zh-CN"/>
        </w:rPr>
        <w:t>05</w:t>
      </w:r>
      <w:r>
        <w:rPr>
          <w:rStyle w:val="26"/>
          <w:rFonts w:hint="eastAsia" w:ascii="仿宋" w:hAnsi="仿宋" w:eastAsia="仿宋"/>
          <w:bCs/>
          <w:color w:val="auto"/>
          <w:sz w:val="32"/>
          <w:szCs w:val="32"/>
          <w:highlight w:val="none"/>
        </w:rPr>
        <w:t>（款）其他巩固脱贫衔接乡村振兴支出</w:t>
      </w:r>
      <w:r>
        <w:rPr>
          <w:rStyle w:val="26"/>
          <w:rFonts w:hint="eastAsia" w:ascii="仿宋" w:hAnsi="仿宋" w:eastAsia="仿宋"/>
          <w:bCs/>
          <w:color w:val="auto"/>
          <w:sz w:val="32"/>
          <w:szCs w:val="32"/>
          <w:highlight w:val="none"/>
          <w:lang w:val="en-US" w:eastAsia="zh-CN"/>
        </w:rPr>
        <w:t>99</w:t>
      </w:r>
      <w:r>
        <w:rPr>
          <w:rStyle w:val="26"/>
          <w:rFonts w:hint="eastAsia" w:ascii="仿宋" w:hAnsi="仿宋" w:eastAsia="仿宋"/>
          <w:bCs/>
          <w:color w:val="auto"/>
          <w:sz w:val="32"/>
          <w:szCs w:val="32"/>
          <w:highlight w:val="none"/>
        </w:rPr>
        <w:t>（项）</w:t>
      </w:r>
      <w:r>
        <w:rPr>
          <w:rStyle w:val="26"/>
          <w:rFonts w:ascii="仿宋" w:hAnsi="仿宋" w:eastAsia="仿宋"/>
          <w:bCs/>
          <w:color w:val="auto"/>
          <w:sz w:val="32"/>
          <w:szCs w:val="32"/>
          <w:highlight w:val="none"/>
        </w:rPr>
        <w:t>:</w:t>
      </w:r>
      <w:r>
        <w:rPr>
          <w:rStyle w:val="26"/>
          <w:rFonts w:hint="eastAsia" w:ascii="仿宋" w:hAnsi="仿宋" w:eastAsia="仿宋"/>
          <w:b w:val="0"/>
          <w:bCs/>
          <w:color w:val="auto"/>
          <w:sz w:val="32"/>
          <w:szCs w:val="32"/>
          <w:highlight w:val="none"/>
        </w:rPr>
        <w:t>支出决算为</w:t>
      </w:r>
      <w:r>
        <w:rPr>
          <w:rStyle w:val="26"/>
          <w:rFonts w:hint="eastAsia" w:ascii="仿宋" w:hAnsi="仿宋" w:eastAsia="仿宋"/>
          <w:b w:val="0"/>
          <w:bCs/>
          <w:color w:val="auto"/>
          <w:sz w:val="32"/>
          <w:szCs w:val="32"/>
          <w:highlight w:val="none"/>
          <w:lang w:val="en-US" w:eastAsia="zh-CN"/>
        </w:rPr>
        <w:t>7297.41</w:t>
      </w:r>
      <w:r>
        <w:rPr>
          <w:rStyle w:val="26"/>
          <w:rFonts w:hint="eastAsia" w:ascii="仿宋" w:hAnsi="仿宋" w:eastAsia="仿宋"/>
          <w:b w:val="0"/>
          <w:bCs/>
          <w:color w:val="auto"/>
          <w:sz w:val="32"/>
          <w:szCs w:val="32"/>
          <w:highlight w:val="none"/>
        </w:rPr>
        <w:t>万元，完成预算</w:t>
      </w:r>
      <w:r>
        <w:rPr>
          <w:rStyle w:val="26"/>
          <w:rFonts w:hint="eastAsia" w:ascii="仿宋" w:hAnsi="仿宋" w:eastAsia="仿宋"/>
          <w:b w:val="0"/>
          <w:bCs/>
          <w:color w:val="auto"/>
          <w:sz w:val="32"/>
          <w:szCs w:val="32"/>
          <w:highlight w:val="none"/>
          <w:lang w:val="en-US" w:eastAsia="zh-CN"/>
        </w:rPr>
        <w:t>100</w:t>
      </w:r>
      <w:r>
        <w:rPr>
          <w:rStyle w:val="26"/>
          <w:rFonts w:ascii="仿宋" w:hAnsi="仿宋" w:eastAsia="仿宋"/>
          <w:b w:val="0"/>
          <w:bCs/>
          <w:color w:val="auto"/>
          <w:sz w:val="32"/>
          <w:szCs w:val="32"/>
          <w:highlight w:val="none"/>
        </w:rPr>
        <w:t>%</w:t>
      </w:r>
      <w:r>
        <w:rPr>
          <w:rStyle w:val="26"/>
          <w:rFonts w:hint="eastAsia" w:ascii="仿宋" w:hAnsi="仿宋" w:eastAsia="仿宋"/>
          <w:b w:val="0"/>
          <w:bCs/>
          <w:color w:val="auto"/>
          <w:sz w:val="32"/>
          <w:szCs w:val="32"/>
          <w:highlight w:val="none"/>
        </w:rPr>
        <w:t>，决算数等于预算数。</w:t>
      </w:r>
    </w:p>
    <w:p w14:paraId="6C474423">
      <w:pPr>
        <w:pStyle w:val="12"/>
        <w:spacing w:beforeLines="0" w:line="576" w:lineRule="exact"/>
        <w:ind w:firstLine="643"/>
        <w:rPr>
          <w:rFonts w:hint="eastAsia"/>
        </w:rPr>
      </w:pPr>
      <w:r>
        <w:rPr>
          <w:rStyle w:val="26"/>
          <w:rFonts w:hint="eastAsia" w:ascii="仿宋" w:hAnsi="仿宋" w:eastAsia="仿宋"/>
          <w:bCs/>
          <w:color w:val="auto"/>
          <w:sz w:val="32"/>
          <w:szCs w:val="32"/>
          <w:highlight w:val="none"/>
          <w:lang w:val="en-US" w:eastAsia="zh-CN"/>
        </w:rPr>
        <w:t>22</w:t>
      </w:r>
      <w:r>
        <w:rPr>
          <w:rStyle w:val="26"/>
          <w:rFonts w:ascii="仿宋" w:hAnsi="仿宋" w:eastAsia="仿宋"/>
          <w:bCs/>
          <w:color w:val="auto"/>
          <w:sz w:val="32"/>
          <w:szCs w:val="32"/>
          <w:highlight w:val="none"/>
        </w:rPr>
        <w:t>.</w:t>
      </w:r>
      <w:r>
        <w:rPr>
          <w:rFonts w:hint="eastAsia" w:ascii="仿宋" w:hAnsi="仿宋" w:eastAsia="仿宋"/>
          <w:b/>
          <w:bCs/>
          <w:color w:val="auto"/>
          <w:sz w:val="32"/>
          <w:szCs w:val="32"/>
          <w:highlight w:val="none"/>
        </w:rPr>
        <w:t>住房保障支出</w:t>
      </w:r>
      <w:r>
        <w:rPr>
          <w:rFonts w:hint="eastAsia" w:ascii="仿宋" w:hAnsi="仿宋" w:eastAsia="仿宋"/>
          <w:b/>
          <w:bCs/>
          <w:color w:val="auto"/>
          <w:sz w:val="32"/>
          <w:szCs w:val="32"/>
          <w:highlight w:val="none"/>
          <w:lang w:val="en-US" w:eastAsia="zh-CN"/>
        </w:rPr>
        <w:t>221</w:t>
      </w:r>
      <w:r>
        <w:rPr>
          <w:rStyle w:val="26"/>
          <w:rFonts w:hint="eastAsia" w:ascii="仿宋" w:hAnsi="仿宋" w:eastAsia="仿宋"/>
          <w:bCs/>
          <w:color w:val="auto"/>
          <w:sz w:val="32"/>
          <w:szCs w:val="32"/>
          <w:highlight w:val="none"/>
        </w:rPr>
        <w:t>（类）住房改革支出</w:t>
      </w:r>
      <w:r>
        <w:rPr>
          <w:rStyle w:val="26"/>
          <w:rFonts w:hint="eastAsia" w:ascii="仿宋" w:hAnsi="仿宋" w:eastAsia="仿宋"/>
          <w:bCs/>
          <w:color w:val="auto"/>
          <w:sz w:val="32"/>
          <w:szCs w:val="32"/>
          <w:highlight w:val="none"/>
          <w:lang w:val="en-US" w:eastAsia="zh-CN"/>
        </w:rPr>
        <w:t>02</w:t>
      </w:r>
      <w:r>
        <w:rPr>
          <w:rStyle w:val="26"/>
          <w:rFonts w:hint="eastAsia" w:ascii="仿宋" w:hAnsi="仿宋" w:eastAsia="仿宋"/>
          <w:bCs/>
          <w:color w:val="auto"/>
          <w:sz w:val="32"/>
          <w:szCs w:val="32"/>
          <w:highlight w:val="none"/>
        </w:rPr>
        <w:t>（款）住房公积金</w:t>
      </w:r>
      <w:r>
        <w:rPr>
          <w:rStyle w:val="26"/>
          <w:rFonts w:hint="eastAsia" w:ascii="仿宋" w:hAnsi="仿宋" w:eastAsia="仿宋"/>
          <w:bCs/>
          <w:color w:val="auto"/>
          <w:sz w:val="32"/>
          <w:szCs w:val="32"/>
          <w:highlight w:val="none"/>
          <w:lang w:val="en-US" w:eastAsia="zh-CN"/>
        </w:rPr>
        <w:t>01</w:t>
      </w:r>
      <w:r>
        <w:rPr>
          <w:rStyle w:val="26"/>
          <w:rFonts w:hint="eastAsia" w:ascii="仿宋" w:hAnsi="仿宋" w:eastAsia="仿宋"/>
          <w:bCs/>
          <w:color w:val="auto"/>
          <w:sz w:val="32"/>
          <w:szCs w:val="32"/>
          <w:highlight w:val="none"/>
        </w:rPr>
        <w:t>（项）</w:t>
      </w:r>
      <w:r>
        <w:rPr>
          <w:rStyle w:val="26"/>
          <w:rFonts w:ascii="仿宋" w:hAnsi="仿宋" w:eastAsia="仿宋"/>
          <w:bCs/>
          <w:color w:val="auto"/>
          <w:sz w:val="32"/>
          <w:szCs w:val="32"/>
          <w:highlight w:val="none"/>
        </w:rPr>
        <w:t>:</w:t>
      </w:r>
      <w:r>
        <w:rPr>
          <w:rStyle w:val="26"/>
          <w:rFonts w:hint="eastAsia" w:ascii="仿宋" w:hAnsi="仿宋" w:eastAsia="仿宋"/>
          <w:b w:val="0"/>
          <w:bCs/>
          <w:color w:val="auto"/>
          <w:sz w:val="32"/>
          <w:szCs w:val="32"/>
          <w:highlight w:val="none"/>
        </w:rPr>
        <w:t>支出决算为</w:t>
      </w:r>
      <w:r>
        <w:rPr>
          <w:rStyle w:val="26"/>
          <w:rFonts w:hint="eastAsia" w:ascii="仿宋" w:hAnsi="仿宋" w:eastAsia="仿宋"/>
          <w:b w:val="0"/>
          <w:bCs/>
          <w:color w:val="auto"/>
          <w:sz w:val="32"/>
          <w:szCs w:val="32"/>
          <w:highlight w:val="none"/>
          <w:lang w:val="en-US" w:eastAsia="zh-CN"/>
        </w:rPr>
        <w:t>100.56</w:t>
      </w:r>
      <w:r>
        <w:rPr>
          <w:rStyle w:val="26"/>
          <w:rFonts w:hint="eastAsia" w:ascii="仿宋" w:hAnsi="仿宋" w:eastAsia="仿宋"/>
          <w:b w:val="0"/>
          <w:bCs/>
          <w:color w:val="auto"/>
          <w:sz w:val="32"/>
          <w:szCs w:val="32"/>
          <w:highlight w:val="none"/>
        </w:rPr>
        <w:t>万元，完成预算</w:t>
      </w:r>
      <w:r>
        <w:rPr>
          <w:rStyle w:val="26"/>
          <w:rFonts w:hint="eastAsia" w:ascii="仿宋" w:hAnsi="仿宋" w:eastAsia="仿宋"/>
          <w:b w:val="0"/>
          <w:bCs/>
          <w:color w:val="auto"/>
          <w:sz w:val="32"/>
          <w:szCs w:val="32"/>
          <w:highlight w:val="none"/>
          <w:lang w:val="en-US" w:eastAsia="zh-CN"/>
        </w:rPr>
        <w:t>100</w:t>
      </w:r>
      <w:r>
        <w:rPr>
          <w:rStyle w:val="26"/>
          <w:rFonts w:ascii="仿宋" w:hAnsi="仿宋" w:eastAsia="仿宋"/>
          <w:b w:val="0"/>
          <w:bCs/>
          <w:color w:val="auto"/>
          <w:sz w:val="32"/>
          <w:szCs w:val="32"/>
          <w:highlight w:val="none"/>
        </w:rPr>
        <w:t>%</w:t>
      </w:r>
      <w:r>
        <w:rPr>
          <w:rStyle w:val="26"/>
          <w:rFonts w:hint="eastAsia" w:ascii="仿宋" w:hAnsi="仿宋" w:eastAsia="仿宋"/>
          <w:b w:val="0"/>
          <w:bCs/>
          <w:color w:val="auto"/>
          <w:sz w:val="32"/>
          <w:szCs w:val="32"/>
          <w:highlight w:val="none"/>
        </w:rPr>
        <w:t>，决算数等于预算数。</w:t>
      </w:r>
    </w:p>
    <w:p w14:paraId="4BD96069">
      <w:pPr>
        <w:tabs>
          <w:tab w:val="right" w:pos="8306"/>
        </w:tabs>
        <w:spacing w:beforeLines="0" w:line="576" w:lineRule="exact"/>
        <w:ind w:firstLine="640"/>
        <w:outlineLvl w:val="1"/>
        <w:rPr>
          <w:rStyle w:val="39"/>
          <w:rFonts w:eastAsia="仿宋_GB2312"/>
          <w:color w:val="auto"/>
          <w:highlight w:val="none"/>
        </w:rPr>
      </w:pPr>
      <w:bookmarkStart w:id="111" w:name="_Toc14853_WPSOffice_Level2"/>
      <w:bookmarkStart w:id="112" w:name="_Toc25724"/>
      <w:bookmarkStart w:id="113" w:name="_Toc15377214"/>
      <w:bookmarkStart w:id="114" w:name="_Toc3835"/>
      <w:bookmarkStart w:id="115" w:name="_Toc15396608"/>
      <w:r>
        <w:rPr>
          <w:rFonts w:hint="eastAsia" w:ascii="黑体" w:eastAsia="黑体"/>
          <w:color w:val="auto"/>
          <w:sz w:val="32"/>
          <w:szCs w:val="32"/>
          <w:highlight w:val="none"/>
        </w:rPr>
        <w:t>六</w:t>
      </w:r>
      <w:r>
        <w:rPr>
          <w:rFonts w:hint="eastAsia" w:ascii="黑体" w:eastAsia="黑体"/>
          <w:b/>
          <w:color w:val="auto"/>
          <w:sz w:val="32"/>
          <w:szCs w:val="32"/>
          <w:highlight w:val="none"/>
        </w:rPr>
        <w:t>、</w:t>
      </w:r>
      <w:r>
        <w:rPr>
          <w:rFonts w:hint="eastAsia" w:ascii="黑体" w:hAnsi="黑体" w:eastAsia="黑体"/>
          <w:b/>
          <w:color w:val="auto"/>
          <w:sz w:val="32"/>
          <w:szCs w:val="32"/>
          <w:highlight w:val="none"/>
        </w:rPr>
        <w:t>一</w:t>
      </w:r>
      <w:r>
        <w:rPr>
          <w:rStyle w:val="39"/>
          <w:rFonts w:hint="eastAsia" w:ascii="黑体" w:hAnsi="黑体" w:eastAsia="黑体"/>
          <w:b w:val="0"/>
          <w:color w:val="auto"/>
          <w:highlight w:val="none"/>
        </w:rPr>
        <w:t>般公共预算财政拨款基本支出决算情况说明</w:t>
      </w:r>
      <w:bookmarkEnd w:id="111"/>
      <w:bookmarkEnd w:id="112"/>
      <w:bookmarkEnd w:id="113"/>
      <w:bookmarkEnd w:id="114"/>
      <w:bookmarkEnd w:id="115"/>
      <w:r>
        <w:rPr>
          <w:rStyle w:val="39"/>
          <w:rFonts w:ascii="黑体" w:hAnsi="黑体" w:eastAsia="黑体"/>
          <w:b w:val="0"/>
          <w:color w:val="auto"/>
          <w:highlight w:val="none"/>
        </w:rPr>
        <w:tab/>
      </w:r>
    </w:p>
    <w:p w14:paraId="328543B2">
      <w:pPr>
        <w:spacing w:beforeLines="0" w:line="576" w:lineRule="exact"/>
        <w:ind w:firstLine="645"/>
        <w:rPr>
          <w:rFonts w:ascii="仿宋" w:hAnsi="仿宋" w:eastAsia="仿宋"/>
          <w:color w:val="auto"/>
          <w:sz w:val="32"/>
          <w:szCs w:val="32"/>
          <w:highlight w:val="none"/>
        </w:rPr>
      </w:pPr>
      <w:r>
        <w:rPr>
          <w:rFonts w:hint="eastAsia" w:ascii="仿宋" w:hAnsi="仿宋" w:eastAsia="仿宋"/>
          <w:color w:val="auto"/>
          <w:sz w:val="32"/>
          <w:szCs w:val="32"/>
          <w:highlight w:val="none"/>
          <w:lang w:eastAsia="zh-CN"/>
        </w:rPr>
        <w:t>2024年</w:t>
      </w:r>
      <w:r>
        <w:rPr>
          <w:rFonts w:hint="eastAsia" w:ascii="仿宋" w:hAnsi="仿宋" w:eastAsia="仿宋"/>
          <w:color w:val="auto"/>
          <w:sz w:val="32"/>
          <w:szCs w:val="32"/>
          <w:highlight w:val="none"/>
        </w:rPr>
        <w:t>一般公共预算财政拨款基本支出</w:t>
      </w:r>
      <w:r>
        <w:rPr>
          <w:rFonts w:hint="eastAsia" w:ascii="仿宋" w:hAnsi="仿宋" w:eastAsia="仿宋"/>
          <w:color w:val="auto"/>
          <w:sz w:val="32"/>
          <w:szCs w:val="32"/>
          <w:highlight w:val="none"/>
          <w:lang w:val="en-US" w:eastAsia="zh-CN"/>
        </w:rPr>
        <w:t>1445.32</w:t>
      </w:r>
      <w:r>
        <w:rPr>
          <w:rFonts w:hint="eastAsia" w:ascii="仿宋" w:hAnsi="仿宋" w:eastAsia="仿宋"/>
          <w:color w:val="auto"/>
          <w:sz w:val="32"/>
          <w:szCs w:val="32"/>
          <w:highlight w:val="none"/>
        </w:rPr>
        <w:t>万元，其中：</w:t>
      </w:r>
    </w:p>
    <w:p w14:paraId="43E933F9">
      <w:pPr>
        <w:spacing w:beforeLines="0" w:line="576" w:lineRule="exact"/>
        <w:ind w:firstLine="645"/>
        <w:rPr>
          <w:rFonts w:ascii="仿宋" w:hAnsi="仿宋" w:eastAsia="仿宋"/>
          <w:color w:val="auto"/>
          <w:sz w:val="32"/>
          <w:szCs w:val="32"/>
          <w:highlight w:val="none"/>
        </w:rPr>
      </w:pPr>
      <w:r>
        <w:rPr>
          <w:rFonts w:hint="eastAsia" w:ascii="仿宋" w:hAnsi="仿宋" w:eastAsia="仿宋"/>
          <w:color w:val="auto"/>
          <w:sz w:val="32"/>
          <w:szCs w:val="32"/>
          <w:highlight w:val="none"/>
        </w:rPr>
        <w:t>人员经费</w:t>
      </w:r>
      <w:r>
        <w:rPr>
          <w:rFonts w:hint="eastAsia" w:ascii="仿宋" w:hAnsi="仿宋" w:eastAsia="仿宋"/>
          <w:color w:val="auto"/>
          <w:sz w:val="32"/>
          <w:szCs w:val="32"/>
          <w:highlight w:val="none"/>
          <w:lang w:val="en-US" w:eastAsia="zh-CN"/>
        </w:rPr>
        <w:t>1293.71</w:t>
      </w:r>
      <w:r>
        <w:rPr>
          <w:rFonts w:hint="eastAsia" w:ascii="仿宋" w:hAnsi="仿宋" w:eastAsia="仿宋"/>
          <w:color w:val="auto"/>
          <w:sz w:val="32"/>
          <w:szCs w:val="32"/>
          <w:highlight w:val="none"/>
        </w:rPr>
        <w:t>万元，主要包括：基本工资、津贴补贴、奖金、绩效工资、机关事业单位基本养老保险缴费、职业年金缴费、其他社会保障缴费、其他工资福利支出、离休费、生活补助、医疗费补助、奖励金、住房公积金、其他对个人和家庭的补助支出等。</w:t>
      </w:r>
      <w:r>
        <w:rPr>
          <w:rFonts w:ascii="仿宋" w:hAnsi="仿宋" w:eastAsia="仿宋"/>
          <w:color w:val="auto"/>
          <w:sz w:val="32"/>
          <w:szCs w:val="32"/>
          <w:highlight w:val="none"/>
        </w:rPr>
        <w:br w:type="textWrapping"/>
      </w:r>
      <w:r>
        <w:rPr>
          <w:rFonts w:hint="eastAsia" w:ascii="仿宋" w:hAnsi="仿宋" w:eastAsia="仿宋"/>
          <w:color w:val="auto"/>
          <w:sz w:val="32"/>
          <w:szCs w:val="32"/>
          <w:highlight w:val="none"/>
        </w:rPr>
        <w:t>　　公用经费</w:t>
      </w:r>
      <w:r>
        <w:rPr>
          <w:rFonts w:hint="eastAsia" w:ascii="仿宋" w:hAnsi="仿宋" w:eastAsia="仿宋"/>
          <w:color w:val="auto"/>
          <w:sz w:val="32"/>
          <w:szCs w:val="32"/>
          <w:highlight w:val="none"/>
          <w:lang w:val="en-US" w:eastAsia="zh-CN"/>
        </w:rPr>
        <w:t>151.61</w:t>
      </w:r>
      <w:r>
        <w:rPr>
          <w:rFonts w:hint="eastAsia" w:ascii="仿宋" w:hAnsi="仿宋" w:eastAsia="仿宋"/>
          <w:color w:val="auto"/>
          <w:sz w:val="32"/>
          <w:szCs w:val="32"/>
          <w:highlight w:val="none"/>
        </w:rPr>
        <w:t>万元，主要包括：办公费、印刷费、咨询费、手续费、水费、电费、邮电费、取暖费、物业管理费、差旅费、因公出国（境）费用、维修（护）费、租赁费、会议费、培训费、公务接待费、劳务费、委托业务费、工会经费、福利费、公务用车运行维护费、其他交通费、其他商品和服务支出、办公设备购置、专用设备购置、信息网络及软件购置更新、其他资本性支出等。</w:t>
      </w:r>
    </w:p>
    <w:p w14:paraId="0DC3FE4B">
      <w:pPr>
        <w:spacing w:beforeLines="0" w:line="576" w:lineRule="exact"/>
        <w:ind w:firstLine="640"/>
        <w:outlineLvl w:val="1"/>
        <w:rPr>
          <w:rStyle w:val="39"/>
          <w:rFonts w:ascii="黑体" w:hAnsi="黑体" w:eastAsia="黑体"/>
          <w:b w:val="0"/>
          <w:color w:val="auto"/>
          <w:highlight w:val="none"/>
        </w:rPr>
      </w:pPr>
      <w:bookmarkStart w:id="116" w:name="_Toc13373_WPSOffice_Level2"/>
      <w:bookmarkStart w:id="117" w:name="_Toc15396609"/>
      <w:bookmarkStart w:id="118" w:name="_Toc11082"/>
      <w:bookmarkStart w:id="119" w:name="_Toc15377215"/>
      <w:bookmarkStart w:id="120" w:name="_Toc31692"/>
      <w:r>
        <w:rPr>
          <w:rFonts w:hint="eastAsia" w:ascii="黑体" w:eastAsia="黑体"/>
          <w:color w:val="auto"/>
          <w:sz w:val="32"/>
          <w:szCs w:val="32"/>
          <w:highlight w:val="none"/>
        </w:rPr>
        <w:t>七、</w:t>
      </w:r>
      <w:r>
        <w:rPr>
          <w:rStyle w:val="39"/>
          <w:rFonts w:hint="eastAsia" w:ascii="黑体" w:hAnsi="黑体" w:eastAsia="黑体"/>
          <w:b w:val="0"/>
          <w:color w:val="auto"/>
          <w:highlight w:val="none"/>
        </w:rPr>
        <w:t>财政拨款</w:t>
      </w:r>
      <w:r>
        <w:rPr>
          <w:rStyle w:val="39"/>
          <w:rFonts w:hint="eastAsia" w:ascii="黑体" w:hAnsi="黑体" w:eastAsia="黑体"/>
          <w:color w:val="auto"/>
          <w:highlight w:val="none"/>
        </w:rPr>
        <w:t>“</w:t>
      </w:r>
      <w:r>
        <w:rPr>
          <w:rStyle w:val="39"/>
          <w:rFonts w:hint="eastAsia" w:ascii="黑体" w:hAnsi="黑体" w:eastAsia="黑体"/>
          <w:b w:val="0"/>
          <w:color w:val="auto"/>
          <w:highlight w:val="none"/>
        </w:rPr>
        <w:t>三公”经费支出决算情况说明</w:t>
      </w:r>
      <w:bookmarkEnd w:id="116"/>
      <w:bookmarkEnd w:id="117"/>
      <w:bookmarkEnd w:id="118"/>
      <w:bookmarkEnd w:id="119"/>
      <w:bookmarkEnd w:id="120"/>
    </w:p>
    <w:p w14:paraId="1DA40549">
      <w:pPr>
        <w:spacing w:beforeLines="0" w:line="576" w:lineRule="exact"/>
        <w:ind w:firstLine="640"/>
        <w:outlineLvl w:val="2"/>
        <w:rPr>
          <w:rFonts w:ascii="仿宋" w:hAnsi="仿宋" w:eastAsia="仿宋"/>
          <w:b/>
          <w:color w:val="auto"/>
          <w:sz w:val="32"/>
          <w:szCs w:val="32"/>
          <w:highlight w:val="none"/>
        </w:rPr>
      </w:pPr>
      <w:bookmarkStart w:id="121" w:name="_Toc15377216"/>
      <w:bookmarkStart w:id="122" w:name="_Toc2379_WPSOffice_Level3"/>
      <w:bookmarkStart w:id="123" w:name="_Toc6460"/>
      <w:bookmarkStart w:id="124" w:name="_Toc29862"/>
      <w:r>
        <w:rPr>
          <w:rFonts w:hint="eastAsia" w:ascii="仿宋" w:hAnsi="仿宋" w:eastAsia="仿宋"/>
          <w:b/>
          <w:color w:val="auto"/>
          <w:sz w:val="32"/>
          <w:szCs w:val="32"/>
          <w:highlight w:val="none"/>
        </w:rPr>
        <w:t>（一）“三公”经费财政拨款支出决算总体情况说明</w:t>
      </w:r>
      <w:bookmarkEnd w:id="121"/>
      <w:bookmarkEnd w:id="122"/>
      <w:bookmarkEnd w:id="123"/>
      <w:bookmarkEnd w:id="124"/>
    </w:p>
    <w:p w14:paraId="7A9F96F3">
      <w:pPr>
        <w:spacing w:beforeLines="0" w:line="576" w:lineRule="exact"/>
        <w:ind w:firstLine="640"/>
        <w:rPr>
          <w:rFonts w:ascii="仿宋" w:hAnsi="仿宋" w:eastAsia="仿宋"/>
          <w:color w:val="auto"/>
          <w:sz w:val="32"/>
          <w:szCs w:val="32"/>
          <w:highlight w:val="none"/>
        </w:rPr>
      </w:pPr>
      <w:r>
        <w:rPr>
          <w:rFonts w:hint="eastAsia" w:ascii="仿宋" w:hAnsi="仿宋" w:eastAsia="仿宋"/>
          <w:color w:val="auto"/>
          <w:sz w:val="32"/>
          <w:szCs w:val="32"/>
          <w:highlight w:val="none"/>
          <w:lang w:eastAsia="zh-CN"/>
        </w:rPr>
        <w:t>2024年</w:t>
      </w:r>
      <w:r>
        <w:rPr>
          <w:rFonts w:hint="eastAsia" w:ascii="仿宋" w:hAnsi="仿宋" w:eastAsia="仿宋"/>
          <w:color w:val="auto"/>
          <w:sz w:val="32"/>
          <w:szCs w:val="32"/>
          <w:highlight w:val="none"/>
        </w:rPr>
        <w:t>“三公”经费财政拨款支出决算为</w:t>
      </w:r>
      <w:r>
        <w:rPr>
          <w:rFonts w:hint="eastAsia" w:ascii="仿宋" w:hAnsi="仿宋" w:eastAsia="仿宋"/>
          <w:color w:val="auto"/>
          <w:sz w:val="32"/>
          <w:szCs w:val="32"/>
          <w:highlight w:val="none"/>
          <w:lang w:val="en-US" w:eastAsia="zh-CN"/>
        </w:rPr>
        <w:t>14.67</w:t>
      </w:r>
      <w:r>
        <w:rPr>
          <w:rFonts w:hint="eastAsia" w:ascii="仿宋" w:hAnsi="仿宋" w:eastAsia="仿宋"/>
          <w:color w:val="auto"/>
          <w:sz w:val="32"/>
          <w:szCs w:val="32"/>
          <w:highlight w:val="none"/>
        </w:rPr>
        <w:t>万元，完成预算</w:t>
      </w:r>
      <w:r>
        <w:rPr>
          <w:rFonts w:hint="eastAsia" w:ascii="仿宋" w:hAnsi="仿宋" w:eastAsia="仿宋"/>
          <w:color w:val="auto"/>
          <w:sz w:val="32"/>
          <w:szCs w:val="32"/>
          <w:highlight w:val="none"/>
          <w:lang w:val="en-US" w:eastAsia="zh-CN"/>
        </w:rPr>
        <w:t>100</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r>
        <w:rPr>
          <w:rFonts w:hint="eastAsia" w:ascii="仿宋" w:hAnsi="仿宋" w:eastAsia="仿宋"/>
          <w:color w:val="auto"/>
          <w:sz w:val="32"/>
          <w:szCs w:val="32"/>
          <w:highlight w:val="none"/>
          <w:lang w:eastAsia="zh-CN"/>
        </w:rPr>
        <w:t>较上年</w:t>
      </w:r>
      <w:r>
        <w:rPr>
          <w:rFonts w:hint="eastAsia" w:ascii="仿宋" w:hAnsi="仿宋" w:eastAsia="仿宋"/>
          <w:color w:val="auto"/>
          <w:sz w:val="32"/>
          <w:szCs w:val="32"/>
          <w:highlight w:val="none"/>
          <w:lang w:val="en-US" w:eastAsia="zh-CN"/>
        </w:rPr>
        <w:t>减少0.22万元，下降1.48%。</w:t>
      </w:r>
      <w:r>
        <w:rPr>
          <w:rFonts w:hint="eastAsia" w:ascii="仿宋" w:hAnsi="仿宋" w:eastAsia="仿宋"/>
          <w:color w:val="auto"/>
          <w:sz w:val="32"/>
          <w:szCs w:val="32"/>
          <w:highlight w:val="none"/>
        </w:rPr>
        <w:t>决算数</w:t>
      </w:r>
      <w:r>
        <w:rPr>
          <w:rFonts w:hint="eastAsia" w:ascii="仿宋" w:hAnsi="仿宋" w:eastAsia="仿宋"/>
          <w:color w:val="auto"/>
          <w:sz w:val="32"/>
          <w:szCs w:val="32"/>
          <w:highlight w:val="none"/>
          <w:lang w:eastAsia="zh-CN"/>
        </w:rPr>
        <w:t>等</w:t>
      </w:r>
      <w:r>
        <w:rPr>
          <w:rFonts w:hint="eastAsia" w:ascii="仿宋" w:hAnsi="仿宋" w:eastAsia="仿宋"/>
          <w:color w:val="auto"/>
          <w:sz w:val="32"/>
          <w:szCs w:val="32"/>
          <w:highlight w:val="none"/>
        </w:rPr>
        <w:t>于预算数。</w:t>
      </w:r>
    </w:p>
    <w:p w14:paraId="43045282">
      <w:pPr>
        <w:spacing w:beforeLines="0" w:line="576" w:lineRule="exact"/>
        <w:ind w:firstLine="640"/>
        <w:outlineLvl w:val="2"/>
        <w:rPr>
          <w:rFonts w:ascii="仿宋" w:hAnsi="仿宋" w:eastAsia="仿宋"/>
          <w:b/>
          <w:color w:val="auto"/>
          <w:sz w:val="32"/>
          <w:szCs w:val="32"/>
          <w:highlight w:val="none"/>
        </w:rPr>
      </w:pPr>
      <w:bookmarkStart w:id="125" w:name="_Toc20573"/>
      <w:bookmarkStart w:id="126" w:name="_Toc9237"/>
      <w:bookmarkStart w:id="127" w:name="_Toc15377217"/>
      <w:bookmarkStart w:id="128" w:name="_Toc29971_WPSOffice_Level3"/>
      <w:r>
        <w:rPr>
          <w:rFonts w:hint="eastAsia" w:ascii="仿宋" w:hAnsi="仿宋" w:eastAsia="仿宋"/>
          <w:b/>
          <w:color w:val="auto"/>
          <w:sz w:val="32"/>
          <w:szCs w:val="32"/>
          <w:highlight w:val="none"/>
        </w:rPr>
        <w:t>（二）“三公”经费财政拨款支出决算具体情况说明</w:t>
      </w:r>
      <w:bookmarkEnd w:id="125"/>
      <w:bookmarkEnd w:id="126"/>
      <w:bookmarkEnd w:id="127"/>
      <w:bookmarkEnd w:id="128"/>
    </w:p>
    <w:p w14:paraId="7E6BCA31">
      <w:pPr>
        <w:spacing w:beforeLines="0" w:line="576" w:lineRule="exact"/>
        <w:ind w:firstLine="640"/>
        <w:rPr>
          <w:rFonts w:hint="eastAsia" w:ascii="仿宋" w:hAnsi="仿宋" w:eastAsia="仿宋"/>
          <w:color w:val="auto"/>
          <w:sz w:val="32"/>
          <w:szCs w:val="32"/>
          <w:highlight w:val="none"/>
        </w:rPr>
      </w:pPr>
      <w:r>
        <w:rPr>
          <w:rFonts w:hint="eastAsia" w:ascii="仿宋" w:hAnsi="仿宋" w:eastAsia="仿宋"/>
          <w:color w:val="auto"/>
          <w:sz w:val="32"/>
          <w:szCs w:val="32"/>
          <w:highlight w:val="none"/>
          <w:lang w:eastAsia="zh-CN"/>
        </w:rPr>
        <w:t>2024年</w:t>
      </w:r>
      <w:r>
        <w:rPr>
          <w:rFonts w:hint="eastAsia" w:ascii="仿宋" w:hAnsi="仿宋" w:eastAsia="仿宋"/>
          <w:color w:val="auto"/>
          <w:sz w:val="32"/>
          <w:szCs w:val="32"/>
          <w:highlight w:val="none"/>
        </w:rPr>
        <w:t>“三公”经费财政拨款支出决算中，因公出国（境）费支出决算</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0</w:t>
      </w:r>
      <w:r>
        <w:rPr>
          <w:rFonts w:ascii="仿宋" w:hAnsi="仿宋" w:eastAsia="仿宋"/>
          <w:color w:val="auto"/>
          <w:sz w:val="32"/>
          <w:szCs w:val="32"/>
          <w:highlight w:val="none"/>
        </w:rPr>
        <w:t>%</w:t>
      </w:r>
      <w:r>
        <w:rPr>
          <w:rFonts w:hint="eastAsia" w:ascii="仿宋" w:hAnsi="仿宋" w:eastAsia="仿宋"/>
          <w:color w:val="auto"/>
          <w:sz w:val="32"/>
          <w:szCs w:val="32"/>
          <w:highlight w:val="none"/>
        </w:rPr>
        <w:t>；公务用车购置及运行维护费支出决算</w:t>
      </w:r>
      <w:r>
        <w:rPr>
          <w:rFonts w:hint="eastAsia" w:ascii="仿宋" w:hAnsi="仿宋" w:eastAsia="仿宋"/>
          <w:color w:val="auto"/>
          <w:sz w:val="32"/>
          <w:szCs w:val="32"/>
          <w:highlight w:val="none"/>
          <w:lang w:val="en-US" w:eastAsia="zh-CN"/>
        </w:rPr>
        <w:t>9.98</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68.03</w:t>
      </w:r>
      <w:r>
        <w:rPr>
          <w:rFonts w:ascii="仿宋" w:hAnsi="仿宋" w:eastAsia="仿宋"/>
          <w:color w:val="auto"/>
          <w:sz w:val="32"/>
          <w:szCs w:val="32"/>
          <w:highlight w:val="none"/>
        </w:rPr>
        <w:t>%</w:t>
      </w:r>
      <w:r>
        <w:rPr>
          <w:rFonts w:hint="eastAsia" w:ascii="仿宋" w:hAnsi="仿宋" w:eastAsia="仿宋"/>
          <w:color w:val="auto"/>
          <w:sz w:val="32"/>
          <w:szCs w:val="32"/>
          <w:highlight w:val="none"/>
        </w:rPr>
        <w:t>；公务接待费支出决算</w:t>
      </w:r>
      <w:r>
        <w:rPr>
          <w:rFonts w:hint="eastAsia" w:ascii="仿宋" w:hAnsi="仿宋" w:eastAsia="仿宋"/>
          <w:color w:val="auto"/>
          <w:sz w:val="32"/>
          <w:szCs w:val="32"/>
          <w:highlight w:val="none"/>
          <w:lang w:val="en-US" w:eastAsia="zh-CN"/>
        </w:rPr>
        <w:t>4.69</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31.97</w:t>
      </w:r>
      <w:r>
        <w:rPr>
          <w:rFonts w:ascii="仿宋" w:hAnsi="仿宋" w:eastAsia="仿宋"/>
          <w:color w:val="auto"/>
          <w:sz w:val="32"/>
          <w:szCs w:val="32"/>
          <w:highlight w:val="none"/>
        </w:rPr>
        <w:t>%</w:t>
      </w:r>
      <w:r>
        <w:rPr>
          <w:rFonts w:hint="eastAsia" w:ascii="仿宋" w:hAnsi="仿宋" w:eastAsia="仿宋"/>
          <w:color w:val="auto"/>
          <w:sz w:val="32"/>
          <w:szCs w:val="32"/>
          <w:highlight w:val="none"/>
        </w:rPr>
        <w:t>。具体情况如下：</w:t>
      </w:r>
    </w:p>
    <w:p w14:paraId="2FD5D58C">
      <w:pPr>
        <w:pStyle w:val="9"/>
        <w:widowControl w:val="0"/>
        <w:numPr>
          <w:ilvl w:val="0"/>
          <w:numId w:val="0"/>
        </w:numPr>
        <w:jc w:val="both"/>
        <w:rPr>
          <w:rFonts w:hint="eastAsia" w:ascii="仿宋" w:hAnsi="仿宋" w:eastAsia="仿宋"/>
          <w:color w:val="auto"/>
          <w:sz w:val="32"/>
          <w:szCs w:val="32"/>
          <w:highlight w:val="none"/>
        </w:rPr>
      </w:pPr>
      <w:r>
        <w:rPr>
          <w:rFonts w:hint="eastAsia" w:ascii="仿宋" w:hAnsi="仿宋" w:eastAsia="仿宋"/>
          <w:color w:val="000000"/>
          <w:sz w:val="32"/>
          <w:szCs w:val="32"/>
        </w:rPr>
        <w:drawing>
          <wp:anchor distT="0" distB="0" distL="114300" distR="114300" simplePos="0" relativeHeight="251666432" behindDoc="0" locked="0" layoutInCell="1" allowOverlap="1">
            <wp:simplePos x="0" y="0"/>
            <wp:positionH relativeFrom="column">
              <wp:posOffset>90170</wp:posOffset>
            </wp:positionH>
            <wp:positionV relativeFrom="paragraph">
              <wp:posOffset>139700</wp:posOffset>
            </wp:positionV>
            <wp:extent cx="5409565" cy="2508885"/>
            <wp:effectExtent l="4445" t="4445" r="15240" b="20320"/>
            <wp:wrapNone/>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14:paraId="147FDDF7">
      <w:pPr>
        <w:pStyle w:val="9"/>
        <w:widowControl w:val="0"/>
        <w:numPr>
          <w:ilvl w:val="0"/>
          <w:numId w:val="0"/>
        </w:numPr>
        <w:jc w:val="both"/>
        <w:rPr>
          <w:rFonts w:hint="eastAsia" w:ascii="仿宋" w:hAnsi="仿宋" w:eastAsia="仿宋"/>
          <w:color w:val="auto"/>
          <w:sz w:val="32"/>
          <w:szCs w:val="32"/>
          <w:highlight w:val="none"/>
        </w:rPr>
      </w:pPr>
    </w:p>
    <w:p w14:paraId="1E123E49">
      <w:pPr>
        <w:pStyle w:val="9"/>
        <w:widowControl w:val="0"/>
        <w:numPr>
          <w:ilvl w:val="0"/>
          <w:numId w:val="0"/>
        </w:numPr>
        <w:jc w:val="both"/>
        <w:rPr>
          <w:rFonts w:hint="eastAsia" w:ascii="仿宋" w:hAnsi="仿宋" w:eastAsia="仿宋"/>
          <w:color w:val="auto"/>
          <w:sz w:val="32"/>
          <w:szCs w:val="32"/>
          <w:highlight w:val="none"/>
        </w:rPr>
      </w:pPr>
    </w:p>
    <w:p w14:paraId="1C75DD98">
      <w:pPr>
        <w:pStyle w:val="9"/>
        <w:widowControl w:val="0"/>
        <w:numPr>
          <w:ilvl w:val="0"/>
          <w:numId w:val="0"/>
        </w:numPr>
        <w:jc w:val="both"/>
        <w:rPr>
          <w:rFonts w:hint="eastAsia" w:ascii="仿宋" w:hAnsi="仿宋" w:eastAsia="仿宋"/>
          <w:color w:val="auto"/>
          <w:sz w:val="32"/>
          <w:szCs w:val="32"/>
          <w:highlight w:val="none"/>
        </w:rPr>
      </w:pPr>
    </w:p>
    <w:p w14:paraId="49326F6B">
      <w:pPr>
        <w:pStyle w:val="9"/>
        <w:widowControl w:val="0"/>
        <w:numPr>
          <w:ilvl w:val="0"/>
          <w:numId w:val="0"/>
        </w:numPr>
        <w:jc w:val="both"/>
        <w:rPr>
          <w:rFonts w:hint="eastAsia" w:ascii="仿宋" w:hAnsi="仿宋" w:eastAsia="仿宋"/>
          <w:color w:val="auto"/>
          <w:sz w:val="32"/>
          <w:szCs w:val="32"/>
          <w:highlight w:val="none"/>
        </w:rPr>
      </w:pPr>
    </w:p>
    <w:p w14:paraId="6008C23D">
      <w:pPr>
        <w:pStyle w:val="9"/>
        <w:widowControl w:val="0"/>
        <w:numPr>
          <w:ilvl w:val="0"/>
          <w:numId w:val="0"/>
        </w:numPr>
        <w:jc w:val="both"/>
        <w:rPr>
          <w:rFonts w:hint="eastAsia" w:ascii="仿宋" w:hAnsi="仿宋" w:eastAsia="仿宋"/>
          <w:color w:val="auto"/>
          <w:sz w:val="32"/>
          <w:szCs w:val="32"/>
          <w:highlight w:val="none"/>
        </w:rPr>
      </w:pPr>
    </w:p>
    <w:p w14:paraId="005963D2">
      <w:pPr>
        <w:pStyle w:val="9"/>
        <w:widowControl w:val="0"/>
        <w:numPr>
          <w:ilvl w:val="0"/>
          <w:numId w:val="0"/>
        </w:numPr>
        <w:jc w:val="both"/>
        <w:rPr>
          <w:rFonts w:hint="eastAsia" w:ascii="仿宋" w:hAnsi="仿宋" w:eastAsia="仿宋"/>
          <w:color w:val="auto"/>
          <w:sz w:val="32"/>
          <w:szCs w:val="32"/>
          <w:highlight w:val="none"/>
        </w:rPr>
      </w:pPr>
    </w:p>
    <w:p w14:paraId="1738383F">
      <w:pPr>
        <w:spacing w:line="600" w:lineRule="exact"/>
        <w:ind w:firstLine="640"/>
        <w:rPr>
          <w:rFonts w:ascii="仿宋" w:hAnsi="仿宋" w:eastAsia="仿宋"/>
          <w:color w:val="auto"/>
          <w:sz w:val="32"/>
          <w:szCs w:val="32"/>
          <w:highlight w:val="none"/>
        </w:rPr>
      </w:pPr>
      <w:r>
        <w:rPr>
          <w:rFonts w:hint="eastAsia" w:ascii="仿宋" w:hAnsi="仿宋" w:eastAsia="仿宋"/>
          <w:color w:val="auto"/>
          <w:sz w:val="32"/>
          <w:szCs w:val="32"/>
          <w:highlight w:val="none"/>
        </w:rPr>
        <w:t>（图7：“三公”经费财政拨款支出结构）（饼状图）</w:t>
      </w:r>
    </w:p>
    <w:p w14:paraId="6E42A122">
      <w:pPr>
        <w:spacing w:line="600" w:lineRule="exact"/>
        <w:ind w:firstLine="640"/>
        <w:rPr>
          <w:rFonts w:ascii="仿宋_GB2312" w:eastAsia="仿宋_GB2312"/>
          <w:b/>
          <w:color w:val="auto"/>
          <w:sz w:val="32"/>
          <w:szCs w:val="32"/>
          <w:highlight w:val="none"/>
        </w:rPr>
      </w:pPr>
      <w:r>
        <w:rPr>
          <w:rFonts w:ascii="仿宋_GB2312" w:eastAsia="仿宋_GB2312"/>
          <w:b/>
          <w:color w:val="auto"/>
          <w:sz w:val="32"/>
          <w:szCs w:val="32"/>
          <w:highlight w:val="none"/>
        </w:rPr>
        <w:t>1.</w:t>
      </w:r>
      <w:r>
        <w:rPr>
          <w:rFonts w:hint="eastAsia" w:ascii="仿宋_GB2312" w:eastAsia="仿宋_GB2312"/>
          <w:b/>
          <w:color w:val="auto"/>
          <w:sz w:val="32"/>
          <w:szCs w:val="32"/>
          <w:highlight w:val="none"/>
        </w:rPr>
        <w:t>因公出国（境）经费支出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w:t>
      </w:r>
      <w:r>
        <w:rPr>
          <w:rStyle w:val="26"/>
          <w:rFonts w:hint="eastAsia" w:ascii="仿宋" w:hAnsi="仿宋" w:eastAsia="仿宋"/>
          <w:b w:val="0"/>
          <w:bCs/>
          <w:color w:val="auto"/>
          <w:sz w:val="32"/>
          <w:szCs w:val="32"/>
          <w:highlight w:val="none"/>
        </w:rPr>
        <w:t>完成预算</w:t>
      </w:r>
      <w:r>
        <w:rPr>
          <w:rStyle w:val="26"/>
          <w:rFonts w:hint="eastAsia" w:ascii="仿宋" w:hAnsi="仿宋" w:eastAsia="仿宋"/>
          <w:b w:val="0"/>
          <w:bCs/>
          <w:color w:val="auto"/>
          <w:sz w:val="32"/>
          <w:szCs w:val="32"/>
          <w:highlight w:val="none"/>
          <w:lang w:val="en-US" w:eastAsia="zh-CN"/>
        </w:rPr>
        <w:t>100</w:t>
      </w:r>
      <w:r>
        <w:rPr>
          <w:rStyle w:val="26"/>
          <w:rFonts w:ascii="仿宋" w:hAnsi="仿宋" w:eastAsia="仿宋"/>
          <w:b w:val="0"/>
          <w:bCs/>
          <w:color w:val="auto"/>
          <w:sz w:val="32"/>
          <w:szCs w:val="32"/>
          <w:highlight w:val="none"/>
        </w:rPr>
        <w:t>%</w:t>
      </w:r>
      <w:r>
        <w:rPr>
          <w:rStyle w:val="26"/>
          <w:rFonts w:hint="eastAsia" w:ascii="仿宋" w:hAnsi="仿宋" w:eastAsia="仿宋"/>
          <w:b w:val="0"/>
          <w:bCs/>
          <w:color w:val="auto"/>
          <w:sz w:val="32"/>
          <w:szCs w:val="32"/>
          <w:highlight w:val="none"/>
        </w:rPr>
        <w:t>。</w:t>
      </w:r>
      <w:r>
        <w:rPr>
          <w:rFonts w:hint="eastAsia" w:ascii="仿宋_GB2312" w:eastAsia="仿宋_GB2312"/>
          <w:color w:val="auto"/>
          <w:sz w:val="32"/>
          <w:szCs w:val="32"/>
          <w:highlight w:val="none"/>
        </w:rPr>
        <w:t>全年安排因公出国（境）团组</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次，出国（境）</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人。因公出国（境）支出决算</w:t>
      </w:r>
      <w:r>
        <w:rPr>
          <w:rFonts w:hint="eastAsia" w:ascii="仿宋_GB2312" w:eastAsia="仿宋_GB2312"/>
          <w:color w:val="auto"/>
          <w:sz w:val="32"/>
          <w:szCs w:val="32"/>
          <w:highlight w:val="none"/>
          <w:lang w:eastAsia="zh-CN"/>
        </w:rPr>
        <w:t>与2023年持平</w:t>
      </w:r>
      <w:r>
        <w:rPr>
          <w:rFonts w:hint="eastAsia" w:ascii="仿宋_GB2312" w:eastAsia="仿宋_GB2312"/>
          <w:color w:val="auto"/>
          <w:sz w:val="32"/>
          <w:szCs w:val="32"/>
          <w:highlight w:val="none"/>
        </w:rPr>
        <w:t>。</w:t>
      </w:r>
    </w:p>
    <w:p w14:paraId="33474273">
      <w:pPr>
        <w:spacing w:line="600" w:lineRule="exact"/>
        <w:ind w:firstLine="640"/>
        <w:rPr>
          <w:rFonts w:ascii="仿宋_GB2312" w:eastAsia="仿宋_GB2312"/>
          <w:b/>
          <w:color w:val="auto"/>
          <w:sz w:val="32"/>
          <w:szCs w:val="32"/>
          <w:highlight w:val="none"/>
        </w:rPr>
      </w:pPr>
      <w:r>
        <w:rPr>
          <w:rFonts w:ascii="仿宋_GB2312" w:eastAsia="仿宋_GB2312"/>
          <w:b/>
          <w:color w:val="auto"/>
          <w:sz w:val="32"/>
          <w:szCs w:val="32"/>
          <w:highlight w:val="none"/>
        </w:rPr>
        <w:t>2.</w:t>
      </w:r>
      <w:r>
        <w:rPr>
          <w:rFonts w:hint="eastAsia" w:ascii="仿宋_GB2312" w:eastAsia="仿宋_GB2312"/>
          <w:b/>
          <w:color w:val="auto"/>
          <w:sz w:val="32"/>
          <w:szCs w:val="32"/>
          <w:highlight w:val="none"/>
        </w:rPr>
        <w:t>公务用车购置及运行维护费支出</w:t>
      </w:r>
      <w:r>
        <w:rPr>
          <w:rFonts w:hint="eastAsia" w:ascii="仿宋_GB2312" w:eastAsia="仿宋_GB2312"/>
          <w:color w:val="auto"/>
          <w:sz w:val="32"/>
          <w:szCs w:val="32"/>
          <w:highlight w:val="none"/>
          <w:lang w:val="en-US" w:eastAsia="zh-CN"/>
        </w:rPr>
        <w:t>9.98</w:t>
      </w:r>
      <w:r>
        <w:rPr>
          <w:rFonts w:hint="eastAsia" w:ascii="仿宋_GB2312" w:eastAsia="仿宋_GB2312"/>
          <w:color w:val="auto"/>
          <w:sz w:val="32"/>
          <w:szCs w:val="32"/>
          <w:highlight w:val="none"/>
        </w:rPr>
        <w:t>万元,</w:t>
      </w:r>
      <w:r>
        <w:rPr>
          <w:rStyle w:val="26"/>
          <w:rFonts w:hint="eastAsia" w:ascii="仿宋" w:hAnsi="仿宋" w:eastAsia="仿宋"/>
          <w:b w:val="0"/>
          <w:bCs/>
          <w:color w:val="auto"/>
          <w:sz w:val="32"/>
          <w:szCs w:val="32"/>
          <w:highlight w:val="none"/>
        </w:rPr>
        <w:t>完成预算</w:t>
      </w:r>
      <w:r>
        <w:rPr>
          <w:rStyle w:val="26"/>
          <w:rFonts w:hint="eastAsia" w:ascii="仿宋" w:hAnsi="仿宋" w:eastAsia="仿宋"/>
          <w:b w:val="0"/>
          <w:bCs/>
          <w:color w:val="auto"/>
          <w:sz w:val="32"/>
          <w:szCs w:val="32"/>
          <w:highlight w:val="none"/>
          <w:lang w:val="en-US" w:eastAsia="zh-CN"/>
        </w:rPr>
        <w:t>100</w:t>
      </w:r>
      <w:r>
        <w:rPr>
          <w:rStyle w:val="26"/>
          <w:rFonts w:ascii="仿宋" w:hAnsi="仿宋" w:eastAsia="仿宋"/>
          <w:b w:val="0"/>
          <w:bCs/>
          <w:color w:val="auto"/>
          <w:sz w:val="32"/>
          <w:szCs w:val="32"/>
          <w:highlight w:val="none"/>
        </w:rPr>
        <w:t>%</w:t>
      </w:r>
      <w:r>
        <w:rPr>
          <w:rStyle w:val="26"/>
          <w:rFonts w:hint="eastAsia" w:ascii="仿宋" w:hAnsi="仿宋" w:eastAsia="仿宋"/>
          <w:b w:val="0"/>
          <w:bCs/>
          <w:color w:val="auto"/>
          <w:sz w:val="32"/>
          <w:szCs w:val="32"/>
          <w:highlight w:val="none"/>
        </w:rPr>
        <w:t>。</w:t>
      </w:r>
      <w:r>
        <w:rPr>
          <w:rFonts w:hint="eastAsia" w:ascii="仿宋_GB2312" w:eastAsia="仿宋_GB2312"/>
          <w:color w:val="auto"/>
          <w:sz w:val="32"/>
          <w:szCs w:val="32"/>
          <w:highlight w:val="none"/>
        </w:rPr>
        <w:t>公务用车购置及运行维护费支出决算比</w:t>
      </w:r>
      <w:r>
        <w:rPr>
          <w:rFonts w:hint="eastAsia" w:ascii="仿宋_GB2312" w:eastAsia="仿宋_GB2312"/>
          <w:color w:val="auto"/>
          <w:sz w:val="32"/>
          <w:szCs w:val="32"/>
          <w:highlight w:val="none"/>
          <w:lang w:eastAsia="zh-CN"/>
        </w:rPr>
        <w:t>2023年减少</w:t>
      </w:r>
      <w:r>
        <w:rPr>
          <w:rFonts w:hint="eastAsia" w:ascii="仿宋_GB2312" w:eastAsia="仿宋_GB2312"/>
          <w:color w:val="auto"/>
          <w:sz w:val="32"/>
          <w:szCs w:val="32"/>
          <w:highlight w:val="none"/>
          <w:lang w:val="en-US" w:eastAsia="zh-CN"/>
        </w:rPr>
        <w:t>0.01</w:t>
      </w:r>
      <w:r>
        <w:rPr>
          <w:rFonts w:hint="eastAsia" w:ascii="仿宋_GB2312" w:eastAsia="仿宋_GB2312"/>
          <w:color w:val="auto"/>
          <w:sz w:val="32"/>
          <w:szCs w:val="32"/>
          <w:highlight w:val="none"/>
        </w:rPr>
        <w:t>万元，</w:t>
      </w:r>
      <w:r>
        <w:rPr>
          <w:rFonts w:hint="eastAsia" w:ascii="仿宋_GB2312" w:eastAsia="仿宋_GB2312"/>
          <w:color w:val="auto"/>
          <w:sz w:val="32"/>
          <w:szCs w:val="32"/>
          <w:highlight w:val="none"/>
          <w:lang w:eastAsia="zh-CN"/>
        </w:rPr>
        <w:t>下降</w:t>
      </w:r>
      <w:r>
        <w:rPr>
          <w:rFonts w:hint="eastAsia" w:ascii="仿宋_GB2312" w:eastAsia="仿宋_GB2312"/>
          <w:color w:val="auto"/>
          <w:sz w:val="32"/>
          <w:szCs w:val="32"/>
          <w:highlight w:val="none"/>
          <w:lang w:val="en-US" w:eastAsia="zh-CN"/>
        </w:rPr>
        <w:t>0.1</w:t>
      </w:r>
      <w:r>
        <w:rPr>
          <w:rFonts w:ascii="仿宋_GB2312" w:eastAsia="仿宋_GB2312"/>
          <w:color w:val="auto"/>
          <w:sz w:val="32"/>
          <w:szCs w:val="32"/>
          <w:highlight w:val="none"/>
        </w:rPr>
        <w:t>%</w:t>
      </w:r>
      <w:r>
        <w:rPr>
          <w:rFonts w:hint="eastAsia" w:ascii="仿宋_GB2312" w:eastAsia="仿宋_GB2312"/>
          <w:color w:val="auto"/>
          <w:sz w:val="32"/>
          <w:szCs w:val="32"/>
          <w:highlight w:val="none"/>
        </w:rPr>
        <w:t>。主要原因是</w:t>
      </w:r>
      <w:r>
        <w:rPr>
          <w:rFonts w:hint="eastAsia" w:ascii="仿宋_GB2312" w:eastAsia="仿宋_GB2312"/>
          <w:color w:val="auto"/>
          <w:sz w:val="32"/>
          <w:szCs w:val="32"/>
          <w:highlight w:val="none"/>
          <w:lang w:eastAsia="zh-CN"/>
        </w:rPr>
        <w:t>公务用车修理费、燃油费减少</w:t>
      </w:r>
      <w:r>
        <w:rPr>
          <w:rFonts w:hint="eastAsia" w:ascii="仿宋_GB2312" w:eastAsia="仿宋_GB2312"/>
          <w:color w:val="auto"/>
          <w:sz w:val="32"/>
          <w:szCs w:val="32"/>
          <w:highlight w:val="none"/>
        </w:rPr>
        <w:t>。</w:t>
      </w:r>
    </w:p>
    <w:p w14:paraId="0A59CD0B">
      <w:pPr>
        <w:spacing w:line="600" w:lineRule="exact"/>
        <w:ind w:firstLine="640" w:firstLineChars="200"/>
        <w:rPr>
          <w:rFonts w:ascii="仿宋_GB2312" w:eastAsia="仿宋_GB2312"/>
          <w:b/>
          <w:color w:val="auto"/>
          <w:sz w:val="32"/>
          <w:szCs w:val="32"/>
          <w:highlight w:val="none"/>
        </w:rPr>
      </w:pPr>
      <w:r>
        <w:rPr>
          <w:rFonts w:hint="eastAsia" w:ascii="仿宋_GB2312" w:eastAsia="仿宋_GB2312"/>
          <w:color w:val="auto"/>
          <w:sz w:val="32"/>
          <w:szCs w:val="32"/>
          <w:highlight w:val="none"/>
        </w:rPr>
        <w:t>其中：</w:t>
      </w:r>
      <w:r>
        <w:rPr>
          <w:rFonts w:hint="eastAsia" w:ascii="仿宋_GB2312" w:eastAsia="仿宋_GB2312"/>
          <w:b/>
          <w:color w:val="auto"/>
          <w:sz w:val="32"/>
          <w:szCs w:val="32"/>
          <w:highlight w:val="none"/>
        </w:rPr>
        <w:t>公务用车购置支出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万元。全年按规定更新购置公务用车</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辆，其中：轿车</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辆、金额</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万元，越野车</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辆、金额</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万元，载客汽车</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辆、金额</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万元。截至</w:t>
      </w:r>
      <w:r>
        <w:rPr>
          <w:rFonts w:hint="eastAsia" w:ascii="仿宋_GB2312" w:eastAsia="仿宋_GB2312"/>
          <w:color w:val="auto"/>
          <w:sz w:val="32"/>
          <w:szCs w:val="32"/>
          <w:highlight w:val="none"/>
          <w:lang w:eastAsia="zh-CN"/>
        </w:rPr>
        <w:t>2024年</w:t>
      </w:r>
      <w:r>
        <w:rPr>
          <w:rFonts w:ascii="仿宋_GB2312" w:eastAsia="仿宋_GB2312"/>
          <w:color w:val="auto"/>
          <w:sz w:val="32"/>
          <w:szCs w:val="32"/>
          <w:highlight w:val="none"/>
        </w:rPr>
        <w:t>12</w:t>
      </w:r>
      <w:r>
        <w:rPr>
          <w:rFonts w:hint="eastAsia" w:ascii="仿宋_GB2312" w:eastAsia="仿宋_GB2312"/>
          <w:color w:val="auto"/>
          <w:sz w:val="32"/>
          <w:szCs w:val="32"/>
          <w:highlight w:val="none"/>
        </w:rPr>
        <w:t>月底，单位共有公务用车</w:t>
      </w:r>
      <w:r>
        <w:rPr>
          <w:rFonts w:hint="eastAsia" w:ascii="仿宋_GB2312" w:eastAsia="仿宋_GB2312"/>
          <w:color w:val="auto"/>
          <w:sz w:val="32"/>
          <w:szCs w:val="32"/>
          <w:highlight w:val="none"/>
          <w:lang w:val="en-US" w:eastAsia="zh-CN"/>
        </w:rPr>
        <w:t>2</w:t>
      </w:r>
      <w:r>
        <w:rPr>
          <w:rFonts w:hint="eastAsia" w:ascii="仿宋_GB2312" w:eastAsia="仿宋_GB2312"/>
          <w:color w:val="auto"/>
          <w:sz w:val="32"/>
          <w:szCs w:val="32"/>
          <w:highlight w:val="none"/>
        </w:rPr>
        <w:t>辆，其中：轿车</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辆、越野车</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辆、载客汽车</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辆</w:t>
      </w:r>
      <w:r>
        <w:rPr>
          <w:rFonts w:hint="eastAsia" w:ascii="仿宋_GB2312" w:eastAsia="仿宋_GB2312"/>
          <w:color w:val="auto"/>
          <w:sz w:val="32"/>
          <w:szCs w:val="32"/>
          <w:highlight w:val="none"/>
          <w:lang w:eastAsia="zh-CN"/>
        </w:rPr>
        <w:t>、皮卡车</w:t>
      </w:r>
      <w:r>
        <w:rPr>
          <w:rFonts w:hint="eastAsia" w:ascii="仿宋_GB2312" w:eastAsia="仿宋_GB2312"/>
          <w:color w:val="auto"/>
          <w:sz w:val="32"/>
          <w:szCs w:val="32"/>
          <w:highlight w:val="none"/>
          <w:lang w:val="en-US" w:eastAsia="zh-CN"/>
        </w:rPr>
        <w:t>2辆</w:t>
      </w:r>
      <w:r>
        <w:rPr>
          <w:rFonts w:hint="eastAsia" w:ascii="仿宋_GB2312" w:eastAsia="仿宋_GB2312"/>
          <w:color w:val="auto"/>
          <w:sz w:val="32"/>
          <w:szCs w:val="32"/>
          <w:highlight w:val="none"/>
        </w:rPr>
        <w:t>。</w:t>
      </w:r>
    </w:p>
    <w:p w14:paraId="05DFF762">
      <w:pPr>
        <w:spacing w:line="600" w:lineRule="exact"/>
        <w:ind w:firstLine="640"/>
        <w:rPr>
          <w:rFonts w:ascii="仿宋_GB2312" w:eastAsia="仿宋_GB2312"/>
          <w:color w:val="auto"/>
          <w:sz w:val="32"/>
          <w:szCs w:val="32"/>
          <w:highlight w:val="none"/>
        </w:rPr>
      </w:pPr>
      <w:r>
        <w:rPr>
          <w:rFonts w:hint="eastAsia" w:ascii="仿宋_GB2312" w:eastAsia="仿宋_GB2312"/>
          <w:b/>
          <w:color w:val="auto"/>
          <w:sz w:val="32"/>
          <w:szCs w:val="32"/>
          <w:highlight w:val="none"/>
        </w:rPr>
        <w:t>公务用车运行维护费支出</w:t>
      </w:r>
      <w:r>
        <w:rPr>
          <w:rFonts w:hint="eastAsia" w:ascii="仿宋_GB2312" w:eastAsia="仿宋_GB2312"/>
          <w:color w:val="auto"/>
          <w:sz w:val="32"/>
          <w:szCs w:val="32"/>
          <w:highlight w:val="none"/>
          <w:lang w:val="en-US" w:eastAsia="zh-CN"/>
        </w:rPr>
        <w:t>9.98</w:t>
      </w:r>
      <w:r>
        <w:rPr>
          <w:rFonts w:hint="eastAsia" w:ascii="仿宋_GB2312" w:eastAsia="仿宋_GB2312"/>
          <w:color w:val="auto"/>
          <w:sz w:val="32"/>
          <w:szCs w:val="32"/>
          <w:highlight w:val="none"/>
        </w:rPr>
        <w:t>万元。主要用于</w:t>
      </w:r>
      <w:r>
        <w:rPr>
          <w:rFonts w:hint="eastAsia" w:ascii="仿宋_GB2312" w:eastAsia="仿宋_GB2312"/>
          <w:color w:val="auto"/>
          <w:sz w:val="32"/>
          <w:szCs w:val="32"/>
          <w:highlight w:val="none"/>
          <w:lang w:eastAsia="zh-CN"/>
        </w:rPr>
        <w:t>水利事业等</w:t>
      </w:r>
      <w:r>
        <w:rPr>
          <w:rFonts w:hint="eastAsia" w:ascii="仿宋_GB2312" w:eastAsia="仿宋_GB2312"/>
          <w:color w:val="auto"/>
          <w:sz w:val="32"/>
          <w:szCs w:val="32"/>
          <w:highlight w:val="none"/>
        </w:rPr>
        <w:t>所需的公务用车燃料费、维修费、过路过桥费、保险费等支出。</w:t>
      </w:r>
    </w:p>
    <w:p w14:paraId="6307595B">
      <w:pPr>
        <w:spacing w:line="600" w:lineRule="exact"/>
        <w:ind w:firstLine="640"/>
        <w:rPr>
          <w:rFonts w:hint="default" w:ascii="仿宋_GB2312" w:eastAsia="仿宋_GB2312"/>
          <w:color w:val="auto"/>
          <w:sz w:val="32"/>
          <w:szCs w:val="32"/>
          <w:highlight w:val="none"/>
          <w:lang w:val="en-US" w:eastAsia="zh-CN"/>
        </w:rPr>
      </w:pPr>
      <w:r>
        <w:rPr>
          <w:rFonts w:ascii="仿宋_GB2312" w:eastAsia="仿宋_GB2312"/>
          <w:b/>
          <w:color w:val="auto"/>
          <w:sz w:val="32"/>
          <w:szCs w:val="32"/>
          <w:highlight w:val="none"/>
        </w:rPr>
        <w:t>3.</w:t>
      </w:r>
      <w:r>
        <w:rPr>
          <w:rFonts w:hint="eastAsia" w:ascii="仿宋_GB2312" w:eastAsia="仿宋_GB2312"/>
          <w:b/>
          <w:color w:val="auto"/>
          <w:sz w:val="32"/>
          <w:szCs w:val="32"/>
          <w:highlight w:val="none"/>
        </w:rPr>
        <w:t>公务接待费支出</w:t>
      </w:r>
      <w:r>
        <w:rPr>
          <w:rFonts w:hint="eastAsia" w:ascii="仿宋_GB2312" w:eastAsia="仿宋_GB2312"/>
          <w:color w:val="auto"/>
          <w:sz w:val="32"/>
          <w:szCs w:val="32"/>
          <w:highlight w:val="none"/>
          <w:lang w:val="en-US" w:eastAsia="zh-CN"/>
        </w:rPr>
        <w:t>4.69</w:t>
      </w:r>
      <w:r>
        <w:rPr>
          <w:rFonts w:hint="eastAsia" w:ascii="仿宋_GB2312" w:eastAsia="仿宋_GB2312"/>
          <w:color w:val="auto"/>
          <w:sz w:val="32"/>
          <w:szCs w:val="32"/>
          <w:highlight w:val="none"/>
        </w:rPr>
        <w:t>万元，</w:t>
      </w:r>
      <w:r>
        <w:rPr>
          <w:rStyle w:val="26"/>
          <w:rFonts w:hint="eastAsia" w:ascii="仿宋" w:hAnsi="仿宋" w:eastAsia="仿宋"/>
          <w:b w:val="0"/>
          <w:bCs/>
          <w:color w:val="auto"/>
          <w:sz w:val="32"/>
          <w:szCs w:val="32"/>
          <w:highlight w:val="none"/>
        </w:rPr>
        <w:t>完成预算</w:t>
      </w:r>
      <w:r>
        <w:rPr>
          <w:rStyle w:val="26"/>
          <w:rFonts w:hint="eastAsia" w:ascii="仿宋" w:hAnsi="仿宋" w:eastAsia="仿宋"/>
          <w:b w:val="0"/>
          <w:bCs/>
          <w:color w:val="auto"/>
          <w:sz w:val="32"/>
          <w:szCs w:val="32"/>
          <w:highlight w:val="none"/>
          <w:lang w:val="en-US" w:eastAsia="zh-CN"/>
        </w:rPr>
        <w:t>100</w:t>
      </w:r>
      <w:r>
        <w:rPr>
          <w:rStyle w:val="26"/>
          <w:rFonts w:ascii="仿宋" w:hAnsi="仿宋" w:eastAsia="仿宋"/>
          <w:b w:val="0"/>
          <w:bCs/>
          <w:color w:val="auto"/>
          <w:sz w:val="32"/>
          <w:szCs w:val="32"/>
          <w:highlight w:val="none"/>
        </w:rPr>
        <w:t>%</w:t>
      </w:r>
      <w:r>
        <w:rPr>
          <w:rStyle w:val="26"/>
          <w:rFonts w:hint="eastAsia" w:ascii="仿宋" w:hAnsi="仿宋" w:eastAsia="仿宋"/>
          <w:b w:val="0"/>
          <w:bCs/>
          <w:color w:val="auto"/>
          <w:sz w:val="32"/>
          <w:szCs w:val="32"/>
          <w:highlight w:val="none"/>
        </w:rPr>
        <w:t>。</w:t>
      </w:r>
      <w:r>
        <w:rPr>
          <w:rFonts w:hint="eastAsia" w:ascii="仿宋_GB2312" w:eastAsia="仿宋_GB2312"/>
          <w:color w:val="auto"/>
          <w:sz w:val="32"/>
          <w:szCs w:val="32"/>
          <w:highlight w:val="none"/>
        </w:rPr>
        <w:t>公务接待费支出决算比</w:t>
      </w:r>
      <w:r>
        <w:rPr>
          <w:rFonts w:hint="eastAsia" w:ascii="仿宋_GB2312" w:eastAsia="仿宋_GB2312"/>
          <w:color w:val="auto"/>
          <w:sz w:val="32"/>
          <w:szCs w:val="32"/>
          <w:highlight w:val="none"/>
          <w:lang w:eastAsia="zh-CN"/>
        </w:rPr>
        <w:t>2023年减少</w:t>
      </w:r>
      <w:r>
        <w:rPr>
          <w:rFonts w:hint="eastAsia" w:ascii="仿宋_GB2312" w:eastAsia="仿宋_GB2312"/>
          <w:color w:val="auto"/>
          <w:sz w:val="32"/>
          <w:szCs w:val="32"/>
          <w:highlight w:val="none"/>
          <w:lang w:val="en-US" w:eastAsia="zh-CN"/>
        </w:rPr>
        <w:t>0.21</w:t>
      </w:r>
      <w:r>
        <w:rPr>
          <w:rFonts w:hint="eastAsia" w:ascii="仿宋_GB2312" w:eastAsia="仿宋_GB2312"/>
          <w:color w:val="auto"/>
          <w:sz w:val="32"/>
          <w:szCs w:val="32"/>
          <w:highlight w:val="none"/>
        </w:rPr>
        <w:t>万元，</w:t>
      </w:r>
      <w:r>
        <w:rPr>
          <w:rFonts w:hint="eastAsia" w:ascii="仿宋_GB2312" w:eastAsia="仿宋_GB2312"/>
          <w:color w:val="auto"/>
          <w:sz w:val="32"/>
          <w:szCs w:val="32"/>
          <w:highlight w:val="none"/>
          <w:lang w:eastAsia="zh-CN"/>
        </w:rPr>
        <w:t>下降</w:t>
      </w:r>
      <w:r>
        <w:rPr>
          <w:rFonts w:hint="eastAsia" w:ascii="仿宋_GB2312" w:eastAsia="仿宋_GB2312"/>
          <w:color w:val="auto"/>
          <w:sz w:val="32"/>
          <w:szCs w:val="32"/>
          <w:highlight w:val="none"/>
          <w:lang w:val="en-US" w:eastAsia="zh-CN"/>
        </w:rPr>
        <w:t>4.48</w:t>
      </w:r>
      <w:r>
        <w:rPr>
          <w:rFonts w:ascii="仿宋_GB2312" w:eastAsia="仿宋_GB2312"/>
          <w:color w:val="auto"/>
          <w:sz w:val="32"/>
          <w:szCs w:val="32"/>
          <w:highlight w:val="none"/>
        </w:rPr>
        <w:t>%</w:t>
      </w:r>
      <w:r>
        <w:rPr>
          <w:rFonts w:hint="eastAsia" w:ascii="仿宋_GB2312" w:eastAsia="仿宋_GB2312"/>
          <w:color w:val="auto"/>
          <w:sz w:val="32"/>
          <w:szCs w:val="32"/>
          <w:highlight w:val="none"/>
        </w:rPr>
        <w:t>。主要</w:t>
      </w:r>
      <w:r>
        <w:rPr>
          <w:rFonts w:hint="eastAsia" w:ascii="仿宋_GB2312" w:eastAsia="仿宋_GB2312"/>
          <w:color w:val="auto"/>
          <w:sz w:val="32"/>
          <w:szCs w:val="32"/>
          <w:highlight w:val="none"/>
          <w:lang w:eastAsia="zh-CN"/>
        </w:rPr>
        <w:t>原因是本年接待较</w:t>
      </w:r>
      <w:r>
        <w:rPr>
          <w:rFonts w:hint="eastAsia" w:ascii="仿宋_GB2312" w:eastAsia="仿宋_GB2312"/>
          <w:color w:val="auto"/>
          <w:sz w:val="32"/>
          <w:szCs w:val="32"/>
          <w:highlight w:val="none"/>
          <w:lang w:val="en-US" w:eastAsia="zh-CN"/>
        </w:rPr>
        <w:t>2023年减少</w:t>
      </w:r>
      <w:r>
        <w:rPr>
          <w:rFonts w:hint="eastAsia" w:ascii="仿宋_GB2312" w:eastAsia="仿宋_GB2312"/>
          <w:color w:val="auto"/>
          <w:sz w:val="32"/>
          <w:szCs w:val="32"/>
          <w:highlight w:val="none"/>
        </w:rPr>
        <w:t>。其中：</w:t>
      </w:r>
      <w:r>
        <w:rPr>
          <w:rFonts w:hint="eastAsia" w:ascii="仿宋_GB2312" w:eastAsia="仿宋_GB2312"/>
          <w:color w:val="auto"/>
          <w:sz w:val="32"/>
          <w:szCs w:val="32"/>
          <w:highlight w:val="none"/>
          <w:lang w:eastAsia="zh-CN"/>
        </w:rPr>
        <w:t>省市公务接待较</w:t>
      </w:r>
      <w:r>
        <w:rPr>
          <w:rFonts w:hint="eastAsia" w:ascii="仿宋_GB2312" w:eastAsia="仿宋_GB2312"/>
          <w:color w:val="auto"/>
          <w:sz w:val="32"/>
          <w:szCs w:val="32"/>
          <w:highlight w:val="none"/>
          <w:lang w:val="en-US" w:eastAsia="zh-CN"/>
        </w:rPr>
        <w:t>2023年减少。</w:t>
      </w:r>
    </w:p>
    <w:p w14:paraId="50804ADE">
      <w:pPr>
        <w:spacing w:line="600" w:lineRule="exact"/>
        <w:ind w:firstLine="643" w:firstLineChars="200"/>
        <w:rPr>
          <w:rFonts w:hint="eastAsia" w:ascii="仿宋_GB2312" w:eastAsia="仿宋_GB2312"/>
          <w:color w:val="auto"/>
          <w:sz w:val="32"/>
          <w:szCs w:val="32"/>
          <w:highlight w:val="none"/>
          <w:lang w:val="en-US" w:eastAsia="zh-CN"/>
        </w:rPr>
      </w:pPr>
      <w:r>
        <w:rPr>
          <w:rFonts w:hint="eastAsia" w:ascii="仿宋" w:hAnsi="仿宋" w:eastAsia="仿宋"/>
          <w:b/>
          <w:color w:val="auto"/>
          <w:sz w:val="32"/>
          <w:szCs w:val="32"/>
          <w:highlight w:val="none"/>
        </w:rPr>
        <w:t>国内公务接待支出</w:t>
      </w:r>
      <w:r>
        <w:rPr>
          <w:rFonts w:hint="eastAsia" w:ascii="仿宋" w:hAnsi="仿宋" w:eastAsia="仿宋"/>
          <w:color w:val="auto"/>
          <w:sz w:val="32"/>
          <w:szCs w:val="32"/>
          <w:highlight w:val="none"/>
          <w:lang w:val="en-US" w:eastAsia="zh-CN"/>
        </w:rPr>
        <w:t>4.69</w:t>
      </w:r>
      <w:r>
        <w:rPr>
          <w:rFonts w:hint="eastAsia" w:ascii="仿宋_GB2312" w:eastAsia="仿宋_GB2312"/>
          <w:color w:val="auto"/>
          <w:sz w:val="32"/>
          <w:szCs w:val="32"/>
          <w:highlight w:val="none"/>
        </w:rPr>
        <w:t>万元，主要用执行公务、开展业务活动开支的交通费、住宿费、用餐费等。国内公务接待</w:t>
      </w:r>
      <w:r>
        <w:rPr>
          <w:rFonts w:hint="eastAsia" w:ascii="仿宋_GB2312" w:eastAsia="仿宋_GB2312"/>
          <w:color w:val="auto"/>
          <w:sz w:val="32"/>
          <w:szCs w:val="32"/>
          <w:highlight w:val="none"/>
          <w:lang w:val="en-US" w:eastAsia="zh-CN"/>
        </w:rPr>
        <w:t>27</w:t>
      </w:r>
      <w:r>
        <w:rPr>
          <w:rFonts w:hint="eastAsia" w:ascii="仿宋_GB2312" w:eastAsia="仿宋_GB2312"/>
          <w:color w:val="auto"/>
          <w:sz w:val="32"/>
          <w:szCs w:val="32"/>
          <w:highlight w:val="none"/>
        </w:rPr>
        <w:t>批次，</w:t>
      </w:r>
      <w:r>
        <w:rPr>
          <w:rFonts w:hint="eastAsia" w:ascii="仿宋_GB2312" w:eastAsia="仿宋_GB2312"/>
          <w:color w:val="auto"/>
          <w:sz w:val="32"/>
          <w:szCs w:val="32"/>
          <w:highlight w:val="none"/>
          <w:lang w:val="en-US" w:eastAsia="zh-CN"/>
        </w:rPr>
        <w:t>458</w:t>
      </w:r>
      <w:r>
        <w:rPr>
          <w:rFonts w:hint="eastAsia" w:ascii="仿宋_GB2312" w:eastAsia="仿宋_GB2312"/>
          <w:color w:val="auto"/>
          <w:sz w:val="32"/>
          <w:szCs w:val="32"/>
          <w:highlight w:val="none"/>
        </w:rPr>
        <w:t>人次（不包括陪同人员），共计支出</w:t>
      </w:r>
      <w:r>
        <w:rPr>
          <w:rFonts w:hint="eastAsia" w:ascii="仿宋_GB2312" w:eastAsia="仿宋_GB2312"/>
          <w:color w:val="auto"/>
          <w:sz w:val="32"/>
          <w:szCs w:val="32"/>
          <w:highlight w:val="none"/>
          <w:lang w:val="en-US" w:eastAsia="zh-CN"/>
        </w:rPr>
        <w:t>4.69</w:t>
      </w:r>
      <w:r>
        <w:rPr>
          <w:rFonts w:hint="eastAsia" w:ascii="仿宋_GB2312" w:eastAsia="仿宋_GB2312"/>
          <w:color w:val="auto"/>
          <w:sz w:val="32"/>
          <w:szCs w:val="32"/>
          <w:highlight w:val="none"/>
        </w:rPr>
        <w:t>万元。</w:t>
      </w:r>
      <w:r>
        <w:rPr>
          <w:rFonts w:hint="eastAsia" w:ascii="仿宋_GB2312" w:eastAsia="仿宋_GB2312"/>
          <w:color w:val="auto"/>
          <w:sz w:val="32"/>
          <w:szCs w:val="32"/>
          <w:highlight w:val="none"/>
          <w:lang w:eastAsia="zh-CN"/>
        </w:rPr>
        <w:t>具体内容包括：</w:t>
      </w:r>
      <w:r>
        <w:rPr>
          <w:rFonts w:hint="eastAsia" w:ascii="仿宋_GB2312" w:eastAsia="仿宋_GB2312"/>
          <w:color w:val="auto"/>
          <w:sz w:val="32"/>
          <w:szCs w:val="32"/>
          <w:highlight w:val="none"/>
          <w:lang w:val="en-US" w:eastAsia="zh-CN"/>
        </w:rPr>
        <w:t>接待市区竣工验收水库除险加固工程项目，接待人次13人，金额1300元；接待市人大常委会及各区（县）调研水土保持工作，接待人次15人，金额1280元；接待市水利局关于开展市</w:t>
      </w:r>
    </w:p>
    <w:p w14:paraId="23299ED0">
      <w:pPr>
        <w:spacing w:line="600" w:lineRule="exact"/>
        <w:ind w:firstLine="640" w:firstLineChars="200"/>
        <w:rPr>
          <w:rFonts w:hint="default"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t>县现代水网建设规划编制需求调研的事项，接待两天总人次26人，金额1960元；接待水资源督察工作事项，接待人次10人，金额814元；接待四川省中小型水库安全运行专项检查工作，接待人次18人，金额1856元。</w:t>
      </w:r>
    </w:p>
    <w:p w14:paraId="50F08477">
      <w:pPr>
        <w:spacing w:line="600" w:lineRule="exact"/>
        <w:ind w:firstLine="643" w:firstLineChars="200"/>
        <w:rPr>
          <w:rFonts w:ascii="仿宋_GB2312" w:eastAsia="仿宋_GB2312"/>
          <w:color w:val="auto"/>
          <w:sz w:val="32"/>
          <w:szCs w:val="32"/>
          <w:highlight w:val="none"/>
        </w:rPr>
      </w:pPr>
      <w:r>
        <w:rPr>
          <w:rFonts w:hint="eastAsia" w:ascii="仿宋" w:hAnsi="仿宋" w:eastAsia="仿宋"/>
          <w:b/>
          <w:color w:val="auto"/>
          <w:sz w:val="32"/>
          <w:szCs w:val="32"/>
          <w:highlight w:val="none"/>
        </w:rPr>
        <w:t>外事接待支出</w:t>
      </w:r>
      <w:r>
        <w:rPr>
          <w:rFonts w:hint="eastAsia" w:ascii="仿宋" w:hAnsi="仿宋" w:eastAsia="仿宋"/>
          <w:color w:val="auto"/>
          <w:sz w:val="32"/>
          <w:szCs w:val="32"/>
          <w:highlight w:val="none"/>
          <w:lang w:val="en-US" w:eastAsia="zh-CN"/>
        </w:rPr>
        <w:t>0</w:t>
      </w:r>
      <w:r>
        <w:rPr>
          <w:rFonts w:hint="eastAsia" w:ascii="仿宋_GB2312" w:eastAsia="仿宋_GB2312"/>
          <w:color w:val="auto"/>
          <w:sz w:val="32"/>
          <w:szCs w:val="32"/>
          <w:highlight w:val="none"/>
        </w:rPr>
        <w:t>万元，外事接待</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批次，</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人</w:t>
      </w:r>
      <w:r>
        <w:rPr>
          <w:rFonts w:hint="eastAsia" w:ascii="仿宋_GB2312" w:eastAsia="仿宋_GB2312"/>
          <w:color w:val="auto"/>
          <w:sz w:val="32"/>
          <w:szCs w:val="32"/>
          <w:highlight w:val="none"/>
          <w:lang w:eastAsia="zh-CN"/>
        </w:rPr>
        <w:t>次（不包括陪同人员）</w:t>
      </w:r>
      <w:r>
        <w:rPr>
          <w:rFonts w:hint="eastAsia" w:ascii="仿宋_GB2312" w:eastAsia="仿宋_GB2312"/>
          <w:color w:val="auto"/>
          <w:sz w:val="32"/>
          <w:szCs w:val="32"/>
          <w:highlight w:val="none"/>
        </w:rPr>
        <w:t>，共计支出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w:t>
      </w:r>
    </w:p>
    <w:p w14:paraId="5FDED786">
      <w:pPr>
        <w:spacing w:line="600" w:lineRule="exact"/>
        <w:ind w:firstLine="640"/>
        <w:outlineLvl w:val="1"/>
        <w:rPr>
          <w:rStyle w:val="39"/>
          <w:rFonts w:ascii="黑体" w:hAnsi="黑体" w:eastAsia="黑体"/>
          <w:color w:val="auto"/>
          <w:highlight w:val="none"/>
        </w:rPr>
      </w:pPr>
      <w:bookmarkStart w:id="129" w:name="_Toc15377218"/>
      <w:bookmarkStart w:id="130" w:name="_Toc6134"/>
      <w:bookmarkStart w:id="131" w:name="_Toc15396610"/>
      <w:bookmarkStart w:id="132" w:name="_Toc815"/>
      <w:bookmarkStart w:id="133" w:name="_Toc4803_WPSOffice_Level2"/>
      <w:r>
        <w:rPr>
          <w:rFonts w:hint="eastAsia" w:ascii="黑体" w:eastAsia="黑体"/>
          <w:color w:val="auto"/>
          <w:sz w:val="32"/>
          <w:szCs w:val="32"/>
          <w:highlight w:val="none"/>
        </w:rPr>
        <w:t>八、</w:t>
      </w:r>
      <w:r>
        <w:rPr>
          <w:rStyle w:val="39"/>
          <w:rFonts w:hint="eastAsia" w:ascii="黑体" w:hAnsi="黑体" w:eastAsia="黑体"/>
          <w:b w:val="0"/>
          <w:color w:val="auto"/>
          <w:highlight w:val="none"/>
        </w:rPr>
        <w:t>政府性基金预算支出决算情况说明</w:t>
      </w:r>
      <w:bookmarkEnd w:id="129"/>
      <w:bookmarkEnd w:id="130"/>
      <w:bookmarkEnd w:id="131"/>
      <w:bookmarkEnd w:id="132"/>
      <w:bookmarkEnd w:id="133"/>
    </w:p>
    <w:p w14:paraId="31776F03">
      <w:pPr>
        <w:spacing w:line="600" w:lineRule="exact"/>
        <w:ind w:firstLine="640" w:firstLineChars="200"/>
        <w:rPr>
          <w:rFonts w:hint="eastAsia" w:ascii="仿宋_GB2312" w:eastAsia="仿宋_GB2312"/>
          <w:color w:val="auto"/>
          <w:sz w:val="32"/>
          <w:szCs w:val="32"/>
          <w:highlight w:val="none"/>
          <w:lang w:eastAsia="zh-CN"/>
        </w:rPr>
      </w:pPr>
      <w:r>
        <w:rPr>
          <w:rFonts w:hint="eastAsia" w:ascii="仿宋_GB2312" w:eastAsia="仿宋_GB2312"/>
          <w:color w:val="auto"/>
          <w:sz w:val="32"/>
          <w:szCs w:val="32"/>
          <w:highlight w:val="none"/>
          <w:lang w:eastAsia="zh-CN"/>
        </w:rPr>
        <w:t>2024年</w:t>
      </w:r>
      <w:r>
        <w:rPr>
          <w:rFonts w:hint="eastAsia" w:ascii="仿宋_GB2312" w:eastAsia="仿宋_GB2312"/>
          <w:color w:val="auto"/>
          <w:sz w:val="32"/>
          <w:szCs w:val="32"/>
          <w:highlight w:val="none"/>
        </w:rPr>
        <w:t>政府性基金预算</w:t>
      </w:r>
      <w:r>
        <w:rPr>
          <w:rFonts w:hint="eastAsia" w:ascii="仿宋_GB2312" w:eastAsia="仿宋_GB2312"/>
          <w:color w:val="auto"/>
          <w:sz w:val="32"/>
          <w:szCs w:val="32"/>
          <w:highlight w:val="none"/>
          <w:lang w:eastAsia="zh-CN"/>
        </w:rPr>
        <w:t>财政</w:t>
      </w:r>
      <w:r>
        <w:rPr>
          <w:rFonts w:hint="eastAsia" w:ascii="仿宋_GB2312" w:eastAsia="仿宋_GB2312"/>
          <w:color w:val="auto"/>
          <w:sz w:val="32"/>
          <w:szCs w:val="32"/>
          <w:highlight w:val="none"/>
        </w:rPr>
        <w:t>拨款支出</w:t>
      </w:r>
      <w:r>
        <w:rPr>
          <w:rFonts w:hint="eastAsia" w:ascii="仿宋_GB2312" w:eastAsia="仿宋_GB2312"/>
          <w:color w:val="auto"/>
          <w:sz w:val="32"/>
          <w:szCs w:val="32"/>
          <w:highlight w:val="none"/>
          <w:lang w:val="en-US" w:eastAsia="zh-CN"/>
        </w:rPr>
        <w:t>3906.43万</w:t>
      </w:r>
      <w:r>
        <w:rPr>
          <w:rFonts w:hint="eastAsia" w:ascii="仿宋_GB2312" w:eastAsia="仿宋_GB2312"/>
          <w:color w:val="auto"/>
          <w:sz w:val="32"/>
          <w:szCs w:val="32"/>
          <w:highlight w:val="none"/>
        </w:rPr>
        <w:t>元。</w:t>
      </w:r>
      <w:bookmarkStart w:id="134" w:name="_Toc15377219"/>
      <w:bookmarkStart w:id="135" w:name="_Toc15396611"/>
      <w:bookmarkStart w:id="136" w:name="_Toc23701_WPSOffice_Level2"/>
      <w:bookmarkStart w:id="137" w:name="_Toc11742"/>
      <w:r>
        <w:rPr>
          <w:rFonts w:hint="eastAsia" w:ascii="仿宋_GB2312" w:eastAsia="仿宋_GB2312"/>
          <w:color w:val="auto"/>
          <w:sz w:val="32"/>
          <w:szCs w:val="32"/>
          <w:highlight w:val="none"/>
          <w:lang w:val="en-US" w:eastAsia="zh-CN"/>
        </w:rPr>
        <w:t>2024年度政府性基金预算财政拨款支出3906.43万元，占本年支出合计的11.7%。与2023年度相比，政府性基金预算财政拨款支出减少9526.36万元，下降41%。主要变动原因是项目减少。</w:t>
      </w:r>
      <w:r>
        <w:rPr>
          <w:rFonts w:hint="eastAsia" w:ascii="仿宋_GB2312" w:eastAsia="仿宋_GB2312"/>
          <w:color w:val="auto"/>
          <w:sz w:val="32"/>
          <w:szCs w:val="32"/>
          <w:highlight w:val="none"/>
          <w:lang w:eastAsia="zh-CN"/>
        </w:rPr>
        <w:t>如：</w:t>
      </w:r>
      <w:r>
        <w:rPr>
          <w:rFonts w:hint="eastAsia" w:ascii="仿宋_GB2312" w:eastAsia="仿宋_GB2312"/>
          <w:color w:val="auto"/>
          <w:sz w:val="32"/>
          <w:szCs w:val="32"/>
          <w:highlight w:val="none"/>
        </w:rPr>
        <w:t>安居区城镇全域供水基础设施建设项目</w:t>
      </w:r>
      <w:r>
        <w:rPr>
          <w:rFonts w:hint="eastAsia" w:ascii="仿宋_GB2312" w:eastAsia="仿宋_GB2312"/>
          <w:color w:val="auto"/>
          <w:sz w:val="32"/>
          <w:szCs w:val="32"/>
          <w:highlight w:val="none"/>
          <w:lang w:eastAsia="zh-CN"/>
        </w:rPr>
        <w:t>、三仙湖水库工程、农村饮水安全等项目。</w:t>
      </w:r>
    </w:p>
    <w:p w14:paraId="23707AC5">
      <w:pPr>
        <w:numPr>
          <w:ilvl w:val="0"/>
          <w:numId w:val="3"/>
        </w:numPr>
        <w:spacing w:line="600" w:lineRule="exact"/>
        <w:ind w:firstLine="640"/>
        <w:outlineLvl w:val="1"/>
        <w:rPr>
          <w:rStyle w:val="39"/>
          <w:rFonts w:ascii="黑体" w:hAnsi="黑体" w:eastAsia="黑体"/>
          <w:b w:val="0"/>
          <w:color w:val="auto"/>
          <w:highlight w:val="none"/>
        </w:rPr>
      </w:pPr>
      <w:bookmarkStart w:id="138" w:name="_Toc10010"/>
      <w:r>
        <w:rPr>
          <w:rStyle w:val="39"/>
          <w:rFonts w:hint="eastAsia" w:ascii="黑体" w:hAnsi="黑体" w:eastAsia="黑体"/>
          <w:b w:val="0"/>
          <w:color w:val="auto"/>
          <w:highlight w:val="none"/>
        </w:rPr>
        <w:t>国有资本经营预算支出决算情况说明</w:t>
      </w:r>
      <w:bookmarkEnd w:id="134"/>
      <w:bookmarkEnd w:id="135"/>
      <w:bookmarkEnd w:id="136"/>
      <w:bookmarkEnd w:id="137"/>
      <w:bookmarkEnd w:id="138"/>
    </w:p>
    <w:p w14:paraId="3F1C15E3">
      <w:pPr>
        <w:spacing w:line="600" w:lineRule="exact"/>
        <w:ind w:firstLine="640"/>
        <w:rPr>
          <w:rFonts w:ascii="仿宋_GB2312" w:eastAsia="仿宋_GB2312"/>
          <w:color w:val="auto"/>
          <w:sz w:val="32"/>
          <w:szCs w:val="32"/>
          <w:highlight w:val="none"/>
        </w:rPr>
      </w:pPr>
      <w:r>
        <w:rPr>
          <w:rFonts w:hint="eastAsia" w:ascii="仿宋_GB2312" w:eastAsia="仿宋_GB2312"/>
          <w:color w:val="auto"/>
          <w:sz w:val="32"/>
          <w:szCs w:val="32"/>
          <w:highlight w:val="none"/>
          <w:lang w:eastAsia="zh-CN"/>
        </w:rPr>
        <w:t>2024年</w:t>
      </w:r>
      <w:r>
        <w:rPr>
          <w:rFonts w:hint="eastAsia" w:ascii="仿宋_GB2312" w:eastAsia="仿宋_GB2312"/>
          <w:color w:val="auto"/>
          <w:sz w:val="32"/>
          <w:szCs w:val="32"/>
          <w:highlight w:val="none"/>
        </w:rPr>
        <w:t>国有资本经营预算</w:t>
      </w:r>
      <w:r>
        <w:rPr>
          <w:rFonts w:hint="eastAsia" w:ascii="仿宋_GB2312" w:eastAsia="仿宋_GB2312"/>
          <w:color w:val="auto"/>
          <w:sz w:val="32"/>
          <w:szCs w:val="32"/>
          <w:highlight w:val="none"/>
          <w:lang w:eastAsia="zh-CN"/>
        </w:rPr>
        <w:t>财政</w:t>
      </w:r>
      <w:r>
        <w:rPr>
          <w:rFonts w:hint="eastAsia" w:ascii="仿宋_GB2312" w:eastAsia="仿宋_GB2312"/>
          <w:color w:val="auto"/>
          <w:sz w:val="32"/>
          <w:szCs w:val="32"/>
          <w:highlight w:val="none"/>
        </w:rPr>
        <w:t>拨款支出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w:t>
      </w:r>
    </w:p>
    <w:p w14:paraId="24C7D925">
      <w:pPr>
        <w:numPr>
          <w:ilvl w:val="0"/>
          <w:numId w:val="3"/>
        </w:numPr>
        <w:spacing w:line="600" w:lineRule="exact"/>
        <w:ind w:firstLine="640"/>
        <w:outlineLvl w:val="1"/>
        <w:rPr>
          <w:rStyle w:val="39"/>
          <w:rFonts w:hint="eastAsia" w:ascii="黑体" w:hAnsi="黑体" w:eastAsia="黑体"/>
          <w:b w:val="0"/>
          <w:color w:val="auto"/>
          <w:highlight w:val="none"/>
        </w:rPr>
      </w:pPr>
      <w:bookmarkStart w:id="139" w:name="_Toc25931"/>
      <w:bookmarkStart w:id="140" w:name="_Toc28916"/>
      <w:bookmarkStart w:id="141" w:name="_Toc15396612"/>
      <w:bookmarkStart w:id="142" w:name="_Toc10273_WPSOffice_Level2"/>
      <w:bookmarkStart w:id="143" w:name="_Toc15377221"/>
      <w:r>
        <w:rPr>
          <w:rStyle w:val="39"/>
          <w:rFonts w:hint="eastAsia" w:ascii="黑体" w:hAnsi="黑体" w:eastAsia="黑体"/>
          <w:b w:val="0"/>
          <w:color w:val="auto"/>
          <w:highlight w:val="none"/>
        </w:rPr>
        <w:t>其他重要事项的情况说明</w:t>
      </w:r>
      <w:bookmarkEnd w:id="139"/>
      <w:bookmarkEnd w:id="140"/>
      <w:bookmarkEnd w:id="141"/>
      <w:bookmarkEnd w:id="142"/>
      <w:bookmarkEnd w:id="143"/>
    </w:p>
    <w:p w14:paraId="45E859F3">
      <w:pPr>
        <w:spacing w:line="600" w:lineRule="exact"/>
        <w:ind w:firstLine="643" w:firstLineChars="200"/>
        <w:outlineLvl w:val="2"/>
        <w:rPr>
          <w:rFonts w:ascii="仿宋" w:hAnsi="仿宋" w:eastAsia="仿宋"/>
          <w:color w:val="auto"/>
          <w:sz w:val="32"/>
          <w:szCs w:val="32"/>
          <w:highlight w:val="none"/>
        </w:rPr>
      </w:pPr>
      <w:bookmarkStart w:id="144" w:name="_Toc29694"/>
      <w:bookmarkStart w:id="145" w:name="_Toc15377222"/>
      <w:bookmarkStart w:id="146" w:name="_Toc10824"/>
      <w:bookmarkStart w:id="147" w:name="_Toc11008_WPSOffice_Level3"/>
      <w:r>
        <w:rPr>
          <w:rFonts w:hint="eastAsia" w:ascii="仿宋" w:hAnsi="仿宋" w:eastAsia="仿宋"/>
          <w:b/>
          <w:color w:val="auto"/>
          <w:sz w:val="32"/>
          <w:szCs w:val="32"/>
          <w:highlight w:val="none"/>
        </w:rPr>
        <w:t>（一）机关运行经费支出情况</w:t>
      </w:r>
      <w:bookmarkEnd w:id="144"/>
      <w:bookmarkEnd w:id="145"/>
      <w:bookmarkEnd w:id="146"/>
      <w:bookmarkEnd w:id="147"/>
    </w:p>
    <w:p w14:paraId="4838032F">
      <w:pPr>
        <w:spacing w:line="600" w:lineRule="exact"/>
        <w:ind w:firstLine="640" w:firstLineChars="200"/>
        <w:rPr>
          <w:rFonts w:hint="eastAsia" w:ascii="仿宋_GB2312" w:eastAsia="仿宋_GB2312"/>
          <w:color w:val="auto"/>
          <w:sz w:val="32"/>
          <w:szCs w:val="32"/>
          <w:highlight w:val="none"/>
          <w:lang w:eastAsia="zh-CN"/>
        </w:rPr>
      </w:pPr>
      <w:r>
        <w:rPr>
          <w:rFonts w:hint="eastAsia" w:ascii="仿宋_GB2312" w:eastAsia="仿宋_GB2312"/>
          <w:color w:val="auto"/>
          <w:sz w:val="32"/>
          <w:szCs w:val="32"/>
          <w:highlight w:val="none"/>
          <w:lang w:eastAsia="zh-CN"/>
        </w:rPr>
        <w:t>2024年</w:t>
      </w:r>
      <w:r>
        <w:rPr>
          <w:rFonts w:hint="eastAsia" w:ascii="仿宋_GB2312" w:eastAsia="仿宋_GB2312"/>
          <w:color w:val="auto"/>
          <w:sz w:val="32"/>
          <w:szCs w:val="32"/>
          <w:highlight w:val="none"/>
        </w:rPr>
        <w:t>，</w:t>
      </w:r>
      <w:r>
        <w:rPr>
          <w:rFonts w:hint="eastAsia" w:ascii="仿宋_GB2312" w:eastAsia="仿宋_GB2312"/>
          <w:color w:val="auto"/>
          <w:sz w:val="32"/>
          <w:szCs w:val="32"/>
          <w:highlight w:val="none"/>
          <w:lang w:eastAsia="zh-CN"/>
        </w:rPr>
        <w:t>安居区水利局</w:t>
      </w:r>
      <w:r>
        <w:rPr>
          <w:rFonts w:hint="eastAsia" w:ascii="仿宋_GB2312" w:eastAsia="仿宋_GB2312"/>
          <w:color w:val="auto"/>
          <w:sz w:val="32"/>
          <w:szCs w:val="32"/>
          <w:highlight w:val="none"/>
        </w:rPr>
        <w:t>机关运行经费支出</w:t>
      </w:r>
      <w:r>
        <w:rPr>
          <w:rFonts w:hint="eastAsia" w:ascii="仿宋_GB2312" w:eastAsia="仿宋_GB2312"/>
          <w:color w:val="auto"/>
          <w:sz w:val="32"/>
          <w:szCs w:val="32"/>
          <w:highlight w:val="none"/>
          <w:lang w:val="en-US" w:eastAsia="zh-CN"/>
        </w:rPr>
        <w:t>151.61</w:t>
      </w:r>
      <w:r>
        <w:rPr>
          <w:rFonts w:hint="eastAsia" w:ascii="仿宋_GB2312" w:eastAsia="仿宋_GB2312"/>
          <w:color w:val="auto"/>
          <w:sz w:val="32"/>
          <w:szCs w:val="32"/>
          <w:highlight w:val="none"/>
        </w:rPr>
        <w:t>万元，比</w:t>
      </w:r>
      <w:r>
        <w:rPr>
          <w:rFonts w:hint="eastAsia" w:ascii="仿宋_GB2312" w:eastAsia="仿宋_GB2312"/>
          <w:color w:val="auto"/>
          <w:sz w:val="32"/>
          <w:szCs w:val="32"/>
          <w:highlight w:val="none"/>
          <w:lang w:eastAsia="zh-CN"/>
        </w:rPr>
        <w:t>2023年减少</w:t>
      </w:r>
      <w:r>
        <w:rPr>
          <w:rFonts w:hint="eastAsia" w:ascii="仿宋_GB2312" w:eastAsia="仿宋_GB2312"/>
          <w:color w:val="auto"/>
          <w:sz w:val="32"/>
          <w:szCs w:val="32"/>
          <w:highlight w:val="none"/>
          <w:lang w:val="en-US" w:eastAsia="zh-CN"/>
        </w:rPr>
        <w:t>16.31</w:t>
      </w:r>
      <w:r>
        <w:rPr>
          <w:rFonts w:hint="eastAsia" w:ascii="仿宋_GB2312" w:eastAsia="仿宋_GB2312"/>
          <w:color w:val="auto"/>
          <w:sz w:val="32"/>
          <w:szCs w:val="32"/>
          <w:highlight w:val="none"/>
        </w:rPr>
        <w:t>万元，</w:t>
      </w:r>
      <w:r>
        <w:rPr>
          <w:rFonts w:hint="eastAsia" w:ascii="仿宋_GB2312" w:eastAsia="仿宋_GB2312"/>
          <w:color w:val="auto"/>
          <w:sz w:val="32"/>
          <w:szCs w:val="32"/>
          <w:highlight w:val="none"/>
          <w:lang w:eastAsia="zh-CN"/>
        </w:rPr>
        <w:t>下降</w:t>
      </w:r>
      <w:r>
        <w:rPr>
          <w:rFonts w:hint="eastAsia" w:ascii="仿宋_GB2312" w:eastAsia="仿宋_GB2312"/>
          <w:color w:val="auto"/>
          <w:sz w:val="32"/>
          <w:szCs w:val="32"/>
          <w:highlight w:val="none"/>
          <w:lang w:val="en-US" w:eastAsia="zh-CN"/>
        </w:rPr>
        <w:t>9.71</w:t>
      </w:r>
      <w:r>
        <w:rPr>
          <w:rFonts w:ascii="仿宋_GB2312" w:eastAsia="仿宋_GB2312"/>
          <w:color w:val="auto"/>
          <w:sz w:val="32"/>
          <w:szCs w:val="32"/>
          <w:highlight w:val="none"/>
        </w:rPr>
        <w:t>%</w:t>
      </w:r>
      <w:r>
        <w:rPr>
          <w:rFonts w:hint="eastAsia" w:ascii="仿宋_GB2312" w:eastAsia="仿宋_GB2312"/>
          <w:color w:val="auto"/>
          <w:sz w:val="32"/>
          <w:szCs w:val="32"/>
          <w:highlight w:val="none"/>
        </w:rPr>
        <w:t>主要原因是</w:t>
      </w:r>
      <w:r>
        <w:rPr>
          <w:rFonts w:hint="eastAsia" w:ascii="仿宋_GB2312" w:eastAsia="仿宋_GB2312"/>
          <w:color w:val="auto"/>
          <w:sz w:val="32"/>
          <w:szCs w:val="32"/>
          <w:highlight w:val="none"/>
          <w:lang w:eastAsia="zh-CN"/>
        </w:rPr>
        <w:t>办公费、福利费支出减少较多。</w:t>
      </w:r>
    </w:p>
    <w:p w14:paraId="25A6FA7E">
      <w:pPr>
        <w:autoSpaceDE w:val="0"/>
        <w:autoSpaceDN w:val="0"/>
        <w:adjustRightInd w:val="0"/>
        <w:spacing w:line="600" w:lineRule="exact"/>
        <w:ind w:firstLine="643" w:firstLineChars="200"/>
        <w:jc w:val="left"/>
        <w:outlineLvl w:val="2"/>
        <w:rPr>
          <w:rFonts w:ascii="仿宋" w:hAnsi="仿宋" w:eastAsia="仿宋"/>
          <w:b/>
          <w:color w:val="auto"/>
          <w:sz w:val="32"/>
          <w:szCs w:val="32"/>
          <w:highlight w:val="none"/>
        </w:rPr>
      </w:pPr>
      <w:bookmarkStart w:id="148" w:name="_Toc20318_WPSOffice_Level3"/>
      <w:bookmarkStart w:id="149" w:name="_Toc9328"/>
      <w:bookmarkStart w:id="150" w:name="_Toc15377223"/>
      <w:bookmarkStart w:id="151" w:name="_Toc21631"/>
      <w:r>
        <w:rPr>
          <w:rFonts w:hint="eastAsia" w:ascii="仿宋" w:hAnsi="仿宋" w:eastAsia="仿宋"/>
          <w:b/>
          <w:color w:val="auto"/>
          <w:sz w:val="32"/>
          <w:szCs w:val="32"/>
          <w:highlight w:val="none"/>
        </w:rPr>
        <w:t>（二）政府采购支出情况</w:t>
      </w:r>
      <w:bookmarkEnd w:id="148"/>
      <w:bookmarkEnd w:id="149"/>
      <w:bookmarkEnd w:id="150"/>
      <w:bookmarkEnd w:id="151"/>
    </w:p>
    <w:p w14:paraId="1D7D9ABE">
      <w:pPr>
        <w:spacing w:line="60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lang w:eastAsia="zh-CN"/>
        </w:rPr>
        <w:t>2024年</w:t>
      </w:r>
      <w:r>
        <w:rPr>
          <w:rFonts w:hint="eastAsia" w:ascii="仿宋_GB2312" w:eastAsia="仿宋_GB2312"/>
          <w:color w:val="auto"/>
          <w:sz w:val="32"/>
          <w:szCs w:val="32"/>
          <w:highlight w:val="none"/>
        </w:rPr>
        <w:t>，</w:t>
      </w:r>
      <w:r>
        <w:rPr>
          <w:rFonts w:hint="eastAsia" w:ascii="仿宋_GB2312" w:eastAsia="仿宋_GB2312"/>
          <w:color w:val="auto"/>
          <w:sz w:val="32"/>
          <w:szCs w:val="32"/>
          <w:highlight w:val="none"/>
          <w:lang w:eastAsia="zh-CN"/>
        </w:rPr>
        <w:t>区水利局</w:t>
      </w:r>
      <w:r>
        <w:rPr>
          <w:rFonts w:hint="eastAsia" w:ascii="仿宋_GB2312" w:eastAsia="仿宋_GB2312"/>
          <w:color w:val="auto"/>
          <w:sz w:val="32"/>
          <w:szCs w:val="32"/>
          <w:highlight w:val="none"/>
        </w:rPr>
        <w:t>政府采购支出总额</w:t>
      </w:r>
      <w:r>
        <w:rPr>
          <w:rFonts w:hint="eastAsia" w:ascii="仿宋_GB2312" w:eastAsia="仿宋_GB2312"/>
          <w:color w:val="auto"/>
          <w:sz w:val="32"/>
          <w:szCs w:val="32"/>
          <w:highlight w:val="none"/>
          <w:lang w:val="en-US" w:eastAsia="zh-CN"/>
        </w:rPr>
        <w:t>6.35</w:t>
      </w:r>
      <w:r>
        <w:rPr>
          <w:rFonts w:hint="eastAsia" w:ascii="仿宋_GB2312" w:eastAsia="仿宋_GB2312"/>
          <w:color w:val="auto"/>
          <w:sz w:val="32"/>
          <w:szCs w:val="32"/>
          <w:highlight w:val="none"/>
        </w:rPr>
        <w:t>万元，其中：政府采购货物支出</w:t>
      </w:r>
      <w:r>
        <w:rPr>
          <w:rFonts w:hint="eastAsia" w:ascii="仿宋_GB2312" w:eastAsia="仿宋_GB2312"/>
          <w:color w:val="auto"/>
          <w:sz w:val="32"/>
          <w:szCs w:val="32"/>
          <w:highlight w:val="none"/>
          <w:lang w:val="en-US" w:eastAsia="zh-CN"/>
        </w:rPr>
        <w:t>6.35</w:t>
      </w:r>
      <w:r>
        <w:rPr>
          <w:rFonts w:hint="eastAsia" w:ascii="仿宋_GB2312" w:eastAsia="仿宋_GB2312"/>
          <w:color w:val="auto"/>
          <w:sz w:val="32"/>
          <w:szCs w:val="32"/>
          <w:highlight w:val="none"/>
        </w:rPr>
        <w:t>万元、政府采购工程支出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万元、政府采购服务支出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w:t>
      </w:r>
    </w:p>
    <w:p w14:paraId="7939A9D7">
      <w:pPr>
        <w:autoSpaceDE w:val="0"/>
        <w:autoSpaceDN w:val="0"/>
        <w:adjustRightInd w:val="0"/>
        <w:spacing w:line="600" w:lineRule="exact"/>
        <w:ind w:firstLine="643" w:firstLineChars="200"/>
        <w:jc w:val="left"/>
        <w:outlineLvl w:val="2"/>
        <w:rPr>
          <w:rFonts w:ascii="仿宋" w:hAnsi="仿宋" w:eastAsia="仿宋"/>
          <w:b/>
          <w:color w:val="auto"/>
          <w:sz w:val="32"/>
          <w:szCs w:val="32"/>
          <w:highlight w:val="none"/>
        </w:rPr>
      </w:pPr>
      <w:bookmarkStart w:id="152" w:name="_Toc29283"/>
      <w:bookmarkStart w:id="153" w:name="_Toc31182"/>
      <w:bookmarkStart w:id="154" w:name="_Toc15377224"/>
      <w:bookmarkStart w:id="155" w:name="_Toc14853_WPSOffice_Level3"/>
      <w:r>
        <w:rPr>
          <w:rFonts w:hint="eastAsia" w:ascii="仿宋" w:hAnsi="仿宋" w:eastAsia="仿宋"/>
          <w:b/>
          <w:color w:val="auto"/>
          <w:sz w:val="32"/>
          <w:szCs w:val="32"/>
          <w:highlight w:val="none"/>
        </w:rPr>
        <w:t>（三）国有资产占有使用情况</w:t>
      </w:r>
      <w:bookmarkEnd w:id="152"/>
      <w:bookmarkEnd w:id="153"/>
      <w:bookmarkEnd w:id="154"/>
      <w:bookmarkEnd w:id="155"/>
    </w:p>
    <w:p w14:paraId="39815BC4">
      <w:pPr>
        <w:autoSpaceDE w:val="0"/>
        <w:autoSpaceDN w:val="0"/>
        <w:adjustRightInd w:val="0"/>
        <w:spacing w:line="600" w:lineRule="exact"/>
        <w:ind w:firstLine="640" w:firstLineChars="200"/>
        <w:jc w:val="left"/>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截至</w:t>
      </w:r>
      <w:r>
        <w:rPr>
          <w:rFonts w:hint="eastAsia" w:ascii="仿宋_GB2312" w:eastAsia="仿宋_GB2312"/>
          <w:color w:val="auto"/>
          <w:sz w:val="32"/>
          <w:szCs w:val="32"/>
          <w:highlight w:val="none"/>
          <w:lang w:eastAsia="zh-CN"/>
        </w:rPr>
        <w:t>2024年</w:t>
      </w:r>
      <w:r>
        <w:rPr>
          <w:rFonts w:ascii="仿宋_GB2312" w:eastAsia="仿宋_GB2312"/>
          <w:color w:val="auto"/>
          <w:sz w:val="32"/>
          <w:szCs w:val="32"/>
          <w:highlight w:val="none"/>
        </w:rPr>
        <w:t>12</w:t>
      </w:r>
      <w:r>
        <w:rPr>
          <w:rFonts w:hint="eastAsia" w:ascii="仿宋_GB2312" w:eastAsia="仿宋_GB2312"/>
          <w:color w:val="auto"/>
          <w:sz w:val="32"/>
          <w:szCs w:val="32"/>
          <w:highlight w:val="none"/>
        </w:rPr>
        <w:t>月</w:t>
      </w:r>
      <w:r>
        <w:rPr>
          <w:rFonts w:ascii="仿宋_GB2312" w:eastAsia="仿宋_GB2312"/>
          <w:color w:val="auto"/>
          <w:sz w:val="32"/>
          <w:szCs w:val="32"/>
          <w:highlight w:val="none"/>
        </w:rPr>
        <w:t>31</w:t>
      </w:r>
      <w:r>
        <w:rPr>
          <w:rFonts w:hint="eastAsia" w:ascii="仿宋_GB2312" w:eastAsia="仿宋_GB2312"/>
          <w:color w:val="auto"/>
          <w:sz w:val="32"/>
          <w:szCs w:val="32"/>
          <w:highlight w:val="none"/>
        </w:rPr>
        <w:t>日，</w:t>
      </w:r>
      <w:r>
        <w:rPr>
          <w:rFonts w:hint="eastAsia" w:ascii="仿宋_GB2312" w:eastAsia="仿宋_GB2312"/>
          <w:color w:val="auto"/>
          <w:sz w:val="32"/>
          <w:szCs w:val="32"/>
          <w:highlight w:val="none"/>
          <w:lang w:eastAsia="zh-CN"/>
        </w:rPr>
        <w:t>区水利局</w:t>
      </w:r>
      <w:r>
        <w:rPr>
          <w:rFonts w:hint="eastAsia" w:ascii="仿宋_GB2312" w:eastAsia="仿宋_GB2312"/>
          <w:color w:val="auto"/>
          <w:sz w:val="32"/>
          <w:szCs w:val="32"/>
          <w:highlight w:val="none"/>
        </w:rPr>
        <w:t>共有车辆</w:t>
      </w:r>
      <w:r>
        <w:rPr>
          <w:rFonts w:hint="eastAsia" w:ascii="仿宋_GB2312" w:eastAsia="仿宋_GB2312"/>
          <w:color w:val="auto"/>
          <w:sz w:val="32"/>
          <w:szCs w:val="32"/>
          <w:highlight w:val="none"/>
          <w:lang w:val="en-US" w:eastAsia="zh-CN"/>
        </w:rPr>
        <w:t>2</w:t>
      </w:r>
      <w:r>
        <w:rPr>
          <w:rFonts w:hint="eastAsia" w:ascii="仿宋_GB2312" w:eastAsia="仿宋_GB2312"/>
          <w:color w:val="auto"/>
          <w:sz w:val="32"/>
          <w:szCs w:val="32"/>
          <w:highlight w:val="none"/>
        </w:rPr>
        <w:t>辆，其中：主要领导干部用车</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辆、机要通信用车</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辆、应急保障用车</w:t>
      </w:r>
      <w:r>
        <w:rPr>
          <w:rFonts w:hint="eastAsia" w:ascii="仿宋_GB2312" w:eastAsia="仿宋_GB2312"/>
          <w:color w:val="auto"/>
          <w:sz w:val="32"/>
          <w:szCs w:val="32"/>
          <w:highlight w:val="none"/>
          <w:lang w:val="en-US" w:eastAsia="zh-CN"/>
        </w:rPr>
        <w:t>2</w:t>
      </w:r>
      <w:r>
        <w:rPr>
          <w:rFonts w:hint="eastAsia" w:ascii="仿宋_GB2312" w:eastAsia="仿宋_GB2312"/>
          <w:color w:val="auto"/>
          <w:sz w:val="32"/>
          <w:szCs w:val="32"/>
          <w:highlight w:val="none"/>
        </w:rPr>
        <w:t>辆、其他用车</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辆</w:t>
      </w:r>
      <w:r>
        <w:rPr>
          <w:rFonts w:hint="eastAsia" w:ascii="仿宋_GB2312" w:eastAsia="仿宋_GB2312"/>
          <w:color w:val="auto"/>
          <w:sz w:val="32"/>
          <w:szCs w:val="32"/>
          <w:highlight w:val="none"/>
          <w:lang w:eastAsia="zh-CN"/>
        </w:rPr>
        <w:t>。</w:t>
      </w:r>
      <w:r>
        <w:rPr>
          <w:rFonts w:hint="eastAsia" w:ascii="仿宋_GB2312" w:eastAsia="仿宋_GB2312"/>
          <w:color w:val="auto"/>
          <w:sz w:val="32"/>
          <w:szCs w:val="32"/>
          <w:highlight w:val="none"/>
        </w:rPr>
        <w:t>单价</w:t>
      </w:r>
      <w:r>
        <w:rPr>
          <w:rFonts w:ascii="仿宋_GB2312" w:eastAsia="仿宋_GB2312"/>
          <w:color w:val="auto"/>
          <w:sz w:val="32"/>
          <w:szCs w:val="32"/>
          <w:highlight w:val="none"/>
        </w:rPr>
        <w:t>100</w:t>
      </w:r>
      <w:r>
        <w:rPr>
          <w:rFonts w:hint="eastAsia" w:ascii="仿宋_GB2312" w:eastAsia="仿宋_GB2312"/>
          <w:color w:val="auto"/>
          <w:sz w:val="32"/>
          <w:szCs w:val="32"/>
          <w:highlight w:val="none"/>
        </w:rPr>
        <w:t>万元以上专用设备</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台（套）。</w:t>
      </w:r>
    </w:p>
    <w:p w14:paraId="68DB0C64">
      <w:pPr>
        <w:autoSpaceDE w:val="0"/>
        <w:autoSpaceDN w:val="0"/>
        <w:adjustRightInd w:val="0"/>
        <w:spacing w:line="600" w:lineRule="exact"/>
        <w:ind w:firstLine="643" w:firstLineChars="200"/>
        <w:jc w:val="left"/>
        <w:outlineLvl w:val="2"/>
        <w:rPr>
          <w:rFonts w:ascii="仿宋" w:hAnsi="仿宋" w:eastAsia="仿宋"/>
          <w:b/>
          <w:color w:val="auto"/>
          <w:sz w:val="32"/>
          <w:szCs w:val="32"/>
          <w:highlight w:val="none"/>
        </w:rPr>
      </w:pPr>
      <w:bookmarkStart w:id="156" w:name="_Toc13373_WPSOffice_Level3"/>
      <w:bookmarkStart w:id="157" w:name="_Toc4258"/>
      <w:bookmarkStart w:id="158" w:name="_Toc15282"/>
      <w:r>
        <w:rPr>
          <w:rFonts w:hint="eastAsia" w:ascii="仿宋" w:hAnsi="仿宋" w:eastAsia="仿宋"/>
          <w:b/>
          <w:color w:val="auto"/>
          <w:sz w:val="32"/>
          <w:szCs w:val="32"/>
          <w:highlight w:val="none"/>
        </w:rPr>
        <w:t>（四）预算绩效管理情况</w:t>
      </w:r>
      <w:bookmarkEnd w:id="156"/>
      <w:bookmarkEnd w:id="157"/>
      <w:bookmarkEnd w:id="158"/>
    </w:p>
    <w:p w14:paraId="380128FE">
      <w:pPr>
        <w:spacing w:line="600" w:lineRule="exact"/>
        <w:ind w:firstLine="640" w:firstLineChars="200"/>
        <w:jc w:val="both"/>
        <w:outlineLvl w:val="2"/>
        <w:rPr>
          <w:rFonts w:hint="default" w:ascii="Times New Roman" w:hAnsi="Times New Roman" w:eastAsia="仿宋_GB2312" w:cs="Times New Roman"/>
          <w:b w:val="0"/>
          <w:bCs w:val="0"/>
          <w:i w:val="0"/>
          <w:iCs w:val="0"/>
          <w:color w:val="auto"/>
          <w:sz w:val="32"/>
          <w:szCs w:val="32"/>
          <w:highlight w:val="none"/>
          <w:lang w:eastAsia="zh-CN"/>
        </w:rPr>
      </w:pPr>
      <w:bookmarkStart w:id="159" w:name="_Toc8203"/>
      <w:bookmarkStart w:id="160" w:name="_Toc4928"/>
      <w:r>
        <w:rPr>
          <w:rFonts w:hint="default" w:ascii="Times New Roman" w:hAnsi="Times New Roman" w:eastAsia="仿宋_GB2312" w:cs="Times New Roman"/>
          <w:b w:val="0"/>
          <w:bCs w:val="0"/>
          <w:i w:val="0"/>
          <w:iCs w:val="0"/>
          <w:color w:val="auto"/>
          <w:sz w:val="32"/>
          <w:szCs w:val="32"/>
          <w:highlight w:val="none"/>
        </w:rPr>
        <w:t>根据预算绩效管理要求，本部门在</w:t>
      </w:r>
      <w:r>
        <w:rPr>
          <w:rFonts w:hint="default" w:ascii="Times New Roman" w:hAnsi="Times New Roman" w:eastAsia="仿宋_GB2312" w:cs="Times New Roman"/>
          <w:b w:val="0"/>
          <w:bCs w:val="0"/>
          <w:i w:val="0"/>
          <w:iCs w:val="0"/>
          <w:color w:val="auto"/>
          <w:sz w:val="32"/>
          <w:szCs w:val="32"/>
          <w:highlight w:val="none"/>
          <w:lang w:val="en-US" w:eastAsia="zh-CN"/>
        </w:rPr>
        <w:t>202</w:t>
      </w:r>
      <w:r>
        <w:rPr>
          <w:rFonts w:hint="eastAsia" w:eastAsia="仿宋_GB2312" w:cs="Times New Roman"/>
          <w:b w:val="0"/>
          <w:bCs w:val="0"/>
          <w:i w:val="0"/>
          <w:iCs w:val="0"/>
          <w:color w:val="auto"/>
          <w:sz w:val="32"/>
          <w:szCs w:val="32"/>
          <w:highlight w:val="none"/>
          <w:lang w:val="en-US" w:eastAsia="zh-CN"/>
        </w:rPr>
        <w:t>4</w:t>
      </w:r>
      <w:r>
        <w:rPr>
          <w:rFonts w:hint="default" w:ascii="Times New Roman" w:hAnsi="Times New Roman" w:eastAsia="仿宋_GB2312" w:cs="Times New Roman"/>
          <w:b w:val="0"/>
          <w:bCs w:val="0"/>
          <w:i w:val="0"/>
          <w:iCs w:val="0"/>
          <w:color w:val="auto"/>
          <w:sz w:val="32"/>
          <w:szCs w:val="32"/>
          <w:highlight w:val="none"/>
          <w:lang w:val="en-US" w:eastAsia="zh-CN"/>
        </w:rPr>
        <w:t>年度</w:t>
      </w:r>
      <w:r>
        <w:rPr>
          <w:rFonts w:hint="default" w:ascii="Times New Roman" w:hAnsi="Times New Roman" w:eastAsia="仿宋_GB2312" w:cs="Times New Roman"/>
          <w:b w:val="0"/>
          <w:bCs w:val="0"/>
          <w:i w:val="0"/>
          <w:iCs w:val="0"/>
          <w:color w:val="auto"/>
          <w:sz w:val="32"/>
          <w:szCs w:val="32"/>
          <w:highlight w:val="none"/>
        </w:rPr>
        <w:t>预算编制阶段，组织对</w:t>
      </w:r>
      <w:r>
        <w:rPr>
          <w:rFonts w:hint="default" w:ascii="Times New Roman" w:hAnsi="Times New Roman" w:eastAsia="仿宋_GB2312" w:cs="Times New Roman"/>
          <w:b w:val="0"/>
          <w:bCs w:val="0"/>
          <w:i w:val="0"/>
          <w:iCs w:val="0"/>
          <w:color w:val="auto"/>
          <w:sz w:val="32"/>
          <w:szCs w:val="32"/>
          <w:highlight w:val="none"/>
          <w:lang w:val="en-US" w:eastAsia="zh-CN"/>
        </w:rPr>
        <w:t>202</w:t>
      </w:r>
      <w:r>
        <w:rPr>
          <w:rFonts w:hint="eastAsia" w:eastAsia="仿宋_GB2312" w:cs="Times New Roman"/>
          <w:b w:val="0"/>
          <w:bCs w:val="0"/>
          <w:i w:val="0"/>
          <w:iCs w:val="0"/>
          <w:color w:val="auto"/>
          <w:sz w:val="32"/>
          <w:szCs w:val="32"/>
          <w:highlight w:val="none"/>
          <w:lang w:val="en-US" w:eastAsia="zh-CN"/>
        </w:rPr>
        <w:t>4</w:t>
      </w:r>
      <w:r>
        <w:rPr>
          <w:rFonts w:hint="default" w:ascii="Times New Roman" w:hAnsi="Times New Roman" w:eastAsia="仿宋_GB2312" w:cs="Times New Roman"/>
          <w:b w:val="0"/>
          <w:bCs w:val="0"/>
          <w:i w:val="0"/>
          <w:iCs w:val="0"/>
          <w:color w:val="auto"/>
          <w:sz w:val="32"/>
          <w:szCs w:val="32"/>
          <w:highlight w:val="none"/>
          <w:lang w:val="en-US" w:eastAsia="zh-CN"/>
        </w:rPr>
        <w:t>年</w:t>
      </w:r>
      <w:r>
        <w:rPr>
          <w:rFonts w:hint="eastAsia" w:eastAsia="仿宋_GB2312" w:cs="Times New Roman"/>
          <w:b w:val="0"/>
          <w:bCs w:val="0"/>
          <w:i w:val="0"/>
          <w:iCs w:val="0"/>
          <w:color w:val="auto"/>
          <w:sz w:val="32"/>
          <w:szCs w:val="32"/>
          <w:highlight w:val="none"/>
          <w:lang w:val="en-US" w:eastAsia="zh-CN"/>
        </w:rPr>
        <w:t>中央水利发展资金</w:t>
      </w:r>
      <w:r>
        <w:rPr>
          <w:rFonts w:hint="default" w:ascii="Times New Roman" w:hAnsi="Times New Roman" w:eastAsia="仿宋_GB2312" w:cs="Times New Roman"/>
          <w:b w:val="0"/>
          <w:bCs w:val="0"/>
          <w:i w:val="0"/>
          <w:iCs w:val="0"/>
          <w:color w:val="auto"/>
          <w:sz w:val="32"/>
          <w:szCs w:val="32"/>
          <w:highlight w:val="none"/>
          <w:lang w:val="en-US" w:eastAsia="zh-CN"/>
        </w:rPr>
        <w:t>、202</w:t>
      </w:r>
      <w:r>
        <w:rPr>
          <w:rFonts w:hint="eastAsia" w:eastAsia="仿宋_GB2312" w:cs="Times New Roman"/>
          <w:b w:val="0"/>
          <w:bCs w:val="0"/>
          <w:i w:val="0"/>
          <w:iCs w:val="0"/>
          <w:color w:val="auto"/>
          <w:sz w:val="32"/>
          <w:szCs w:val="32"/>
          <w:highlight w:val="none"/>
          <w:lang w:val="en-US" w:eastAsia="zh-CN"/>
        </w:rPr>
        <w:t>4</w:t>
      </w:r>
      <w:r>
        <w:rPr>
          <w:rFonts w:hint="default" w:ascii="Times New Roman" w:hAnsi="Times New Roman" w:eastAsia="仿宋_GB2312" w:cs="Times New Roman"/>
          <w:b w:val="0"/>
          <w:bCs w:val="0"/>
          <w:i w:val="0"/>
          <w:iCs w:val="0"/>
          <w:color w:val="auto"/>
          <w:sz w:val="32"/>
          <w:szCs w:val="32"/>
          <w:highlight w:val="none"/>
          <w:lang w:val="en-US" w:eastAsia="zh-CN"/>
        </w:rPr>
        <w:t>年市级财政衔接推进乡村振兴补助资金、202</w:t>
      </w:r>
      <w:r>
        <w:rPr>
          <w:rFonts w:hint="eastAsia" w:eastAsia="仿宋_GB2312" w:cs="Times New Roman"/>
          <w:b w:val="0"/>
          <w:bCs w:val="0"/>
          <w:i w:val="0"/>
          <w:iCs w:val="0"/>
          <w:color w:val="auto"/>
          <w:sz w:val="32"/>
          <w:szCs w:val="32"/>
          <w:highlight w:val="none"/>
          <w:lang w:val="en-US" w:eastAsia="zh-CN"/>
        </w:rPr>
        <w:t>4</w:t>
      </w:r>
      <w:r>
        <w:rPr>
          <w:rFonts w:hint="default" w:ascii="Times New Roman" w:hAnsi="Times New Roman" w:eastAsia="仿宋_GB2312" w:cs="Times New Roman"/>
          <w:b w:val="0"/>
          <w:bCs w:val="0"/>
          <w:i w:val="0"/>
          <w:iCs w:val="0"/>
          <w:color w:val="auto"/>
          <w:sz w:val="32"/>
          <w:szCs w:val="32"/>
          <w:highlight w:val="none"/>
          <w:lang w:val="en-US" w:eastAsia="zh-CN"/>
        </w:rPr>
        <w:t>年防汛</w:t>
      </w:r>
      <w:r>
        <w:rPr>
          <w:rFonts w:hint="eastAsia" w:eastAsia="仿宋_GB2312" w:cs="Times New Roman"/>
          <w:b w:val="0"/>
          <w:bCs w:val="0"/>
          <w:i w:val="0"/>
          <w:iCs w:val="0"/>
          <w:color w:val="auto"/>
          <w:sz w:val="32"/>
          <w:szCs w:val="32"/>
          <w:highlight w:val="none"/>
          <w:lang w:val="en-US" w:eastAsia="zh-CN"/>
        </w:rPr>
        <w:t>抗旱</w:t>
      </w:r>
      <w:r>
        <w:rPr>
          <w:rFonts w:hint="default" w:ascii="Times New Roman" w:hAnsi="Times New Roman" w:eastAsia="仿宋_GB2312" w:cs="Times New Roman"/>
          <w:b w:val="0"/>
          <w:bCs w:val="0"/>
          <w:i w:val="0"/>
          <w:iCs w:val="0"/>
          <w:color w:val="auto"/>
          <w:sz w:val="32"/>
          <w:szCs w:val="32"/>
          <w:highlight w:val="none"/>
          <w:lang w:val="en-US" w:eastAsia="zh-CN"/>
        </w:rPr>
        <w:t>经费、202</w:t>
      </w:r>
      <w:r>
        <w:rPr>
          <w:rFonts w:hint="eastAsia" w:eastAsia="仿宋_GB2312" w:cs="Times New Roman"/>
          <w:b w:val="0"/>
          <w:bCs w:val="0"/>
          <w:i w:val="0"/>
          <w:iCs w:val="0"/>
          <w:color w:val="auto"/>
          <w:sz w:val="32"/>
          <w:szCs w:val="32"/>
          <w:highlight w:val="none"/>
          <w:lang w:val="en-US" w:eastAsia="zh-CN"/>
        </w:rPr>
        <w:t>4</w:t>
      </w:r>
      <w:r>
        <w:rPr>
          <w:rFonts w:hint="default" w:ascii="Times New Roman" w:hAnsi="Times New Roman" w:eastAsia="仿宋_GB2312" w:cs="Times New Roman"/>
          <w:b w:val="0"/>
          <w:bCs w:val="0"/>
          <w:i w:val="0"/>
          <w:iCs w:val="0"/>
          <w:color w:val="auto"/>
          <w:sz w:val="32"/>
          <w:szCs w:val="32"/>
          <w:highlight w:val="none"/>
          <w:lang w:val="en-US" w:eastAsia="zh-CN"/>
        </w:rPr>
        <w:t>年跑马滩水库、新生水库编外人员工资和保险</w:t>
      </w:r>
      <w:r>
        <w:rPr>
          <w:rFonts w:hint="eastAsia" w:eastAsia="仿宋_GB2312" w:cs="Times New Roman"/>
          <w:b w:val="0"/>
          <w:bCs w:val="0"/>
          <w:i w:val="0"/>
          <w:iCs w:val="0"/>
          <w:color w:val="auto"/>
          <w:sz w:val="32"/>
          <w:szCs w:val="32"/>
          <w:highlight w:val="none"/>
          <w:lang w:val="en-US" w:eastAsia="zh-CN"/>
        </w:rPr>
        <w:t>、2024年萝卜园水库运行经费5</w:t>
      </w:r>
      <w:r>
        <w:rPr>
          <w:rFonts w:hint="default" w:ascii="Times New Roman" w:hAnsi="Times New Roman" w:eastAsia="仿宋_GB2312" w:cs="Times New Roman"/>
          <w:b w:val="0"/>
          <w:bCs w:val="0"/>
          <w:i w:val="0"/>
          <w:iCs w:val="0"/>
          <w:color w:val="auto"/>
          <w:sz w:val="32"/>
          <w:szCs w:val="32"/>
          <w:highlight w:val="none"/>
          <w:lang w:val="en-US" w:eastAsia="zh-CN"/>
        </w:rPr>
        <w:t>个项目</w:t>
      </w:r>
      <w:r>
        <w:rPr>
          <w:rFonts w:hint="default" w:ascii="Times New Roman" w:hAnsi="Times New Roman" w:eastAsia="仿宋_GB2312" w:cs="Times New Roman"/>
          <w:b w:val="0"/>
          <w:bCs w:val="0"/>
          <w:i w:val="0"/>
          <w:iCs w:val="0"/>
          <w:color w:val="auto"/>
          <w:sz w:val="32"/>
          <w:szCs w:val="32"/>
          <w:highlight w:val="none"/>
        </w:rPr>
        <w:t>开展了预算事前绩效评估，对</w:t>
      </w:r>
      <w:r>
        <w:rPr>
          <w:rFonts w:hint="eastAsia" w:eastAsia="仿宋_GB2312" w:cs="Times New Roman"/>
          <w:b w:val="0"/>
          <w:bCs w:val="0"/>
          <w:i w:val="0"/>
          <w:iCs w:val="0"/>
          <w:color w:val="auto"/>
          <w:sz w:val="32"/>
          <w:szCs w:val="32"/>
          <w:highlight w:val="none"/>
          <w:lang w:val="en-US" w:eastAsia="zh-CN"/>
        </w:rPr>
        <w:t>5</w:t>
      </w:r>
      <w:r>
        <w:rPr>
          <w:rFonts w:hint="default" w:ascii="Times New Roman" w:hAnsi="Times New Roman" w:eastAsia="仿宋_GB2312" w:cs="Times New Roman"/>
          <w:b w:val="0"/>
          <w:bCs w:val="0"/>
          <w:i w:val="0"/>
          <w:iCs w:val="0"/>
          <w:color w:val="auto"/>
          <w:sz w:val="32"/>
          <w:szCs w:val="32"/>
          <w:highlight w:val="none"/>
        </w:rPr>
        <w:t>个项目编制了绩效目标，预算执行过程中，选取</w:t>
      </w:r>
      <w:r>
        <w:rPr>
          <w:rFonts w:hint="eastAsia" w:eastAsia="仿宋_GB2312" w:cs="Times New Roman"/>
          <w:b w:val="0"/>
          <w:bCs w:val="0"/>
          <w:i w:val="0"/>
          <w:iCs w:val="0"/>
          <w:color w:val="auto"/>
          <w:sz w:val="32"/>
          <w:szCs w:val="32"/>
          <w:highlight w:val="none"/>
          <w:lang w:val="en-US" w:eastAsia="zh-CN"/>
        </w:rPr>
        <w:t>5</w:t>
      </w:r>
      <w:r>
        <w:rPr>
          <w:rFonts w:hint="default" w:ascii="Times New Roman" w:hAnsi="Times New Roman" w:eastAsia="仿宋_GB2312" w:cs="Times New Roman"/>
          <w:b w:val="0"/>
          <w:bCs w:val="0"/>
          <w:i w:val="0"/>
          <w:iCs w:val="0"/>
          <w:color w:val="auto"/>
          <w:sz w:val="32"/>
          <w:szCs w:val="32"/>
          <w:highlight w:val="none"/>
        </w:rPr>
        <w:t>个项目开展绩效监控</w:t>
      </w:r>
      <w:r>
        <w:rPr>
          <w:rFonts w:hint="default" w:ascii="Times New Roman" w:hAnsi="Times New Roman" w:eastAsia="仿宋_GB2312" w:cs="Times New Roman"/>
          <w:b w:val="0"/>
          <w:bCs w:val="0"/>
          <w:i w:val="0"/>
          <w:iCs w:val="0"/>
          <w:color w:val="auto"/>
          <w:sz w:val="32"/>
          <w:szCs w:val="32"/>
          <w:highlight w:val="none"/>
          <w:lang w:eastAsia="zh-CN"/>
        </w:rPr>
        <w:t>。</w:t>
      </w:r>
    </w:p>
    <w:p w14:paraId="6A927F40">
      <w:pPr>
        <w:spacing w:line="600" w:lineRule="exact"/>
        <w:ind w:firstLine="640" w:firstLineChars="200"/>
        <w:jc w:val="both"/>
        <w:outlineLvl w:val="2"/>
        <w:rPr>
          <w:rFonts w:hint="default" w:ascii="Times New Roman" w:hAnsi="Times New Roman" w:eastAsia="仿宋_GB2312" w:cs="Times New Roman"/>
          <w:lang w:val="en-US" w:eastAsia="zh-CN"/>
        </w:rPr>
      </w:pPr>
      <w:r>
        <w:rPr>
          <w:rFonts w:hint="default" w:ascii="Times New Roman" w:hAnsi="Times New Roman" w:eastAsia="仿宋_GB2312" w:cs="Times New Roman"/>
          <w:b w:val="0"/>
          <w:bCs w:val="0"/>
          <w:i w:val="0"/>
          <w:iCs w:val="0"/>
          <w:color w:val="auto"/>
          <w:sz w:val="32"/>
          <w:szCs w:val="32"/>
          <w:highlight w:val="none"/>
          <w:lang w:eastAsia="zh-CN"/>
        </w:rPr>
        <w:t>组织</w:t>
      </w:r>
      <w:r>
        <w:rPr>
          <w:rFonts w:hint="default" w:ascii="Times New Roman" w:hAnsi="Times New Roman" w:eastAsia="仿宋_GB2312" w:cs="Times New Roman"/>
          <w:b w:val="0"/>
          <w:bCs w:val="0"/>
          <w:i w:val="0"/>
          <w:iCs w:val="0"/>
          <w:color w:val="auto"/>
          <w:sz w:val="32"/>
          <w:szCs w:val="32"/>
          <w:highlight w:val="none"/>
        </w:rPr>
        <w:t>对</w:t>
      </w:r>
      <w:r>
        <w:rPr>
          <w:rFonts w:hint="default" w:ascii="Times New Roman" w:hAnsi="Times New Roman" w:eastAsia="仿宋_GB2312" w:cs="Times New Roman"/>
          <w:b w:val="0"/>
          <w:bCs w:val="0"/>
          <w:i w:val="0"/>
          <w:iCs w:val="0"/>
          <w:color w:val="auto"/>
          <w:sz w:val="32"/>
          <w:szCs w:val="32"/>
          <w:highlight w:val="none"/>
          <w:lang w:val="en-US" w:eastAsia="zh-CN"/>
        </w:rPr>
        <w:t>202</w:t>
      </w:r>
      <w:r>
        <w:rPr>
          <w:rFonts w:hint="eastAsia" w:eastAsia="仿宋_GB2312" w:cs="Times New Roman"/>
          <w:b w:val="0"/>
          <w:bCs w:val="0"/>
          <w:i w:val="0"/>
          <w:iCs w:val="0"/>
          <w:color w:val="auto"/>
          <w:sz w:val="32"/>
          <w:szCs w:val="32"/>
          <w:highlight w:val="none"/>
          <w:lang w:val="en-US" w:eastAsia="zh-CN"/>
        </w:rPr>
        <w:t>4</w:t>
      </w:r>
      <w:r>
        <w:rPr>
          <w:rFonts w:hint="default" w:ascii="Times New Roman" w:hAnsi="Times New Roman" w:eastAsia="仿宋_GB2312" w:cs="Times New Roman"/>
          <w:b w:val="0"/>
          <w:bCs w:val="0"/>
          <w:i w:val="0"/>
          <w:iCs w:val="0"/>
          <w:color w:val="auto"/>
          <w:sz w:val="32"/>
          <w:szCs w:val="32"/>
          <w:highlight w:val="none"/>
          <w:lang w:val="en-US" w:eastAsia="zh-CN"/>
        </w:rPr>
        <w:t>年度一般公共预算、</w:t>
      </w:r>
      <w:r>
        <w:rPr>
          <w:rFonts w:hint="default" w:ascii="Times New Roman" w:hAnsi="Times New Roman" w:eastAsia="仿宋_GB2312" w:cs="Times New Roman"/>
          <w:b w:val="0"/>
          <w:bCs w:val="0"/>
          <w:i w:val="0"/>
          <w:iCs w:val="0"/>
          <w:color w:val="auto"/>
          <w:sz w:val="32"/>
          <w:szCs w:val="32"/>
          <w:highlight w:val="none"/>
          <w:lang w:eastAsia="zh-CN"/>
        </w:rPr>
        <w:t>政府性基金预算、国有资本经营预算、社会保险基金预算以及资本资产、债券资金等</w:t>
      </w:r>
      <w:r>
        <w:rPr>
          <w:rFonts w:hint="default" w:ascii="Times New Roman" w:hAnsi="Times New Roman" w:eastAsia="仿宋_GB2312" w:cs="Times New Roman"/>
          <w:b w:val="0"/>
          <w:bCs w:val="0"/>
          <w:i w:val="0"/>
          <w:iCs w:val="0"/>
          <w:color w:val="auto"/>
          <w:sz w:val="32"/>
          <w:szCs w:val="32"/>
          <w:highlight w:val="none"/>
          <w:lang w:val="en-US" w:eastAsia="zh-CN"/>
        </w:rPr>
        <w:t>全面开展绩效自评，形成遂宁市安居区水利局</w:t>
      </w:r>
      <w:r>
        <w:rPr>
          <w:rFonts w:hint="default" w:ascii="Times New Roman" w:hAnsi="Times New Roman" w:eastAsia="仿宋_GB2312" w:cs="Times New Roman"/>
          <w:b w:val="0"/>
          <w:bCs w:val="0"/>
          <w:i w:val="0"/>
          <w:iCs w:val="0"/>
          <w:color w:val="auto"/>
          <w:sz w:val="32"/>
          <w:szCs w:val="32"/>
          <w:highlight w:val="none"/>
          <w:lang w:eastAsia="zh-CN"/>
        </w:rPr>
        <w:t>部门整体（含部门预算项目）</w:t>
      </w:r>
      <w:r>
        <w:rPr>
          <w:rFonts w:hint="default" w:ascii="Times New Roman" w:hAnsi="Times New Roman" w:eastAsia="仿宋_GB2312" w:cs="Times New Roman"/>
          <w:b w:val="0"/>
          <w:bCs w:val="0"/>
          <w:i w:val="0"/>
          <w:iCs w:val="0"/>
          <w:color w:val="auto"/>
          <w:sz w:val="32"/>
          <w:szCs w:val="32"/>
          <w:highlight w:val="none"/>
          <w:lang w:val="en-US" w:eastAsia="zh-CN"/>
        </w:rPr>
        <w:t>绩效自评报告</w:t>
      </w:r>
      <w:r>
        <w:rPr>
          <w:rFonts w:hint="default" w:ascii="Times New Roman" w:hAnsi="Times New Roman" w:eastAsia="仿宋_GB2312" w:cs="Times New Roman"/>
          <w:b w:val="0"/>
          <w:bCs w:val="0"/>
          <w:i w:val="0"/>
          <w:iCs w:val="0"/>
          <w:color w:val="auto"/>
          <w:sz w:val="32"/>
          <w:szCs w:val="32"/>
          <w:highlight w:val="none"/>
          <w:lang w:eastAsia="zh-CN"/>
        </w:rPr>
        <w:t>、</w:t>
      </w:r>
      <w:r>
        <w:rPr>
          <w:rFonts w:hint="default" w:ascii="Times New Roman" w:hAnsi="Times New Roman" w:eastAsia="仿宋_GB2312" w:cs="Times New Roman"/>
          <w:b w:val="0"/>
          <w:color w:val="000000"/>
          <w:sz w:val="32"/>
          <w:szCs w:val="32"/>
        </w:rPr>
        <w:t>从评价情况来看，项目整体执行情况良好，符合党中央、国务院和省委、省政府决策部署，资金分配及使用均合规合法，取得较好的社会效益</w:t>
      </w:r>
      <w:r>
        <w:rPr>
          <w:rFonts w:hint="default" w:ascii="Times New Roman" w:hAnsi="Times New Roman" w:eastAsia="仿宋_GB2312" w:cs="Times New Roman"/>
          <w:b w:val="0"/>
          <w:color w:val="000000"/>
          <w:sz w:val="32"/>
          <w:szCs w:val="32"/>
          <w:lang w:eastAsia="zh-CN"/>
        </w:rPr>
        <w:t>。</w:t>
      </w:r>
      <w:bookmarkEnd w:id="159"/>
      <w:bookmarkEnd w:id="160"/>
    </w:p>
    <w:p w14:paraId="399B29FE">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both"/>
        <w:textAlignment w:val="baseline"/>
        <w:rPr>
          <w:rFonts w:hint="default" w:eastAsia="仿宋_GB2312" w:cs="Times New Roman"/>
          <w:sz w:val="32"/>
          <w:szCs w:val="32"/>
          <w:lang w:val="en-US" w:eastAsia="zh-CN"/>
        </w:rPr>
      </w:pPr>
      <w:r>
        <w:rPr>
          <w:rFonts w:hint="default" w:eastAsia="仿宋_GB2312" w:cs="Times New Roman"/>
          <w:b w:val="0"/>
          <w:bCs w:val="0"/>
          <w:i w:val="0"/>
          <w:iCs w:val="0"/>
          <w:color w:val="auto"/>
          <w:sz w:val="32"/>
          <w:szCs w:val="32"/>
          <w:highlight w:val="none"/>
          <w:lang w:val="en-US" w:eastAsia="zh-CN"/>
        </w:rPr>
        <w:t>202</w:t>
      </w:r>
      <w:r>
        <w:rPr>
          <w:rFonts w:hint="eastAsia" w:eastAsia="仿宋_GB2312" w:cs="Times New Roman"/>
          <w:b w:val="0"/>
          <w:bCs w:val="0"/>
          <w:i w:val="0"/>
          <w:iCs w:val="0"/>
          <w:color w:val="auto"/>
          <w:sz w:val="32"/>
          <w:szCs w:val="32"/>
          <w:highlight w:val="none"/>
          <w:lang w:val="en-US" w:eastAsia="zh-CN"/>
        </w:rPr>
        <w:t>4</w:t>
      </w:r>
      <w:r>
        <w:rPr>
          <w:rFonts w:hint="default" w:eastAsia="仿宋_GB2312" w:cs="Times New Roman"/>
          <w:b w:val="0"/>
          <w:bCs w:val="0"/>
          <w:i w:val="0"/>
          <w:iCs w:val="0"/>
          <w:color w:val="auto"/>
          <w:sz w:val="32"/>
          <w:szCs w:val="32"/>
          <w:highlight w:val="none"/>
          <w:lang w:val="en-US" w:eastAsia="zh-CN"/>
        </w:rPr>
        <w:t>年专项项目</w:t>
      </w:r>
      <w:r>
        <w:rPr>
          <w:rFonts w:hint="eastAsia" w:eastAsia="仿宋_GB2312" w:cs="Times New Roman"/>
          <w:b w:val="0"/>
          <w:bCs w:val="0"/>
          <w:i w:val="0"/>
          <w:iCs w:val="0"/>
          <w:color w:val="auto"/>
          <w:sz w:val="32"/>
          <w:szCs w:val="32"/>
          <w:highlight w:val="none"/>
          <w:lang w:val="en-US" w:eastAsia="zh-CN"/>
        </w:rPr>
        <w:t>5</w:t>
      </w:r>
      <w:r>
        <w:rPr>
          <w:rFonts w:hint="default" w:eastAsia="仿宋_GB2312" w:cs="Times New Roman"/>
          <w:b w:val="0"/>
          <w:bCs w:val="0"/>
          <w:i w:val="0"/>
          <w:iCs w:val="0"/>
          <w:color w:val="auto"/>
          <w:sz w:val="32"/>
          <w:szCs w:val="32"/>
          <w:highlight w:val="none"/>
          <w:lang w:val="en-US" w:eastAsia="zh-CN"/>
        </w:rPr>
        <w:t>个</w:t>
      </w:r>
    </w:p>
    <w:p w14:paraId="56848C21">
      <w:pPr>
        <w:spacing w:line="600" w:lineRule="exact"/>
        <w:ind w:firstLine="640" w:firstLineChars="200"/>
        <w:jc w:val="both"/>
        <w:outlineLvl w:val="2"/>
        <w:rPr>
          <w:rFonts w:hint="eastAsia" w:ascii="Times New Roman" w:hAnsi="Times New Roman" w:eastAsia="仿宋_GB2312" w:cs="Times New Roman"/>
          <w:b w:val="0"/>
          <w:color w:val="000000"/>
          <w:sz w:val="32"/>
          <w:szCs w:val="32"/>
          <w:lang w:val="en-US" w:eastAsia="zh-CN"/>
        </w:rPr>
      </w:pPr>
      <w:r>
        <w:rPr>
          <w:rFonts w:hint="eastAsia" w:eastAsia="仿宋_GB2312" w:cs="Times New Roman"/>
          <w:b w:val="0"/>
          <w:color w:val="000000"/>
          <w:sz w:val="32"/>
          <w:szCs w:val="32"/>
          <w:lang w:val="en-US" w:eastAsia="zh-CN"/>
        </w:rPr>
        <w:t>（1）</w:t>
      </w:r>
      <w:r>
        <w:rPr>
          <w:rFonts w:hint="eastAsia" w:ascii="Times New Roman" w:hAnsi="Times New Roman" w:eastAsia="仿宋_GB2312" w:cs="Times New Roman"/>
          <w:b w:val="0"/>
          <w:color w:val="000000"/>
          <w:sz w:val="32"/>
          <w:szCs w:val="32"/>
          <w:lang w:val="en-US" w:eastAsia="zh-CN"/>
        </w:rPr>
        <w:t>遂财建【2024】8号增发国债水利补助资金（两中心五馆段防洪治理工程)绩效评价自评分为88.2分，完成流域面积200-3000平方公里中小河流流域长度；工程综合治理长度为7.0km，河道清淤长度为5570m，新建堤防堤线总长2412m，共2段，其中：左岸新建护岸堤1162m，右岸新建堤防1250m ( P=10%)。</w:t>
      </w:r>
    </w:p>
    <w:p w14:paraId="5556A117">
      <w:pPr>
        <w:spacing w:line="600" w:lineRule="exact"/>
        <w:ind w:firstLine="640" w:firstLineChars="200"/>
        <w:jc w:val="both"/>
        <w:outlineLvl w:val="2"/>
        <w:rPr>
          <w:rFonts w:hint="eastAsia" w:ascii="Times New Roman" w:hAnsi="Times New Roman" w:eastAsia="仿宋_GB2312" w:cs="Times New Roman"/>
          <w:b w:val="0"/>
          <w:color w:val="000000"/>
          <w:sz w:val="32"/>
          <w:szCs w:val="32"/>
          <w:lang w:val="en-US" w:eastAsia="zh-CN"/>
        </w:rPr>
      </w:pPr>
      <w:r>
        <w:rPr>
          <w:rFonts w:hint="eastAsia" w:ascii="Times New Roman" w:hAnsi="Times New Roman" w:eastAsia="仿宋_GB2312" w:cs="Times New Roman"/>
          <w:b w:val="0"/>
          <w:color w:val="000000"/>
          <w:sz w:val="32"/>
          <w:szCs w:val="32"/>
          <w:lang w:val="en-US" w:eastAsia="zh-CN"/>
        </w:rPr>
        <w:t>（2）遂财建【2024】85号关于下达水利专项2024年第一批中央基建投资（麻子滩水库除险加固绩效评价自评分为92.46分</w:t>
      </w:r>
      <w:r>
        <w:rPr>
          <w:rFonts w:hint="eastAsia" w:ascii="Times New Roman" w:hAnsi="Times New Roman" w:eastAsia="仿宋_GB2312" w:cs="Times New Roman"/>
          <w:b w:val="0"/>
          <w:color w:val="000000"/>
          <w:sz w:val="32"/>
          <w:szCs w:val="32"/>
        </w:rPr>
        <w:t>。</w:t>
      </w:r>
      <w:r>
        <w:rPr>
          <w:rFonts w:hint="eastAsia" w:ascii="Times New Roman" w:hAnsi="Times New Roman" w:eastAsia="仿宋_GB2312" w:cs="Times New Roman"/>
          <w:b w:val="0"/>
          <w:color w:val="000000"/>
          <w:sz w:val="32"/>
          <w:szCs w:val="32"/>
          <w:lang w:val="en-US" w:eastAsia="zh-CN"/>
        </w:rPr>
        <w:t>年度完成投资7513400.00元，提升3个乡镇防洪能力至10年一遇标准，保障2万人口饮水安全及1.8万亩农田灌溉，资金执行率达95%以上。</w:t>
      </w:r>
    </w:p>
    <w:p w14:paraId="6DD4A4B3">
      <w:pPr>
        <w:pageBreakBefore w:val="0"/>
        <w:kinsoku/>
        <w:wordWrap/>
        <w:overflowPunct/>
        <w:topLinePunct w:val="0"/>
        <w:autoSpaceDE/>
        <w:autoSpaceDN/>
        <w:bidi w:val="0"/>
        <w:spacing w:line="560" w:lineRule="exact"/>
        <w:ind w:firstLine="640" w:firstLineChars="200"/>
        <w:jc w:val="left"/>
        <w:textAlignment w:val="auto"/>
        <w:rPr>
          <w:rFonts w:hint="eastAsia" w:ascii="仿宋" w:hAnsi="仿宋" w:eastAsia="仿宋" w:cs="仿宋"/>
          <w:b w:val="0"/>
          <w:bCs w:val="0"/>
          <w:color w:val="auto"/>
          <w:sz w:val="32"/>
          <w:szCs w:val="32"/>
          <w:highlight w:val="none"/>
          <w:u w:val="none"/>
          <w:lang w:val="en-US" w:eastAsia="zh-CN"/>
        </w:rPr>
      </w:pPr>
      <w:r>
        <w:rPr>
          <w:rFonts w:hint="default" w:ascii="Times New Roman" w:hAnsi="Times New Roman" w:eastAsia="仿宋_GB2312" w:cs="Times New Roman"/>
          <w:color w:val="auto"/>
          <w:sz w:val="32"/>
          <w:szCs w:val="32"/>
          <w:highlight w:val="none"/>
          <w:lang w:val="en-US" w:eastAsia="zh-CN"/>
        </w:rPr>
        <w:t>（</w:t>
      </w:r>
      <w:r>
        <w:rPr>
          <w:rFonts w:hint="eastAsia" w:eastAsia="仿宋_GB2312" w:cs="Times New Roman"/>
          <w:color w:val="auto"/>
          <w:sz w:val="32"/>
          <w:szCs w:val="32"/>
          <w:highlight w:val="none"/>
          <w:lang w:val="en-US" w:eastAsia="zh-CN"/>
        </w:rPr>
        <w:t>3</w:t>
      </w:r>
      <w:r>
        <w:rPr>
          <w:rFonts w:hint="default" w:ascii="Times New Roman" w:hAnsi="Times New Roman" w:eastAsia="仿宋_GB2312" w:cs="Times New Roman"/>
          <w:color w:val="auto"/>
          <w:sz w:val="32"/>
          <w:szCs w:val="32"/>
          <w:highlight w:val="none"/>
          <w:lang w:val="en-US" w:eastAsia="zh-CN"/>
        </w:rPr>
        <w:t>）</w:t>
      </w:r>
      <w:r>
        <w:rPr>
          <w:rFonts w:hint="eastAsia" w:eastAsia="仿宋_GB2312" w:cs="Times New Roman"/>
          <w:color w:val="auto"/>
          <w:sz w:val="32"/>
          <w:szCs w:val="32"/>
          <w:highlight w:val="none"/>
          <w:lang w:val="en-US" w:eastAsia="zh-CN"/>
        </w:rPr>
        <w:t>2024年中央水利发展</w:t>
      </w:r>
      <w:r>
        <w:rPr>
          <w:rFonts w:hint="default" w:ascii="Times New Roman" w:hAnsi="Times New Roman" w:eastAsia="仿宋_GB2312" w:cs="Times New Roman"/>
          <w:color w:val="auto"/>
          <w:sz w:val="32"/>
          <w:szCs w:val="32"/>
          <w:highlight w:val="none"/>
          <w:lang w:val="en-US" w:eastAsia="zh-CN"/>
        </w:rPr>
        <w:t>资金自评得分</w:t>
      </w:r>
      <w:r>
        <w:rPr>
          <w:rFonts w:hint="eastAsia" w:eastAsia="仿宋_GB2312" w:cs="Times New Roman"/>
          <w:color w:val="auto"/>
          <w:sz w:val="32"/>
          <w:szCs w:val="32"/>
          <w:highlight w:val="none"/>
          <w:lang w:val="en-US" w:eastAsia="zh-CN"/>
        </w:rPr>
        <w:t>84.89</w:t>
      </w:r>
      <w:r>
        <w:rPr>
          <w:rFonts w:hint="default" w:ascii="Times New Roman" w:hAnsi="Times New Roman" w:eastAsia="仿宋_GB2312" w:cs="Times New Roman"/>
          <w:color w:val="auto"/>
          <w:sz w:val="32"/>
          <w:szCs w:val="32"/>
          <w:highlight w:val="none"/>
          <w:lang w:val="en-US" w:eastAsia="zh-CN"/>
        </w:rPr>
        <w:t xml:space="preserve">分, </w:t>
      </w:r>
      <w:r>
        <w:rPr>
          <w:rFonts w:hint="eastAsia" w:ascii="仿宋" w:hAnsi="仿宋" w:eastAsia="仿宋" w:cs="仿宋"/>
          <w:b w:val="0"/>
          <w:bCs w:val="0"/>
          <w:color w:val="auto"/>
          <w:sz w:val="32"/>
          <w:szCs w:val="32"/>
          <w:highlight w:val="none"/>
          <w:u w:val="none"/>
          <w:lang w:val="en-US" w:eastAsia="zh-CN"/>
        </w:rPr>
        <w:t>基础设施建设项目已完成投资16111.98万，投资比例完成70%，预计2025年全部完成拨付。堤防项目建成将防洪保护人口2.323万人，保护耕地面积3.065万亩，进一步夯实了我区农村水利基础设施，有效改善了项目区农业生产用水条件，为农业增收奠定了坚实基础。</w:t>
      </w:r>
    </w:p>
    <w:p w14:paraId="260F2D4E">
      <w:pPr>
        <w:pageBreakBefore w:val="0"/>
        <w:numPr>
          <w:ilvl w:val="0"/>
          <w:numId w:val="4"/>
        </w:numPr>
        <w:kinsoku/>
        <w:wordWrap/>
        <w:overflowPunct/>
        <w:topLinePunct w:val="0"/>
        <w:autoSpaceDE/>
        <w:autoSpaceDN/>
        <w:bidi w:val="0"/>
        <w:spacing w:line="560" w:lineRule="exact"/>
        <w:ind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我区202</w:t>
      </w:r>
      <w:r>
        <w:rPr>
          <w:rFonts w:hint="eastAsia" w:eastAsia="仿宋_GB2312" w:cs="Times New Roman"/>
          <w:sz w:val="32"/>
          <w:szCs w:val="32"/>
          <w:lang w:val="en-US" w:eastAsia="zh-CN"/>
        </w:rPr>
        <w:t>4</w:t>
      </w:r>
      <w:r>
        <w:rPr>
          <w:rFonts w:hint="default" w:ascii="Times New Roman" w:hAnsi="Times New Roman" w:eastAsia="仿宋_GB2312" w:cs="Times New Roman"/>
          <w:sz w:val="32"/>
          <w:szCs w:val="32"/>
        </w:rPr>
        <w:t>年</w:t>
      </w:r>
      <w:r>
        <w:rPr>
          <w:rFonts w:hint="default" w:ascii="Times New Roman" w:hAnsi="Times New Roman" w:eastAsia="仿宋_GB2312" w:cs="Times New Roman"/>
          <w:sz w:val="32"/>
          <w:szCs w:val="32"/>
          <w:lang w:eastAsia="zh-CN"/>
        </w:rPr>
        <w:t>市级</w:t>
      </w:r>
      <w:r>
        <w:rPr>
          <w:rFonts w:hint="default" w:ascii="Times New Roman" w:hAnsi="Times New Roman" w:eastAsia="仿宋_GB2312" w:cs="Times New Roman"/>
          <w:sz w:val="32"/>
          <w:szCs w:val="32"/>
        </w:rPr>
        <w:t>财政水利发展资金绩效目标自评得分99.11分，我区严格按照国家资金管理要求、建设程序、行业标准组织实施项目，按程序规定开展招投标或政府采购确定施工单位。在工程质量、安全方面实行严格管理，严格要求现场管理人员切实捍卫工程质量，以敢于碰硬、不留情面、坚持原则的作风严把工程质量关。通过强有力的管控措施和手段，目前未发生工程安全事故和工程质量问题。项目总体执行严格按批复实施，资金管理严格，项目实施成效达到预期目标。</w:t>
      </w:r>
    </w:p>
    <w:p w14:paraId="166CAD65">
      <w:pPr>
        <w:spacing w:line="600" w:lineRule="exact"/>
        <w:ind w:firstLine="640" w:firstLineChars="200"/>
        <w:jc w:val="both"/>
        <w:outlineLvl w:val="2"/>
        <w:rPr>
          <w:rFonts w:hint="eastAsia" w:ascii="Times New Roman" w:hAnsi="Times New Roman" w:eastAsia="仿宋_GB2312" w:cs="Times New Roman"/>
          <w:b w:val="0"/>
          <w:color w:val="000000"/>
          <w:sz w:val="32"/>
          <w:szCs w:val="32"/>
          <w:lang w:eastAsia="zh-CN"/>
        </w:rPr>
      </w:pPr>
      <w:r>
        <w:rPr>
          <w:rFonts w:hint="eastAsia" w:eastAsia="仿宋_GB2312" w:cs="Times New Roman"/>
          <w:b w:val="0"/>
          <w:color w:val="000000"/>
          <w:sz w:val="32"/>
          <w:szCs w:val="32"/>
          <w:lang w:val="en-US" w:eastAsia="zh-CN"/>
        </w:rPr>
        <w:t>（5）</w:t>
      </w:r>
      <w:r>
        <w:rPr>
          <w:rFonts w:hint="eastAsia" w:ascii="Times New Roman" w:hAnsi="Times New Roman" w:eastAsia="仿宋_GB2312" w:cs="Times New Roman"/>
          <w:b w:val="0"/>
          <w:color w:val="000000"/>
          <w:sz w:val="32"/>
          <w:szCs w:val="32"/>
          <w:lang w:val="en-US" w:eastAsia="zh-CN"/>
        </w:rPr>
        <w:t>2024年安居区再生水配置建设项目绩效评价自评分为96分，完成新建日处理量10000立方米的再生水厂1座，新建DN600再生水管网11.3千米，确保13个月工期按期完工。</w:t>
      </w:r>
    </w:p>
    <w:p w14:paraId="302E1836">
      <w:pPr>
        <w:keepNext w:val="0"/>
        <w:keepLines w:val="0"/>
        <w:pageBreakBefore w:val="0"/>
        <w:widowControl w:val="0"/>
        <w:kinsoku/>
        <w:wordWrap/>
        <w:overflowPunct/>
        <w:topLinePunct w:val="0"/>
        <w:bidi w:val="0"/>
        <w:snapToGrid/>
        <w:spacing w:line="576" w:lineRule="exact"/>
        <w:ind w:firstLine="640" w:firstLineChars="0"/>
        <w:textAlignment w:val="auto"/>
        <w:rPr>
          <w:rFonts w:hint="default" w:ascii="Times New Roman" w:hAnsi="Times New Roman" w:eastAsia="仿宋_GB2312" w:cs="Times New Roman"/>
          <w:b w:val="0"/>
          <w:bCs w:val="0"/>
          <w:i w:val="0"/>
          <w:iCs w:val="0"/>
          <w:color w:val="auto"/>
          <w:sz w:val="32"/>
          <w:szCs w:val="32"/>
          <w:highlight w:val="none"/>
          <w:lang w:val="en-US" w:eastAsia="zh-CN"/>
        </w:rPr>
      </w:pPr>
      <w:r>
        <w:rPr>
          <w:rFonts w:hint="default" w:ascii="Times New Roman" w:hAnsi="Times New Roman" w:eastAsia="仿宋_GB2312" w:cs="Times New Roman"/>
          <w:b w:val="0"/>
          <w:bCs w:val="0"/>
          <w:i w:val="0"/>
          <w:iCs w:val="0"/>
          <w:color w:val="auto"/>
          <w:sz w:val="32"/>
          <w:szCs w:val="32"/>
          <w:highlight w:val="none"/>
          <w:lang w:val="en-US" w:eastAsia="zh-CN"/>
        </w:rPr>
        <w:t>自评报告详见附件。</w:t>
      </w:r>
    </w:p>
    <w:p w14:paraId="5606807E">
      <w:pPr>
        <w:rPr>
          <w:rFonts w:hint="default" w:ascii="Times New Roman" w:hAnsi="Times New Roman" w:eastAsia="仿宋_GB2312" w:cs="Times New Roman"/>
          <w:b w:val="0"/>
          <w:bCs w:val="0"/>
          <w:i w:val="0"/>
          <w:iCs w:val="0"/>
          <w:color w:val="auto"/>
          <w:sz w:val="32"/>
          <w:szCs w:val="32"/>
          <w:highlight w:val="none"/>
          <w:lang w:val="en-US" w:eastAsia="zh-CN"/>
        </w:rPr>
      </w:pPr>
      <w:r>
        <w:rPr>
          <w:rFonts w:hint="default" w:ascii="Times New Roman" w:hAnsi="Times New Roman" w:eastAsia="仿宋_GB2312" w:cs="Times New Roman"/>
          <w:b w:val="0"/>
          <w:bCs w:val="0"/>
          <w:i w:val="0"/>
          <w:iCs w:val="0"/>
          <w:color w:val="auto"/>
          <w:sz w:val="32"/>
          <w:szCs w:val="32"/>
          <w:highlight w:val="none"/>
          <w:lang w:val="en-US" w:eastAsia="zh-CN"/>
        </w:rPr>
        <w:br w:type="page"/>
      </w:r>
    </w:p>
    <w:p w14:paraId="62B3742C">
      <w:pPr>
        <w:numPr>
          <w:ilvl w:val="0"/>
          <w:numId w:val="5"/>
        </w:numPr>
        <w:spacing w:line="600" w:lineRule="exact"/>
        <w:ind w:firstLine="660" w:firstLineChars="150"/>
        <w:jc w:val="center"/>
        <w:outlineLvl w:val="0"/>
        <w:rPr>
          <w:rStyle w:val="38"/>
          <w:rFonts w:ascii="黑体" w:hAnsi="黑体" w:eastAsia="黑体"/>
          <w:b w:val="0"/>
          <w:color w:val="auto"/>
          <w:highlight w:val="none"/>
        </w:rPr>
      </w:pPr>
      <w:bookmarkStart w:id="161" w:name="_Toc15377225"/>
      <w:bookmarkStart w:id="162" w:name="_Toc1792"/>
      <w:bookmarkStart w:id="163" w:name="_Toc15396613"/>
      <w:bookmarkStart w:id="164" w:name="_Toc1772_WPSOffice_Level1"/>
      <w:bookmarkStart w:id="165" w:name="_Toc27665"/>
      <w:r>
        <w:rPr>
          <w:rFonts w:hint="eastAsia" w:ascii="黑体" w:hAnsi="黑体" w:eastAsia="黑体"/>
          <w:color w:val="auto"/>
          <w:sz w:val="44"/>
          <w:szCs w:val="44"/>
          <w:highlight w:val="none"/>
        </w:rPr>
        <w:t>名</w:t>
      </w:r>
      <w:r>
        <w:rPr>
          <w:rStyle w:val="38"/>
          <w:rFonts w:hint="eastAsia" w:ascii="黑体" w:hAnsi="黑体" w:eastAsia="黑体"/>
          <w:b w:val="0"/>
          <w:color w:val="auto"/>
          <w:highlight w:val="none"/>
        </w:rPr>
        <w:t>词解释</w:t>
      </w:r>
      <w:bookmarkEnd w:id="161"/>
      <w:bookmarkEnd w:id="162"/>
      <w:bookmarkEnd w:id="163"/>
      <w:bookmarkEnd w:id="164"/>
      <w:bookmarkEnd w:id="165"/>
    </w:p>
    <w:p w14:paraId="7887CEA7">
      <w:pPr>
        <w:spacing w:line="600" w:lineRule="exact"/>
        <w:jc w:val="left"/>
        <w:rPr>
          <w:rFonts w:ascii="宋体" w:eastAsia="仿宋_GB2312"/>
          <w:b/>
          <w:color w:val="auto"/>
          <w:sz w:val="44"/>
          <w:szCs w:val="44"/>
          <w:highlight w:val="none"/>
        </w:rPr>
      </w:pPr>
    </w:p>
    <w:p w14:paraId="20674F35">
      <w:pPr>
        <w:pStyle w:val="36"/>
        <w:pageBreakBefore w:val="0"/>
        <w:kinsoku/>
        <w:wordWrap/>
        <w:overflowPunct/>
        <w:topLinePunct w:val="0"/>
        <w:bidi w:val="0"/>
        <w:snapToGrid/>
        <w:spacing w:line="600" w:lineRule="exact"/>
        <w:ind w:firstLine="640" w:firstLineChars="200"/>
        <w:textAlignment w:val="auto"/>
        <w:rPr>
          <w:rFonts w:ascii="仿宋_GB2312" w:eastAsia="仿宋_GB2312"/>
          <w:color w:val="auto"/>
          <w:sz w:val="32"/>
          <w:szCs w:val="32"/>
          <w:highlight w:val="none"/>
        </w:rPr>
      </w:pPr>
      <w:r>
        <w:rPr>
          <w:rFonts w:ascii="仿宋_GB2312" w:eastAsia="仿宋_GB2312"/>
          <w:color w:val="auto"/>
          <w:sz w:val="32"/>
          <w:szCs w:val="32"/>
          <w:highlight w:val="none"/>
        </w:rPr>
        <w:t>1.</w:t>
      </w:r>
      <w:r>
        <w:rPr>
          <w:rFonts w:hint="eastAsia" w:ascii="仿宋_GB2312" w:eastAsia="仿宋_GB2312"/>
          <w:color w:val="auto"/>
          <w:sz w:val="32"/>
          <w:szCs w:val="32"/>
          <w:highlight w:val="none"/>
        </w:rPr>
        <w:t>财政拨款收入：指单位从同级财政部门取得的财政预算资金。</w:t>
      </w:r>
    </w:p>
    <w:p w14:paraId="06C366DB">
      <w:pPr>
        <w:pStyle w:val="36"/>
        <w:pageBreakBefore w:val="0"/>
        <w:kinsoku/>
        <w:wordWrap/>
        <w:overflowPunct/>
        <w:topLinePunct w:val="0"/>
        <w:bidi w:val="0"/>
        <w:snapToGrid/>
        <w:spacing w:line="600" w:lineRule="exact"/>
        <w:ind w:firstLine="640" w:firstLineChars="200"/>
        <w:textAlignment w:val="auto"/>
        <w:rPr>
          <w:rFonts w:ascii="仿宋_GB2312" w:eastAsia="仿宋_GB2312"/>
          <w:color w:val="auto"/>
          <w:sz w:val="32"/>
          <w:szCs w:val="32"/>
          <w:highlight w:val="none"/>
        </w:rPr>
      </w:pPr>
      <w:r>
        <w:rPr>
          <w:rFonts w:ascii="仿宋_GB2312" w:eastAsia="仿宋_GB2312"/>
          <w:color w:val="auto"/>
          <w:sz w:val="32"/>
          <w:szCs w:val="32"/>
          <w:highlight w:val="none"/>
        </w:rPr>
        <w:t>2.</w:t>
      </w:r>
      <w:r>
        <w:rPr>
          <w:rFonts w:hint="eastAsia" w:ascii="仿宋_GB2312" w:eastAsia="仿宋_GB2312"/>
          <w:color w:val="auto"/>
          <w:sz w:val="32"/>
          <w:szCs w:val="32"/>
          <w:highlight w:val="none"/>
        </w:rPr>
        <w:t>事业收入：指事业单位开展专业业务活动及辅助活动取得的收入。</w:t>
      </w:r>
    </w:p>
    <w:p w14:paraId="7F384A96">
      <w:pPr>
        <w:pStyle w:val="36"/>
        <w:pageBreakBefore w:val="0"/>
        <w:kinsoku/>
        <w:wordWrap/>
        <w:overflowPunct/>
        <w:topLinePunct w:val="0"/>
        <w:bidi w:val="0"/>
        <w:snapToGrid/>
        <w:spacing w:line="600" w:lineRule="exact"/>
        <w:ind w:firstLine="640" w:firstLineChars="200"/>
        <w:textAlignment w:val="auto"/>
        <w:rPr>
          <w:rFonts w:hint="eastAsia" w:ascii="仿宋_GB2312" w:eastAsia="仿宋_GB2312"/>
          <w:color w:val="auto"/>
          <w:sz w:val="32"/>
          <w:szCs w:val="32"/>
          <w:highlight w:val="none"/>
        </w:rPr>
      </w:pPr>
      <w:r>
        <w:rPr>
          <w:rFonts w:ascii="仿宋_GB2312" w:eastAsia="仿宋_GB2312"/>
          <w:color w:val="auto"/>
          <w:sz w:val="32"/>
          <w:szCs w:val="32"/>
          <w:highlight w:val="none"/>
        </w:rPr>
        <w:t>3.</w:t>
      </w:r>
      <w:r>
        <w:rPr>
          <w:rFonts w:hint="eastAsia" w:ascii="仿宋_GB2312" w:eastAsia="仿宋_GB2312"/>
          <w:color w:val="auto"/>
          <w:sz w:val="32"/>
          <w:szCs w:val="32"/>
          <w:highlight w:val="none"/>
        </w:rPr>
        <w:t>经营收入：指事业单位在专业业务活动及其辅助活动之外开展非独立核算经营活动取得的收入。</w:t>
      </w:r>
    </w:p>
    <w:p w14:paraId="539F348C">
      <w:pPr>
        <w:pStyle w:val="36"/>
        <w:pageBreakBefore w:val="0"/>
        <w:kinsoku/>
        <w:wordWrap/>
        <w:overflowPunct/>
        <w:topLinePunct w:val="0"/>
        <w:bidi w:val="0"/>
        <w:snapToGrid/>
        <w:spacing w:line="600" w:lineRule="exact"/>
        <w:ind w:firstLine="640" w:firstLineChars="200"/>
        <w:textAlignment w:val="auto"/>
        <w:rPr>
          <w:rFonts w:hint="eastAsia" w:ascii="仿宋_GB2312" w:eastAsia="仿宋_GB2312"/>
          <w:color w:val="auto"/>
          <w:sz w:val="32"/>
          <w:szCs w:val="32"/>
          <w:highlight w:val="none"/>
        </w:rPr>
      </w:pPr>
      <w:r>
        <w:rPr>
          <w:rFonts w:ascii="仿宋_GB2312" w:eastAsia="仿宋_GB2312"/>
          <w:color w:val="auto"/>
          <w:sz w:val="32"/>
          <w:szCs w:val="32"/>
          <w:highlight w:val="none"/>
        </w:rPr>
        <w:t>4.</w:t>
      </w:r>
      <w:r>
        <w:rPr>
          <w:rFonts w:hint="eastAsia" w:ascii="仿宋_GB2312" w:eastAsia="仿宋_GB2312"/>
          <w:color w:val="auto"/>
          <w:sz w:val="32"/>
          <w:szCs w:val="32"/>
          <w:highlight w:val="none"/>
        </w:rPr>
        <w:t>其他收入：指单位取得的除上述收入以外的各项收入。</w:t>
      </w:r>
    </w:p>
    <w:p w14:paraId="69026580">
      <w:pPr>
        <w:pStyle w:val="36"/>
        <w:pageBreakBefore w:val="0"/>
        <w:kinsoku/>
        <w:wordWrap/>
        <w:overflowPunct/>
        <w:topLinePunct w:val="0"/>
        <w:bidi w:val="0"/>
        <w:snapToGrid/>
        <w:spacing w:line="600" w:lineRule="exact"/>
        <w:ind w:firstLine="640" w:firstLineChars="200"/>
        <w:textAlignment w:val="auto"/>
        <w:rPr>
          <w:rFonts w:hint="eastAsia" w:ascii="仿宋_GB2312" w:eastAsia="仿宋_GB2312"/>
          <w:color w:val="auto"/>
          <w:sz w:val="32"/>
          <w:szCs w:val="32"/>
          <w:highlight w:val="none"/>
          <w:lang w:eastAsia="zh-CN"/>
        </w:rPr>
      </w:pPr>
      <w:r>
        <w:rPr>
          <w:rFonts w:ascii="仿宋_GB2312" w:eastAsia="仿宋_GB2312"/>
          <w:color w:val="auto"/>
          <w:sz w:val="32"/>
          <w:szCs w:val="32"/>
          <w:highlight w:val="none"/>
        </w:rPr>
        <w:t>5.</w:t>
      </w:r>
      <w:r>
        <w:rPr>
          <w:rFonts w:hint="eastAsia" w:ascii="仿宋_GB2312" w:eastAsia="仿宋_GB2312"/>
          <w:color w:val="auto"/>
          <w:sz w:val="32"/>
          <w:szCs w:val="32"/>
          <w:highlight w:val="none"/>
          <w:lang w:eastAsia="zh-CN"/>
        </w:rPr>
        <w:t>使用非财政拨款结余（含专用结余）</w:t>
      </w:r>
      <w:r>
        <w:rPr>
          <w:rFonts w:hint="eastAsia" w:ascii="仿宋_GB2312" w:eastAsia="仿宋_GB2312"/>
          <w:color w:val="auto"/>
          <w:sz w:val="32"/>
          <w:szCs w:val="32"/>
          <w:highlight w:val="none"/>
        </w:rPr>
        <w:t>：指事业单位</w:t>
      </w:r>
      <w:r>
        <w:rPr>
          <w:rFonts w:hint="eastAsia" w:ascii="仿宋_GB2312" w:eastAsia="仿宋_GB2312"/>
          <w:color w:val="auto"/>
          <w:sz w:val="32"/>
          <w:szCs w:val="32"/>
          <w:highlight w:val="none"/>
          <w:lang w:eastAsia="zh-CN"/>
        </w:rPr>
        <w:t>使用以前年度积累的非财政拨款结余弥补当年收支差额的金额。</w:t>
      </w:r>
    </w:p>
    <w:p w14:paraId="1820D0BE">
      <w:pPr>
        <w:pStyle w:val="36"/>
        <w:pageBreakBefore w:val="0"/>
        <w:kinsoku/>
        <w:wordWrap/>
        <w:overflowPunct/>
        <w:topLinePunct w:val="0"/>
        <w:bidi w:val="0"/>
        <w:snapToGrid/>
        <w:spacing w:line="600" w:lineRule="exact"/>
        <w:ind w:firstLine="640" w:firstLineChars="200"/>
        <w:textAlignment w:val="auto"/>
        <w:rPr>
          <w:rFonts w:hint="eastAsia" w:ascii="仿宋_GB2312" w:eastAsia="仿宋_GB2312"/>
          <w:color w:val="auto"/>
          <w:sz w:val="32"/>
          <w:szCs w:val="32"/>
          <w:highlight w:val="none"/>
          <w:lang w:eastAsia="zh-CN"/>
        </w:rPr>
      </w:pPr>
      <w:r>
        <w:rPr>
          <w:rFonts w:ascii="仿宋_GB2312" w:eastAsia="仿宋_GB2312"/>
          <w:color w:val="auto"/>
          <w:sz w:val="32"/>
          <w:szCs w:val="32"/>
          <w:highlight w:val="none"/>
        </w:rPr>
        <w:t>6.</w:t>
      </w:r>
      <w:r>
        <w:rPr>
          <w:rFonts w:hint="eastAsia" w:ascii="仿宋_GB2312" w:eastAsia="仿宋_GB2312"/>
          <w:color w:val="auto"/>
          <w:sz w:val="32"/>
          <w:szCs w:val="32"/>
          <w:highlight w:val="none"/>
        </w:rPr>
        <w:t>年初结转和结余：指以前年度尚未完成、结转到本年按有关规定继续使用的资金。</w:t>
      </w:r>
    </w:p>
    <w:p w14:paraId="60877C25">
      <w:pPr>
        <w:pStyle w:val="36"/>
        <w:pageBreakBefore w:val="0"/>
        <w:kinsoku/>
        <w:wordWrap/>
        <w:overflowPunct/>
        <w:topLinePunct w:val="0"/>
        <w:bidi w:val="0"/>
        <w:snapToGrid/>
        <w:spacing w:line="600" w:lineRule="exact"/>
        <w:ind w:firstLine="640" w:firstLineChars="200"/>
        <w:textAlignment w:val="auto"/>
        <w:rPr>
          <w:rFonts w:ascii="仿宋_GB2312" w:eastAsia="仿宋_GB2312"/>
          <w:color w:val="auto"/>
          <w:sz w:val="32"/>
          <w:szCs w:val="32"/>
          <w:highlight w:val="none"/>
        </w:rPr>
      </w:pPr>
      <w:r>
        <w:rPr>
          <w:rFonts w:ascii="仿宋_GB2312" w:eastAsia="仿宋_GB2312"/>
          <w:color w:val="auto"/>
          <w:sz w:val="32"/>
          <w:szCs w:val="32"/>
          <w:highlight w:val="none"/>
        </w:rPr>
        <w:t>7.</w:t>
      </w:r>
      <w:r>
        <w:rPr>
          <w:rFonts w:hint="eastAsia" w:ascii="仿宋_GB2312" w:eastAsia="仿宋_GB2312"/>
          <w:color w:val="auto"/>
          <w:sz w:val="32"/>
          <w:szCs w:val="32"/>
          <w:highlight w:val="none"/>
        </w:rPr>
        <w:t>结余分配：指事业单位按照会计制度规定</w:t>
      </w:r>
      <w:r>
        <w:rPr>
          <w:rFonts w:hint="eastAsia" w:ascii="仿宋_GB2312" w:eastAsia="仿宋_GB2312"/>
          <w:color w:val="auto"/>
          <w:sz w:val="32"/>
          <w:szCs w:val="32"/>
          <w:highlight w:val="none"/>
          <w:lang w:eastAsia="zh-CN"/>
        </w:rPr>
        <w:t>缴纳的所得税、提取的专用结余以及转入非财政拨款结余的金额</w:t>
      </w:r>
      <w:r>
        <w:rPr>
          <w:rFonts w:hint="eastAsia" w:ascii="仿宋_GB2312" w:eastAsia="仿宋_GB2312"/>
          <w:color w:val="auto"/>
          <w:sz w:val="32"/>
          <w:szCs w:val="32"/>
          <w:highlight w:val="none"/>
        </w:rPr>
        <w:t>等。</w:t>
      </w:r>
    </w:p>
    <w:p w14:paraId="6AA39DC8">
      <w:pPr>
        <w:pStyle w:val="36"/>
        <w:pageBreakBefore w:val="0"/>
        <w:kinsoku/>
        <w:wordWrap/>
        <w:overflowPunct/>
        <w:topLinePunct w:val="0"/>
        <w:bidi w:val="0"/>
        <w:snapToGrid/>
        <w:spacing w:line="600" w:lineRule="exact"/>
        <w:ind w:firstLine="640" w:firstLineChars="200"/>
        <w:textAlignment w:val="auto"/>
        <w:rPr>
          <w:rFonts w:ascii="仿宋_GB2312" w:eastAsia="仿宋_GB2312"/>
          <w:color w:val="auto"/>
          <w:sz w:val="32"/>
          <w:szCs w:val="32"/>
          <w:highlight w:val="none"/>
        </w:rPr>
      </w:pPr>
      <w:r>
        <w:rPr>
          <w:rFonts w:ascii="仿宋_GB2312" w:eastAsia="仿宋_GB2312"/>
          <w:color w:val="auto"/>
          <w:sz w:val="32"/>
          <w:szCs w:val="32"/>
          <w:highlight w:val="none"/>
        </w:rPr>
        <w:t>8</w:t>
      </w:r>
      <w:r>
        <w:rPr>
          <w:rFonts w:hint="eastAsia" w:ascii="仿宋_GB2312" w:eastAsia="仿宋_GB2312"/>
          <w:color w:val="auto"/>
          <w:sz w:val="32"/>
          <w:szCs w:val="32"/>
          <w:highlight w:val="none"/>
        </w:rPr>
        <w:t>、年末结转和结余：指单位按有关规定结转到下年或以后年度继续使用的资金。</w:t>
      </w:r>
    </w:p>
    <w:p w14:paraId="3ECBFBC3">
      <w:pPr>
        <w:pageBreakBefore w:val="0"/>
        <w:kinsoku/>
        <w:wordWrap/>
        <w:overflowPunct/>
        <w:topLinePunct w:val="0"/>
        <w:bidi w:val="0"/>
        <w:spacing w:line="560" w:lineRule="exact"/>
        <w:ind w:firstLine="640" w:firstLineChars="200"/>
        <w:textAlignment w:val="auto"/>
        <w:rPr>
          <w:rFonts w:hint="default" w:ascii="Times New Roman" w:hAnsi="Times New Roman" w:eastAsia="仿宋_GB2312" w:cs="Times New Roman"/>
          <w:color w:val="000000"/>
          <w:kern w:val="0"/>
          <w:sz w:val="32"/>
          <w:szCs w:val="32"/>
          <w:lang w:val="en-US" w:eastAsia="zh-CN" w:bidi="ar-SA"/>
        </w:rPr>
      </w:pPr>
      <w:r>
        <w:rPr>
          <w:rFonts w:hint="default" w:ascii="Times New Roman" w:hAnsi="Times New Roman" w:eastAsia="仿宋_GB2312" w:cs="Times New Roman"/>
          <w:color w:val="000000"/>
          <w:kern w:val="0"/>
          <w:sz w:val="32"/>
          <w:szCs w:val="32"/>
          <w:lang w:val="en-US" w:eastAsia="zh-CN" w:bidi="ar-SA"/>
        </w:rPr>
        <w:t>9. 社会保障和就业支出（类）民政管理事务（款）其他民政管理事务支出（项），主要用于：社会保障和就业支出（类）民政管理事务（款）其他民政管理事务支出</w:t>
      </w:r>
    </w:p>
    <w:p w14:paraId="657DF72E">
      <w:pPr>
        <w:pageBreakBefore w:val="0"/>
        <w:kinsoku/>
        <w:wordWrap/>
        <w:overflowPunct/>
        <w:topLinePunct w:val="0"/>
        <w:bidi w:val="0"/>
        <w:spacing w:line="560" w:lineRule="exact"/>
        <w:ind w:firstLine="640" w:firstLineChars="200"/>
        <w:textAlignment w:val="auto"/>
        <w:rPr>
          <w:rFonts w:hint="default" w:ascii="Times New Roman" w:hAnsi="Times New Roman" w:eastAsia="仿宋_GB2312" w:cs="Times New Roman"/>
          <w:color w:val="000000"/>
          <w:kern w:val="0"/>
          <w:sz w:val="32"/>
          <w:szCs w:val="32"/>
          <w:lang w:val="en-US" w:eastAsia="zh-CN" w:bidi="ar-SA"/>
        </w:rPr>
      </w:pPr>
      <w:r>
        <w:rPr>
          <w:rFonts w:hint="eastAsia" w:eastAsia="仿宋_GB2312" w:cs="Times New Roman"/>
          <w:color w:val="000000"/>
          <w:kern w:val="0"/>
          <w:sz w:val="32"/>
          <w:szCs w:val="32"/>
          <w:lang w:val="en-US" w:eastAsia="zh-CN" w:bidi="ar-SA"/>
        </w:rPr>
        <w:t>1</w:t>
      </w:r>
      <w:r>
        <w:rPr>
          <w:rFonts w:hint="default" w:ascii="Times New Roman" w:hAnsi="Times New Roman" w:eastAsia="仿宋_GB2312" w:cs="Times New Roman"/>
          <w:color w:val="000000"/>
          <w:kern w:val="0"/>
          <w:sz w:val="32"/>
          <w:szCs w:val="32"/>
          <w:lang w:val="en-US" w:eastAsia="zh-CN" w:bidi="ar-SA"/>
        </w:rPr>
        <w:t>0. 社会保障和就业支出（类）行政事业单位离退休（款）机关事业单位基本养老保险缴费支出（项），主要用于：机关事业单位基本养老保险缴费。</w:t>
      </w:r>
    </w:p>
    <w:p w14:paraId="5545764A">
      <w:pPr>
        <w:pageBreakBefore w:val="0"/>
        <w:kinsoku/>
        <w:wordWrap/>
        <w:overflowPunct/>
        <w:topLinePunct w:val="0"/>
        <w:bidi w:val="0"/>
        <w:spacing w:line="560" w:lineRule="exact"/>
        <w:ind w:firstLine="640" w:firstLineChars="200"/>
        <w:textAlignment w:val="auto"/>
        <w:rPr>
          <w:rFonts w:hint="default" w:ascii="Times New Roman" w:hAnsi="Times New Roman" w:eastAsia="仿宋_GB2312" w:cs="Times New Roman"/>
          <w:color w:val="000000"/>
          <w:kern w:val="0"/>
          <w:sz w:val="32"/>
          <w:szCs w:val="32"/>
          <w:lang w:val="en-US" w:eastAsia="zh-CN" w:bidi="ar-SA"/>
        </w:rPr>
      </w:pPr>
      <w:r>
        <w:rPr>
          <w:rFonts w:hint="eastAsia" w:eastAsia="仿宋_GB2312" w:cs="Times New Roman"/>
          <w:color w:val="000000"/>
          <w:kern w:val="0"/>
          <w:sz w:val="32"/>
          <w:szCs w:val="32"/>
          <w:lang w:val="en-US" w:eastAsia="zh-CN" w:bidi="ar-SA"/>
        </w:rPr>
        <w:t>1</w:t>
      </w:r>
      <w:r>
        <w:rPr>
          <w:rFonts w:hint="default" w:ascii="Times New Roman" w:hAnsi="Times New Roman" w:eastAsia="仿宋_GB2312" w:cs="Times New Roman"/>
          <w:color w:val="000000"/>
          <w:kern w:val="0"/>
          <w:sz w:val="32"/>
          <w:szCs w:val="32"/>
          <w:lang w:val="en-US" w:eastAsia="zh-CN" w:bidi="ar-SA"/>
        </w:rPr>
        <w:t>1. 社会保障和就业支出（类）抚恤（款）死亡抚恤（项），主要用于：遗属生活补助。</w:t>
      </w:r>
    </w:p>
    <w:p w14:paraId="693AE64F">
      <w:pPr>
        <w:pageBreakBefore w:val="0"/>
        <w:kinsoku/>
        <w:wordWrap/>
        <w:overflowPunct/>
        <w:topLinePunct w:val="0"/>
        <w:bidi w:val="0"/>
        <w:spacing w:line="560" w:lineRule="exact"/>
        <w:ind w:firstLine="640" w:firstLineChars="200"/>
        <w:textAlignment w:val="auto"/>
        <w:rPr>
          <w:rFonts w:hint="default" w:ascii="Times New Roman" w:hAnsi="Times New Roman" w:eastAsia="仿宋_GB2312" w:cs="Times New Roman"/>
          <w:color w:val="000000"/>
          <w:kern w:val="0"/>
          <w:sz w:val="32"/>
          <w:szCs w:val="32"/>
          <w:lang w:val="en-US" w:eastAsia="zh-CN" w:bidi="ar-SA"/>
        </w:rPr>
      </w:pPr>
      <w:r>
        <w:rPr>
          <w:rFonts w:hint="eastAsia" w:eastAsia="仿宋_GB2312" w:cs="Times New Roman"/>
          <w:color w:val="000000"/>
          <w:kern w:val="0"/>
          <w:sz w:val="32"/>
          <w:szCs w:val="32"/>
          <w:lang w:val="en-US" w:eastAsia="zh-CN" w:bidi="ar-SA"/>
        </w:rPr>
        <w:t>12</w:t>
      </w:r>
      <w:r>
        <w:rPr>
          <w:rFonts w:hint="default" w:ascii="Times New Roman" w:hAnsi="Times New Roman" w:eastAsia="仿宋_GB2312" w:cs="Times New Roman"/>
          <w:color w:val="000000"/>
          <w:kern w:val="0"/>
          <w:sz w:val="32"/>
          <w:szCs w:val="32"/>
          <w:lang w:val="en-US" w:eastAsia="zh-CN" w:bidi="ar-SA"/>
        </w:rPr>
        <w:t>. 社会保障和就业支出（类）其他社会保障和就业支出（款）其他社会保障和就业支出（项），主要用于：其他社会保障和就业支出。</w:t>
      </w:r>
    </w:p>
    <w:p w14:paraId="3D154111">
      <w:pPr>
        <w:pageBreakBefore w:val="0"/>
        <w:kinsoku/>
        <w:wordWrap/>
        <w:overflowPunct/>
        <w:topLinePunct w:val="0"/>
        <w:bidi w:val="0"/>
        <w:spacing w:line="560" w:lineRule="exact"/>
        <w:ind w:firstLine="640" w:firstLineChars="200"/>
        <w:textAlignment w:val="auto"/>
        <w:rPr>
          <w:rFonts w:hint="default" w:ascii="Times New Roman" w:hAnsi="Times New Roman" w:eastAsia="仿宋_GB2312" w:cs="Times New Roman"/>
          <w:color w:val="000000"/>
          <w:kern w:val="0"/>
          <w:sz w:val="32"/>
          <w:szCs w:val="32"/>
          <w:lang w:val="en-US" w:eastAsia="zh-CN" w:bidi="ar-SA"/>
        </w:rPr>
      </w:pPr>
      <w:r>
        <w:rPr>
          <w:rFonts w:hint="eastAsia" w:eastAsia="仿宋_GB2312" w:cs="Times New Roman"/>
          <w:color w:val="000000"/>
          <w:kern w:val="0"/>
          <w:sz w:val="32"/>
          <w:szCs w:val="32"/>
          <w:lang w:val="en-US" w:eastAsia="zh-CN" w:bidi="ar-SA"/>
        </w:rPr>
        <w:t>13</w:t>
      </w:r>
      <w:r>
        <w:rPr>
          <w:rFonts w:hint="default" w:ascii="Times New Roman" w:hAnsi="Times New Roman" w:eastAsia="仿宋_GB2312" w:cs="Times New Roman"/>
          <w:color w:val="000000"/>
          <w:kern w:val="0"/>
          <w:sz w:val="32"/>
          <w:szCs w:val="32"/>
          <w:lang w:val="en-US" w:eastAsia="zh-CN" w:bidi="ar-SA"/>
        </w:rPr>
        <w:t>. 卫生</w:t>
      </w:r>
      <w:r>
        <w:rPr>
          <w:rFonts w:hint="eastAsia" w:eastAsia="仿宋_GB2312" w:cs="Times New Roman"/>
          <w:color w:val="000000"/>
          <w:kern w:val="0"/>
          <w:sz w:val="32"/>
          <w:szCs w:val="32"/>
          <w:lang w:val="en-US" w:eastAsia="zh-CN" w:bidi="ar-SA"/>
        </w:rPr>
        <w:t>健康</w:t>
      </w:r>
      <w:r>
        <w:rPr>
          <w:rFonts w:hint="default" w:ascii="Times New Roman" w:hAnsi="Times New Roman" w:eastAsia="仿宋_GB2312" w:cs="Times New Roman"/>
          <w:color w:val="000000"/>
          <w:kern w:val="0"/>
          <w:sz w:val="32"/>
          <w:szCs w:val="32"/>
          <w:lang w:val="en-US" w:eastAsia="zh-CN" w:bidi="ar-SA"/>
        </w:rPr>
        <w:t>支出（类）行政事业单位医疗（款）行政单位医疗（项），主要用于：基本医疗保险缴费、其他社会保障缴费。</w:t>
      </w:r>
    </w:p>
    <w:p w14:paraId="7679EB68">
      <w:pPr>
        <w:pageBreakBefore w:val="0"/>
        <w:kinsoku/>
        <w:wordWrap/>
        <w:overflowPunct/>
        <w:topLinePunct w:val="0"/>
        <w:bidi w:val="0"/>
        <w:spacing w:line="560" w:lineRule="exact"/>
        <w:ind w:firstLine="640" w:firstLineChars="200"/>
        <w:textAlignment w:val="auto"/>
        <w:rPr>
          <w:rFonts w:hint="default" w:ascii="Times New Roman" w:hAnsi="Times New Roman" w:eastAsia="仿宋_GB2312" w:cs="Times New Roman"/>
          <w:color w:val="000000"/>
          <w:kern w:val="0"/>
          <w:sz w:val="32"/>
          <w:szCs w:val="32"/>
          <w:lang w:val="en-US" w:eastAsia="zh-CN" w:bidi="ar-SA"/>
        </w:rPr>
      </w:pPr>
      <w:r>
        <w:rPr>
          <w:rFonts w:hint="eastAsia" w:eastAsia="仿宋_GB2312" w:cs="Times New Roman"/>
          <w:color w:val="000000"/>
          <w:kern w:val="0"/>
          <w:sz w:val="32"/>
          <w:szCs w:val="32"/>
          <w:lang w:val="en-US" w:eastAsia="zh-CN" w:bidi="ar-SA"/>
        </w:rPr>
        <w:t>14</w:t>
      </w:r>
      <w:r>
        <w:rPr>
          <w:rFonts w:hint="default" w:ascii="Times New Roman" w:hAnsi="Times New Roman" w:eastAsia="仿宋_GB2312" w:cs="Times New Roman"/>
          <w:color w:val="000000"/>
          <w:kern w:val="0"/>
          <w:sz w:val="32"/>
          <w:szCs w:val="32"/>
          <w:lang w:val="en-US" w:eastAsia="zh-CN" w:bidi="ar-SA"/>
        </w:rPr>
        <w:t>. 卫生</w:t>
      </w:r>
      <w:r>
        <w:rPr>
          <w:rFonts w:hint="eastAsia" w:eastAsia="仿宋_GB2312" w:cs="Times New Roman"/>
          <w:color w:val="000000"/>
          <w:kern w:val="0"/>
          <w:sz w:val="32"/>
          <w:szCs w:val="32"/>
          <w:lang w:val="en-US" w:eastAsia="zh-CN" w:bidi="ar-SA"/>
        </w:rPr>
        <w:t>健康</w:t>
      </w:r>
      <w:r>
        <w:rPr>
          <w:rFonts w:hint="default" w:ascii="Times New Roman" w:hAnsi="Times New Roman" w:eastAsia="仿宋_GB2312" w:cs="Times New Roman"/>
          <w:color w:val="000000"/>
          <w:kern w:val="0"/>
          <w:sz w:val="32"/>
          <w:szCs w:val="32"/>
          <w:lang w:val="en-US" w:eastAsia="zh-CN" w:bidi="ar-SA"/>
        </w:rPr>
        <w:t>支出（类）行政事业单位医疗（款）事业单位医疗（项），主要用于：基本医疗保险缴费、其他社会保障缴费。</w:t>
      </w:r>
    </w:p>
    <w:p w14:paraId="42BADBA2">
      <w:pPr>
        <w:pageBreakBefore w:val="0"/>
        <w:kinsoku/>
        <w:wordWrap/>
        <w:overflowPunct/>
        <w:topLinePunct w:val="0"/>
        <w:bidi w:val="0"/>
        <w:spacing w:line="560" w:lineRule="exact"/>
        <w:ind w:firstLine="640" w:firstLineChars="200"/>
        <w:textAlignment w:val="auto"/>
        <w:rPr>
          <w:rFonts w:hint="default" w:ascii="Times New Roman" w:hAnsi="Times New Roman" w:eastAsia="仿宋_GB2312" w:cs="Times New Roman"/>
          <w:color w:val="000000"/>
          <w:kern w:val="0"/>
          <w:sz w:val="32"/>
          <w:szCs w:val="32"/>
          <w:lang w:val="en-US" w:eastAsia="zh-CN" w:bidi="ar-SA"/>
        </w:rPr>
      </w:pPr>
      <w:r>
        <w:rPr>
          <w:rFonts w:hint="eastAsia" w:eastAsia="仿宋_GB2312" w:cs="Times New Roman"/>
          <w:color w:val="000000"/>
          <w:kern w:val="0"/>
          <w:sz w:val="32"/>
          <w:szCs w:val="32"/>
          <w:lang w:val="en-US" w:eastAsia="zh-CN" w:bidi="ar-SA"/>
        </w:rPr>
        <w:t>15</w:t>
      </w:r>
      <w:r>
        <w:rPr>
          <w:rFonts w:hint="default" w:ascii="Times New Roman" w:hAnsi="Times New Roman" w:eastAsia="仿宋_GB2312" w:cs="Times New Roman"/>
          <w:color w:val="000000"/>
          <w:kern w:val="0"/>
          <w:sz w:val="32"/>
          <w:szCs w:val="32"/>
          <w:lang w:val="en-US" w:eastAsia="zh-CN" w:bidi="ar-SA"/>
        </w:rPr>
        <w:t>. 卫生</w:t>
      </w:r>
      <w:r>
        <w:rPr>
          <w:rFonts w:hint="eastAsia" w:eastAsia="仿宋_GB2312" w:cs="Times New Roman"/>
          <w:color w:val="000000"/>
          <w:kern w:val="0"/>
          <w:sz w:val="32"/>
          <w:szCs w:val="32"/>
          <w:lang w:val="en-US" w:eastAsia="zh-CN" w:bidi="ar-SA"/>
        </w:rPr>
        <w:t>健康</w:t>
      </w:r>
      <w:r>
        <w:rPr>
          <w:rFonts w:hint="default" w:ascii="Times New Roman" w:hAnsi="Times New Roman" w:eastAsia="仿宋_GB2312" w:cs="Times New Roman"/>
          <w:color w:val="000000"/>
          <w:kern w:val="0"/>
          <w:sz w:val="32"/>
          <w:szCs w:val="32"/>
          <w:lang w:val="en-US" w:eastAsia="zh-CN" w:bidi="ar-SA"/>
        </w:rPr>
        <w:t>支出（类）行政事业单位医疗（款）公务员医疗补助（项），主要用于：公务员医疗补助缴费。</w:t>
      </w:r>
    </w:p>
    <w:p w14:paraId="577CEF8F">
      <w:pPr>
        <w:pageBreakBefore w:val="0"/>
        <w:kinsoku/>
        <w:wordWrap/>
        <w:overflowPunct/>
        <w:topLinePunct w:val="0"/>
        <w:bidi w:val="0"/>
        <w:spacing w:line="560" w:lineRule="exact"/>
        <w:ind w:firstLine="640" w:firstLineChars="200"/>
        <w:textAlignment w:val="auto"/>
        <w:rPr>
          <w:rFonts w:hint="default" w:ascii="Times New Roman" w:hAnsi="Times New Roman" w:eastAsia="仿宋_GB2312" w:cs="Times New Roman"/>
          <w:color w:val="000000"/>
          <w:kern w:val="0"/>
          <w:sz w:val="32"/>
          <w:szCs w:val="32"/>
          <w:lang w:val="en-US" w:eastAsia="zh-CN" w:bidi="ar-SA"/>
        </w:rPr>
      </w:pPr>
      <w:r>
        <w:rPr>
          <w:rFonts w:hint="eastAsia" w:eastAsia="仿宋_GB2312" w:cs="Times New Roman"/>
          <w:color w:val="000000"/>
          <w:kern w:val="0"/>
          <w:sz w:val="32"/>
          <w:szCs w:val="32"/>
          <w:lang w:val="en-US" w:eastAsia="zh-CN" w:bidi="ar-SA"/>
        </w:rPr>
        <w:t>16</w:t>
      </w:r>
      <w:r>
        <w:rPr>
          <w:rFonts w:hint="default" w:ascii="Times New Roman" w:hAnsi="Times New Roman" w:eastAsia="仿宋_GB2312" w:cs="Times New Roman"/>
          <w:color w:val="000000"/>
          <w:kern w:val="0"/>
          <w:sz w:val="32"/>
          <w:szCs w:val="32"/>
          <w:lang w:val="en-US" w:eastAsia="zh-CN" w:bidi="ar-SA"/>
        </w:rPr>
        <w:t>. 城乡社区支出（类）城乡社区公共设施（款）其他城乡社区公共设施支出（项），主要用于：劳务费等。</w:t>
      </w:r>
    </w:p>
    <w:p w14:paraId="550B9B47">
      <w:pPr>
        <w:pageBreakBefore w:val="0"/>
        <w:kinsoku/>
        <w:wordWrap/>
        <w:overflowPunct/>
        <w:topLinePunct w:val="0"/>
        <w:bidi w:val="0"/>
        <w:spacing w:line="560" w:lineRule="exact"/>
        <w:ind w:firstLine="640" w:firstLineChars="200"/>
        <w:textAlignment w:val="auto"/>
        <w:rPr>
          <w:rFonts w:hint="default" w:ascii="Times New Roman" w:hAnsi="Times New Roman" w:eastAsia="仿宋_GB2312" w:cs="Times New Roman"/>
          <w:color w:val="000000"/>
          <w:kern w:val="0"/>
          <w:sz w:val="32"/>
          <w:szCs w:val="32"/>
          <w:lang w:val="en-US" w:eastAsia="zh-CN" w:bidi="ar-SA"/>
        </w:rPr>
      </w:pPr>
      <w:r>
        <w:rPr>
          <w:rFonts w:hint="eastAsia" w:eastAsia="仿宋_GB2312" w:cs="Times New Roman"/>
          <w:color w:val="000000"/>
          <w:kern w:val="0"/>
          <w:sz w:val="32"/>
          <w:szCs w:val="32"/>
          <w:lang w:val="en-US" w:eastAsia="zh-CN" w:bidi="ar-SA"/>
        </w:rPr>
        <w:t>17</w:t>
      </w:r>
      <w:r>
        <w:rPr>
          <w:rFonts w:hint="default" w:ascii="Times New Roman" w:hAnsi="Times New Roman" w:eastAsia="仿宋_GB2312" w:cs="Times New Roman"/>
          <w:color w:val="000000"/>
          <w:kern w:val="0"/>
          <w:sz w:val="32"/>
          <w:szCs w:val="32"/>
          <w:lang w:val="en-US" w:eastAsia="zh-CN" w:bidi="ar-SA"/>
        </w:rPr>
        <w:t>.农林水支出（类）农业（款）事业运行（项），主要用于：人员基本工资、津贴补贴、绩效目标、办公费、差旅费、福利费等。</w:t>
      </w:r>
    </w:p>
    <w:p w14:paraId="3CA02EE1">
      <w:pPr>
        <w:pageBreakBefore w:val="0"/>
        <w:kinsoku/>
        <w:wordWrap/>
        <w:overflowPunct/>
        <w:topLinePunct w:val="0"/>
        <w:bidi w:val="0"/>
        <w:spacing w:line="560" w:lineRule="exact"/>
        <w:ind w:firstLine="640" w:firstLineChars="200"/>
        <w:textAlignment w:val="auto"/>
        <w:rPr>
          <w:rFonts w:hint="default" w:ascii="Times New Roman" w:hAnsi="Times New Roman" w:eastAsia="仿宋_GB2312" w:cs="Times New Roman"/>
          <w:color w:val="000000"/>
          <w:kern w:val="0"/>
          <w:sz w:val="32"/>
          <w:szCs w:val="32"/>
          <w:lang w:val="en-US" w:eastAsia="zh-CN" w:bidi="ar-SA"/>
        </w:rPr>
      </w:pPr>
      <w:r>
        <w:rPr>
          <w:rFonts w:hint="eastAsia" w:eastAsia="仿宋_GB2312" w:cs="Times New Roman"/>
          <w:color w:val="000000"/>
          <w:kern w:val="0"/>
          <w:sz w:val="32"/>
          <w:szCs w:val="32"/>
          <w:lang w:val="en-US" w:eastAsia="zh-CN" w:bidi="ar-SA"/>
        </w:rPr>
        <w:t>18</w:t>
      </w:r>
      <w:r>
        <w:rPr>
          <w:rFonts w:hint="default" w:ascii="Times New Roman" w:hAnsi="Times New Roman" w:eastAsia="仿宋_GB2312" w:cs="Times New Roman"/>
          <w:color w:val="000000"/>
          <w:kern w:val="0"/>
          <w:sz w:val="32"/>
          <w:szCs w:val="32"/>
          <w:lang w:val="en-US" w:eastAsia="zh-CN" w:bidi="ar-SA"/>
        </w:rPr>
        <w:t>.农林水支出（类）其他农林水支出（款）其他农林水支出（项）主要用于：贫困村副书记、第一书记经费等。</w:t>
      </w:r>
    </w:p>
    <w:p w14:paraId="4943FA69">
      <w:pPr>
        <w:pageBreakBefore w:val="0"/>
        <w:kinsoku/>
        <w:wordWrap/>
        <w:overflowPunct/>
        <w:topLinePunct w:val="0"/>
        <w:bidi w:val="0"/>
        <w:spacing w:line="560" w:lineRule="exact"/>
        <w:ind w:firstLine="640" w:firstLineChars="200"/>
        <w:textAlignment w:val="auto"/>
        <w:rPr>
          <w:rFonts w:hint="default" w:ascii="Times New Roman" w:hAnsi="Times New Roman" w:eastAsia="仿宋_GB2312" w:cs="Times New Roman"/>
          <w:color w:val="000000"/>
          <w:kern w:val="0"/>
          <w:sz w:val="32"/>
          <w:szCs w:val="32"/>
          <w:lang w:val="en-US" w:eastAsia="zh-CN" w:bidi="ar-SA"/>
        </w:rPr>
      </w:pPr>
      <w:r>
        <w:rPr>
          <w:rFonts w:hint="eastAsia" w:eastAsia="仿宋_GB2312" w:cs="Times New Roman"/>
          <w:color w:val="000000"/>
          <w:kern w:val="0"/>
          <w:sz w:val="32"/>
          <w:szCs w:val="32"/>
          <w:lang w:val="en-US" w:eastAsia="zh-CN" w:bidi="ar-SA"/>
        </w:rPr>
        <w:t>19</w:t>
      </w:r>
      <w:r>
        <w:rPr>
          <w:rFonts w:hint="default" w:ascii="Times New Roman" w:hAnsi="Times New Roman" w:eastAsia="仿宋_GB2312" w:cs="Times New Roman"/>
          <w:color w:val="000000"/>
          <w:kern w:val="0"/>
          <w:sz w:val="32"/>
          <w:szCs w:val="32"/>
          <w:lang w:val="en-US" w:eastAsia="zh-CN" w:bidi="ar-SA"/>
        </w:rPr>
        <w:t>.住房保障支出（类）住房改革支出（款）住房公积金（项），主要用于：缴纳住房公积金。</w:t>
      </w:r>
    </w:p>
    <w:p w14:paraId="1393742B">
      <w:pPr>
        <w:pageBreakBefore w:val="0"/>
        <w:kinsoku/>
        <w:wordWrap/>
        <w:overflowPunct/>
        <w:topLinePunct w:val="0"/>
        <w:bidi w:val="0"/>
        <w:spacing w:line="560" w:lineRule="exact"/>
        <w:ind w:firstLine="640" w:firstLineChars="200"/>
        <w:textAlignment w:val="auto"/>
        <w:rPr>
          <w:rFonts w:hint="default" w:ascii="Times New Roman" w:hAnsi="Times New Roman" w:eastAsia="仿宋_GB2312" w:cs="Times New Roman"/>
          <w:color w:val="000000"/>
          <w:kern w:val="0"/>
          <w:sz w:val="32"/>
          <w:szCs w:val="32"/>
          <w:lang w:val="en-US" w:eastAsia="zh-CN" w:bidi="ar-SA"/>
        </w:rPr>
      </w:pPr>
      <w:r>
        <w:rPr>
          <w:rFonts w:hint="eastAsia" w:eastAsia="仿宋_GB2312" w:cs="Times New Roman"/>
          <w:color w:val="000000"/>
          <w:kern w:val="0"/>
          <w:sz w:val="32"/>
          <w:szCs w:val="32"/>
          <w:lang w:val="en-US" w:eastAsia="zh-CN" w:bidi="ar-SA"/>
        </w:rPr>
        <w:t>20</w:t>
      </w:r>
      <w:r>
        <w:rPr>
          <w:rFonts w:hint="default" w:ascii="Times New Roman" w:hAnsi="Times New Roman" w:eastAsia="仿宋_GB2312" w:cs="Times New Roman"/>
          <w:color w:val="000000"/>
          <w:kern w:val="0"/>
          <w:sz w:val="32"/>
          <w:szCs w:val="32"/>
          <w:lang w:val="en-US" w:eastAsia="zh-CN" w:bidi="ar-SA"/>
        </w:rPr>
        <w:t>.基本支出：指为保障机构正常运转、完成日常工作任务而发生的人员支出和公用支出。</w:t>
      </w:r>
    </w:p>
    <w:p w14:paraId="5B60EBFE">
      <w:pPr>
        <w:pageBreakBefore w:val="0"/>
        <w:kinsoku/>
        <w:wordWrap/>
        <w:overflowPunct/>
        <w:topLinePunct w:val="0"/>
        <w:bidi w:val="0"/>
        <w:spacing w:line="560" w:lineRule="exact"/>
        <w:ind w:firstLine="640" w:firstLineChars="200"/>
        <w:textAlignment w:val="auto"/>
        <w:rPr>
          <w:rFonts w:hint="default" w:ascii="Times New Roman" w:hAnsi="Times New Roman" w:eastAsia="仿宋_GB2312" w:cs="Times New Roman"/>
          <w:color w:val="000000"/>
          <w:kern w:val="0"/>
          <w:sz w:val="32"/>
          <w:szCs w:val="32"/>
          <w:lang w:val="en-US" w:eastAsia="zh-CN" w:bidi="ar-SA"/>
        </w:rPr>
      </w:pPr>
      <w:r>
        <w:rPr>
          <w:rFonts w:hint="eastAsia" w:eastAsia="仿宋_GB2312" w:cs="Times New Roman"/>
          <w:color w:val="000000"/>
          <w:kern w:val="0"/>
          <w:sz w:val="32"/>
          <w:szCs w:val="32"/>
          <w:lang w:val="en-US" w:eastAsia="zh-CN" w:bidi="ar-SA"/>
        </w:rPr>
        <w:t>21</w:t>
      </w:r>
      <w:r>
        <w:rPr>
          <w:rFonts w:hint="default" w:ascii="Times New Roman" w:hAnsi="Times New Roman" w:eastAsia="仿宋_GB2312" w:cs="Times New Roman"/>
          <w:color w:val="000000"/>
          <w:kern w:val="0"/>
          <w:sz w:val="32"/>
          <w:szCs w:val="32"/>
          <w:lang w:val="en-US" w:eastAsia="zh-CN" w:bidi="ar-SA"/>
        </w:rPr>
        <w:t xml:space="preserve">.项目支出：指在基本支出之外为完成特定行政任务和事业发展目标所发生的支出。 </w:t>
      </w:r>
    </w:p>
    <w:p w14:paraId="0D4CFEB8">
      <w:pPr>
        <w:pageBreakBefore w:val="0"/>
        <w:kinsoku/>
        <w:wordWrap/>
        <w:overflowPunct/>
        <w:topLinePunct w:val="0"/>
        <w:bidi w:val="0"/>
        <w:spacing w:line="560" w:lineRule="exact"/>
        <w:ind w:firstLine="640" w:firstLineChars="200"/>
        <w:textAlignment w:val="auto"/>
        <w:rPr>
          <w:rFonts w:hint="default" w:ascii="Times New Roman" w:hAnsi="Times New Roman" w:eastAsia="仿宋_GB2312" w:cs="Times New Roman"/>
          <w:color w:val="000000"/>
          <w:sz w:val="32"/>
          <w:szCs w:val="32"/>
        </w:rPr>
      </w:pPr>
      <w:r>
        <w:rPr>
          <w:rFonts w:hint="eastAsia" w:eastAsia="仿宋_GB2312" w:cs="Times New Roman"/>
          <w:color w:val="000000"/>
          <w:kern w:val="0"/>
          <w:sz w:val="32"/>
          <w:szCs w:val="32"/>
          <w:lang w:val="en-US" w:eastAsia="zh-CN" w:bidi="ar-SA"/>
        </w:rPr>
        <w:t>22</w:t>
      </w:r>
      <w:r>
        <w:rPr>
          <w:rFonts w:hint="default" w:ascii="Times New Roman" w:hAnsi="Times New Roman" w:eastAsia="仿宋_GB2312" w:cs="Times New Roman"/>
          <w:color w:val="000000"/>
          <w:kern w:val="0"/>
          <w:sz w:val="32"/>
          <w:szCs w:val="32"/>
          <w:lang w:val="en-US" w:eastAsia="zh-CN" w:bidi="ar-SA"/>
        </w:rPr>
        <w:t>.经营支出：指事业单位在专业业务活动</w:t>
      </w:r>
      <w:r>
        <w:rPr>
          <w:rFonts w:hint="default" w:ascii="Times New Roman" w:hAnsi="Times New Roman" w:eastAsia="仿宋_GB2312" w:cs="Times New Roman"/>
          <w:color w:val="000000"/>
          <w:sz w:val="32"/>
          <w:szCs w:val="32"/>
        </w:rPr>
        <w:t>及其辅助活动之外开展非独立核算经营活动发生的支出。</w:t>
      </w:r>
    </w:p>
    <w:p w14:paraId="15763543">
      <w:pPr>
        <w:pStyle w:val="36"/>
        <w:pageBreakBefore w:val="0"/>
        <w:kinsoku/>
        <w:wordWrap/>
        <w:overflowPunct/>
        <w:topLinePunct w:val="0"/>
        <w:bidi w:val="0"/>
        <w:snapToGrid/>
        <w:spacing w:line="600" w:lineRule="exact"/>
        <w:ind w:firstLine="640" w:firstLineChars="200"/>
        <w:textAlignment w:val="auto"/>
        <w:rPr>
          <w:rFonts w:ascii="仿宋_GB2312" w:eastAsia="仿宋_GB2312"/>
          <w:color w:val="auto"/>
          <w:sz w:val="32"/>
          <w:szCs w:val="32"/>
          <w:highlight w:val="none"/>
        </w:rPr>
      </w:pPr>
      <w:r>
        <w:rPr>
          <w:rFonts w:hint="eastAsia" w:ascii="仿宋_GB2312" w:eastAsia="仿宋_GB2312"/>
          <w:color w:val="auto"/>
          <w:sz w:val="32"/>
          <w:szCs w:val="32"/>
          <w:highlight w:val="none"/>
          <w:lang w:val="en-US" w:eastAsia="zh-CN"/>
        </w:rPr>
        <w:t>23</w:t>
      </w:r>
      <w:r>
        <w:rPr>
          <w:rFonts w:ascii="仿宋_GB2312" w:eastAsia="仿宋_GB2312"/>
          <w:color w:val="auto"/>
          <w:sz w:val="32"/>
          <w:szCs w:val="32"/>
          <w:highlight w:val="none"/>
        </w:rPr>
        <w:t>.</w:t>
      </w:r>
      <w:r>
        <w:rPr>
          <w:rFonts w:hint="eastAsia" w:ascii="仿宋_GB2312" w:eastAsia="仿宋_GB2312"/>
          <w:color w:val="auto"/>
          <w:sz w:val="32"/>
          <w:szCs w:val="32"/>
          <w:highlight w:val="none"/>
        </w:rPr>
        <w:t>“三公”经费：指</w:t>
      </w:r>
      <w:r>
        <w:rPr>
          <w:rFonts w:hint="eastAsia" w:ascii="仿宋_GB2312" w:eastAsia="仿宋_GB2312"/>
          <w:color w:val="auto"/>
          <w:sz w:val="32"/>
          <w:szCs w:val="32"/>
          <w:highlight w:val="none"/>
          <w:lang w:eastAsia="zh-CN"/>
        </w:rPr>
        <w:t>单位</w:t>
      </w:r>
      <w:r>
        <w:rPr>
          <w:rFonts w:hint="eastAsia" w:ascii="仿宋_GB2312" w:eastAsia="仿宋_GB2312"/>
          <w:color w:val="auto"/>
          <w:sz w:val="32"/>
          <w:szCs w:val="32"/>
          <w:highlight w:val="none"/>
        </w:rPr>
        <w:t>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14:paraId="6B65C018">
      <w:pPr>
        <w:ind w:firstLine="640" w:firstLineChars="200"/>
        <w:rPr>
          <w:rFonts w:ascii="仿宋" w:hAnsi="仿宋" w:eastAsia="仿宋"/>
          <w:b/>
          <w:color w:val="auto"/>
          <w:sz w:val="32"/>
          <w:szCs w:val="32"/>
          <w:highlight w:val="none"/>
        </w:rPr>
      </w:pPr>
      <w:r>
        <w:rPr>
          <w:rFonts w:hint="eastAsia" w:ascii="仿宋_GB2312" w:eastAsia="仿宋_GB2312"/>
          <w:color w:val="auto"/>
          <w:sz w:val="32"/>
          <w:szCs w:val="32"/>
          <w:highlight w:val="none"/>
          <w:lang w:val="en-US" w:eastAsia="zh-CN"/>
        </w:rPr>
        <w:t>24</w:t>
      </w:r>
      <w:r>
        <w:rPr>
          <w:rFonts w:ascii="仿宋_GB2312" w:eastAsia="仿宋_GB2312"/>
          <w:color w:val="auto"/>
          <w:sz w:val="32"/>
          <w:szCs w:val="32"/>
          <w:highlight w:val="none"/>
        </w:rPr>
        <w:t>.</w:t>
      </w:r>
      <w:r>
        <w:rPr>
          <w:rFonts w:hint="eastAsia" w:ascii="仿宋_GB2312" w:eastAsia="仿宋_GB2312"/>
          <w:color w:val="auto"/>
          <w:sz w:val="32"/>
          <w:szCs w:val="32"/>
          <w:highlight w:val="none"/>
        </w:rPr>
        <w:t>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14:paraId="60A355BE">
      <w:pPr>
        <w:pStyle w:val="5"/>
        <w:keepNext/>
        <w:keepLines/>
        <w:pageBreakBefore w:val="0"/>
        <w:widowControl w:val="0"/>
        <w:kinsoku/>
        <w:wordWrap/>
        <w:overflowPunct/>
        <w:topLinePunct w:val="0"/>
        <w:autoSpaceDE/>
        <w:autoSpaceDN/>
        <w:bidi w:val="0"/>
        <w:adjustRightInd/>
        <w:snapToGrid/>
        <w:spacing w:before="0" w:after="0" w:line="560" w:lineRule="exact"/>
        <w:jc w:val="center"/>
        <w:textAlignment w:val="auto"/>
        <w:rPr>
          <w:rFonts w:hint="default" w:ascii="方正小标宋简体" w:hAnsi="方正小标宋简体" w:eastAsia="方正小标宋简体" w:cs="方正小标宋简体"/>
          <w:b w:val="0"/>
          <w:bCs w:val="0"/>
          <w:lang w:val="en-US" w:eastAsia="zh-CN"/>
        </w:rPr>
      </w:pPr>
      <w:bookmarkStart w:id="166" w:name="_Toc15377226"/>
      <w:r>
        <w:rPr>
          <w:rFonts w:ascii="宋体" w:eastAsia="仿宋_GB2312"/>
          <w:b/>
          <w:color w:val="auto"/>
          <w:sz w:val="44"/>
          <w:szCs w:val="44"/>
          <w:highlight w:val="none"/>
        </w:rPr>
        <w:br w:type="page"/>
      </w:r>
      <w:bookmarkStart w:id="167" w:name="_Toc7618"/>
      <w:bookmarkStart w:id="168" w:name="_Toc30569"/>
      <w:bookmarkStart w:id="169" w:name="_Toc15396614"/>
      <w:r>
        <w:rPr>
          <w:rFonts w:hint="default" w:ascii="方正小标宋简体" w:hAnsi="方正小标宋简体" w:eastAsia="方正小标宋简体" w:cs="方正小标宋简体"/>
          <w:b w:val="0"/>
          <w:bCs w:val="0"/>
          <w:lang w:val="en-US" w:eastAsia="zh-CN"/>
        </w:rPr>
        <w:t>第四部分 附件</w:t>
      </w:r>
      <w:bookmarkEnd w:id="167"/>
      <w:bookmarkEnd w:id="168"/>
      <w:bookmarkEnd w:id="169"/>
    </w:p>
    <w:p w14:paraId="51615FF5">
      <w:pPr>
        <w:keepNext w:val="0"/>
        <w:keepLines w:val="0"/>
        <w:pageBreakBefore w:val="0"/>
        <w:kinsoku/>
        <w:wordWrap/>
        <w:overflowPunct/>
        <w:topLinePunct w:val="0"/>
        <w:autoSpaceDE/>
        <w:autoSpaceDN/>
        <w:bidi w:val="0"/>
        <w:spacing w:line="572" w:lineRule="exact"/>
        <w:jc w:val="left"/>
        <w:textAlignment w:val="auto"/>
        <w:outlineLvl w:val="0"/>
        <w:rPr>
          <w:rFonts w:hint="default" w:ascii="Times New Roman" w:hAnsi="Times New Roman" w:eastAsia="黑体" w:cs="Times New Roman"/>
          <w:b w:val="0"/>
          <w:bCs w:val="0"/>
          <w:i w:val="0"/>
          <w:iCs w:val="0"/>
          <w:color w:val="FF0000"/>
          <w:sz w:val="32"/>
          <w:szCs w:val="32"/>
          <w:highlight w:val="none"/>
        </w:rPr>
      </w:pPr>
    </w:p>
    <w:p w14:paraId="55D747A2">
      <w:pPr>
        <w:keepNext w:val="0"/>
        <w:keepLines w:val="0"/>
        <w:pageBreakBefore w:val="0"/>
        <w:kinsoku/>
        <w:wordWrap/>
        <w:overflowPunct/>
        <w:topLinePunct w:val="0"/>
        <w:autoSpaceDE/>
        <w:autoSpaceDN/>
        <w:bidi w:val="0"/>
        <w:spacing w:line="578" w:lineRule="exact"/>
        <w:contextualSpacing/>
        <w:textAlignment w:val="auto"/>
        <w:outlineLvl w:val="9"/>
        <w:rPr>
          <w:rFonts w:hint="default" w:ascii="Times New Roman" w:hAnsi="Times New Roman" w:eastAsia="方正黑体_GBK" w:cs="Times New Roman"/>
          <w:sz w:val="33"/>
          <w:szCs w:val="33"/>
          <w:highlight w:val="none"/>
          <w:lang w:val="zh-CN" w:eastAsia="zh-CN"/>
        </w:rPr>
      </w:pPr>
      <w:bookmarkStart w:id="170" w:name="_Toc15396618"/>
      <w:r>
        <w:rPr>
          <w:rFonts w:hint="eastAsia" w:ascii="Times New Roman" w:hAnsi="Times New Roman" w:eastAsia="方正黑体_GBK" w:cs="方正黑体_GBK"/>
          <w:sz w:val="33"/>
          <w:szCs w:val="33"/>
          <w:highlight w:val="none"/>
          <w:lang w:val="zh-CN"/>
        </w:rPr>
        <w:t>附件</w:t>
      </w:r>
      <w:r>
        <w:rPr>
          <w:rFonts w:hint="eastAsia" w:ascii="Times New Roman" w:hAnsi="Times New Roman" w:eastAsia="方正黑体_GBK" w:cs="Times New Roman"/>
          <w:sz w:val="33"/>
          <w:szCs w:val="33"/>
          <w:highlight w:val="none"/>
          <w:lang w:val="en-US" w:eastAsia="zh-CN"/>
        </w:rPr>
        <w:t>1</w:t>
      </w:r>
    </w:p>
    <w:p w14:paraId="789203AA">
      <w:pPr>
        <w:keepNext w:val="0"/>
        <w:keepLines w:val="0"/>
        <w:pageBreakBefore w:val="0"/>
        <w:widowControl/>
        <w:kinsoku/>
        <w:wordWrap/>
        <w:overflowPunct/>
        <w:topLinePunct w:val="0"/>
        <w:autoSpaceDE/>
        <w:autoSpaceDN/>
        <w:bidi w:val="0"/>
        <w:spacing w:line="578" w:lineRule="exact"/>
        <w:contextualSpacing/>
        <w:jc w:val="both"/>
        <w:textAlignment w:val="auto"/>
        <w:outlineLvl w:val="9"/>
        <w:rPr>
          <w:rFonts w:hint="default" w:ascii="Times New Roman" w:hAnsi="Times New Roman" w:eastAsia="仿宋_GB2312" w:cs="Times New Roman"/>
          <w:b/>
          <w:sz w:val="44"/>
          <w:szCs w:val="44"/>
          <w:highlight w:val="none"/>
          <w:shd w:val="clear" w:color="auto" w:fill="FFFFFF"/>
        </w:rPr>
      </w:pPr>
    </w:p>
    <w:p w14:paraId="3385AC08">
      <w:pPr>
        <w:pStyle w:val="5"/>
        <w:keepNext/>
        <w:keepLines/>
        <w:pageBreakBefore w:val="0"/>
        <w:widowControl w:val="0"/>
        <w:kinsoku/>
        <w:wordWrap/>
        <w:overflowPunct/>
        <w:topLinePunct w:val="0"/>
        <w:autoSpaceDE/>
        <w:autoSpaceDN/>
        <w:bidi w:val="0"/>
        <w:adjustRightInd/>
        <w:snapToGrid/>
        <w:spacing w:before="0" w:after="0" w:line="560" w:lineRule="exact"/>
        <w:jc w:val="center"/>
        <w:textAlignment w:val="auto"/>
        <w:rPr>
          <w:rFonts w:hint="default" w:ascii="方正小标宋简体" w:hAnsi="方正小标宋简体" w:eastAsia="方正小标宋简体" w:cs="方正小标宋简体"/>
          <w:b w:val="0"/>
          <w:bCs w:val="0"/>
          <w:lang w:val="en-US" w:eastAsia="zh-CN"/>
        </w:rPr>
      </w:pPr>
      <w:bookmarkStart w:id="171" w:name="_Toc29631"/>
      <w:bookmarkStart w:id="172" w:name="_Toc11410"/>
      <w:r>
        <w:rPr>
          <w:rFonts w:hint="eastAsia" w:ascii="方正小标宋简体" w:hAnsi="方正小标宋简体" w:eastAsia="方正小标宋简体" w:cs="方正小标宋简体"/>
          <w:b w:val="0"/>
          <w:bCs w:val="0"/>
          <w:lang w:val="en-US" w:eastAsia="zh-CN"/>
        </w:rPr>
        <w:t>遂宁市安居区水利局</w:t>
      </w:r>
      <w:bookmarkEnd w:id="171"/>
      <w:bookmarkEnd w:id="172"/>
    </w:p>
    <w:p w14:paraId="0574EF7F">
      <w:pPr>
        <w:pStyle w:val="5"/>
        <w:keepNext/>
        <w:keepLines/>
        <w:pageBreakBefore w:val="0"/>
        <w:widowControl w:val="0"/>
        <w:kinsoku/>
        <w:wordWrap/>
        <w:overflowPunct/>
        <w:topLinePunct w:val="0"/>
        <w:autoSpaceDE/>
        <w:autoSpaceDN/>
        <w:bidi w:val="0"/>
        <w:adjustRightInd/>
        <w:snapToGrid/>
        <w:spacing w:before="0" w:after="0" w:line="560" w:lineRule="exact"/>
        <w:jc w:val="center"/>
        <w:textAlignment w:val="auto"/>
        <w:rPr>
          <w:rFonts w:hint="default" w:ascii="方正小标宋简体" w:hAnsi="方正小标宋简体" w:eastAsia="方正小标宋简体" w:cs="方正小标宋简体"/>
          <w:b w:val="0"/>
          <w:bCs w:val="0"/>
          <w:lang w:val="en-US" w:eastAsia="zh-CN"/>
        </w:rPr>
      </w:pPr>
      <w:bookmarkStart w:id="173" w:name="_Toc29743"/>
      <w:bookmarkStart w:id="174" w:name="_Toc22327"/>
      <w:bookmarkStart w:id="175" w:name="_Toc19958"/>
      <w:r>
        <w:rPr>
          <w:rFonts w:hint="default" w:ascii="方正小标宋简体" w:hAnsi="方正小标宋简体" w:eastAsia="方正小标宋简体" w:cs="方正小标宋简体"/>
          <w:b w:val="0"/>
          <w:bCs w:val="0"/>
          <w:lang w:val="en-US" w:eastAsia="zh-CN"/>
        </w:rPr>
        <w:t>部门整体支出自评报告</w:t>
      </w:r>
      <w:bookmarkEnd w:id="173"/>
      <w:bookmarkEnd w:id="174"/>
      <w:bookmarkEnd w:id="175"/>
    </w:p>
    <w:p w14:paraId="20659F15">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60" w:firstLineChars="200"/>
        <w:contextualSpacing/>
        <w:jc w:val="both"/>
        <w:textAlignment w:val="auto"/>
        <w:outlineLvl w:val="9"/>
        <w:rPr>
          <w:rFonts w:hint="default" w:ascii="Times New Roman" w:hAnsi="Times New Roman" w:eastAsia="黑体" w:cs="Times New Roman"/>
          <w:color w:val="000000"/>
          <w:kern w:val="0"/>
          <w:sz w:val="33"/>
          <w:szCs w:val="33"/>
          <w:highlight w:val="none"/>
          <w:shd w:val="clear" w:color="auto" w:fill="FFFFFF"/>
        </w:rPr>
      </w:pPr>
    </w:p>
    <w:p w14:paraId="3F2FFC43">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60" w:firstLineChars="200"/>
        <w:contextualSpacing/>
        <w:jc w:val="both"/>
        <w:textAlignment w:val="auto"/>
        <w:outlineLvl w:val="9"/>
        <w:rPr>
          <w:rFonts w:hint="default" w:ascii="Times New Roman" w:hAnsi="Times New Roman" w:eastAsia="仿宋_GB2312" w:cs="Times New Roman"/>
          <w:sz w:val="33"/>
          <w:szCs w:val="33"/>
        </w:rPr>
      </w:pPr>
      <w:r>
        <w:rPr>
          <w:rFonts w:hint="eastAsia" w:ascii="Times New Roman" w:hAnsi="Times New Roman" w:eastAsia="黑体" w:cs="Times New Roman"/>
          <w:color w:val="000000"/>
          <w:kern w:val="0"/>
          <w:sz w:val="33"/>
          <w:szCs w:val="33"/>
          <w:highlight w:val="none"/>
          <w:shd w:val="clear" w:color="auto" w:fill="FFFFFF"/>
          <w:lang w:val="zh-CN"/>
        </w:rPr>
        <w:t>一、</w:t>
      </w:r>
      <w:r>
        <w:rPr>
          <w:rFonts w:hint="default" w:ascii="Times New Roman" w:hAnsi="Times New Roman" w:eastAsia="黑体" w:cs="Times New Roman"/>
          <w:color w:val="000000"/>
          <w:kern w:val="0"/>
          <w:sz w:val="33"/>
          <w:szCs w:val="33"/>
          <w:highlight w:val="none"/>
          <w:shd w:val="clear" w:color="auto" w:fill="FFFFFF"/>
          <w:lang w:val="zh-CN"/>
        </w:rPr>
        <w:t>部门（单位）基本情况</w:t>
      </w:r>
    </w:p>
    <w:p w14:paraId="52C00D47">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63" w:firstLineChars="200"/>
        <w:contextualSpacing/>
        <w:jc w:val="both"/>
        <w:textAlignment w:val="auto"/>
        <w:outlineLvl w:val="9"/>
        <w:rPr>
          <w:rFonts w:hint="default" w:ascii="Times New Roman" w:hAnsi="Times New Roman" w:eastAsia="仿宋_GB2312" w:cs="Times New Roman"/>
          <w:sz w:val="33"/>
          <w:szCs w:val="33"/>
        </w:rPr>
      </w:pPr>
      <w:r>
        <w:rPr>
          <w:rFonts w:hint="eastAsia" w:ascii="Times New Roman" w:hAnsi="Times New Roman" w:eastAsia="楷体_GB2312" w:cs="Times New Roman"/>
          <w:b/>
          <w:bCs/>
          <w:color w:val="000000"/>
          <w:kern w:val="0"/>
          <w:sz w:val="33"/>
          <w:szCs w:val="33"/>
          <w:highlight w:val="none"/>
          <w:shd w:val="clear" w:color="auto" w:fill="FFFFFF"/>
          <w:lang w:val="zh-CN"/>
        </w:rPr>
        <w:t>（一）</w:t>
      </w:r>
      <w:r>
        <w:rPr>
          <w:rFonts w:hint="default" w:ascii="Times New Roman" w:hAnsi="Times New Roman" w:eastAsia="楷体_GB2312" w:cs="Times New Roman"/>
          <w:b/>
          <w:bCs/>
          <w:color w:val="000000"/>
          <w:kern w:val="0"/>
          <w:sz w:val="33"/>
          <w:szCs w:val="33"/>
          <w:highlight w:val="none"/>
          <w:shd w:val="clear" w:color="auto" w:fill="FFFFFF"/>
          <w:lang w:val="zh-CN"/>
        </w:rPr>
        <w:t>机构组成。</w:t>
      </w:r>
    </w:p>
    <w:p w14:paraId="5C4A6BAC">
      <w:pPr>
        <w:keepNext w:val="0"/>
        <w:keepLines w:val="0"/>
        <w:pageBreakBefore w:val="0"/>
        <w:widowControl w:val="0"/>
        <w:kinsoku/>
        <w:wordWrap/>
        <w:overflowPunct/>
        <w:topLinePunct w:val="0"/>
        <w:autoSpaceDE/>
        <w:autoSpaceDN/>
        <w:bidi w:val="0"/>
        <w:adjustRightInd/>
        <w:snapToGrid/>
        <w:spacing w:line="590" w:lineRule="exact"/>
        <w:ind w:left="0" w:leftChars="0" w:right="0" w:rightChars="0" w:firstLine="660" w:firstLineChars="200"/>
        <w:jc w:val="both"/>
        <w:textAlignment w:val="auto"/>
        <w:rPr>
          <w:rFonts w:hint="eastAsia" w:ascii="Times New Roman" w:hAnsi="Times New Roman" w:eastAsia="仿宋_GB2312" w:cs="Times New Roman"/>
          <w:sz w:val="33"/>
          <w:szCs w:val="33"/>
          <w:lang w:val="en-US" w:eastAsia="zh-CN"/>
        </w:rPr>
      </w:pPr>
      <w:r>
        <w:rPr>
          <w:rFonts w:hint="eastAsia" w:ascii="Times New Roman" w:hAnsi="Times New Roman" w:eastAsia="仿宋_GB2312" w:cs="Times New Roman"/>
          <w:sz w:val="33"/>
          <w:szCs w:val="33"/>
          <w:lang w:val="en-US" w:eastAsia="zh-CN"/>
        </w:rPr>
        <w:t>遂宁市安居区</w:t>
      </w:r>
      <w:r>
        <w:rPr>
          <w:rFonts w:hint="eastAsia" w:eastAsia="仿宋_GB2312" w:cs="Times New Roman"/>
          <w:sz w:val="33"/>
          <w:szCs w:val="33"/>
          <w:lang w:val="en-US" w:eastAsia="zh-CN"/>
        </w:rPr>
        <w:t>水利局</w:t>
      </w:r>
      <w:r>
        <w:rPr>
          <w:rFonts w:hint="eastAsia" w:ascii="Times New Roman" w:hAnsi="Times New Roman" w:eastAsia="仿宋_GB2312" w:cs="Times New Roman"/>
          <w:sz w:val="33"/>
          <w:szCs w:val="33"/>
          <w:lang w:val="en-US" w:eastAsia="zh-CN"/>
        </w:rPr>
        <w:t>设</w:t>
      </w:r>
      <w:r>
        <w:rPr>
          <w:rFonts w:hint="eastAsia" w:eastAsia="仿宋_GB2312" w:cs="Times New Roman"/>
          <w:sz w:val="33"/>
          <w:szCs w:val="33"/>
          <w:lang w:val="en-US" w:eastAsia="zh-CN"/>
        </w:rPr>
        <w:t>4</w:t>
      </w:r>
      <w:r>
        <w:rPr>
          <w:rFonts w:hint="eastAsia" w:ascii="Times New Roman" w:hAnsi="Times New Roman" w:eastAsia="仿宋_GB2312" w:cs="Times New Roman"/>
          <w:sz w:val="33"/>
          <w:szCs w:val="33"/>
          <w:lang w:val="en-US" w:eastAsia="zh-CN"/>
        </w:rPr>
        <w:t>个内设机构</w:t>
      </w:r>
      <w:r>
        <w:rPr>
          <w:rFonts w:hint="eastAsia" w:eastAsia="仿宋_GB2312" w:cs="Times New Roman"/>
          <w:sz w:val="33"/>
          <w:szCs w:val="33"/>
          <w:lang w:val="en-US" w:eastAsia="zh-CN"/>
        </w:rPr>
        <w:t>：</w:t>
      </w:r>
    </w:p>
    <w:p w14:paraId="25788C82">
      <w:pPr>
        <w:keepNext w:val="0"/>
        <w:keepLines w:val="0"/>
        <w:pageBreakBefore w:val="0"/>
        <w:widowControl w:val="0"/>
        <w:kinsoku/>
        <w:wordWrap/>
        <w:overflowPunct/>
        <w:topLinePunct w:val="0"/>
        <w:autoSpaceDE/>
        <w:autoSpaceDN/>
        <w:bidi w:val="0"/>
        <w:adjustRightInd/>
        <w:snapToGrid/>
        <w:spacing w:line="590" w:lineRule="exact"/>
        <w:ind w:left="0" w:leftChars="0" w:right="0" w:rightChars="0" w:firstLine="660" w:firstLineChars="200"/>
        <w:jc w:val="both"/>
        <w:textAlignment w:val="auto"/>
        <w:rPr>
          <w:rFonts w:hint="eastAsia" w:ascii="Times New Roman" w:hAnsi="Times New Roman" w:eastAsia="仿宋_GB2312" w:cs="Times New Roman"/>
          <w:sz w:val="33"/>
          <w:szCs w:val="33"/>
          <w:lang w:val="en-US" w:eastAsia="zh-CN"/>
        </w:rPr>
      </w:pPr>
      <w:r>
        <w:rPr>
          <w:rFonts w:hint="eastAsia" w:eastAsia="仿宋_GB2312" w:cs="Times New Roman"/>
          <w:sz w:val="33"/>
          <w:szCs w:val="33"/>
          <w:lang w:val="en-US" w:eastAsia="zh-CN"/>
        </w:rPr>
        <w:t>1.</w:t>
      </w:r>
      <w:r>
        <w:rPr>
          <w:rFonts w:hint="eastAsia" w:ascii="Times New Roman" w:hAnsi="Times New Roman" w:eastAsia="仿宋_GB2312" w:cs="Times New Roman"/>
          <w:sz w:val="33"/>
          <w:szCs w:val="33"/>
          <w:lang w:val="en-US" w:eastAsia="zh-CN"/>
        </w:rPr>
        <w:t>办公室（挂人事股牌子）。负责机关日常运转工作，承担文秘、档案、信息、保密、宣传、财务、审计、信访、会务、目标管理、政务公开、政府采购、机关安全、回复热线、办理建议和提案等工作。负责机关制度建设、后勤保障、财务、资产管理，承担机关和所属事业单位内部审计工作。负责编制部门预算并组织实施。组织提出水利财政资金安排建议，并统筹协调项目实施的资金监督管理、财务审计、绩效评价。</w:t>
      </w:r>
    </w:p>
    <w:p w14:paraId="7092D387">
      <w:pPr>
        <w:keepNext w:val="0"/>
        <w:keepLines w:val="0"/>
        <w:pageBreakBefore w:val="0"/>
        <w:widowControl w:val="0"/>
        <w:kinsoku/>
        <w:wordWrap/>
        <w:overflowPunct/>
        <w:topLinePunct w:val="0"/>
        <w:autoSpaceDE/>
        <w:autoSpaceDN/>
        <w:bidi w:val="0"/>
        <w:adjustRightInd/>
        <w:snapToGrid/>
        <w:spacing w:line="590" w:lineRule="exact"/>
        <w:ind w:left="0" w:leftChars="0" w:right="0" w:rightChars="0" w:firstLine="660" w:firstLineChars="200"/>
        <w:jc w:val="both"/>
        <w:textAlignment w:val="auto"/>
        <w:rPr>
          <w:rFonts w:hint="eastAsia" w:ascii="Times New Roman" w:hAnsi="Times New Roman" w:eastAsia="仿宋_GB2312" w:cs="Times New Roman"/>
          <w:sz w:val="33"/>
          <w:szCs w:val="33"/>
          <w:lang w:val="en-US" w:eastAsia="zh-CN"/>
        </w:rPr>
      </w:pPr>
      <w:r>
        <w:rPr>
          <w:rFonts w:hint="eastAsia" w:ascii="Times New Roman" w:hAnsi="Times New Roman" w:eastAsia="仿宋_GB2312" w:cs="Times New Roman"/>
          <w:sz w:val="33"/>
          <w:szCs w:val="33"/>
          <w:lang w:val="en-US" w:eastAsia="zh-CN"/>
        </w:rPr>
        <w:t>负责人事管理、机构编制和离退休人员服务管理等工作。组织行业教育培训、职称评定工作。</w:t>
      </w:r>
    </w:p>
    <w:p w14:paraId="03A3EBF0">
      <w:pPr>
        <w:keepNext w:val="0"/>
        <w:keepLines w:val="0"/>
        <w:pageBreakBefore w:val="0"/>
        <w:widowControl w:val="0"/>
        <w:kinsoku/>
        <w:wordWrap/>
        <w:overflowPunct/>
        <w:topLinePunct w:val="0"/>
        <w:autoSpaceDE/>
        <w:autoSpaceDN/>
        <w:bidi w:val="0"/>
        <w:adjustRightInd/>
        <w:snapToGrid/>
        <w:spacing w:line="590" w:lineRule="exact"/>
        <w:ind w:left="0" w:leftChars="0" w:right="0" w:rightChars="0" w:firstLine="660" w:firstLineChars="200"/>
        <w:jc w:val="both"/>
        <w:textAlignment w:val="auto"/>
        <w:rPr>
          <w:rFonts w:hint="eastAsia" w:ascii="Times New Roman" w:hAnsi="Times New Roman" w:eastAsia="仿宋_GB2312" w:cs="Times New Roman"/>
          <w:sz w:val="33"/>
          <w:szCs w:val="33"/>
          <w:lang w:val="en-US" w:eastAsia="zh-CN"/>
        </w:rPr>
      </w:pPr>
      <w:r>
        <w:rPr>
          <w:rFonts w:hint="eastAsia" w:ascii="Times New Roman" w:hAnsi="Times New Roman" w:eastAsia="仿宋_GB2312" w:cs="Times New Roman"/>
          <w:sz w:val="33"/>
          <w:szCs w:val="33"/>
          <w:lang w:val="en-US" w:eastAsia="zh-CN"/>
        </w:rPr>
        <w:t>负责全系统党的建设工作和群团工作。负责机关意识形态工作，负责局机关工、青、妇等群团工作。承担行业纪检监察工作，协助有关部门做好行业的纪检监察和党风廉政建设工作。</w:t>
      </w:r>
    </w:p>
    <w:p w14:paraId="199F3767">
      <w:pPr>
        <w:keepNext w:val="0"/>
        <w:keepLines w:val="0"/>
        <w:pageBreakBefore w:val="0"/>
        <w:widowControl w:val="0"/>
        <w:kinsoku/>
        <w:wordWrap/>
        <w:overflowPunct/>
        <w:topLinePunct w:val="0"/>
        <w:autoSpaceDE/>
        <w:autoSpaceDN/>
        <w:bidi w:val="0"/>
        <w:adjustRightInd/>
        <w:snapToGrid/>
        <w:spacing w:line="590" w:lineRule="exact"/>
        <w:ind w:left="0" w:leftChars="0" w:right="0" w:rightChars="0" w:firstLine="660" w:firstLineChars="200"/>
        <w:jc w:val="both"/>
        <w:textAlignment w:val="auto"/>
        <w:rPr>
          <w:rFonts w:hint="eastAsia" w:ascii="Times New Roman" w:hAnsi="Times New Roman" w:eastAsia="仿宋_GB2312" w:cs="Times New Roman"/>
          <w:sz w:val="33"/>
          <w:szCs w:val="33"/>
          <w:lang w:val="en-US" w:eastAsia="zh-CN"/>
        </w:rPr>
      </w:pPr>
      <w:r>
        <w:rPr>
          <w:rFonts w:hint="eastAsia" w:eastAsia="仿宋_GB2312" w:cs="Times New Roman"/>
          <w:sz w:val="33"/>
          <w:szCs w:val="33"/>
          <w:lang w:val="en-US" w:eastAsia="zh-CN"/>
        </w:rPr>
        <w:t>2.</w:t>
      </w:r>
      <w:r>
        <w:rPr>
          <w:rFonts w:hint="eastAsia" w:ascii="Times New Roman" w:hAnsi="Times New Roman" w:eastAsia="仿宋_GB2312" w:cs="Times New Roman"/>
          <w:sz w:val="33"/>
          <w:szCs w:val="33"/>
          <w:lang w:val="en-US" w:eastAsia="zh-CN"/>
        </w:rPr>
        <w:t>河湖管理与水旱灾害防御股（挂节约用水办公室牌子）。指导、监督江河湖泊、水库及其岸线的管理和保护。指导江河湖泊、滩涂的保护、治理和开发。指导河湖水生态保护与修复工作。负责河道、水库管理范围内工程建设项目审查。承担河长制相关工作。</w:t>
      </w:r>
    </w:p>
    <w:p w14:paraId="0598FEF0">
      <w:pPr>
        <w:keepNext w:val="0"/>
        <w:keepLines w:val="0"/>
        <w:pageBreakBefore w:val="0"/>
        <w:widowControl w:val="0"/>
        <w:kinsoku/>
        <w:wordWrap/>
        <w:overflowPunct/>
        <w:topLinePunct w:val="0"/>
        <w:autoSpaceDE/>
        <w:autoSpaceDN/>
        <w:bidi w:val="0"/>
        <w:adjustRightInd/>
        <w:snapToGrid/>
        <w:spacing w:line="590" w:lineRule="exact"/>
        <w:ind w:left="0" w:leftChars="0" w:right="0" w:rightChars="0" w:firstLine="660" w:firstLineChars="200"/>
        <w:jc w:val="both"/>
        <w:textAlignment w:val="auto"/>
        <w:rPr>
          <w:rFonts w:hint="eastAsia" w:ascii="Times New Roman" w:hAnsi="Times New Roman" w:eastAsia="仿宋_GB2312" w:cs="Times New Roman"/>
          <w:sz w:val="33"/>
          <w:szCs w:val="33"/>
          <w:lang w:val="en-US" w:eastAsia="zh-CN"/>
        </w:rPr>
      </w:pPr>
      <w:r>
        <w:rPr>
          <w:rFonts w:hint="eastAsia" w:ascii="Times New Roman" w:hAnsi="Times New Roman" w:eastAsia="仿宋_GB2312" w:cs="Times New Roman"/>
          <w:sz w:val="33"/>
          <w:szCs w:val="33"/>
          <w:lang w:val="en-US" w:eastAsia="zh-CN"/>
        </w:rPr>
        <w:t>组织、指导有关防洪论证和行洪论证工作。组织编制洪水干旱防治规划、重要江河湖泊、水库和重要水工程的防御洪水、抗御旱灾调度以及应急水量调度方案，按程序报批并组织实施。承担水情旱情预警工作和洪水影响评价工作。</w:t>
      </w:r>
    </w:p>
    <w:p w14:paraId="1CF0E365">
      <w:pPr>
        <w:keepNext w:val="0"/>
        <w:keepLines w:val="0"/>
        <w:pageBreakBefore w:val="0"/>
        <w:widowControl w:val="0"/>
        <w:kinsoku/>
        <w:wordWrap/>
        <w:overflowPunct/>
        <w:topLinePunct w:val="0"/>
        <w:autoSpaceDE/>
        <w:autoSpaceDN/>
        <w:bidi w:val="0"/>
        <w:adjustRightInd/>
        <w:snapToGrid/>
        <w:spacing w:line="590" w:lineRule="exact"/>
        <w:ind w:left="0" w:leftChars="0" w:right="0" w:rightChars="0" w:firstLine="660" w:firstLineChars="200"/>
        <w:jc w:val="both"/>
        <w:textAlignment w:val="auto"/>
        <w:rPr>
          <w:rFonts w:hint="eastAsia" w:ascii="Times New Roman" w:hAnsi="Times New Roman" w:eastAsia="仿宋_GB2312" w:cs="Times New Roman"/>
          <w:sz w:val="33"/>
          <w:szCs w:val="33"/>
          <w:lang w:val="en-US" w:eastAsia="zh-CN"/>
        </w:rPr>
      </w:pPr>
      <w:r>
        <w:rPr>
          <w:rFonts w:hint="eastAsia" w:ascii="Times New Roman" w:hAnsi="Times New Roman" w:eastAsia="仿宋_GB2312" w:cs="Times New Roman"/>
          <w:sz w:val="33"/>
          <w:szCs w:val="33"/>
          <w:lang w:val="en-US" w:eastAsia="zh-CN"/>
        </w:rPr>
        <w:t>负责水资源监督管理。承担实施最严格水资源管理制度相关工作，组织实施水资源取水许可、水资源论证等制度，指导开展水资源有偿使用工作。指导水量分配工作并监督实施，指导河湖生态流量水量管理以及河湖水系连通工作。组织编制水资源保护规划，指导饮用水水源保护有关工作。对江河湖泊和地下水实施监测，发布水资源信息、情报预报，组织编制并发布全区水资源公报。组织编制并协调实施节约用水规划，指导全区计划用水、节约用水工作。指导和推动节水型社会建设工作。</w:t>
      </w:r>
    </w:p>
    <w:p w14:paraId="6B866AE7">
      <w:pPr>
        <w:keepNext w:val="0"/>
        <w:keepLines w:val="0"/>
        <w:pageBreakBefore w:val="0"/>
        <w:widowControl w:val="0"/>
        <w:kinsoku/>
        <w:wordWrap/>
        <w:overflowPunct/>
        <w:topLinePunct w:val="0"/>
        <w:autoSpaceDE/>
        <w:autoSpaceDN/>
        <w:bidi w:val="0"/>
        <w:adjustRightInd/>
        <w:snapToGrid/>
        <w:spacing w:line="590" w:lineRule="exact"/>
        <w:ind w:left="0" w:leftChars="0" w:right="0" w:rightChars="0" w:firstLine="660" w:firstLineChars="200"/>
        <w:jc w:val="both"/>
        <w:textAlignment w:val="auto"/>
        <w:rPr>
          <w:rFonts w:hint="eastAsia" w:ascii="Times New Roman" w:hAnsi="Times New Roman" w:eastAsia="仿宋_GB2312" w:cs="Times New Roman"/>
          <w:sz w:val="33"/>
          <w:szCs w:val="33"/>
          <w:lang w:val="en-US" w:eastAsia="zh-CN"/>
        </w:rPr>
      </w:pPr>
      <w:r>
        <w:rPr>
          <w:rFonts w:hint="eastAsia" w:eastAsia="仿宋_GB2312" w:cs="Times New Roman"/>
          <w:sz w:val="33"/>
          <w:szCs w:val="33"/>
          <w:lang w:val="en-US" w:eastAsia="zh-CN"/>
        </w:rPr>
        <w:t>3.</w:t>
      </w:r>
      <w:r>
        <w:rPr>
          <w:rFonts w:hint="eastAsia" w:ascii="Times New Roman" w:hAnsi="Times New Roman" w:eastAsia="仿宋_GB2312" w:cs="Times New Roman"/>
          <w:sz w:val="33"/>
          <w:szCs w:val="33"/>
          <w:lang w:val="en-US" w:eastAsia="zh-CN"/>
        </w:rPr>
        <w:t>移民股。组织、指导编制大中型水利水电工程移民安置规划大纲和移民安置规划，拟订区内大中型水利水电工程移民安置概算细化分解方案和年度计划并组织、指导、监督实施；负责移民法规政策宣传、信息公开和培训工作；负责在本区安置的三峡外迁移民的后续实施工作。负责大中型水利水电工程移民后期扶持政策的实施，负责全区移民后期扶持人口的审核</w:t>
      </w:r>
      <w:bookmarkStart w:id="248" w:name="_GoBack"/>
      <w:bookmarkEnd w:id="248"/>
      <w:r>
        <w:rPr>
          <w:rFonts w:hint="eastAsia" w:ascii="Times New Roman" w:hAnsi="Times New Roman" w:eastAsia="仿宋_GB2312" w:cs="Times New Roman"/>
          <w:sz w:val="33"/>
          <w:szCs w:val="33"/>
          <w:lang w:val="en-US" w:eastAsia="zh-CN"/>
        </w:rPr>
        <w:t>和后期扶持资金发放的监管工作； 拟订库区和移民安置后期扶持规划，组织实施后期扶持基金、库区建设基金项目，制订后期扶持年度计划并组织实施；负责移民信访接待、维稳工作；负责移民生产技术和就业技能培训、产业扶持等工作；完成局领导交办</w:t>
      </w:r>
      <w:r>
        <w:rPr>
          <w:rFonts w:hint="eastAsia" w:eastAsia="仿宋_GB2312" w:cs="Times New Roman"/>
          <w:sz w:val="33"/>
          <w:szCs w:val="33"/>
          <w:lang w:val="en-US" w:eastAsia="zh-CN"/>
        </w:rPr>
        <w:t>的其他工作</w:t>
      </w:r>
      <w:r>
        <w:rPr>
          <w:rFonts w:hint="eastAsia" w:ascii="Times New Roman" w:hAnsi="Times New Roman" w:eastAsia="仿宋_GB2312" w:cs="Times New Roman"/>
          <w:sz w:val="33"/>
          <w:szCs w:val="33"/>
          <w:lang w:val="en-US" w:eastAsia="zh-CN"/>
        </w:rPr>
        <w:t>。</w:t>
      </w:r>
    </w:p>
    <w:p w14:paraId="08039DBA">
      <w:pPr>
        <w:keepNext w:val="0"/>
        <w:keepLines w:val="0"/>
        <w:pageBreakBefore w:val="0"/>
        <w:widowControl w:val="0"/>
        <w:kinsoku/>
        <w:wordWrap/>
        <w:overflowPunct/>
        <w:topLinePunct w:val="0"/>
        <w:autoSpaceDE/>
        <w:autoSpaceDN/>
        <w:bidi w:val="0"/>
        <w:adjustRightInd/>
        <w:snapToGrid/>
        <w:spacing w:line="590" w:lineRule="exact"/>
        <w:ind w:left="0" w:leftChars="0" w:right="0" w:rightChars="0" w:firstLine="660" w:firstLineChars="200"/>
        <w:jc w:val="both"/>
        <w:textAlignment w:val="auto"/>
        <w:rPr>
          <w:rFonts w:hint="eastAsia" w:ascii="Times New Roman" w:hAnsi="Times New Roman" w:eastAsia="仿宋_GB2312" w:cs="Times New Roman"/>
          <w:sz w:val="33"/>
          <w:szCs w:val="33"/>
          <w:lang w:val="en-US" w:eastAsia="zh-CN"/>
        </w:rPr>
      </w:pPr>
      <w:r>
        <w:rPr>
          <w:rFonts w:hint="eastAsia" w:eastAsia="仿宋_GB2312" w:cs="Times New Roman"/>
          <w:sz w:val="33"/>
          <w:szCs w:val="33"/>
          <w:lang w:val="en-US" w:eastAsia="zh-CN"/>
        </w:rPr>
        <w:t>4.</w:t>
      </w:r>
      <w:r>
        <w:rPr>
          <w:rFonts w:hint="eastAsia" w:ascii="Times New Roman" w:hAnsi="Times New Roman" w:eastAsia="仿宋_GB2312" w:cs="Times New Roman"/>
          <w:sz w:val="33"/>
          <w:szCs w:val="33"/>
          <w:lang w:val="en-US" w:eastAsia="zh-CN"/>
        </w:rPr>
        <w:t>规划建设管理与政策法规监督股（水利工程质量安全监督股）。</w:t>
      </w:r>
      <w:r>
        <w:rPr>
          <w:rFonts w:hint="eastAsia" w:eastAsia="仿宋_GB2312" w:cs="Times New Roman"/>
          <w:sz w:val="33"/>
          <w:szCs w:val="33"/>
          <w:lang w:val="en-US" w:eastAsia="zh-CN"/>
        </w:rPr>
        <w:t>拟定全区</w:t>
      </w:r>
      <w:r>
        <w:rPr>
          <w:rFonts w:hint="eastAsia" w:ascii="Times New Roman" w:hAnsi="Times New Roman" w:eastAsia="仿宋_GB2312" w:cs="Times New Roman"/>
          <w:sz w:val="33"/>
          <w:szCs w:val="33"/>
          <w:lang w:val="en-US" w:eastAsia="zh-CN"/>
        </w:rPr>
        <w:t>水利发展规划和年度计划，审核重点水利基建项目建议书，可行性研究报告和初步设计。组织实施水利建设投资计划。指导水利工程建设管理。制定有关制度并组织实施。组织实施水利工程建设与运行管理。按权限，承担水利工程验收，组织实施重点水利工程，中小河流治理。指导水利建设市场的监督管理和水利建设市场信用体系建设。承担全区水利统计工作。贯彻落实水利政策，拟订发展规划并监督实施。指导农村饮水安全工程建设与管理工作。组织开展灌区排灌工程建设与改造，指导节水灌溉有关工作。组织指导已建成水利工程的运行管理和除险加固工作。拟订水土保持规划并监督实施。承担水土流失的综合防治、监测预报，定期公告、建设项目和预防监督管理工作。指导农村水能资源开发、小水电改造。</w:t>
      </w:r>
    </w:p>
    <w:p w14:paraId="02C22DD9">
      <w:pPr>
        <w:keepNext w:val="0"/>
        <w:keepLines w:val="0"/>
        <w:pageBreakBefore w:val="0"/>
        <w:widowControl w:val="0"/>
        <w:kinsoku/>
        <w:wordWrap/>
        <w:overflowPunct/>
        <w:topLinePunct w:val="0"/>
        <w:autoSpaceDE/>
        <w:autoSpaceDN/>
        <w:bidi w:val="0"/>
        <w:adjustRightInd/>
        <w:snapToGrid/>
        <w:spacing w:line="590" w:lineRule="exact"/>
        <w:ind w:left="0" w:leftChars="0" w:right="0" w:rightChars="0" w:firstLine="660" w:firstLineChars="200"/>
        <w:jc w:val="both"/>
        <w:textAlignment w:val="auto"/>
        <w:rPr>
          <w:rFonts w:hint="default" w:eastAsia="仿宋_GB2312"/>
        </w:rPr>
      </w:pPr>
      <w:r>
        <w:rPr>
          <w:rFonts w:hint="eastAsia" w:ascii="Times New Roman" w:hAnsi="Times New Roman" w:eastAsia="仿宋_GB2312" w:cs="Times New Roman"/>
          <w:sz w:val="33"/>
          <w:szCs w:val="33"/>
          <w:lang w:val="en-US" w:eastAsia="zh-CN"/>
        </w:rPr>
        <w:t>贯彻落实水利行业方针政策，</w:t>
      </w:r>
      <w:r>
        <w:rPr>
          <w:rFonts w:hint="eastAsia" w:eastAsia="仿宋_GB2312" w:cs="Times New Roman"/>
          <w:sz w:val="33"/>
          <w:szCs w:val="33"/>
          <w:lang w:val="en-US" w:eastAsia="zh-CN"/>
        </w:rPr>
        <w:t>拟定全区</w:t>
      </w:r>
      <w:r>
        <w:rPr>
          <w:rFonts w:hint="eastAsia" w:ascii="Times New Roman" w:hAnsi="Times New Roman" w:eastAsia="仿宋_GB2312" w:cs="Times New Roman"/>
          <w:sz w:val="33"/>
          <w:szCs w:val="33"/>
          <w:lang w:val="en-US" w:eastAsia="zh-CN"/>
        </w:rPr>
        <w:t>水利法治建设规划、水利工作政策、有关规章制度和改革方案。指导全区水政监察和水行政执法工作。负责机关规范性文件的合法性审查、备案等工作。承担本系统行政权力、依法治理，和权责清单制度建设、动态调整工作。指导全区水利行业行政许可工作并监督检查，牵头协调推进“放管服”改革和一体化政务服务平台。承办本级行政许可、行政应诉、行政处罚、行政赔偿和行政调解工作。负责招投标监督与标后监管。负责水利工程质量监督和安全监督，指导全区水利行业安全生产工作。指导水利行业职业健康工作。</w:t>
      </w:r>
    </w:p>
    <w:p w14:paraId="3C8A10FF">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63" w:firstLineChars="200"/>
        <w:contextualSpacing/>
        <w:jc w:val="both"/>
        <w:textAlignment w:val="auto"/>
        <w:outlineLvl w:val="9"/>
        <w:rPr>
          <w:rFonts w:hint="eastAsia" w:ascii="Times New Roman" w:hAnsi="Times New Roman" w:eastAsia="楷体_GB2312" w:cs="Times New Roman"/>
          <w:b/>
          <w:bCs/>
          <w:color w:val="000000"/>
          <w:kern w:val="0"/>
          <w:sz w:val="33"/>
          <w:szCs w:val="33"/>
          <w:highlight w:val="none"/>
          <w:shd w:val="clear" w:color="auto" w:fill="FFFFFF"/>
          <w:lang w:val="zh-CN"/>
        </w:rPr>
      </w:pPr>
      <w:r>
        <w:rPr>
          <w:rFonts w:hint="default" w:ascii="Times New Roman" w:hAnsi="Times New Roman" w:eastAsia="楷体_GB2312" w:cs="Times New Roman"/>
          <w:b/>
          <w:bCs/>
          <w:color w:val="000000"/>
          <w:kern w:val="0"/>
          <w:sz w:val="33"/>
          <w:szCs w:val="33"/>
          <w:highlight w:val="none"/>
          <w:shd w:val="clear" w:color="auto" w:fill="FFFFFF"/>
          <w:lang w:val="zh-CN"/>
        </w:rPr>
        <w:t>（二）机构职能</w:t>
      </w:r>
      <w:r>
        <w:rPr>
          <w:rFonts w:hint="eastAsia" w:ascii="Times New Roman" w:hAnsi="Times New Roman" w:eastAsia="楷体_GB2312" w:cs="Times New Roman"/>
          <w:b/>
          <w:bCs/>
          <w:color w:val="000000"/>
          <w:kern w:val="0"/>
          <w:sz w:val="33"/>
          <w:szCs w:val="33"/>
          <w:highlight w:val="none"/>
          <w:shd w:val="clear" w:color="auto" w:fill="FFFFFF"/>
          <w:lang w:val="zh-CN"/>
        </w:rPr>
        <w:t>。</w:t>
      </w:r>
    </w:p>
    <w:p w14:paraId="32257924">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1.负责水资源的合理开发利用和保护工作。拟定全区水利发展规划和政策，组织编制全区水资源综合规划、水资源保护规划、重要江河湖泊流域综合规划、防洪规划等重大水利规划。指导饮用水水源保护有关工作。指导地下水开发利用和地下水资源管理保护。</w:t>
      </w:r>
    </w:p>
    <w:p w14:paraId="509A7968">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2.负责生活、生产经营和生态环境用水的统筹和保障。组织实施最严格水资源管理制度，实施水资源的统一监督管理。拟定全区中长期供求规划，水量分配方案并监督实施。负责重要流域、区域以及重要水工程的水资源调度。组织实施取水许可、水资源论证和防洪论证制度，指导实施水资源有偿使用工作。指导水利行业供水和乡镇供水工作。</w:t>
      </w:r>
    </w:p>
    <w:p w14:paraId="29A446B8">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3.根据《四川省水利工程管理条例》，受市水利局委托，负责主管全区中型水利工程（包括麻子滩、跑马滩、新生水库和三仙湖水库）;负责管理或委托乡镇政府管理全区的小[一]、[二]型水库。</w:t>
      </w:r>
    </w:p>
    <w:p w14:paraId="5033F717">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4.负责水利工程建设与运行管理，按管理权限制定水利工程建设有关制度并组织实施，负责提出水利固定资产投资规模、方向和区级财政资金安排的建议。提出区级水利建设投资安排建议并负责项目实施的监督管理。组织实施具有控制性的重要水利工程建设与运行管理。</w:t>
      </w:r>
    </w:p>
    <w:p w14:paraId="4207AC52">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5.负责节约用水工作。拟定全区节约用水政策，组织、指导和监督节约用水工作。组织编制节约用水规划并监督实施，组织实施用水总量控制等管理制度，指导和推动节水型社会建设工作。</w:t>
      </w:r>
    </w:p>
    <w:p w14:paraId="2E1049C5">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6.负责水资源的监督管理。对江河湖泊和地下水实施监测，发布水资源信息、情报预报和全区水资源公报。</w:t>
      </w:r>
    </w:p>
    <w:p w14:paraId="14AAD31E">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7.指导全区水利设施、江河湖泊及其岸线的管理、保护与综合利用。组织指导水利基础设施网络建设。指导重要江河湖泊及滩涂的保护、治理和开发。指导河湖水生态保护与修复、河湖生态流量水量管理以及河湖水系连通工作。</w:t>
      </w:r>
    </w:p>
    <w:p w14:paraId="2F684E0E">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8.负责全区水土保持工作。拟订水土保持规划并监督实施，组织实施全区水土流失的综合防治、监测预报并定期公告。负责建设项目水土保持监督管理工作，指导重点水土保持建设项目的实施，指导水土保持监测站点建设工作。</w:t>
      </w:r>
    </w:p>
    <w:p w14:paraId="06020B70">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9.指导农村水利工作。组织开展灌区灌排工程建设与改造。负责农村饮水安全工程建设管理工作;指导节水灌溉有关工作。负责农村水利改革创新和社会化服务体系建设，组织农村水能资源开发，指导小水电改造工作。</w:t>
      </w:r>
    </w:p>
    <w:p w14:paraId="05E1FACD">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10.负责辖区内涉水违法事件的查处、协调水事纠纷，指导水政监察和水行政执法。依法负责水利行业安全生产工作。指导水利建设市场的监督检查，组织实施水利工程建设的监督检查。</w:t>
      </w:r>
    </w:p>
    <w:p w14:paraId="34C304A7">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11.开展水利科技对外合作交流工作。组织开展水利行业质量监督工作。组织水利科学研究、技术推广工作。组织全区水利系统的对外经济联络，技术经济合作。承担全区水利统计工作。</w:t>
      </w:r>
    </w:p>
    <w:p w14:paraId="2136ED5A">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12.负责落实综合防灾减灾规划相关要求，组织编制并实施全区洪水干旱灾害防治规划。承担水情旱情监测预警工作。按管理权限，组织编制全区重要江河湖泊和重要水工程的防御洪水、抗御旱灾调度及应急水量调度方案，按程序报批并组织实施。承担防御洪水应急抢险的技术保障工作。</w:t>
      </w:r>
    </w:p>
    <w:p w14:paraId="5D8F20CB">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13.负责职责范围内的安全生产和职业健康、生态环境保护、审批服务便民化。</w:t>
      </w:r>
    </w:p>
    <w:p w14:paraId="0E7E7BB2">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14.完成区委和区政府交办的其他任务。</w:t>
      </w:r>
    </w:p>
    <w:p w14:paraId="6754BE37">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15.职能转变。</w:t>
      </w:r>
    </w:p>
    <w:p w14:paraId="5C6CA766">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区水利局应切实加强水资源合理利用、优化配置和节约保护，加强跨流域跨区域水资源调配。坚持节水优先，从增加供给转向更加重视需求管理，严格控制用水总量和提高用水效率。坚持保护优先，加强水资源、水域和水利工程的管理保护，加强河湖管理，全面推进河湖长制，维护河湖生态健康。坚持统筹兼顾，保障合理用水需求和水资源的可持续利用，为全区经济社会发展提供水安全保障。加强水利政策研究，加强水利政策、决策部署和重点工程贯彻落实情况的监督检查，强化水利信息化工作。</w:t>
      </w:r>
    </w:p>
    <w:p w14:paraId="247B8FFF">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统筹承担行政职能的事业单位改革。区水土保持办公室不再承担水土保持工作监督管理和行政执法职责，上述行政职能交由区水利局承担。</w:t>
      </w:r>
    </w:p>
    <w:p w14:paraId="40ACC17C">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16.有关职责分工。</w:t>
      </w:r>
    </w:p>
    <w:p w14:paraId="42FA5C38">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自然灾害防救的职责分工。区水利局负责落实综合防灾减灾规划相关要求，组织编制并实施全区洪水干旱灾害防治规划。承担水情旱情监测预警工作。组织编制全区重要江河湖泊和重要水工程的防御洪水、抗御旱灾调度及应急水量调度方案，按程序报批并组织实施。承担防御洪水应急抢险的技术保障工作。</w:t>
      </w:r>
    </w:p>
    <w:p w14:paraId="5B05BC42">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区住建局负责在建工地、既有楼盘和小区的防洪防内涝工作。区水利局负责城市河道的防洪调度工作。区综合执法局负责城市市政公用设施的防汛防内涝工作。 区应急管理局负责统一组织、统一指挥、统一协调自然灾害类突发事件应急救援，救灾工作。</w:t>
      </w:r>
    </w:p>
    <w:p w14:paraId="7A1240E8">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水资源保护与水污染防治的职责分工。区水利局负责水资源保护，安居生态环境局负责水环境质量和水污染防治，区自然资源和规划局负责对地下水过量开采及引发的地面沉降等地质问题进行监督。三部门进一步加强协调与配合，建立部门协商机制，按要求通报水资源保护与水污染防治有关情况，协商解决有关重大问题。安居生态环境局发布水环境信息，对信息的准确性、及时性负责。区水利局发布的水资源信息中涉及环境质量的内容，应与安居生态环境局协商一致。</w:t>
      </w:r>
    </w:p>
    <w:p w14:paraId="15E4EDFB">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节约用水职责的分工。区水利局牵头负责全区节约用水、计划用水工作。区住建局具体负责城市规划区内的节约用水、计划用水、中水回用等行政管理。</w:t>
      </w:r>
    </w:p>
    <w:p w14:paraId="1FC0FF99">
      <w:pPr>
        <w:keepNext w:val="0"/>
        <w:keepLines w:val="0"/>
        <w:pageBreakBefore w:val="0"/>
        <w:widowControl w:val="0"/>
        <w:kinsoku/>
        <w:wordWrap/>
        <w:overflowPunct/>
        <w:topLinePunct w:val="0"/>
        <w:autoSpaceDE/>
        <w:autoSpaceDN/>
        <w:bidi w:val="0"/>
        <w:adjustRightInd/>
        <w:snapToGrid/>
        <w:spacing w:line="590" w:lineRule="exact"/>
        <w:ind w:left="0" w:leftChars="0" w:right="0" w:rightChars="0" w:firstLine="640" w:firstLineChars="200"/>
        <w:jc w:val="both"/>
        <w:textAlignment w:val="auto"/>
        <w:rPr>
          <w:rFonts w:hint="default" w:eastAsia="仿宋_GB2312" w:cs="Times New Roman"/>
          <w:sz w:val="33"/>
          <w:szCs w:val="33"/>
          <w:lang w:val="zh-CN"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供水职责的分工。区水利局组织编制城市规划区外的村镇供水规划，指导村镇供水建设和管理，对村镇供水企业实行行业管理。区住建局负责城市规划区内的供水，对城市供水企业实行行业管理;负责城市规划区内由于工程施工、设备维修等原因确需停止供水的审批。对因城市规划区调整形成自来水供区交叉的问题，由两个部门协商解决</w:t>
      </w:r>
      <w:r>
        <w:rPr>
          <w:rFonts w:hint="default" w:eastAsia="仿宋_GB2312" w:cs="Times New Roman"/>
          <w:sz w:val="33"/>
          <w:szCs w:val="33"/>
          <w:lang w:val="en-US" w:eastAsia="zh-CN"/>
        </w:rPr>
        <w:t>。</w:t>
      </w:r>
    </w:p>
    <w:p w14:paraId="0764B50B">
      <w:pPr>
        <w:keepNext w:val="0"/>
        <w:keepLines w:val="0"/>
        <w:pageBreakBefore w:val="0"/>
        <w:widowControl w:val="0"/>
        <w:kinsoku/>
        <w:wordWrap/>
        <w:overflowPunct/>
        <w:topLinePunct w:val="0"/>
        <w:autoSpaceDE/>
        <w:autoSpaceDN/>
        <w:bidi w:val="0"/>
        <w:adjustRightInd/>
        <w:snapToGrid/>
        <w:spacing w:line="590" w:lineRule="exact"/>
        <w:ind w:left="0" w:leftChars="0" w:right="0" w:rightChars="0" w:firstLine="663" w:firstLineChars="200"/>
        <w:jc w:val="both"/>
        <w:textAlignment w:val="auto"/>
        <w:rPr>
          <w:rFonts w:hint="eastAsia" w:ascii="Times New Roman" w:hAnsi="Times New Roman" w:eastAsia="楷体_GB2312" w:cs="Times New Roman"/>
          <w:b/>
          <w:bCs/>
          <w:color w:val="000000"/>
          <w:kern w:val="0"/>
          <w:sz w:val="33"/>
          <w:szCs w:val="33"/>
          <w:highlight w:val="none"/>
          <w:shd w:val="clear" w:color="auto" w:fill="FFFFFF"/>
          <w:lang w:val="zh-CN"/>
        </w:rPr>
      </w:pPr>
      <w:r>
        <w:rPr>
          <w:rFonts w:hint="default" w:ascii="Times New Roman" w:hAnsi="Times New Roman" w:eastAsia="楷体_GB2312" w:cs="Times New Roman"/>
          <w:b/>
          <w:bCs/>
          <w:color w:val="000000"/>
          <w:kern w:val="0"/>
          <w:sz w:val="33"/>
          <w:szCs w:val="33"/>
          <w:highlight w:val="none"/>
          <w:shd w:val="clear" w:color="auto" w:fill="FFFFFF"/>
          <w:lang w:val="zh-CN"/>
        </w:rPr>
        <w:t>（</w:t>
      </w:r>
      <w:r>
        <w:rPr>
          <w:rFonts w:hint="eastAsia" w:ascii="Times New Roman" w:hAnsi="Times New Roman" w:eastAsia="楷体_GB2312" w:cs="Times New Roman"/>
          <w:b/>
          <w:bCs/>
          <w:color w:val="000000"/>
          <w:kern w:val="0"/>
          <w:sz w:val="33"/>
          <w:szCs w:val="33"/>
          <w:highlight w:val="none"/>
          <w:shd w:val="clear" w:color="auto" w:fill="FFFFFF"/>
          <w:lang w:val="zh-CN"/>
        </w:rPr>
        <w:t>三</w:t>
      </w:r>
      <w:r>
        <w:rPr>
          <w:rFonts w:hint="default" w:ascii="Times New Roman" w:hAnsi="Times New Roman" w:eastAsia="楷体_GB2312" w:cs="Times New Roman"/>
          <w:b/>
          <w:bCs/>
          <w:color w:val="000000"/>
          <w:kern w:val="0"/>
          <w:sz w:val="33"/>
          <w:szCs w:val="33"/>
          <w:highlight w:val="none"/>
          <w:shd w:val="clear" w:color="auto" w:fill="FFFFFF"/>
          <w:lang w:val="zh-CN"/>
        </w:rPr>
        <w:t>）人员概况</w:t>
      </w:r>
      <w:r>
        <w:rPr>
          <w:rFonts w:hint="eastAsia" w:ascii="Times New Roman" w:hAnsi="Times New Roman" w:eastAsia="楷体_GB2312" w:cs="Times New Roman"/>
          <w:b/>
          <w:bCs/>
          <w:color w:val="000000"/>
          <w:kern w:val="0"/>
          <w:sz w:val="33"/>
          <w:szCs w:val="33"/>
          <w:highlight w:val="none"/>
          <w:shd w:val="clear" w:color="auto" w:fill="FFFFFF"/>
          <w:lang w:val="zh-CN"/>
        </w:rPr>
        <w:t>。</w:t>
      </w:r>
    </w:p>
    <w:p w14:paraId="4B593EF8">
      <w:pPr>
        <w:keepNext w:val="0"/>
        <w:keepLines w:val="0"/>
        <w:pageBreakBefore w:val="0"/>
        <w:widowControl w:val="0"/>
        <w:kinsoku/>
        <w:wordWrap/>
        <w:overflowPunct/>
        <w:topLinePunct w:val="0"/>
        <w:autoSpaceDE/>
        <w:autoSpaceDN/>
        <w:bidi w:val="0"/>
        <w:adjustRightInd/>
        <w:snapToGrid/>
        <w:spacing w:line="590" w:lineRule="exact"/>
        <w:ind w:left="0" w:leftChars="0" w:right="0" w:rightChars="0" w:firstLine="660" w:firstLineChars="200"/>
        <w:jc w:val="both"/>
        <w:textAlignment w:val="auto"/>
        <w:rPr>
          <w:rFonts w:hint="eastAsia" w:ascii="Times New Roman" w:hAnsi="Times New Roman" w:eastAsia="仿宋_GB2312" w:cs="Times New Roman"/>
          <w:sz w:val="33"/>
          <w:szCs w:val="33"/>
          <w:lang w:val="zh-CN" w:eastAsia="zh-CN"/>
        </w:rPr>
      </w:pPr>
      <w:r>
        <w:rPr>
          <w:rFonts w:hint="default" w:ascii="Times New Roman" w:hAnsi="Times New Roman" w:eastAsia="仿宋_GB2312" w:cs="Times New Roman"/>
          <w:sz w:val="33"/>
          <w:szCs w:val="33"/>
          <w:lang w:val="en-US" w:eastAsia="zh-CN"/>
        </w:rPr>
        <w:t>截至202</w:t>
      </w:r>
      <w:r>
        <w:rPr>
          <w:rFonts w:hint="eastAsia" w:ascii="Times New Roman" w:hAnsi="Times New Roman" w:eastAsia="仿宋_GB2312" w:cs="Times New Roman"/>
          <w:sz w:val="33"/>
          <w:szCs w:val="33"/>
          <w:lang w:val="en-US" w:eastAsia="zh-CN"/>
        </w:rPr>
        <w:t>4</w:t>
      </w:r>
      <w:r>
        <w:rPr>
          <w:rFonts w:hint="default" w:ascii="Times New Roman" w:hAnsi="Times New Roman" w:eastAsia="仿宋_GB2312" w:cs="Times New Roman"/>
          <w:sz w:val="33"/>
          <w:szCs w:val="33"/>
          <w:lang w:val="en-US" w:eastAsia="zh-CN"/>
        </w:rPr>
        <w:t>年</w:t>
      </w:r>
      <w:r>
        <w:rPr>
          <w:rFonts w:hint="default" w:ascii="Times New Roman" w:hAnsi="Times New Roman" w:eastAsia="仿宋_GB2312" w:cs="Times New Roman"/>
          <w:sz w:val="33"/>
          <w:szCs w:val="33"/>
        </w:rPr>
        <w:t>末，</w:t>
      </w:r>
      <w:r>
        <w:rPr>
          <w:rFonts w:hint="eastAsia" w:ascii="Times New Roman" w:hAnsi="Times New Roman" w:eastAsia="仿宋_GB2312" w:cs="Times New Roman"/>
          <w:sz w:val="33"/>
          <w:szCs w:val="33"/>
          <w:lang w:val="en-US" w:eastAsia="zh-CN"/>
        </w:rPr>
        <w:t>遂宁市</w:t>
      </w:r>
      <w:r>
        <w:rPr>
          <w:rFonts w:hint="eastAsia" w:eastAsia="仿宋_GB2312" w:cs="Times New Roman"/>
          <w:sz w:val="33"/>
          <w:szCs w:val="33"/>
          <w:lang w:val="en-US" w:eastAsia="zh-CN"/>
        </w:rPr>
        <w:t>安居区水利局</w:t>
      </w:r>
      <w:r>
        <w:rPr>
          <w:rFonts w:hint="eastAsia" w:ascii="Times New Roman" w:hAnsi="Times New Roman" w:eastAsia="仿宋_GB2312" w:cs="Times New Roman"/>
          <w:sz w:val="33"/>
          <w:szCs w:val="33"/>
          <w:lang w:val="en-US" w:eastAsia="zh-CN"/>
        </w:rPr>
        <w:t>年末在职实有人员</w:t>
      </w:r>
      <w:r>
        <w:rPr>
          <w:rFonts w:hint="eastAsia" w:eastAsia="仿宋_GB2312" w:cs="Times New Roman"/>
          <w:sz w:val="33"/>
          <w:szCs w:val="33"/>
          <w:lang w:val="en-US" w:eastAsia="zh-CN"/>
        </w:rPr>
        <w:t>68</w:t>
      </w:r>
      <w:r>
        <w:rPr>
          <w:rFonts w:hint="eastAsia" w:ascii="Times New Roman" w:hAnsi="Times New Roman" w:eastAsia="仿宋_GB2312" w:cs="Times New Roman"/>
          <w:sz w:val="33"/>
          <w:szCs w:val="33"/>
          <w:lang w:val="en-US" w:eastAsia="zh-CN"/>
        </w:rPr>
        <w:t>人，编制内实有人员</w:t>
      </w:r>
      <w:r>
        <w:rPr>
          <w:rFonts w:hint="eastAsia" w:eastAsia="仿宋_GB2312" w:cs="Times New Roman"/>
          <w:sz w:val="33"/>
          <w:szCs w:val="33"/>
          <w:lang w:val="en-US" w:eastAsia="zh-CN"/>
        </w:rPr>
        <w:t>67</w:t>
      </w:r>
      <w:r>
        <w:rPr>
          <w:rFonts w:hint="eastAsia" w:ascii="Times New Roman" w:hAnsi="Times New Roman" w:eastAsia="仿宋_GB2312" w:cs="Times New Roman"/>
          <w:sz w:val="33"/>
          <w:szCs w:val="33"/>
          <w:lang w:val="en-US" w:eastAsia="zh-CN"/>
        </w:rPr>
        <w:t>人</w:t>
      </w:r>
      <w:r>
        <w:rPr>
          <w:rFonts w:hint="eastAsia" w:eastAsia="仿宋_GB2312" w:cs="Times New Roman"/>
          <w:sz w:val="33"/>
          <w:szCs w:val="33"/>
          <w:lang w:val="en-US" w:eastAsia="zh-CN"/>
        </w:rPr>
        <w:t>、财政拨款开支人员1人</w:t>
      </w:r>
      <w:r>
        <w:rPr>
          <w:rFonts w:hint="eastAsia" w:ascii="Times New Roman" w:hAnsi="Times New Roman" w:eastAsia="仿宋_GB2312" w:cs="Times New Roman"/>
          <w:sz w:val="33"/>
          <w:szCs w:val="33"/>
          <w:lang w:val="en-US" w:eastAsia="zh-CN"/>
        </w:rPr>
        <w:t>，其中：行政编制</w:t>
      </w:r>
      <w:r>
        <w:rPr>
          <w:rFonts w:hint="eastAsia" w:eastAsia="仿宋_GB2312" w:cs="Times New Roman"/>
          <w:sz w:val="33"/>
          <w:szCs w:val="33"/>
          <w:lang w:val="en-US" w:eastAsia="zh-CN"/>
        </w:rPr>
        <w:t>14</w:t>
      </w:r>
      <w:r>
        <w:rPr>
          <w:rFonts w:hint="eastAsia" w:ascii="Times New Roman" w:hAnsi="Times New Roman" w:eastAsia="仿宋_GB2312" w:cs="Times New Roman"/>
          <w:sz w:val="33"/>
          <w:szCs w:val="33"/>
          <w:lang w:val="en-US" w:eastAsia="zh-CN"/>
        </w:rPr>
        <w:t>人，事业编制</w:t>
      </w:r>
      <w:r>
        <w:rPr>
          <w:rFonts w:hint="eastAsia" w:eastAsia="仿宋_GB2312" w:cs="Times New Roman"/>
          <w:sz w:val="33"/>
          <w:szCs w:val="33"/>
          <w:lang w:val="en-US" w:eastAsia="zh-CN"/>
        </w:rPr>
        <w:t>53</w:t>
      </w:r>
      <w:r>
        <w:rPr>
          <w:rFonts w:hint="eastAsia" w:ascii="Times New Roman" w:hAnsi="Times New Roman" w:eastAsia="仿宋_GB2312" w:cs="Times New Roman"/>
          <w:sz w:val="33"/>
          <w:szCs w:val="33"/>
          <w:lang w:val="en-US" w:eastAsia="zh-CN"/>
        </w:rPr>
        <w:t>人；2023年年末年末在职实有人员</w:t>
      </w:r>
      <w:r>
        <w:rPr>
          <w:rFonts w:hint="eastAsia" w:eastAsia="仿宋_GB2312" w:cs="Times New Roman"/>
          <w:sz w:val="33"/>
          <w:szCs w:val="33"/>
          <w:lang w:val="en-US" w:eastAsia="zh-CN"/>
        </w:rPr>
        <w:t>73</w:t>
      </w:r>
      <w:r>
        <w:rPr>
          <w:rFonts w:hint="eastAsia" w:ascii="Times New Roman" w:hAnsi="Times New Roman" w:eastAsia="仿宋_GB2312" w:cs="Times New Roman"/>
          <w:sz w:val="33"/>
          <w:szCs w:val="33"/>
          <w:lang w:val="en-US" w:eastAsia="zh-CN"/>
        </w:rPr>
        <w:t>人，其中：行政</w:t>
      </w:r>
      <w:r>
        <w:rPr>
          <w:rFonts w:hint="eastAsia" w:eastAsia="仿宋_GB2312" w:cs="Times New Roman"/>
          <w:sz w:val="33"/>
          <w:szCs w:val="33"/>
          <w:lang w:val="en-US" w:eastAsia="zh-CN"/>
        </w:rPr>
        <w:t>17</w:t>
      </w:r>
      <w:r>
        <w:rPr>
          <w:rFonts w:hint="eastAsia" w:ascii="Times New Roman" w:hAnsi="Times New Roman" w:eastAsia="仿宋_GB2312" w:cs="Times New Roman"/>
          <w:sz w:val="33"/>
          <w:szCs w:val="33"/>
          <w:lang w:val="en-US" w:eastAsia="zh-CN"/>
        </w:rPr>
        <w:t>人，事业</w:t>
      </w:r>
      <w:r>
        <w:rPr>
          <w:rFonts w:hint="eastAsia" w:eastAsia="仿宋_GB2312" w:cs="Times New Roman"/>
          <w:sz w:val="33"/>
          <w:szCs w:val="33"/>
          <w:lang w:val="en-US" w:eastAsia="zh-CN"/>
        </w:rPr>
        <w:t>56</w:t>
      </w:r>
      <w:r>
        <w:rPr>
          <w:rFonts w:hint="eastAsia" w:ascii="Times New Roman" w:hAnsi="Times New Roman" w:eastAsia="仿宋_GB2312" w:cs="Times New Roman"/>
          <w:sz w:val="33"/>
          <w:szCs w:val="33"/>
          <w:lang w:val="en-US" w:eastAsia="zh-CN"/>
        </w:rPr>
        <w:t>人。与上年相比，单位实有人数减少</w:t>
      </w:r>
      <w:r>
        <w:rPr>
          <w:rFonts w:hint="eastAsia" w:eastAsia="仿宋_GB2312" w:cs="Times New Roman"/>
          <w:sz w:val="33"/>
          <w:szCs w:val="33"/>
          <w:lang w:val="en-US" w:eastAsia="zh-CN"/>
        </w:rPr>
        <w:t>5</w:t>
      </w:r>
      <w:r>
        <w:rPr>
          <w:rFonts w:hint="eastAsia" w:ascii="Times New Roman" w:hAnsi="Times New Roman" w:eastAsia="仿宋_GB2312" w:cs="Times New Roman"/>
          <w:sz w:val="33"/>
          <w:szCs w:val="33"/>
          <w:lang w:val="en-US" w:eastAsia="zh-CN"/>
        </w:rPr>
        <w:t>人，主要原因为2024年</w:t>
      </w:r>
      <w:r>
        <w:rPr>
          <w:rFonts w:hint="eastAsia" w:eastAsia="仿宋_GB2312" w:cs="Times New Roman"/>
          <w:sz w:val="33"/>
          <w:szCs w:val="33"/>
          <w:lang w:val="en-US" w:eastAsia="zh-CN"/>
        </w:rPr>
        <w:t>水利局</w:t>
      </w:r>
      <w:r>
        <w:rPr>
          <w:rFonts w:hint="eastAsia" w:ascii="Times New Roman" w:hAnsi="Times New Roman" w:eastAsia="仿宋_GB2312" w:cs="Times New Roman"/>
          <w:sz w:val="33"/>
          <w:szCs w:val="33"/>
          <w:lang w:val="en-US" w:eastAsia="zh-CN"/>
        </w:rPr>
        <w:t>退休</w:t>
      </w:r>
      <w:r>
        <w:rPr>
          <w:rFonts w:hint="eastAsia" w:eastAsia="仿宋_GB2312" w:cs="Times New Roman"/>
          <w:sz w:val="33"/>
          <w:szCs w:val="33"/>
          <w:lang w:val="en-US" w:eastAsia="zh-CN"/>
        </w:rPr>
        <w:t>5</w:t>
      </w:r>
      <w:r>
        <w:rPr>
          <w:rFonts w:hint="eastAsia" w:ascii="Times New Roman" w:hAnsi="Times New Roman" w:eastAsia="仿宋_GB2312" w:cs="Times New Roman"/>
          <w:sz w:val="33"/>
          <w:szCs w:val="33"/>
          <w:lang w:val="en-US" w:eastAsia="zh-CN"/>
        </w:rPr>
        <w:t>名人员。</w:t>
      </w:r>
    </w:p>
    <w:p w14:paraId="6EF2B4C6">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60" w:firstLineChars="200"/>
        <w:contextualSpacing/>
        <w:jc w:val="both"/>
        <w:textAlignment w:val="auto"/>
        <w:outlineLvl w:val="9"/>
        <w:rPr>
          <w:rFonts w:hint="default" w:ascii="Times New Roman" w:hAnsi="Times New Roman" w:eastAsia="黑体" w:cs="Times New Roman"/>
          <w:color w:val="000000"/>
          <w:kern w:val="0"/>
          <w:sz w:val="33"/>
          <w:szCs w:val="33"/>
          <w:highlight w:val="none"/>
          <w:shd w:val="clear" w:color="auto" w:fill="FFFFFF"/>
        </w:rPr>
      </w:pPr>
      <w:r>
        <w:rPr>
          <w:rFonts w:hint="default" w:ascii="Times New Roman" w:hAnsi="Times New Roman" w:eastAsia="黑体" w:cs="Times New Roman"/>
          <w:color w:val="000000"/>
          <w:kern w:val="0"/>
          <w:sz w:val="33"/>
          <w:szCs w:val="33"/>
          <w:highlight w:val="none"/>
          <w:shd w:val="clear" w:color="auto" w:fill="FFFFFF"/>
        </w:rPr>
        <w:t>二、</w:t>
      </w:r>
      <w:r>
        <w:rPr>
          <w:rFonts w:hint="default" w:ascii="Times New Roman" w:hAnsi="Times New Roman" w:eastAsia="黑体" w:cs="Times New Roman"/>
          <w:color w:val="000000"/>
          <w:kern w:val="0"/>
          <w:sz w:val="33"/>
          <w:szCs w:val="33"/>
          <w:highlight w:val="none"/>
          <w:shd w:val="clear" w:color="auto" w:fill="FFFFFF"/>
          <w:lang w:eastAsia="zh-CN"/>
        </w:rPr>
        <w:t>部门</w:t>
      </w:r>
      <w:r>
        <w:rPr>
          <w:rFonts w:hint="default" w:ascii="Times New Roman" w:hAnsi="Times New Roman" w:eastAsia="黑体" w:cs="Times New Roman"/>
          <w:color w:val="000000"/>
          <w:kern w:val="0"/>
          <w:sz w:val="33"/>
          <w:szCs w:val="33"/>
          <w:highlight w:val="none"/>
          <w:shd w:val="clear" w:color="auto" w:fill="FFFFFF"/>
        </w:rPr>
        <w:t>资金收支情况</w:t>
      </w:r>
    </w:p>
    <w:p w14:paraId="09020F4B">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63" w:firstLineChars="200"/>
        <w:contextualSpacing/>
        <w:jc w:val="both"/>
        <w:textAlignment w:val="auto"/>
        <w:outlineLvl w:val="9"/>
        <w:rPr>
          <w:rFonts w:hint="eastAsia" w:ascii="Times New Roman" w:hAnsi="Times New Roman" w:eastAsia="仿宋_GB2312" w:cs="Times New Roman"/>
          <w:sz w:val="33"/>
          <w:szCs w:val="33"/>
          <w:lang w:val="en-US" w:eastAsia="zh-CN"/>
        </w:rPr>
      </w:pPr>
      <w:r>
        <w:rPr>
          <w:rFonts w:hint="default" w:ascii="Times New Roman" w:hAnsi="Times New Roman" w:eastAsia="楷体_GB2312" w:cs="Times New Roman"/>
          <w:b/>
          <w:bCs/>
          <w:color w:val="000000"/>
          <w:kern w:val="0"/>
          <w:sz w:val="33"/>
          <w:szCs w:val="33"/>
          <w:highlight w:val="none"/>
          <w:shd w:val="clear" w:color="auto" w:fill="FFFFFF"/>
          <w:lang w:val="zh-CN"/>
        </w:rPr>
        <w:t>（一）</w:t>
      </w:r>
      <w:r>
        <w:rPr>
          <w:rFonts w:hint="eastAsia" w:ascii="Times New Roman" w:hAnsi="Times New Roman" w:eastAsia="楷体_GB2312" w:cs="Times New Roman"/>
          <w:b/>
          <w:bCs/>
          <w:color w:val="000000"/>
          <w:kern w:val="0"/>
          <w:sz w:val="33"/>
          <w:szCs w:val="33"/>
          <w:highlight w:val="none"/>
          <w:shd w:val="clear" w:color="auto" w:fill="FFFFFF"/>
          <w:lang w:val="zh-CN"/>
        </w:rPr>
        <w:t>收入情况</w:t>
      </w:r>
      <w:r>
        <w:rPr>
          <w:rFonts w:hint="default" w:ascii="Times New Roman" w:hAnsi="Times New Roman" w:eastAsia="楷体_GB2312" w:cs="Times New Roman"/>
          <w:b/>
          <w:bCs/>
          <w:color w:val="000000"/>
          <w:kern w:val="0"/>
          <w:sz w:val="33"/>
          <w:szCs w:val="33"/>
          <w:highlight w:val="none"/>
          <w:shd w:val="clear" w:color="auto" w:fill="FFFFFF"/>
          <w:lang w:val="zh-CN"/>
        </w:rPr>
        <w:t>。</w:t>
      </w:r>
      <w:r>
        <w:rPr>
          <w:rFonts w:hint="eastAsia" w:eastAsia="仿宋_GB2312" w:cs="Times New Roman"/>
          <w:sz w:val="33"/>
          <w:szCs w:val="33"/>
          <w:lang w:val="en-US" w:eastAsia="zh-CN"/>
        </w:rPr>
        <w:t>遂宁市安居区水利局</w:t>
      </w:r>
      <w:r>
        <w:rPr>
          <w:rFonts w:hint="eastAsia" w:ascii="Times New Roman" w:hAnsi="Times New Roman" w:eastAsia="仿宋_GB2312" w:cs="Times New Roman"/>
          <w:sz w:val="33"/>
          <w:szCs w:val="33"/>
          <w:lang w:val="en-US" w:eastAsia="zh-CN"/>
        </w:rPr>
        <w:t>202</w:t>
      </w:r>
      <w:r>
        <w:rPr>
          <w:rFonts w:hint="eastAsia" w:eastAsia="仿宋_GB2312" w:cs="Times New Roman"/>
          <w:sz w:val="33"/>
          <w:szCs w:val="33"/>
          <w:lang w:val="en-US" w:eastAsia="zh-CN"/>
        </w:rPr>
        <w:t>4</w:t>
      </w:r>
      <w:r>
        <w:rPr>
          <w:rFonts w:hint="eastAsia" w:ascii="Times New Roman" w:hAnsi="Times New Roman" w:eastAsia="仿宋_GB2312" w:cs="Times New Roman"/>
          <w:sz w:val="33"/>
          <w:szCs w:val="33"/>
          <w:lang w:val="en-US" w:eastAsia="zh-CN"/>
        </w:rPr>
        <w:t>年年初预算收入</w:t>
      </w:r>
      <w:r>
        <w:rPr>
          <w:rFonts w:hint="eastAsia" w:eastAsia="仿宋_GB2312" w:cs="Times New Roman"/>
          <w:sz w:val="33"/>
          <w:szCs w:val="33"/>
          <w:lang w:val="en-US" w:eastAsia="zh-CN"/>
        </w:rPr>
        <w:t>22854.33万元</w:t>
      </w:r>
      <w:r>
        <w:rPr>
          <w:rFonts w:hint="eastAsia" w:ascii="Times New Roman" w:hAnsi="Times New Roman" w:eastAsia="仿宋_GB2312" w:cs="Times New Roman"/>
          <w:sz w:val="33"/>
          <w:szCs w:val="33"/>
          <w:lang w:val="en-US" w:eastAsia="zh-CN"/>
        </w:rPr>
        <w:t>、决算报表收入</w:t>
      </w:r>
      <w:r>
        <w:rPr>
          <w:rFonts w:hint="eastAsia" w:eastAsia="仿宋_GB2312" w:cs="Times New Roman"/>
          <w:sz w:val="33"/>
          <w:szCs w:val="33"/>
          <w:lang w:val="en-US" w:eastAsia="zh-CN"/>
        </w:rPr>
        <w:t>33322.22万元</w:t>
      </w:r>
      <w:r>
        <w:rPr>
          <w:rFonts w:hint="eastAsia" w:ascii="Times New Roman" w:hAnsi="Times New Roman" w:eastAsia="仿宋_GB2312" w:cs="Times New Roman"/>
          <w:sz w:val="33"/>
          <w:szCs w:val="33"/>
          <w:lang w:val="en-US" w:eastAsia="zh-CN"/>
        </w:rPr>
        <w:t>。</w:t>
      </w:r>
    </w:p>
    <w:p w14:paraId="105211DB">
      <w:pPr>
        <w:keepNext w:val="0"/>
        <w:keepLines w:val="0"/>
        <w:pageBreakBefore w:val="0"/>
        <w:widowControl w:val="0"/>
        <w:kinsoku/>
        <w:wordWrap/>
        <w:overflowPunct/>
        <w:topLinePunct w:val="0"/>
        <w:autoSpaceDE/>
        <w:autoSpaceDN/>
        <w:bidi w:val="0"/>
        <w:adjustRightInd/>
        <w:snapToGrid/>
        <w:spacing w:line="590" w:lineRule="exact"/>
        <w:ind w:left="0" w:leftChars="0" w:right="0" w:rightChars="0" w:firstLine="660" w:firstLineChars="200"/>
        <w:jc w:val="both"/>
        <w:textAlignment w:val="auto"/>
        <w:rPr>
          <w:rFonts w:hint="eastAsia" w:ascii="Times New Roman" w:hAnsi="Times New Roman" w:eastAsia="仿宋_GB2312" w:cs="Times New Roman"/>
          <w:sz w:val="33"/>
          <w:szCs w:val="33"/>
          <w:lang w:val="en-US" w:eastAsia="zh-CN"/>
        </w:rPr>
      </w:pPr>
      <w:r>
        <w:rPr>
          <w:rFonts w:hint="eastAsia" w:ascii="Times New Roman" w:hAnsi="Times New Roman" w:eastAsia="仿宋_GB2312" w:cs="Times New Roman"/>
          <w:sz w:val="33"/>
          <w:szCs w:val="33"/>
          <w:lang w:val="en-US" w:eastAsia="zh-CN"/>
        </w:rPr>
        <w:t>2024年收入、支出年初预算安排为</w:t>
      </w:r>
      <w:r>
        <w:rPr>
          <w:rFonts w:hint="eastAsia" w:eastAsia="仿宋_GB2312" w:cs="Times New Roman"/>
          <w:sz w:val="33"/>
          <w:szCs w:val="33"/>
          <w:lang w:val="en-US" w:eastAsia="zh-CN"/>
        </w:rPr>
        <w:t>22854.33</w:t>
      </w:r>
      <w:r>
        <w:rPr>
          <w:rFonts w:hint="eastAsia" w:ascii="Times New Roman" w:hAnsi="Times New Roman" w:eastAsia="仿宋_GB2312" w:cs="Times New Roman"/>
          <w:sz w:val="33"/>
          <w:szCs w:val="33"/>
          <w:lang w:val="en-US" w:eastAsia="zh-CN"/>
        </w:rPr>
        <w:t>万元，相比2023年初预算数</w:t>
      </w:r>
      <w:r>
        <w:rPr>
          <w:rFonts w:hint="eastAsia" w:eastAsia="仿宋_GB2312" w:cs="Times New Roman"/>
          <w:sz w:val="33"/>
          <w:szCs w:val="33"/>
          <w:lang w:val="en-US" w:eastAsia="zh-CN"/>
        </w:rPr>
        <w:t>5792.94</w:t>
      </w:r>
      <w:r>
        <w:rPr>
          <w:rFonts w:hint="eastAsia" w:ascii="Times New Roman" w:hAnsi="Times New Roman" w:eastAsia="仿宋_GB2312" w:cs="Times New Roman"/>
          <w:sz w:val="33"/>
          <w:szCs w:val="33"/>
          <w:lang w:val="en-US" w:eastAsia="zh-CN"/>
        </w:rPr>
        <w:t>万元，</w:t>
      </w:r>
      <w:r>
        <w:rPr>
          <w:rFonts w:hint="eastAsia" w:eastAsia="仿宋_GB2312" w:cs="Times New Roman"/>
          <w:sz w:val="33"/>
          <w:szCs w:val="33"/>
          <w:lang w:val="en-US" w:eastAsia="zh-CN"/>
        </w:rPr>
        <w:t>增加</w:t>
      </w:r>
      <w:r>
        <w:rPr>
          <w:rFonts w:hint="eastAsia" w:ascii="Times New Roman" w:hAnsi="Times New Roman" w:eastAsia="仿宋_GB2312" w:cs="Times New Roman"/>
          <w:sz w:val="33"/>
          <w:szCs w:val="33"/>
          <w:lang w:val="en-US" w:eastAsia="zh-CN"/>
        </w:rPr>
        <w:t>了</w:t>
      </w:r>
      <w:r>
        <w:rPr>
          <w:rFonts w:hint="eastAsia" w:eastAsia="仿宋_GB2312" w:cs="Times New Roman"/>
          <w:sz w:val="33"/>
          <w:szCs w:val="33"/>
          <w:lang w:val="en-US" w:eastAsia="zh-CN"/>
        </w:rPr>
        <w:t>17061.39</w:t>
      </w:r>
      <w:r>
        <w:rPr>
          <w:rFonts w:hint="eastAsia" w:ascii="Times New Roman" w:hAnsi="Times New Roman" w:eastAsia="仿宋_GB2312" w:cs="Times New Roman"/>
          <w:sz w:val="33"/>
          <w:szCs w:val="33"/>
          <w:lang w:val="en-US" w:eastAsia="zh-CN"/>
        </w:rPr>
        <w:t>万元。主要原因是2024年</w:t>
      </w:r>
      <w:r>
        <w:rPr>
          <w:rFonts w:hint="eastAsia" w:eastAsia="仿宋_GB2312" w:cs="Times New Roman"/>
          <w:sz w:val="33"/>
          <w:szCs w:val="33"/>
          <w:lang w:val="en-US" w:eastAsia="zh-CN"/>
        </w:rPr>
        <w:t>增加水利国债资金与中央转移资金</w:t>
      </w:r>
      <w:r>
        <w:rPr>
          <w:rFonts w:hint="eastAsia" w:ascii="Times New Roman" w:hAnsi="Times New Roman" w:eastAsia="仿宋_GB2312" w:cs="Times New Roman"/>
          <w:sz w:val="33"/>
          <w:szCs w:val="33"/>
          <w:lang w:val="en-US" w:eastAsia="zh-CN"/>
        </w:rPr>
        <w:t>。</w:t>
      </w:r>
    </w:p>
    <w:p w14:paraId="19841570">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63" w:firstLineChars="200"/>
        <w:contextualSpacing/>
        <w:jc w:val="both"/>
        <w:textAlignment w:val="auto"/>
        <w:outlineLvl w:val="9"/>
        <w:rPr>
          <w:rFonts w:hint="eastAsia" w:ascii="Times New Roman" w:hAnsi="Times New Roman" w:eastAsia="仿宋_GB2312" w:cs="Times New Roman"/>
          <w:sz w:val="33"/>
          <w:szCs w:val="33"/>
          <w:lang w:val="en-US" w:eastAsia="zh-CN"/>
        </w:rPr>
      </w:pPr>
      <w:r>
        <w:rPr>
          <w:rFonts w:hint="default" w:ascii="Times New Roman" w:hAnsi="Times New Roman" w:eastAsia="楷体_GB2312" w:cs="Times New Roman"/>
          <w:b/>
          <w:bCs/>
          <w:color w:val="000000"/>
          <w:kern w:val="0"/>
          <w:sz w:val="33"/>
          <w:szCs w:val="33"/>
          <w:highlight w:val="none"/>
          <w:shd w:val="clear" w:color="auto" w:fill="FFFFFF"/>
          <w:lang w:val="zh-CN"/>
        </w:rPr>
        <w:t>（</w:t>
      </w:r>
      <w:r>
        <w:rPr>
          <w:rFonts w:hint="eastAsia" w:ascii="Times New Roman" w:hAnsi="Times New Roman" w:eastAsia="楷体_GB2312" w:cs="Times New Roman"/>
          <w:b/>
          <w:bCs/>
          <w:color w:val="000000"/>
          <w:kern w:val="0"/>
          <w:sz w:val="33"/>
          <w:szCs w:val="33"/>
          <w:highlight w:val="none"/>
          <w:shd w:val="clear" w:color="auto" w:fill="FFFFFF"/>
          <w:lang w:val="zh-CN"/>
        </w:rPr>
        <w:t>二</w:t>
      </w:r>
      <w:r>
        <w:rPr>
          <w:rFonts w:hint="default" w:ascii="Times New Roman" w:hAnsi="Times New Roman" w:eastAsia="楷体_GB2312" w:cs="Times New Roman"/>
          <w:b/>
          <w:bCs/>
          <w:color w:val="000000"/>
          <w:kern w:val="0"/>
          <w:sz w:val="33"/>
          <w:szCs w:val="33"/>
          <w:highlight w:val="none"/>
          <w:shd w:val="clear" w:color="auto" w:fill="FFFFFF"/>
          <w:lang w:val="zh-CN"/>
        </w:rPr>
        <w:t>）</w:t>
      </w:r>
      <w:r>
        <w:rPr>
          <w:rFonts w:hint="eastAsia" w:ascii="Times New Roman" w:hAnsi="Times New Roman" w:eastAsia="楷体_GB2312" w:cs="Times New Roman"/>
          <w:b/>
          <w:bCs/>
          <w:color w:val="000000"/>
          <w:kern w:val="0"/>
          <w:sz w:val="33"/>
          <w:szCs w:val="33"/>
          <w:highlight w:val="none"/>
          <w:shd w:val="clear" w:color="auto" w:fill="FFFFFF"/>
          <w:lang w:val="zh-CN"/>
        </w:rPr>
        <w:t>支出情况</w:t>
      </w:r>
      <w:r>
        <w:rPr>
          <w:rFonts w:hint="default" w:ascii="Times New Roman" w:hAnsi="Times New Roman" w:eastAsia="楷体_GB2312" w:cs="Times New Roman"/>
          <w:b/>
          <w:bCs/>
          <w:color w:val="000000"/>
          <w:kern w:val="0"/>
          <w:sz w:val="33"/>
          <w:szCs w:val="33"/>
          <w:highlight w:val="none"/>
          <w:shd w:val="clear" w:color="auto" w:fill="FFFFFF"/>
          <w:lang w:val="zh-CN"/>
        </w:rPr>
        <w:t>。</w:t>
      </w:r>
      <w:r>
        <w:rPr>
          <w:rFonts w:hint="eastAsia" w:eastAsia="仿宋_GB2312" w:cs="Times New Roman"/>
          <w:sz w:val="33"/>
          <w:szCs w:val="33"/>
          <w:lang w:val="en-US" w:eastAsia="zh-CN"/>
        </w:rPr>
        <w:t>遂宁市安居区水利局</w:t>
      </w:r>
      <w:r>
        <w:rPr>
          <w:rFonts w:hint="eastAsia" w:ascii="Times New Roman" w:hAnsi="Times New Roman" w:eastAsia="仿宋_GB2312" w:cs="Times New Roman"/>
          <w:sz w:val="33"/>
          <w:szCs w:val="33"/>
          <w:lang w:val="en-US" w:eastAsia="zh-CN"/>
        </w:rPr>
        <w:t>202</w:t>
      </w:r>
      <w:r>
        <w:rPr>
          <w:rFonts w:hint="eastAsia" w:eastAsia="仿宋_GB2312" w:cs="Times New Roman"/>
          <w:sz w:val="33"/>
          <w:szCs w:val="33"/>
          <w:lang w:val="en-US" w:eastAsia="zh-CN"/>
        </w:rPr>
        <w:t>4</w:t>
      </w:r>
      <w:r>
        <w:rPr>
          <w:rFonts w:hint="eastAsia" w:ascii="Times New Roman" w:hAnsi="Times New Roman" w:eastAsia="仿宋_GB2312" w:cs="Times New Roman"/>
          <w:sz w:val="33"/>
          <w:szCs w:val="33"/>
          <w:lang w:val="en-US" w:eastAsia="zh-CN"/>
        </w:rPr>
        <w:t>年年初预算支出</w:t>
      </w:r>
      <w:r>
        <w:rPr>
          <w:rFonts w:hint="eastAsia" w:eastAsia="仿宋_GB2312" w:cs="Times New Roman"/>
          <w:sz w:val="33"/>
          <w:szCs w:val="33"/>
          <w:lang w:val="en-US" w:eastAsia="zh-CN"/>
        </w:rPr>
        <w:t>22854.33万元</w:t>
      </w:r>
      <w:r>
        <w:rPr>
          <w:rFonts w:hint="eastAsia" w:ascii="Times New Roman" w:hAnsi="Times New Roman" w:eastAsia="仿宋_GB2312" w:cs="Times New Roman"/>
          <w:sz w:val="33"/>
          <w:szCs w:val="33"/>
          <w:lang w:val="en-US" w:eastAsia="zh-CN"/>
        </w:rPr>
        <w:t>、决算报表支出</w:t>
      </w:r>
      <w:r>
        <w:rPr>
          <w:rFonts w:hint="eastAsia" w:eastAsia="仿宋_GB2312" w:cs="Times New Roman"/>
          <w:sz w:val="33"/>
          <w:szCs w:val="33"/>
          <w:lang w:val="en-US" w:eastAsia="zh-CN"/>
        </w:rPr>
        <w:t>33322.22</w:t>
      </w:r>
      <w:r>
        <w:rPr>
          <w:rFonts w:hint="eastAsia" w:ascii="Times New Roman" w:hAnsi="Times New Roman" w:eastAsia="仿宋_GB2312" w:cs="Times New Roman"/>
          <w:sz w:val="33"/>
          <w:szCs w:val="33"/>
          <w:lang w:val="en-US" w:eastAsia="zh-CN"/>
        </w:rPr>
        <w:t>万</w:t>
      </w:r>
      <w:r>
        <w:rPr>
          <w:rFonts w:hint="eastAsia" w:eastAsia="仿宋_GB2312" w:cs="Times New Roman"/>
          <w:sz w:val="33"/>
          <w:szCs w:val="33"/>
          <w:lang w:val="en-US" w:eastAsia="zh-CN"/>
        </w:rPr>
        <w:t>元</w:t>
      </w:r>
      <w:r>
        <w:rPr>
          <w:rFonts w:hint="eastAsia" w:ascii="Times New Roman" w:hAnsi="Times New Roman" w:eastAsia="仿宋_GB2312" w:cs="Times New Roman"/>
          <w:sz w:val="33"/>
          <w:szCs w:val="33"/>
          <w:lang w:val="en-US" w:eastAsia="zh-CN"/>
        </w:rPr>
        <w:t>。</w:t>
      </w:r>
    </w:p>
    <w:p w14:paraId="481F701A">
      <w:pPr>
        <w:keepNext w:val="0"/>
        <w:keepLines w:val="0"/>
        <w:pageBreakBefore w:val="0"/>
        <w:widowControl w:val="0"/>
        <w:kinsoku/>
        <w:wordWrap/>
        <w:overflowPunct/>
        <w:topLinePunct w:val="0"/>
        <w:autoSpaceDE/>
        <w:autoSpaceDN/>
        <w:bidi w:val="0"/>
        <w:adjustRightInd/>
        <w:snapToGrid/>
        <w:spacing w:line="590" w:lineRule="exact"/>
        <w:ind w:left="0" w:leftChars="0" w:right="0" w:rightChars="0" w:firstLine="660" w:firstLineChars="200"/>
        <w:jc w:val="both"/>
        <w:textAlignment w:val="auto"/>
        <w:rPr>
          <w:rFonts w:hint="default" w:ascii="Times New Roman" w:hAnsi="Times New Roman" w:eastAsia="楷体_GB2312" w:cs="Times New Roman"/>
          <w:b/>
          <w:bCs/>
          <w:color w:val="000000"/>
          <w:kern w:val="0"/>
          <w:sz w:val="33"/>
          <w:szCs w:val="33"/>
          <w:highlight w:val="none"/>
          <w:shd w:val="clear" w:color="auto" w:fill="FFFFFF"/>
          <w:lang w:val="zh-CN"/>
        </w:rPr>
      </w:pPr>
      <w:r>
        <w:rPr>
          <w:rFonts w:hint="eastAsia" w:ascii="Times New Roman" w:hAnsi="Times New Roman" w:eastAsia="仿宋_GB2312" w:cs="Times New Roman"/>
          <w:sz w:val="33"/>
          <w:szCs w:val="33"/>
          <w:lang w:val="en-US" w:eastAsia="zh-CN"/>
        </w:rPr>
        <w:t>2024年本年支出</w:t>
      </w:r>
      <w:r>
        <w:rPr>
          <w:rFonts w:hint="eastAsia" w:eastAsia="仿宋_GB2312" w:cs="Times New Roman"/>
          <w:sz w:val="33"/>
          <w:szCs w:val="33"/>
          <w:lang w:val="en-US" w:eastAsia="zh-CN"/>
        </w:rPr>
        <w:t>33322.22</w:t>
      </w:r>
      <w:r>
        <w:rPr>
          <w:rFonts w:hint="eastAsia" w:ascii="Times New Roman" w:hAnsi="Times New Roman" w:eastAsia="仿宋_GB2312" w:cs="Times New Roman"/>
          <w:sz w:val="33"/>
          <w:szCs w:val="33"/>
          <w:lang w:val="en-US" w:eastAsia="zh-CN"/>
        </w:rPr>
        <w:t>万元，按资金来源财政拨款</w:t>
      </w:r>
      <w:r>
        <w:rPr>
          <w:rFonts w:hint="eastAsia" w:eastAsia="仿宋_GB2312" w:cs="Times New Roman"/>
          <w:sz w:val="33"/>
          <w:szCs w:val="33"/>
          <w:lang w:val="en-US" w:eastAsia="zh-CN"/>
        </w:rPr>
        <w:t>33322.22</w:t>
      </w:r>
      <w:r>
        <w:rPr>
          <w:rFonts w:hint="eastAsia" w:ascii="Times New Roman" w:hAnsi="Times New Roman" w:eastAsia="仿宋_GB2312" w:cs="Times New Roman"/>
          <w:sz w:val="33"/>
          <w:szCs w:val="33"/>
          <w:lang w:val="en-US" w:eastAsia="zh-CN"/>
        </w:rPr>
        <w:t>万元，占支出总额</w:t>
      </w:r>
      <w:r>
        <w:rPr>
          <w:rFonts w:hint="eastAsia" w:eastAsia="仿宋_GB2312" w:cs="Times New Roman"/>
          <w:sz w:val="33"/>
          <w:szCs w:val="33"/>
          <w:lang w:val="en-US" w:eastAsia="zh-CN"/>
        </w:rPr>
        <w:t>100.00</w:t>
      </w:r>
      <w:r>
        <w:rPr>
          <w:rFonts w:hint="eastAsia" w:ascii="Times New Roman" w:hAnsi="Times New Roman" w:eastAsia="仿宋_GB2312" w:cs="Times New Roman"/>
          <w:sz w:val="33"/>
          <w:szCs w:val="33"/>
          <w:lang w:val="en-US" w:eastAsia="zh-CN"/>
        </w:rPr>
        <w:t>%，其他资金</w:t>
      </w:r>
      <w:r>
        <w:rPr>
          <w:rFonts w:hint="eastAsia" w:eastAsia="仿宋_GB2312" w:cs="Times New Roman"/>
          <w:sz w:val="33"/>
          <w:szCs w:val="33"/>
          <w:lang w:val="en-US" w:eastAsia="zh-CN"/>
        </w:rPr>
        <w:t>0.00</w:t>
      </w:r>
      <w:r>
        <w:rPr>
          <w:rFonts w:hint="eastAsia" w:ascii="Times New Roman" w:hAnsi="Times New Roman" w:eastAsia="仿宋_GB2312" w:cs="Times New Roman"/>
          <w:sz w:val="33"/>
          <w:szCs w:val="33"/>
          <w:lang w:val="en-US" w:eastAsia="zh-CN"/>
        </w:rPr>
        <w:t>万元，占支出总额</w:t>
      </w:r>
      <w:r>
        <w:rPr>
          <w:rFonts w:hint="eastAsia" w:eastAsia="仿宋_GB2312" w:cs="Times New Roman"/>
          <w:sz w:val="33"/>
          <w:szCs w:val="33"/>
          <w:lang w:val="en-US" w:eastAsia="zh-CN"/>
        </w:rPr>
        <w:t>0.0</w:t>
      </w:r>
      <w:r>
        <w:rPr>
          <w:rFonts w:hint="eastAsia" w:ascii="Times New Roman" w:hAnsi="Times New Roman" w:eastAsia="仿宋_GB2312" w:cs="Times New Roman"/>
          <w:sz w:val="33"/>
          <w:szCs w:val="33"/>
          <w:lang w:val="en-US" w:eastAsia="zh-CN"/>
        </w:rPr>
        <w:t>%；按支出性质基本支出</w:t>
      </w:r>
      <w:r>
        <w:rPr>
          <w:rFonts w:hint="eastAsia" w:eastAsia="仿宋_GB2312" w:cs="Times New Roman"/>
          <w:sz w:val="33"/>
          <w:szCs w:val="33"/>
          <w:lang w:val="en-US" w:eastAsia="zh-CN"/>
        </w:rPr>
        <w:t>1445.32</w:t>
      </w:r>
      <w:r>
        <w:rPr>
          <w:rFonts w:hint="eastAsia" w:ascii="Times New Roman" w:hAnsi="Times New Roman" w:eastAsia="仿宋_GB2312" w:cs="Times New Roman"/>
          <w:sz w:val="33"/>
          <w:szCs w:val="33"/>
          <w:lang w:val="en-US" w:eastAsia="zh-CN"/>
        </w:rPr>
        <w:t>万元，占支出总额</w:t>
      </w:r>
      <w:r>
        <w:rPr>
          <w:rFonts w:hint="eastAsia" w:eastAsia="仿宋_GB2312" w:cs="Times New Roman"/>
          <w:sz w:val="33"/>
          <w:szCs w:val="33"/>
          <w:lang w:val="en-US" w:eastAsia="zh-CN"/>
        </w:rPr>
        <w:t>4.34</w:t>
      </w:r>
      <w:r>
        <w:rPr>
          <w:rFonts w:hint="eastAsia" w:ascii="Times New Roman" w:hAnsi="Times New Roman" w:eastAsia="仿宋_GB2312" w:cs="Times New Roman"/>
          <w:sz w:val="33"/>
          <w:szCs w:val="33"/>
          <w:lang w:val="en-US" w:eastAsia="zh-CN"/>
        </w:rPr>
        <w:t>%，项目支出</w:t>
      </w:r>
      <w:r>
        <w:rPr>
          <w:rFonts w:hint="eastAsia" w:eastAsia="仿宋_GB2312" w:cs="Times New Roman"/>
          <w:sz w:val="33"/>
          <w:szCs w:val="33"/>
          <w:lang w:val="en-US" w:eastAsia="zh-CN"/>
        </w:rPr>
        <w:t>31876.90</w:t>
      </w:r>
      <w:r>
        <w:rPr>
          <w:rFonts w:hint="eastAsia" w:ascii="Times New Roman" w:hAnsi="Times New Roman" w:eastAsia="仿宋_GB2312" w:cs="Times New Roman"/>
          <w:sz w:val="33"/>
          <w:szCs w:val="33"/>
          <w:lang w:val="en-US" w:eastAsia="zh-CN"/>
        </w:rPr>
        <w:t>万元，占支出总额</w:t>
      </w:r>
      <w:r>
        <w:rPr>
          <w:rFonts w:hint="eastAsia" w:eastAsia="仿宋_GB2312" w:cs="Times New Roman"/>
          <w:sz w:val="33"/>
          <w:szCs w:val="33"/>
          <w:lang w:val="en-US" w:eastAsia="zh-CN"/>
        </w:rPr>
        <w:t>95.66</w:t>
      </w:r>
      <w:r>
        <w:rPr>
          <w:rFonts w:hint="eastAsia" w:ascii="Times New Roman" w:hAnsi="Times New Roman" w:eastAsia="仿宋_GB2312" w:cs="Times New Roman"/>
          <w:sz w:val="33"/>
          <w:szCs w:val="33"/>
          <w:lang w:val="en-US" w:eastAsia="zh-CN"/>
        </w:rPr>
        <w:t>%。与2023年支出37230</w:t>
      </w:r>
      <w:r>
        <w:rPr>
          <w:rFonts w:hint="eastAsia" w:eastAsia="仿宋_GB2312" w:cs="Times New Roman"/>
          <w:sz w:val="33"/>
          <w:szCs w:val="33"/>
          <w:lang w:val="en-US" w:eastAsia="zh-CN"/>
        </w:rPr>
        <w:t>.82万元</w:t>
      </w:r>
      <w:r>
        <w:rPr>
          <w:rFonts w:hint="eastAsia" w:ascii="Times New Roman" w:hAnsi="Times New Roman" w:eastAsia="仿宋_GB2312" w:cs="Times New Roman"/>
          <w:sz w:val="33"/>
          <w:szCs w:val="33"/>
          <w:lang w:val="en-US" w:eastAsia="zh-CN"/>
        </w:rPr>
        <w:t>相比，2024年度支出减少</w:t>
      </w:r>
      <w:r>
        <w:rPr>
          <w:rFonts w:hint="eastAsia" w:eastAsia="仿宋_GB2312" w:cs="Times New Roman"/>
          <w:sz w:val="33"/>
          <w:szCs w:val="33"/>
          <w:lang w:val="en-US" w:eastAsia="zh-CN"/>
        </w:rPr>
        <w:t>10.05</w:t>
      </w:r>
      <w:r>
        <w:rPr>
          <w:rFonts w:hint="eastAsia" w:ascii="Times New Roman" w:hAnsi="Times New Roman" w:eastAsia="仿宋_GB2312" w:cs="Times New Roman"/>
          <w:sz w:val="33"/>
          <w:szCs w:val="33"/>
          <w:lang w:val="en-US" w:eastAsia="zh-CN"/>
        </w:rPr>
        <w:t>%。</w:t>
      </w:r>
    </w:p>
    <w:p w14:paraId="3D6D7E22">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63" w:firstLineChars="200"/>
        <w:contextualSpacing/>
        <w:jc w:val="both"/>
        <w:textAlignment w:val="auto"/>
        <w:outlineLvl w:val="9"/>
        <w:rPr>
          <w:rFonts w:hint="default" w:ascii="Times New Roman" w:hAnsi="Times New Roman" w:eastAsia="仿宋_GB2312" w:cs="Times New Roman"/>
          <w:b w:val="0"/>
          <w:bCs w:val="0"/>
          <w:color w:val="000000"/>
          <w:kern w:val="0"/>
          <w:sz w:val="33"/>
          <w:szCs w:val="33"/>
          <w:highlight w:val="none"/>
          <w:shd w:val="clear" w:color="auto" w:fill="FFFFFF"/>
          <w:lang w:val="zh-CN" w:eastAsia="zh-CN"/>
        </w:rPr>
      </w:pPr>
      <w:r>
        <w:rPr>
          <w:rFonts w:hint="default" w:ascii="Times New Roman" w:hAnsi="Times New Roman" w:eastAsia="楷体_GB2312" w:cs="Times New Roman"/>
          <w:b/>
          <w:bCs/>
          <w:color w:val="000000"/>
          <w:kern w:val="0"/>
          <w:sz w:val="33"/>
          <w:szCs w:val="33"/>
          <w:highlight w:val="none"/>
          <w:shd w:val="clear" w:color="auto" w:fill="FFFFFF"/>
          <w:lang w:val="zh-CN"/>
        </w:rPr>
        <w:t>（</w:t>
      </w:r>
      <w:r>
        <w:rPr>
          <w:rFonts w:hint="eastAsia" w:ascii="Times New Roman" w:hAnsi="Times New Roman" w:eastAsia="楷体_GB2312" w:cs="Times New Roman"/>
          <w:b/>
          <w:bCs/>
          <w:color w:val="000000"/>
          <w:kern w:val="0"/>
          <w:sz w:val="33"/>
          <w:szCs w:val="33"/>
          <w:highlight w:val="none"/>
          <w:shd w:val="clear" w:color="auto" w:fill="FFFFFF"/>
          <w:lang w:val="zh-CN"/>
        </w:rPr>
        <w:t>三</w:t>
      </w:r>
      <w:r>
        <w:rPr>
          <w:rFonts w:hint="default" w:ascii="Times New Roman" w:hAnsi="Times New Roman" w:eastAsia="楷体_GB2312" w:cs="Times New Roman"/>
          <w:b/>
          <w:bCs/>
          <w:color w:val="000000"/>
          <w:kern w:val="0"/>
          <w:sz w:val="33"/>
          <w:szCs w:val="33"/>
          <w:highlight w:val="none"/>
          <w:shd w:val="clear" w:color="auto" w:fill="FFFFFF"/>
          <w:lang w:val="zh-CN"/>
        </w:rPr>
        <w:t>）</w:t>
      </w:r>
      <w:r>
        <w:rPr>
          <w:rFonts w:hint="default" w:ascii="Times New Roman" w:hAnsi="Times New Roman" w:eastAsia="楷体_GB2312" w:cs="Times New Roman"/>
          <w:b/>
          <w:sz w:val="33"/>
          <w:szCs w:val="33"/>
        </w:rPr>
        <w:t>结余分配和结转结余情况</w:t>
      </w:r>
      <w:r>
        <w:rPr>
          <w:rFonts w:hint="eastAsia" w:ascii="Times New Roman" w:hAnsi="Times New Roman" w:eastAsia="楷体_GB2312" w:cs="Times New Roman"/>
          <w:b/>
          <w:sz w:val="33"/>
          <w:szCs w:val="33"/>
          <w:lang w:eastAsia="zh-CN"/>
        </w:rPr>
        <w:t>。</w:t>
      </w:r>
      <w:r>
        <w:rPr>
          <w:rFonts w:hint="eastAsia" w:eastAsia="仿宋_GB2312" w:cs="Times New Roman"/>
          <w:sz w:val="33"/>
          <w:szCs w:val="33"/>
          <w:lang w:val="en-US" w:eastAsia="zh-CN"/>
        </w:rPr>
        <w:t>遂宁市安居区水利局</w:t>
      </w:r>
      <w:r>
        <w:rPr>
          <w:rFonts w:hint="eastAsia" w:ascii="Times New Roman" w:hAnsi="Times New Roman" w:eastAsia="仿宋_GB2312" w:cs="Times New Roman"/>
          <w:sz w:val="33"/>
          <w:szCs w:val="33"/>
          <w:lang w:val="en-US" w:eastAsia="zh-CN"/>
        </w:rPr>
        <w:t>202</w:t>
      </w:r>
      <w:r>
        <w:rPr>
          <w:rFonts w:hint="eastAsia" w:eastAsia="仿宋_GB2312" w:cs="Times New Roman"/>
          <w:sz w:val="33"/>
          <w:szCs w:val="33"/>
          <w:lang w:val="en-US" w:eastAsia="zh-CN"/>
        </w:rPr>
        <w:t>4</w:t>
      </w:r>
      <w:r>
        <w:rPr>
          <w:rFonts w:hint="eastAsia" w:ascii="Times New Roman" w:hAnsi="Times New Roman" w:eastAsia="仿宋_GB2312" w:cs="Times New Roman"/>
          <w:sz w:val="33"/>
          <w:szCs w:val="33"/>
          <w:lang w:val="en-US" w:eastAsia="zh-CN"/>
        </w:rPr>
        <w:t>年决算报表</w:t>
      </w:r>
      <w:r>
        <w:rPr>
          <w:rFonts w:hint="default" w:ascii="Times New Roman" w:hAnsi="Times New Roman" w:eastAsia="仿宋_GB2312" w:cs="Times New Roman"/>
          <w:b w:val="0"/>
          <w:bCs w:val="0"/>
          <w:color w:val="000000"/>
          <w:kern w:val="0"/>
          <w:sz w:val="33"/>
          <w:szCs w:val="33"/>
          <w:highlight w:val="none"/>
          <w:shd w:val="clear" w:color="auto" w:fill="FFFFFF"/>
          <w:lang w:val="en-US" w:eastAsia="zh-CN"/>
        </w:rPr>
        <w:t>结转结余</w:t>
      </w:r>
      <w:r>
        <w:rPr>
          <w:rFonts w:hint="eastAsia" w:eastAsia="仿宋_GB2312" w:cs="Times New Roman"/>
          <w:b w:val="0"/>
          <w:bCs w:val="0"/>
          <w:color w:val="000000"/>
          <w:kern w:val="0"/>
          <w:sz w:val="33"/>
          <w:szCs w:val="33"/>
          <w:highlight w:val="none"/>
          <w:shd w:val="clear" w:color="auto" w:fill="FFFFFF"/>
          <w:lang w:val="en-US" w:eastAsia="zh-CN"/>
        </w:rPr>
        <w:t>0.00万元</w:t>
      </w:r>
      <w:r>
        <w:rPr>
          <w:rFonts w:hint="default" w:ascii="Times New Roman" w:hAnsi="Times New Roman" w:eastAsia="仿宋_GB2312" w:cs="Times New Roman"/>
          <w:b w:val="0"/>
          <w:bCs w:val="0"/>
          <w:color w:val="000000"/>
          <w:kern w:val="0"/>
          <w:sz w:val="33"/>
          <w:szCs w:val="33"/>
          <w:highlight w:val="none"/>
          <w:shd w:val="clear" w:color="auto" w:fill="FFFFFF"/>
          <w:lang w:val="en-US" w:eastAsia="zh-CN"/>
        </w:rPr>
        <w:t>。</w:t>
      </w:r>
    </w:p>
    <w:p w14:paraId="10DD1696">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60" w:firstLineChars="200"/>
        <w:contextualSpacing/>
        <w:jc w:val="both"/>
        <w:textAlignment w:val="auto"/>
        <w:outlineLvl w:val="9"/>
        <w:rPr>
          <w:rFonts w:hint="default" w:ascii="Times New Roman" w:hAnsi="Times New Roman" w:eastAsia="黑体" w:cs="Times New Roman"/>
          <w:color w:val="000000" w:themeColor="text1"/>
          <w:kern w:val="0"/>
          <w:sz w:val="33"/>
          <w:szCs w:val="33"/>
          <w:highlight w:val="none"/>
          <w:shd w:val="clear" w:color="auto" w:fill="FFFFFF"/>
          <w14:textFill>
            <w14:solidFill>
              <w14:schemeClr w14:val="tx1"/>
            </w14:solidFill>
          </w14:textFill>
        </w:rPr>
      </w:pPr>
      <w:r>
        <w:rPr>
          <w:rFonts w:hint="default" w:ascii="Times New Roman" w:hAnsi="Times New Roman" w:eastAsia="黑体" w:cs="Times New Roman"/>
          <w:color w:val="000000"/>
          <w:kern w:val="0"/>
          <w:sz w:val="33"/>
          <w:szCs w:val="33"/>
          <w:highlight w:val="none"/>
          <w:shd w:val="clear" w:color="auto" w:fill="FFFFFF"/>
        </w:rPr>
        <w:t>三、</w:t>
      </w:r>
      <w:r>
        <w:rPr>
          <w:rFonts w:hint="default" w:ascii="Times New Roman" w:hAnsi="Times New Roman" w:eastAsia="黑体" w:cs="Times New Roman"/>
          <w:color w:val="000000"/>
          <w:kern w:val="0"/>
          <w:sz w:val="33"/>
          <w:szCs w:val="33"/>
          <w:highlight w:val="none"/>
          <w:u w:val="none"/>
          <w:shd w:val="clear" w:color="auto" w:fill="FFFFFF"/>
        </w:rPr>
        <w:t>部门</w:t>
      </w:r>
      <w:r>
        <w:rPr>
          <w:rFonts w:hint="default" w:ascii="Times New Roman" w:hAnsi="Times New Roman" w:eastAsia="黑体" w:cs="Times New Roman"/>
          <w:color w:val="000000"/>
          <w:kern w:val="0"/>
          <w:sz w:val="33"/>
          <w:szCs w:val="33"/>
          <w:highlight w:val="none"/>
          <w:u w:val="none"/>
          <w:shd w:val="clear" w:color="auto" w:fill="FFFFFF"/>
          <w:lang w:eastAsia="zh-CN"/>
        </w:rPr>
        <w:t>预算</w:t>
      </w:r>
      <w:r>
        <w:rPr>
          <w:rFonts w:hint="default" w:ascii="Times New Roman" w:hAnsi="Times New Roman" w:eastAsia="黑体" w:cs="Times New Roman"/>
          <w:color w:val="000000"/>
          <w:kern w:val="0"/>
          <w:sz w:val="33"/>
          <w:szCs w:val="33"/>
          <w:highlight w:val="none"/>
          <w:u w:val="none"/>
          <w:shd w:val="clear" w:color="auto" w:fill="FFFFFF"/>
        </w:rPr>
        <w:t>绩效</w:t>
      </w:r>
      <w:r>
        <w:rPr>
          <w:rFonts w:hint="default" w:ascii="Times New Roman" w:hAnsi="Times New Roman" w:eastAsia="黑体" w:cs="Times New Roman"/>
          <w:color w:val="000000"/>
          <w:kern w:val="0"/>
          <w:sz w:val="33"/>
          <w:szCs w:val="33"/>
          <w:highlight w:val="none"/>
          <w:u w:val="none"/>
          <w:shd w:val="clear" w:color="auto" w:fill="FFFFFF"/>
          <w:lang w:eastAsia="zh-CN"/>
        </w:rPr>
        <w:t>分析</w:t>
      </w:r>
    </w:p>
    <w:p w14:paraId="52EC38B5">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right="0" w:rightChars="0" w:firstLine="663" w:firstLineChars="200"/>
        <w:contextualSpacing/>
        <w:jc w:val="both"/>
        <w:textAlignment w:val="auto"/>
        <w:outlineLvl w:val="9"/>
        <w:rPr>
          <w:rFonts w:hint="default" w:ascii="Times New Roman" w:hAnsi="Times New Roman" w:eastAsia="仿宋_GB2312" w:cs="Times New Roman"/>
          <w:color w:val="000000"/>
          <w:kern w:val="0"/>
          <w:sz w:val="33"/>
          <w:szCs w:val="33"/>
          <w:highlight w:val="none"/>
          <w:shd w:val="clear" w:color="auto" w:fill="FFFFFF"/>
          <w:lang w:val="zh-CN"/>
        </w:rPr>
      </w:pPr>
      <w:r>
        <w:rPr>
          <w:rFonts w:hint="default" w:ascii="Times New Roman" w:hAnsi="Times New Roman" w:eastAsia="楷体_GB2312" w:cs="Times New Roman"/>
          <w:b/>
          <w:bCs/>
          <w:color w:val="000000"/>
          <w:kern w:val="0"/>
          <w:sz w:val="33"/>
          <w:szCs w:val="33"/>
          <w:highlight w:val="none"/>
          <w:shd w:val="clear" w:color="auto" w:fill="FFFFFF"/>
          <w:lang w:val="zh-CN"/>
        </w:rPr>
        <w:t>（一）</w:t>
      </w:r>
      <w:r>
        <w:rPr>
          <w:rFonts w:hint="eastAsia" w:ascii="Times New Roman" w:hAnsi="Times New Roman" w:eastAsia="楷体_GB2312" w:cs="Times New Roman"/>
          <w:b/>
          <w:bCs/>
          <w:color w:val="000000"/>
          <w:kern w:val="0"/>
          <w:sz w:val="33"/>
          <w:szCs w:val="33"/>
          <w:highlight w:val="none"/>
          <w:shd w:val="clear" w:color="auto" w:fill="FFFFFF"/>
          <w:lang w:val="zh-CN"/>
        </w:rPr>
        <w:t>部门预算</w:t>
      </w:r>
      <w:r>
        <w:rPr>
          <w:rFonts w:hint="default" w:ascii="Times New Roman" w:hAnsi="Times New Roman" w:eastAsia="楷体_GB2312" w:cs="Times New Roman"/>
          <w:b/>
          <w:bCs/>
          <w:color w:val="000000"/>
          <w:kern w:val="0"/>
          <w:sz w:val="33"/>
          <w:szCs w:val="33"/>
          <w:highlight w:val="none"/>
          <w:shd w:val="clear" w:color="auto" w:fill="FFFFFF"/>
          <w:lang w:val="zh-CN"/>
        </w:rPr>
        <w:t>总体绩效分析。</w:t>
      </w:r>
      <w:r>
        <w:rPr>
          <w:rFonts w:hint="default" w:ascii="Times New Roman" w:hAnsi="Times New Roman" w:eastAsia="仿宋_GB2312" w:cs="Times New Roman"/>
          <w:color w:val="000000"/>
          <w:kern w:val="0"/>
          <w:sz w:val="33"/>
          <w:szCs w:val="33"/>
          <w:highlight w:val="none"/>
          <w:shd w:val="clear" w:color="auto" w:fill="FFFFFF"/>
          <w:lang w:val="zh-CN"/>
        </w:rPr>
        <w:t>根据部门预算绩效评价指标体系“总体绩效”涉及</w:t>
      </w:r>
      <w:r>
        <w:rPr>
          <w:rFonts w:hint="eastAsia" w:ascii="Times New Roman" w:hAnsi="Times New Roman" w:eastAsia="仿宋_GB2312" w:cs="Times New Roman"/>
          <w:color w:val="000000"/>
          <w:kern w:val="0"/>
          <w:sz w:val="33"/>
          <w:szCs w:val="33"/>
          <w:highlight w:val="none"/>
          <w:shd w:val="clear" w:color="auto" w:fill="FFFFFF"/>
          <w:lang w:val="zh-CN"/>
        </w:rPr>
        <w:t>二、三级</w:t>
      </w:r>
      <w:r>
        <w:rPr>
          <w:rFonts w:hint="default" w:ascii="Times New Roman" w:hAnsi="Times New Roman" w:eastAsia="仿宋_GB2312" w:cs="Times New Roman"/>
          <w:color w:val="000000"/>
          <w:kern w:val="0"/>
          <w:sz w:val="33"/>
          <w:szCs w:val="33"/>
          <w:highlight w:val="none"/>
          <w:shd w:val="clear" w:color="auto" w:fill="FFFFFF"/>
          <w:lang w:val="zh-CN"/>
        </w:rPr>
        <w:t>指标进行</w:t>
      </w:r>
      <w:r>
        <w:rPr>
          <w:rFonts w:hint="eastAsia" w:ascii="Times New Roman" w:hAnsi="Times New Roman" w:eastAsia="仿宋_GB2312" w:cs="Times New Roman"/>
          <w:color w:val="000000"/>
          <w:kern w:val="0"/>
          <w:sz w:val="33"/>
          <w:szCs w:val="33"/>
          <w:highlight w:val="none"/>
          <w:shd w:val="clear" w:color="auto" w:fill="FFFFFF"/>
          <w:lang w:val="zh-CN"/>
        </w:rPr>
        <w:t>逐项</w:t>
      </w:r>
      <w:r>
        <w:rPr>
          <w:rFonts w:hint="default" w:ascii="Times New Roman" w:hAnsi="Times New Roman" w:eastAsia="仿宋_GB2312" w:cs="Times New Roman"/>
          <w:color w:val="000000"/>
          <w:kern w:val="0"/>
          <w:sz w:val="33"/>
          <w:szCs w:val="33"/>
          <w:highlight w:val="none"/>
          <w:shd w:val="clear" w:color="auto" w:fill="FFFFFF"/>
          <w:lang w:val="zh-CN"/>
        </w:rPr>
        <w:t>绩效分析</w:t>
      </w:r>
      <w:r>
        <w:rPr>
          <w:rFonts w:hint="eastAsia" w:ascii="Times New Roman" w:hAnsi="Times New Roman" w:eastAsia="仿宋_GB2312" w:cs="Times New Roman"/>
          <w:color w:val="000000"/>
          <w:kern w:val="0"/>
          <w:sz w:val="33"/>
          <w:szCs w:val="33"/>
          <w:highlight w:val="none"/>
          <w:shd w:val="clear" w:color="auto" w:fill="FFFFFF"/>
          <w:lang w:val="zh-CN"/>
        </w:rPr>
        <w:t>并评分</w:t>
      </w:r>
      <w:r>
        <w:rPr>
          <w:rFonts w:hint="default" w:ascii="Times New Roman" w:hAnsi="Times New Roman" w:eastAsia="仿宋_GB2312" w:cs="Times New Roman"/>
          <w:color w:val="000000"/>
          <w:kern w:val="0"/>
          <w:sz w:val="33"/>
          <w:szCs w:val="33"/>
          <w:highlight w:val="none"/>
          <w:shd w:val="clear" w:color="auto" w:fill="FFFFFF"/>
          <w:lang w:val="zh-CN"/>
        </w:rPr>
        <w:t>，依次包括履职效能、预算管理、资产管理、采购</w:t>
      </w:r>
      <w:r>
        <w:rPr>
          <w:rFonts w:hint="eastAsia" w:eastAsia="仿宋_GB2312" w:cs="Times New Roman"/>
          <w:color w:val="000000"/>
          <w:kern w:val="0"/>
          <w:sz w:val="33"/>
          <w:szCs w:val="33"/>
          <w:highlight w:val="none"/>
          <w:shd w:val="clear" w:color="auto" w:fill="FFFFFF"/>
          <w:lang w:val="zh-CN"/>
        </w:rPr>
        <w:t>管理</w:t>
      </w:r>
      <w:r>
        <w:rPr>
          <w:rFonts w:hint="eastAsia" w:eastAsia="仿宋_GB2312" w:cs="Times New Roman"/>
          <w:color w:val="000000"/>
          <w:kern w:val="0"/>
          <w:sz w:val="33"/>
          <w:szCs w:val="33"/>
          <w:highlight w:val="none"/>
          <w:shd w:val="clear" w:color="auto" w:fill="FFFFFF"/>
          <w:lang w:val="zh-CN" w:eastAsia="zh-CN"/>
        </w:rPr>
        <w:t>、</w:t>
      </w:r>
      <w:r>
        <w:rPr>
          <w:rFonts w:hint="default" w:ascii="Times New Roman" w:hAnsi="Times New Roman" w:eastAsia="仿宋_GB2312" w:cs="Times New Roman"/>
          <w:color w:val="000000"/>
          <w:kern w:val="0"/>
          <w:sz w:val="33"/>
          <w:szCs w:val="33"/>
          <w:highlight w:val="none"/>
          <w:shd w:val="clear" w:color="auto" w:fill="FFFFFF"/>
          <w:lang w:val="zh-CN"/>
        </w:rPr>
        <w:t>财务管理等情况。</w:t>
      </w:r>
    </w:p>
    <w:p w14:paraId="3CC81EFD">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right="0" w:rightChars="0" w:firstLine="660" w:firstLineChars="200"/>
        <w:contextualSpacing/>
        <w:jc w:val="both"/>
        <w:textAlignment w:val="auto"/>
        <w:outlineLvl w:val="9"/>
        <w:rPr>
          <w:rFonts w:hint="eastAsia" w:ascii="Times New Roman" w:hAnsi="Times New Roman" w:eastAsia="仿宋_GB2312" w:cs="Times New Roman"/>
          <w:color w:val="000000"/>
          <w:kern w:val="0"/>
          <w:sz w:val="33"/>
          <w:szCs w:val="33"/>
          <w:highlight w:val="none"/>
          <w:shd w:val="clear" w:color="auto" w:fill="FFFFFF"/>
          <w:lang w:val="zh-CN"/>
        </w:rPr>
      </w:pPr>
      <w:r>
        <w:rPr>
          <w:rFonts w:hint="eastAsia" w:ascii="Times New Roman" w:hAnsi="Times New Roman" w:eastAsia="楷体_GB2312" w:cs="楷体_GB2312"/>
          <w:color w:val="000000"/>
          <w:kern w:val="0"/>
          <w:sz w:val="33"/>
          <w:szCs w:val="33"/>
          <w:highlight w:val="none"/>
          <w:shd w:val="clear" w:color="auto" w:fill="FFFFFF"/>
          <w:lang w:val="en-US" w:eastAsia="zh-CN"/>
        </w:rPr>
        <w:t>1.</w:t>
      </w:r>
      <w:r>
        <w:rPr>
          <w:rFonts w:hint="eastAsia" w:ascii="Times New Roman" w:hAnsi="Times New Roman" w:eastAsia="楷体_GB2312" w:cs="楷体_GB2312"/>
          <w:color w:val="000000"/>
          <w:kern w:val="0"/>
          <w:sz w:val="33"/>
          <w:szCs w:val="33"/>
          <w:highlight w:val="none"/>
          <w:shd w:val="clear" w:color="auto" w:fill="FFFFFF"/>
          <w:lang w:val="zh-CN"/>
        </w:rPr>
        <w:t>履职效能。</w:t>
      </w:r>
      <w:r>
        <w:rPr>
          <w:rFonts w:hint="eastAsia" w:ascii="Times New Roman" w:hAnsi="Times New Roman" w:eastAsia="仿宋_GB2312" w:cs="Times New Roman"/>
          <w:color w:val="000000"/>
          <w:kern w:val="0"/>
          <w:sz w:val="33"/>
          <w:szCs w:val="33"/>
          <w:highlight w:val="none"/>
          <w:shd w:val="clear" w:color="auto" w:fill="FFFFFF"/>
          <w:lang w:val="zh-CN"/>
        </w:rPr>
        <w:t>部门整体绩效目标中选定</w:t>
      </w:r>
      <w:r>
        <w:rPr>
          <w:rFonts w:hint="eastAsia" w:eastAsia="仿宋_GB2312" w:cs="Times New Roman"/>
          <w:color w:val="000000"/>
          <w:kern w:val="0"/>
          <w:sz w:val="33"/>
          <w:szCs w:val="33"/>
          <w:highlight w:val="none"/>
          <w:shd w:val="clear" w:color="auto" w:fill="FFFFFF"/>
          <w:lang w:val="en-US" w:eastAsia="zh-CN"/>
        </w:rPr>
        <w:t>4</w:t>
      </w:r>
      <w:r>
        <w:rPr>
          <w:rFonts w:hint="eastAsia" w:ascii="Times New Roman" w:hAnsi="Times New Roman" w:eastAsia="仿宋_GB2312" w:cs="Times New Roman"/>
          <w:color w:val="000000"/>
          <w:kern w:val="0"/>
          <w:sz w:val="33"/>
          <w:szCs w:val="33"/>
          <w:highlight w:val="none"/>
          <w:shd w:val="clear" w:color="auto" w:fill="FFFFFF"/>
          <w:lang w:val="zh-CN"/>
        </w:rPr>
        <w:t>-</w:t>
      </w:r>
      <w:r>
        <w:rPr>
          <w:rFonts w:hint="eastAsia" w:eastAsia="仿宋_GB2312" w:cs="Times New Roman"/>
          <w:color w:val="000000"/>
          <w:kern w:val="0"/>
          <w:sz w:val="33"/>
          <w:szCs w:val="33"/>
          <w:highlight w:val="none"/>
          <w:shd w:val="clear" w:color="auto" w:fill="FFFFFF"/>
          <w:lang w:val="en-US" w:eastAsia="zh-CN"/>
        </w:rPr>
        <w:t>6</w:t>
      </w:r>
      <w:r>
        <w:rPr>
          <w:rFonts w:hint="eastAsia" w:ascii="Times New Roman" w:hAnsi="Times New Roman" w:eastAsia="仿宋_GB2312" w:cs="Times New Roman"/>
          <w:color w:val="000000"/>
          <w:kern w:val="0"/>
          <w:sz w:val="33"/>
          <w:szCs w:val="33"/>
          <w:highlight w:val="none"/>
          <w:shd w:val="clear" w:color="auto" w:fill="FFFFFF"/>
          <w:lang w:val="zh-CN"/>
        </w:rPr>
        <w:t>个核心职能目标，对职能目标完成效果情况绩效分析。</w:t>
      </w:r>
    </w:p>
    <w:p w14:paraId="6247683B">
      <w:pPr>
        <w:keepNext w:val="0"/>
        <w:keepLines w:val="0"/>
        <w:pageBreakBefore w:val="0"/>
        <w:widowControl w:val="0"/>
        <w:kinsoku/>
        <w:wordWrap/>
        <w:overflowPunct/>
        <w:topLinePunct w:val="0"/>
        <w:autoSpaceDE/>
        <w:autoSpaceDN/>
        <w:bidi w:val="0"/>
        <w:adjustRightInd/>
        <w:snapToGrid/>
        <w:spacing w:line="590" w:lineRule="exact"/>
        <w:ind w:left="0" w:leftChars="0" w:right="0" w:rightChars="0" w:firstLine="660" w:firstLineChars="200"/>
        <w:jc w:val="both"/>
        <w:textAlignment w:val="auto"/>
        <w:rPr>
          <w:rFonts w:hint="eastAsia" w:ascii="Times New Roman" w:hAnsi="Times New Roman" w:eastAsia="仿宋_GB2312" w:cs="Times New Roman"/>
          <w:sz w:val="33"/>
          <w:szCs w:val="33"/>
          <w:lang w:val="en-US" w:eastAsia="zh-CN"/>
        </w:rPr>
      </w:pPr>
      <w:r>
        <w:rPr>
          <w:rFonts w:hint="eastAsia" w:ascii="Times New Roman" w:hAnsi="Times New Roman" w:eastAsia="仿宋_GB2312" w:cs="Times New Roman"/>
          <w:sz w:val="33"/>
          <w:szCs w:val="33"/>
          <w:lang w:val="en-US" w:eastAsia="zh-CN"/>
        </w:rPr>
        <w:t>2024年，遂宁市</w:t>
      </w:r>
      <w:r>
        <w:rPr>
          <w:rFonts w:hint="eastAsia" w:eastAsia="仿宋_GB2312" w:cs="Times New Roman"/>
          <w:sz w:val="33"/>
          <w:szCs w:val="33"/>
          <w:lang w:val="en-US" w:eastAsia="zh-CN"/>
        </w:rPr>
        <w:t>安居区水利局</w:t>
      </w:r>
      <w:r>
        <w:rPr>
          <w:rFonts w:hint="eastAsia" w:ascii="Times New Roman" w:hAnsi="Times New Roman" w:eastAsia="仿宋_GB2312" w:cs="Times New Roman"/>
          <w:sz w:val="33"/>
          <w:szCs w:val="33"/>
          <w:lang w:val="en-US" w:eastAsia="zh-CN"/>
        </w:rPr>
        <w:t>设定部门整体绩效目标</w:t>
      </w:r>
      <w:r>
        <w:rPr>
          <w:rFonts w:hint="eastAsia" w:eastAsia="仿宋_GB2312" w:cs="Times New Roman"/>
          <w:sz w:val="33"/>
          <w:szCs w:val="33"/>
          <w:lang w:val="en-US" w:eastAsia="zh-CN"/>
        </w:rPr>
        <w:t>9</w:t>
      </w:r>
      <w:r>
        <w:rPr>
          <w:rFonts w:hint="eastAsia" w:ascii="Times New Roman" w:hAnsi="Times New Roman" w:eastAsia="仿宋_GB2312" w:cs="Times New Roman"/>
          <w:sz w:val="33"/>
          <w:szCs w:val="33"/>
          <w:lang w:val="en-US" w:eastAsia="zh-CN"/>
        </w:rPr>
        <w:t>个，</w:t>
      </w:r>
      <w:r>
        <w:rPr>
          <w:rFonts w:hint="eastAsia" w:ascii="Times New Roman" w:hAnsi="Times New Roman" w:eastAsia="仿宋_GB2312" w:cs="Times New Roman"/>
          <w:color w:val="000000"/>
          <w:kern w:val="0"/>
          <w:sz w:val="33"/>
          <w:szCs w:val="33"/>
          <w:highlight w:val="none"/>
          <w:shd w:val="clear" w:color="auto" w:fill="FFFFFF"/>
          <w:lang w:val="zh-CN"/>
        </w:rPr>
        <w:t>职能目标完成效果情况绩效分析</w:t>
      </w:r>
      <w:r>
        <w:rPr>
          <w:rFonts w:hint="eastAsia" w:ascii="Times New Roman" w:hAnsi="Times New Roman" w:eastAsia="仿宋_GB2312" w:cs="Times New Roman"/>
          <w:color w:val="000000"/>
          <w:kern w:val="0"/>
          <w:sz w:val="33"/>
          <w:szCs w:val="33"/>
          <w:highlight w:val="none"/>
          <w:shd w:val="clear" w:color="auto" w:fill="FFFFFF"/>
          <w:lang w:val="en-US" w:eastAsia="zh-CN"/>
        </w:rPr>
        <w:t>如下</w:t>
      </w:r>
      <w:r>
        <w:rPr>
          <w:rFonts w:hint="eastAsia" w:ascii="Times New Roman" w:hAnsi="Times New Roman" w:eastAsia="仿宋_GB2312" w:cs="Times New Roman"/>
          <w:sz w:val="33"/>
          <w:szCs w:val="33"/>
          <w:lang w:val="en-US" w:eastAsia="zh-CN"/>
        </w:rPr>
        <w:t>：</w:t>
      </w:r>
    </w:p>
    <w:p w14:paraId="0FBA3C0A">
      <w:pPr>
        <w:keepNext w:val="0"/>
        <w:keepLines w:val="0"/>
        <w:pageBreakBefore w:val="0"/>
        <w:widowControl w:val="0"/>
        <w:kinsoku/>
        <w:wordWrap/>
        <w:overflowPunct/>
        <w:topLinePunct w:val="0"/>
        <w:autoSpaceDE/>
        <w:autoSpaceDN/>
        <w:bidi w:val="0"/>
        <w:adjustRightInd/>
        <w:snapToGrid/>
        <w:spacing w:line="590" w:lineRule="exact"/>
        <w:ind w:left="0" w:leftChars="0" w:right="0" w:rightChars="0" w:firstLine="660" w:firstLineChars="200"/>
        <w:jc w:val="both"/>
        <w:textAlignment w:val="auto"/>
        <w:rPr>
          <w:rFonts w:hint="eastAsia" w:ascii="Times New Roman" w:hAnsi="Times New Roman" w:eastAsia="仿宋_GB2312" w:cs="Times New Roman"/>
          <w:sz w:val="33"/>
          <w:szCs w:val="33"/>
          <w:lang w:val="en-US" w:eastAsia="zh-CN"/>
        </w:rPr>
      </w:pPr>
      <w:r>
        <w:rPr>
          <w:rFonts w:hint="eastAsia" w:ascii="Times New Roman" w:hAnsi="Times New Roman" w:eastAsia="仿宋_GB2312" w:cs="Times New Roman"/>
          <w:sz w:val="33"/>
          <w:szCs w:val="33"/>
          <w:lang w:val="en-US" w:eastAsia="zh-CN"/>
        </w:rPr>
        <w:t>（1）数量指标半年一次发放跑马滩水库人员工资和保险≥12</w:t>
      </w:r>
      <w:r>
        <w:rPr>
          <w:rFonts w:hint="eastAsia" w:eastAsia="仿宋_GB2312" w:cs="Times New Roman"/>
          <w:sz w:val="33"/>
          <w:szCs w:val="33"/>
          <w:lang w:val="en-US" w:eastAsia="zh-CN"/>
        </w:rPr>
        <w:t>人</w:t>
      </w:r>
      <w:r>
        <w:rPr>
          <w:rFonts w:hint="eastAsia" w:ascii="Times New Roman" w:hAnsi="Times New Roman" w:eastAsia="仿宋_GB2312" w:cs="Times New Roman"/>
          <w:sz w:val="33"/>
          <w:szCs w:val="33"/>
          <w:lang w:val="en-US" w:eastAsia="zh-CN"/>
        </w:rPr>
        <w:t>/年：</w:t>
      </w:r>
    </w:p>
    <w:p w14:paraId="277B7BA8">
      <w:pPr>
        <w:keepNext w:val="0"/>
        <w:keepLines w:val="0"/>
        <w:pageBreakBefore w:val="0"/>
        <w:widowControl w:val="0"/>
        <w:kinsoku/>
        <w:wordWrap/>
        <w:overflowPunct/>
        <w:topLinePunct w:val="0"/>
        <w:autoSpaceDE/>
        <w:autoSpaceDN/>
        <w:bidi w:val="0"/>
        <w:adjustRightInd/>
        <w:snapToGrid/>
        <w:spacing w:line="590" w:lineRule="exact"/>
        <w:ind w:left="0" w:leftChars="0" w:right="0" w:rightChars="0" w:firstLine="660" w:firstLineChars="200"/>
        <w:jc w:val="both"/>
        <w:textAlignment w:val="auto"/>
        <w:rPr>
          <w:rFonts w:hint="eastAsia" w:ascii="Times New Roman" w:hAnsi="Times New Roman" w:eastAsia="仿宋_GB2312" w:cs="Times New Roman"/>
          <w:sz w:val="33"/>
          <w:szCs w:val="33"/>
          <w:lang w:val="en-US" w:eastAsia="zh-CN"/>
        </w:rPr>
      </w:pPr>
      <w:r>
        <w:rPr>
          <w:rFonts w:hint="eastAsia" w:ascii="Times New Roman" w:hAnsi="Times New Roman" w:eastAsia="仿宋_GB2312" w:cs="Times New Roman"/>
          <w:sz w:val="33"/>
          <w:szCs w:val="33"/>
          <w:lang w:val="en-US" w:eastAsia="zh-CN"/>
        </w:rPr>
        <w:t>2024年我局实际发放跑马滩水库人员工资和保险为半年发放一次，跑马滩水库人员人员为12人</w:t>
      </w:r>
      <w:r>
        <w:rPr>
          <w:rFonts w:hint="eastAsia" w:ascii="仿宋" w:hAnsi="仿宋" w:eastAsia="仿宋" w:cs="仿宋"/>
          <w:color w:val="000000"/>
          <w:kern w:val="0"/>
          <w:sz w:val="32"/>
          <w:szCs w:val="32"/>
          <w:lang w:val="en-US" w:eastAsia="zh-CN" w:bidi="ar"/>
        </w:rPr>
        <w:t>；该指标完成率100%，自评2.5分</w:t>
      </w:r>
      <w:r>
        <w:rPr>
          <w:rFonts w:hint="eastAsia" w:ascii="Times New Roman" w:hAnsi="Times New Roman" w:eastAsia="仿宋_GB2312" w:cs="Times New Roman"/>
          <w:sz w:val="33"/>
          <w:szCs w:val="33"/>
          <w:lang w:val="en-US" w:eastAsia="zh-CN"/>
        </w:rPr>
        <w:t>。</w:t>
      </w:r>
    </w:p>
    <w:p w14:paraId="158C2108">
      <w:pPr>
        <w:keepNext w:val="0"/>
        <w:keepLines w:val="0"/>
        <w:pageBreakBefore w:val="0"/>
        <w:widowControl w:val="0"/>
        <w:kinsoku/>
        <w:wordWrap/>
        <w:overflowPunct/>
        <w:topLinePunct w:val="0"/>
        <w:autoSpaceDE/>
        <w:autoSpaceDN/>
        <w:bidi w:val="0"/>
        <w:adjustRightInd/>
        <w:snapToGrid/>
        <w:spacing w:line="590" w:lineRule="exact"/>
        <w:ind w:left="0" w:leftChars="0" w:right="0" w:rightChars="0" w:firstLine="660" w:firstLineChars="200"/>
        <w:jc w:val="both"/>
        <w:textAlignment w:val="auto"/>
        <w:rPr>
          <w:rFonts w:hint="eastAsia" w:ascii="Times New Roman" w:hAnsi="Times New Roman" w:eastAsia="仿宋_GB2312" w:cs="Times New Roman"/>
          <w:sz w:val="33"/>
          <w:szCs w:val="33"/>
          <w:lang w:val="en-US" w:eastAsia="zh-CN"/>
        </w:rPr>
      </w:pPr>
      <w:r>
        <w:rPr>
          <w:rFonts w:hint="eastAsia" w:ascii="Times New Roman" w:hAnsi="Times New Roman" w:eastAsia="仿宋_GB2312" w:cs="Times New Roman"/>
          <w:sz w:val="33"/>
          <w:szCs w:val="33"/>
          <w:lang w:val="en-US" w:eastAsia="zh-CN"/>
        </w:rPr>
        <w:t>（</w:t>
      </w:r>
      <w:r>
        <w:rPr>
          <w:rFonts w:hint="eastAsia" w:eastAsia="仿宋_GB2312" w:cs="Times New Roman"/>
          <w:sz w:val="33"/>
          <w:szCs w:val="33"/>
          <w:lang w:val="en-US" w:eastAsia="zh-CN"/>
        </w:rPr>
        <w:t>2</w:t>
      </w:r>
      <w:r>
        <w:rPr>
          <w:rFonts w:hint="eastAsia" w:ascii="Times New Roman" w:hAnsi="Times New Roman" w:eastAsia="仿宋_GB2312" w:cs="Times New Roman"/>
          <w:sz w:val="33"/>
          <w:szCs w:val="33"/>
          <w:lang w:val="en-US" w:eastAsia="zh-CN"/>
        </w:rPr>
        <w:t>）</w:t>
      </w:r>
      <w:r>
        <w:rPr>
          <w:rFonts w:hint="eastAsia" w:eastAsia="仿宋_GB2312" w:cs="Times New Roman"/>
          <w:sz w:val="33"/>
          <w:szCs w:val="33"/>
          <w:lang w:val="en-US" w:eastAsia="zh-CN"/>
        </w:rPr>
        <w:t>质量指保障机关人员基本工资、津补贴、奖金≥74人/户</w:t>
      </w:r>
      <w:r>
        <w:rPr>
          <w:rFonts w:hint="eastAsia" w:ascii="Times New Roman" w:hAnsi="Times New Roman" w:eastAsia="仿宋_GB2312" w:cs="Times New Roman"/>
          <w:sz w:val="33"/>
          <w:szCs w:val="33"/>
          <w:lang w:val="en-US" w:eastAsia="zh-CN"/>
        </w:rPr>
        <w:t>：</w:t>
      </w:r>
    </w:p>
    <w:p w14:paraId="045DE687">
      <w:pPr>
        <w:keepNext w:val="0"/>
        <w:keepLines w:val="0"/>
        <w:pageBreakBefore w:val="0"/>
        <w:widowControl w:val="0"/>
        <w:kinsoku/>
        <w:wordWrap/>
        <w:overflowPunct/>
        <w:topLinePunct w:val="0"/>
        <w:autoSpaceDE/>
        <w:autoSpaceDN/>
        <w:bidi w:val="0"/>
        <w:adjustRightInd/>
        <w:snapToGrid/>
        <w:spacing w:line="590" w:lineRule="exact"/>
        <w:ind w:left="0" w:leftChars="0" w:right="0" w:rightChars="0" w:firstLine="660" w:firstLineChars="200"/>
        <w:jc w:val="both"/>
        <w:textAlignment w:val="auto"/>
        <w:rPr>
          <w:rFonts w:hint="eastAsia" w:ascii="Times New Roman" w:hAnsi="Times New Roman" w:eastAsia="仿宋_GB2312" w:cs="Times New Roman"/>
          <w:sz w:val="33"/>
          <w:szCs w:val="33"/>
          <w:lang w:val="en-US" w:eastAsia="zh-CN"/>
        </w:rPr>
      </w:pPr>
      <w:r>
        <w:rPr>
          <w:rFonts w:hint="eastAsia" w:ascii="Times New Roman" w:hAnsi="Times New Roman" w:eastAsia="仿宋_GB2312" w:cs="Times New Roman"/>
          <w:sz w:val="33"/>
          <w:szCs w:val="33"/>
          <w:lang w:val="en-US" w:eastAsia="zh-CN"/>
        </w:rPr>
        <w:t>2024年</w:t>
      </w:r>
      <w:r>
        <w:rPr>
          <w:rFonts w:hint="eastAsia" w:eastAsia="仿宋_GB2312" w:cs="Times New Roman"/>
          <w:sz w:val="33"/>
          <w:szCs w:val="33"/>
          <w:lang w:val="en-US" w:eastAsia="zh-CN"/>
        </w:rPr>
        <w:t>我局</w:t>
      </w:r>
      <w:r>
        <w:rPr>
          <w:rFonts w:hint="eastAsia" w:ascii="Times New Roman" w:hAnsi="Times New Roman" w:eastAsia="仿宋_GB2312" w:cs="Times New Roman"/>
          <w:sz w:val="33"/>
          <w:szCs w:val="33"/>
          <w:lang w:val="en-US" w:eastAsia="zh-CN"/>
        </w:rPr>
        <w:t>编制内实有人员</w:t>
      </w:r>
      <w:r>
        <w:rPr>
          <w:rFonts w:hint="eastAsia" w:eastAsia="仿宋_GB2312" w:cs="Times New Roman"/>
          <w:sz w:val="33"/>
          <w:szCs w:val="33"/>
          <w:lang w:val="en-US" w:eastAsia="zh-CN"/>
        </w:rPr>
        <w:t>67</w:t>
      </w:r>
      <w:r>
        <w:rPr>
          <w:rFonts w:hint="eastAsia" w:ascii="Times New Roman" w:hAnsi="Times New Roman" w:eastAsia="仿宋_GB2312" w:cs="Times New Roman"/>
          <w:sz w:val="33"/>
          <w:szCs w:val="33"/>
          <w:lang w:val="en-US" w:eastAsia="zh-CN"/>
        </w:rPr>
        <w:t>人</w:t>
      </w:r>
      <w:r>
        <w:rPr>
          <w:rFonts w:hint="eastAsia" w:eastAsia="仿宋_GB2312" w:cs="Times New Roman"/>
          <w:sz w:val="33"/>
          <w:szCs w:val="33"/>
          <w:lang w:val="en-US" w:eastAsia="zh-CN"/>
        </w:rPr>
        <w:t>、财政拨款开支人员1人</w:t>
      </w:r>
      <w:r>
        <w:rPr>
          <w:rFonts w:hint="eastAsia" w:ascii="Times New Roman" w:hAnsi="Times New Roman" w:eastAsia="仿宋_GB2312" w:cs="Times New Roman"/>
          <w:sz w:val="33"/>
          <w:szCs w:val="33"/>
          <w:lang w:val="en-US" w:eastAsia="zh-CN"/>
        </w:rPr>
        <w:t>，其中：行政编制</w:t>
      </w:r>
      <w:r>
        <w:rPr>
          <w:rFonts w:hint="eastAsia" w:eastAsia="仿宋_GB2312" w:cs="Times New Roman"/>
          <w:sz w:val="33"/>
          <w:szCs w:val="33"/>
          <w:lang w:val="en-US" w:eastAsia="zh-CN"/>
        </w:rPr>
        <w:t>14</w:t>
      </w:r>
      <w:r>
        <w:rPr>
          <w:rFonts w:hint="eastAsia" w:ascii="Times New Roman" w:hAnsi="Times New Roman" w:eastAsia="仿宋_GB2312" w:cs="Times New Roman"/>
          <w:sz w:val="33"/>
          <w:szCs w:val="33"/>
          <w:lang w:val="en-US" w:eastAsia="zh-CN"/>
        </w:rPr>
        <w:t>人，事业编制</w:t>
      </w:r>
      <w:r>
        <w:rPr>
          <w:rFonts w:hint="eastAsia" w:eastAsia="仿宋_GB2312" w:cs="Times New Roman"/>
          <w:sz w:val="33"/>
          <w:szCs w:val="33"/>
          <w:lang w:val="en-US" w:eastAsia="zh-CN"/>
        </w:rPr>
        <w:t>53</w:t>
      </w:r>
      <w:r>
        <w:rPr>
          <w:rFonts w:hint="eastAsia" w:ascii="Times New Roman" w:hAnsi="Times New Roman" w:eastAsia="仿宋_GB2312" w:cs="Times New Roman"/>
          <w:sz w:val="33"/>
          <w:szCs w:val="33"/>
          <w:lang w:val="en-US" w:eastAsia="zh-CN"/>
        </w:rPr>
        <w:t>人</w:t>
      </w:r>
      <w:r>
        <w:rPr>
          <w:rFonts w:hint="eastAsia" w:ascii="Times New Roman" w:hAnsi="Times New Roman" w:eastAsia="仿宋_GB2312" w:cs="Times New Roman"/>
          <w:b w:val="0"/>
          <w:bCs w:val="0"/>
          <w:kern w:val="2"/>
          <w:sz w:val="32"/>
          <w:szCs w:val="32"/>
          <w:lang w:val="en-US" w:eastAsia="zh-CN" w:bidi="ar"/>
        </w:rPr>
        <w:t>；该指标完成率90.</w:t>
      </w:r>
      <w:r>
        <w:rPr>
          <w:rFonts w:hint="eastAsia" w:eastAsia="仿宋_GB2312" w:cs="Times New Roman"/>
          <w:b w:val="0"/>
          <w:bCs w:val="0"/>
          <w:kern w:val="2"/>
          <w:sz w:val="32"/>
          <w:szCs w:val="32"/>
          <w:lang w:val="en-US" w:eastAsia="zh-CN" w:bidi="ar"/>
        </w:rPr>
        <w:t>54</w:t>
      </w:r>
      <w:r>
        <w:rPr>
          <w:rFonts w:hint="eastAsia" w:ascii="Times New Roman" w:hAnsi="Times New Roman" w:eastAsia="仿宋_GB2312" w:cs="Times New Roman"/>
          <w:b w:val="0"/>
          <w:bCs w:val="0"/>
          <w:kern w:val="2"/>
          <w:sz w:val="32"/>
          <w:szCs w:val="32"/>
          <w:lang w:val="en-US" w:eastAsia="zh-CN" w:bidi="ar"/>
        </w:rPr>
        <w:t>%，自评2.26分</w:t>
      </w:r>
      <w:r>
        <w:rPr>
          <w:rFonts w:hint="eastAsia" w:ascii="Times New Roman" w:hAnsi="Times New Roman" w:eastAsia="仿宋_GB2312" w:cs="Times New Roman"/>
          <w:sz w:val="33"/>
          <w:szCs w:val="33"/>
          <w:lang w:val="en-US" w:eastAsia="zh-CN"/>
        </w:rPr>
        <w:t>。</w:t>
      </w:r>
    </w:p>
    <w:p w14:paraId="6A74E758">
      <w:pPr>
        <w:keepNext w:val="0"/>
        <w:keepLines w:val="0"/>
        <w:pageBreakBefore w:val="0"/>
        <w:widowControl w:val="0"/>
        <w:kinsoku/>
        <w:wordWrap/>
        <w:overflowPunct/>
        <w:topLinePunct w:val="0"/>
        <w:autoSpaceDE/>
        <w:autoSpaceDN/>
        <w:bidi w:val="0"/>
        <w:adjustRightInd/>
        <w:snapToGrid/>
        <w:spacing w:line="590" w:lineRule="exact"/>
        <w:ind w:left="0" w:leftChars="0" w:right="0" w:rightChars="0" w:firstLine="660" w:firstLineChars="200"/>
        <w:jc w:val="both"/>
        <w:textAlignment w:val="auto"/>
        <w:rPr>
          <w:rFonts w:hint="eastAsia" w:ascii="Times New Roman" w:hAnsi="Times New Roman" w:eastAsia="仿宋_GB2312" w:cs="Times New Roman"/>
          <w:sz w:val="33"/>
          <w:szCs w:val="33"/>
          <w:lang w:val="en-US" w:eastAsia="zh-CN"/>
        </w:rPr>
      </w:pPr>
      <w:r>
        <w:rPr>
          <w:rFonts w:hint="eastAsia" w:ascii="Times New Roman" w:hAnsi="Times New Roman" w:eastAsia="仿宋_GB2312" w:cs="Times New Roman"/>
          <w:sz w:val="33"/>
          <w:szCs w:val="33"/>
          <w:lang w:val="en-US" w:eastAsia="zh-CN"/>
        </w:rPr>
        <w:t>（</w:t>
      </w:r>
      <w:r>
        <w:rPr>
          <w:rFonts w:hint="eastAsia" w:eastAsia="仿宋_GB2312" w:cs="Times New Roman"/>
          <w:sz w:val="33"/>
          <w:szCs w:val="33"/>
          <w:lang w:val="en-US" w:eastAsia="zh-CN"/>
        </w:rPr>
        <w:t>3</w:t>
      </w:r>
      <w:r>
        <w:rPr>
          <w:rFonts w:hint="eastAsia" w:ascii="Times New Roman" w:hAnsi="Times New Roman" w:eastAsia="仿宋_GB2312" w:cs="Times New Roman"/>
          <w:sz w:val="33"/>
          <w:szCs w:val="33"/>
          <w:lang w:val="en-US" w:eastAsia="zh-CN"/>
        </w:rPr>
        <w:t>）</w:t>
      </w:r>
      <w:r>
        <w:rPr>
          <w:rFonts w:hint="eastAsia" w:eastAsia="仿宋_GB2312" w:cs="Times New Roman"/>
          <w:sz w:val="33"/>
          <w:szCs w:val="33"/>
          <w:lang w:val="en-US" w:eastAsia="zh-CN"/>
        </w:rPr>
        <w:t>质量指标</w:t>
      </w:r>
      <w:r>
        <w:rPr>
          <w:rFonts w:hint="default" w:ascii="Times New Roman" w:hAnsi="Times New Roman" w:eastAsia="仿宋_GB2312" w:cs="Times New Roman"/>
          <w:sz w:val="33"/>
          <w:szCs w:val="33"/>
          <w:lang w:val="en-US" w:eastAsia="zh-CN"/>
        </w:rPr>
        <w:t>质量保证率≥95%</w:t>
      </w:r>
      <w:r>
        <w:rPr>
          <w:rFonts w:hint="eastAsia" w:ascii="Times New Roman" w:hAnsi="Times New Roman" w:eastAsia="仿宋_GB2312" w:cs="Times New Roman"/>
          <w:sz w:val="33"/>
          <w:szCs w:val="33"/>
          <w:lang w:val="en-US" w:eastAsia="zh-CN"/>
        </w:rPr>
        <w:t>：</w:t>
      </w:r>
    </w:p>
    <w:p w14:paraId="5F15AEED">
      <w:pPr>
        <w:keepNext w:val="0"/>
        <w:keepLines w:val="0"/>
        <w:pageBreakBefore w:val="0"/>
        <w:widowControl w:val="0"/>
        <w:kinsoku/>
        <w:wordWrap/>
        <w:overflowPunct/>
        <w:topLinePunct w:val="0"/>
        <w:autoSpaceDE/>
        <w:autoSpaceDN/>
        <w:bidi w:val="0"/>
        <w:adjustRightInd/>
        <w:snapToGrid/>
        <w:spacing w:line="590" w:lineRule="exact"/>
        <w:ind w:left="0" w:leftChars="0" w:right="0" w:rightChars="0" w:firstLine="660" w:firstLineChars="200"/>
        <w:jc w:val="both"/>
        <w:textAlignment w:val="auto"/>
        <w:rPr>
          <w:rFonts w:hint="eastAsia" w:eastAsia="仿宋_GB2312" w:cs="Times New Roman"/>
          <w:sz w:val="33"/>
          <w:szCs w:val="33"/>
          <w:lang w:val="en-US" w:eastAsia="zh-CN"/>
        </w:rPr>
      </w:pPr>
      <w:r>
        <w:rPr>
          <w:rFonts w:hint="eastAsia" w:ascii="Times New Roman" w:hAnsi="Times New Roman" w:eastAsia="仿宋_GB2312" w:cs="Times New Roman"/>
          <w:sz w:val="33"/>
          <w:szCs w:val="33"/>
          <w:lang w:val="en-US" w:eastAsia="zh-CN"/>
        </w:rPr>
        <w:t>2024年</w:t>
      </w:r>
      <w:r>
        <w:rPr>
          <w:rFonts w:hint="eastAsia" w:eastAsia="仿宋_GB2312" w:cs="Times New Roman"/>
          <w:sz w:val="33"/>
          <w:szCs w:val="33"/>
          <w:lang w:val="en-US" w:eastAsia="zh-CN"/>
        </w:rPr>
        <w:t>我局所有已完成项目验收合格率100%，，自评2.5分。</w:t>
      </w:r>
    </w:p>
    <w:p w14:paraId="7BF6F474">
      <w:pPr>
        <w:keepNext w:val="0"/>
        <w:keepLines w:val="0"/>
        <w:pageBreakBefore w:val="0"/>
        <w:widowControl w:val="0"/>
        <w:numPr>
          <w:ilvl w:val="0"/>
          <w:numId w:val="6"/>
        </w:numPr>
        <w:kinsoku/>
        <w:wordWrap/>
        <w:overflowPunct/>
        <w:topLinePunct w:val="0"/>
        <w:autoSpaceDE/>
        <w:autoSpaceDN/>
        <w:bidi w:val="0"/>
        <w:adjustRightInd/>
        <w:snapToGrid/>
        <w:spacing w:line="590" w:lineRule="exact"/>
        <w:ind w:left="0" w:leftChars="0" w:right="0" w:rightChars="0" w:firstLine="660" w:firstLineChars="200"/>
        <w:jc w:val="both"/>
        <w:textAlignment w:val="auto"/>
        <w:rPr>
          <w:rFonts w:hint="eastAsia" w:eastAsia="仿宋_GB2312" w:cs="Times New Roman"/>
          <w:sz w:val="33"/>
          <w:szCs w:val="33"/>
          <w:lang w:val="en-US" w:eastAsia="zh-CN"/>
        </w:rPr>
      </w:pPr>
      <w:r>
        <w:rPr>
          <w:rFonts w:hint="eastAsia" w:eastAsia="仿宋_GB2312" w:cs="Times New Roman"/>
          <w:sz w:val="33"/>
          <w:szCs w:val="33"/>
          <w:lang w:val="en-US" w:eastAsia="zh-CN"/>
        </w:rPr>
        <w:t>经济成本指标完成全年指标≥228543347.88元：</w:t>
      </w:r>
    </w:p>
    <w:p w14:paraId="7F198B63">
      <w:pPr>
        <w:keepNext w:val="0"/>
        <w:keepLines w:val="0"/>
        <w:pageBreakBefore w:val="0"/>
        <w:widowControl w:val="0"/>
        <w:kinsoku/>
        <w:wordWrap/>
        <w:overflowPunct/>
        <w:topLinePunct w:val="0"/>
        <w:autoSpaceDE/>
        <w:autoSpaceDN/>
        <w:bidi w:val="0"/>
        <w:adjustRightInd/>
        <w:snapToGrid/>
        <w:spacing w:line="590" w:lineRule="exact"/>
        <w:ind w:left="0" w:leftChars="0" w:right="0" w:rightChars="0" w:firstLine="660" w:firstLineChars="200"/>
        <w:jc w:val="both"/>
        <w:textAlignment w:val="auto"/>
        <w:rPr>
          <w:rFonts w:hint="default" w:ascii="Times New Roman" w:hAnsi="Times New Roman" w:eastAsia="仿宋_GB2312" w:cs="Times New Roman"/>
          <w:sz w:val="33"/>
          <w:szCs w:val="33"/>
          <w:lang w:val="en-US" w:eastAsia="zh-CN"/>
        </w:rPr>
      </w:pPr>
      <w:r>
        <w:rPr>
          <w:rFonts w:hint="eastAsia" w:ascii="Times New Roman" w:hAnsi="Times New Roman" w:eastAsia="仿宋_GB2312" w:cs="Times New Roman"/>
          <w:sz w:val="33"/>
          <w:szCs w:val="33"/>
          <w:lang w:val="en-US" w:eastAsia="zh-CN"/>
        </w:rPr>
        <w:t>2024年我局本年支出33322.22万元，按资金来源财政拨款33322.22万元，占支出总额100.00%，其他资金0.00万元，占支出总额0.0%；按支出性质基本支出1445.32万元，占支出总额4.34%，项目支出31876.90万元，占支出总额95.66%；自评2.5分。</w:t>
      </w:r>
    </w:p>
    <w:p w14:paraId="67D1119F">
      <w:pPr>
        <w:keepNext w:val="0"/>
        <w:keepLines w:val="0"/>
        <w:pageBreakBefore w:val="0"/>
        <w:widowControl w:val="0"/>
        <w:kinsoku/>
        <w:wordWrap/>
        <w:overflowPunct/>
        <w:topLinePunct w:val="0"/>
        <w:autoSpaceDE/>
        <w:autoSpaceDN/>
        <w:bidi w:val="0"/>
        <w:adjustRightInd/>
        <w:snapToGrid/>
        <w:spacing w:line="590" w:lineRule="exact"/>
        <w:ind w:left="0" w:leftChars="0" w:right="0" w:rightChars="0" w:firstLine="660" w:firstLineChars="200"/>
        <w:jc w:val="both"/>
        <w:textAlignment w:val="auto"/>
        <w:rPr>
          <w:rFonts w:hint="default" w:ascii="Times New Roman" w:hAnsi="Times New Roman" w:eastAsia="仿宋_GB2312" w:cs="Times New Roman"/>
          <w:sz w:val="33"/>
          <w:szCs w:val="33"/>
          <w:lang w:val="en-US" w:eastAsia="zh-CN"/>
        </w:rPr>
      </w:pPr>
      <w:r>
        <w:rPr>
          <w:rFonts w:hint="eastAsia" w:ascii="Times New Roman" w:hAnsi="Times New Roman" w:eastAsia="仿宋_GB2312" w:cs="Times New Roman"/>
          <w:sz w:val="33"/>
          <w:szCs w:val="33"/>
          <w:lang w:val="en-US" w:eastAsia="zh-CN"/>
        </w:rPr>
        <w:t>以上</w:t>
      </w:r>
      <w:r>
        <w:rPr>
          <w:rFonts w:hint="eastAsia" w:eastAsia="仿宋_GB2312" w:cs="Times New Roman"/>
          <w:sz w:val="33"/>
          <w:szCs w:val="33"/>
          <w:lang w:val="en-US" w:eastAsia="zh-CN"/>
        </w:rPr>
        <w:t>4个核心职能指标10分自评合计得9.76分。</w:t>
      </w:r>
    </w:p>
    <w:p w14:paraId="456ADD59">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right="0" w:rightChars="0" w:firstLine="660" w:firstLineChars="200"/>
        <w:contextualSpacing/>
        <w:jc w:val="both"/>
        <w:textAlignment w:val="auto"/>
        <w:outlineLvl w:val="9"/>
        <w:rPr>
          <w:rFonts w:hint="eastAsia" w:ascii="Times New Roman" w:hAnsi="Times New Roman" w:eastAsia="仿宋_GB2312" w:cs="Times New Roman"/>
          <w:color w:val="000000"/>
          <w:kern w:val="0"/>
          <w:sz w:val="33"/>
          <w:szCs w:val="33"/>
          <w:highlight w:val="none"/>
          <w:shd w:val="clear" w:color="auto" w:fill="FFFFFF"/>
          <w:lang w:val="zh-CN"/>
        </w:rPr>
      </w:pPr>
      <w:r>
        <w:rPr>
          <w:rFonts w:hint="eastAsia" w:ascii="Times New Roman" w:hAnsi="Times New Roman" w:eastAsia="楷体_GB2312" w:cs="楷体_GB2312"/>
          <w:color w:val="000000"/>
          <w:kern w:val="0"/>
          <w:sz w:val="33"/>
          <w:szCs w:val="33"/>
          <w:highlight w:val="none"/>
          <w:shd w:val="clear" w:color="auto" w:fill="FFFFFF"/>
          <w:lang w:val="en-US" w:eastAsia="zh-CN"/>
        </w:rPr>
        <w:t>2.</w:t>
      </w:r>
      <w:r>
        <w:rPr>
          <w:rFonts w:hint="default" w:ascii="Times New Roman" w:hAnsi="Times New Roman" w:eastAsia="楷体_GB2312" w:cs="楷体_GB2312"/>
          <w:color w:val="000000"/>
          <w:kern w:val="0"/>
          <w:sz w:val="33"/>
          <w:szCs w:val="33"/>
          <w:highlight w:val="none"/>
          <w:shd w:val="clear" w:color="auto" w:fill="FFFFFF"/>
          <w:lang w:val="zh-CN"/>
        </w:rPr>
        <w:t>预算管理</w:t>
      </w:r>
      <w:r>
        <w:rPr>
          <w:rFonts w:hint="eastAsia" w:ascii="Times New Roman" w:hAnsi="Times New Roman" w:eastAsia="楷体_GB2312" w:cs="楷体_GB2312"/>
          <w:color w:val="000000"/>
          <w:kern w:val="0"/>
          <w:sz w:val="33"/>
          <w:szCs w:val="33"/>
          <w:highlight w:val="none"/>
          <w:shd w:val="clear" w:color="auto" w:fill="FFFFFF"/>
          <w:lang w:val="zh-CN"/>
        </w:rPr>
        <w:t>。</w:t>
      </w:r>
      <w:r>
        <w:rPr>
          <w:rFonts w:hint="eastAsia" w:ascii="Times New Roman" w:hAnsi="Times New Roman" w:eastAsia="仿宋_GB2312" w:cs="Times New Roman"/>
          <w:color w:val="000000"/>
          <w:kern w:val="0"/>
          <w:sz w:val="33"/>
          <w:szCs w:val="33"/>
          <w:highlight w:val="none"/>
          <w:shd w:val="clear" w:color="auto" w:fill="FFFFFF"/>
          <w:lang w:val="zh-CN"/>
        </w:rPr>
        <w:t>围绕预算编制质量、单位收入统筹、支出执行进度、预算年终结余、严控一般性支出</w:t>
      </w:r>
      <w:r>
        <w:rPr>
          <w:rFonts w:hint="default" w:ascii="Times New Roman" w:hAnsi="Times New Roman" w:eastAsia="仿宋_GB2312" w:cs="Times New Roman"/>
          <w:color w:val="000000"/>
          <w:kern w:val="0"/>
          <w:sz w:val="33"/>
          <w:szCs w:val="33"/>
          <w:highlight w:val="none"/>
          <w:shd w:val="clear" w:color="auto" w:fill="FFFFFF"/>
          <w:lang w:val="zh-CN"/>
        </w:rPr>
        <w:t>进行绩效分析</w:t>
      </w:r>
      <w:r>
        <w:rPr>
          <w:rFonts w:hint="eastAsia" w:ascii="Times New Roman" w:hAnsi="Times New Roman" w:eastAsia="仿宋_GB2312" w:cs="Times New Roman"/>
          <w:color w:val="000000"/>
          <w:kern w:val="0"/>
          <w:sz w:val="33"/>
          <w:szCs w:val="33"/>
          <w:highlight w:val="none"/>
          <w:shd w:val="clear" w:color="auto" w:fill="FFFFFF"/>
          <w:lang w:val="zh-CN"/>
        </w:rPr>
        <w:t>。</w:t>
      </w:r>
    </w:p>
    <w:p w14:paraId="28A4CFD8">
      <w:pPr>
        <w:keepNext w:val="0"/>
        <w:keepLines w:val="0"/>
        <w:pageBreakBefore w:val="0"/>
        <w:widowControl w:val="0"/>
        <w:kinsoku/>
        <w:wordWrap/>
        <w:overflowPunct/>
        <w:topLinePunct w:val="0"/>
        <w:autoSpaceDE/>
        <w:autoSpaceDN/>
        <w:bidi w:val="0"/>
        <w:adjustRightInd/>
        <w:snapToGrid/>
        <w:spacing w:line="590" w:lineRule="exact"/>
        <w:ind w:left="0" w:leftChars="0" w:right="0" w:rightChars="0" w:firstLine="660" w:firstLineChars="200"/>
        <w:jc w:val="both"/>
        <w:textAlignment w:val="auto"/>
        <w:rPr>
          <w:rFonts w:hint="eastAsia" w:ascii="Times New Roman" w:hAnsi="Times New Roman" w:eastAsia="仿宋_GB2312" w:cs="Times New Roman"/>
          <w:sz w:val="33"/>
          <w:szCs w:val="33"/>
          <w:lang w:val="en-US" w:eastAsia="zh-CN"/>
        </w:rPr>
      </w:pPr>
      <w:r>
        <w:rPr>
          <w:rFonts w:hint="eastAsia" w:ascii="Times New Roman" w:hAnsi="Times New Roman" w:eastAsia="仿宋_GB2312" w:cs="Times New Roman"/>
          <w:sz w:val="33"/>
          <w:szCs w:val="33"/>
          <w:lang w:val="en-US" w:eastAsia="zh-CN"/>
        </w:rPr>
        <w:t>我局在预算管理方面表现优秀。</w:t>
      </w:r>
    </w:p>
    <w:p w14:paraId="78273D1A">
      <w:pPr>
        <w:keepNext w:val="0"/>
        <w:keepLines w:val="0"/>
        <w:pageBreakBefore w:val="0"/>
        <w:widowControl w:val="0"/>
        <w:numPr>
          <w:ilvl w:val="0"/>
          <w:numId w:val="7"/>
        </w:numPr>
        <w:kinsoku/>
        <w:wordWrap/>
        <w:overflowPunct/>
        <w:topLinePunct w:val="0"/>
        <w:autoSpaceDE/>
        <w:autoSpaceDN/>
        <w:bidi w:val="0"/>
        <w:adjustRightInd/>
        <w:snapToGrid/>
        <w:spacing w:line="590" w:lineRule="exact"/>
        <w:ind w:left="0" w:leftChars="0" w:right="0" w:rightChars="0" w:firstLine="660" w:firstLineChars="200"/>
        <w:jc w:val="both"/>
        <w:textAlignment w:val="auto"/>
        <w:rPr>
          <w:rFonts w:hint="eastAsia" w:ascii="Times New Roman" w:hAnsi="Times New Roman" w:eastAsia="仿宋_GB2312" w:cs="Times New Roman"/>
          <w:sz w:val="33"/>
          <w:szCs w:val="33"/>
          <w:lang w:val="en-US" w:eastAsia="zh-CN"/>
        </w:rPr>
      </w:pPr>
      <w:r>
        <w:rPr>
          <w:rFonts w:hint="eastAsia" w:ascii="Times New Roman" w:hAnsi="Times New Roman" w:eastAsia="仿宋_GB2312" w:cs="Times New Roman"/>
          <w:sz w:val="33"/>
          <w:szCs w:val="33"/>
          <w:lang w:val="en-US" w:eastAsia="zh-CN"/>
        </w:rPr>
        <w:t>年初预算编制合理，考虑到了全年的业务需求和可能的变化因素，为部门的运行提供了充足的资金保障；单位收入统筹方面，收入严格按照区财政局预算批复收入，统一收入，安排各项支出</w:t>
      </w:r>
      <w:r>
        <w:rPr>
          <w:rFonts w:hint="eastAsia" w:eastAsia="仿宋_GB2312" w:cs="Times New Roman"/>
          <w:sz w:val="33"/>
          <w:szCs w:val="33"/>
          <w:lang w:val="en-US" w:eastAsia="zh-CN"/>
        </w:rPr>
        <w:t>，年度内无预算调整；预算编制质量自评8分。</w:t>
      </w:r>
    </w:p>
    <w:p w14:paraId="55936568">
      <w:pPr>
        <w:keepNext w:val="0"/>
        <w:keepLines w:val="0"/>
        <w:pageBreakBefore w:val="0"/>
        <w:widowControl w:val="0"/>
        <w:numPr>
          <w:ilvl w:val="0"/>
          <w:numId w:val="7"/>
        </w:numPr>
        <w:kinsoku/>
        <w:wordWrap/>
        <w:overflowPunct/>
        <w:topLinePunct w:val="0"/>
        <w:autoSpaceDE/>
        <w:autoSpaceDN/>
        <w:bidi w:val="0"/>
        <w:adjustRightInd/>
        <w:snapToGrid/>
        <w:spacing w:line="590" w:lineRule="exact"/>
        <w:ind w:left="0" w:leftChars="0" w:right="0" w:rightChars="0" w:firstLine="660" w:firstLineChars="200"/>
        <w:jc w:val="both"/>
        <w:textAlignment w:val="auto"/>
        <w:rPr>
          <w:rFonts w:hint="default" w:ascii="Times New Roman" w:hAnsi="Times New Roman" w:eastAsia="仿宋_GB2312" w:cs="Times New Roman"/>
          <w:sz w:val="33"/>
          <w:szCs w:val="33"/>
          <w:lang w:val="en-US" w:eastAsia="zh-CN"/>
        </w:rPr>
      </w:pPr>
      <w:r>
        <w:rPr>
          <w:rFonts w:hint="eastAsia" w:ascii="Times New Roman" w:hAnsi="Times New Roman" w:eastAsia="仿宋_GB2312" w:cs="Times New Roman"/>
          <w:sz w:val="33"/>
          <w:szCs w:val="33"/>
          <w:lang w:val="en-US" w:eastAsia="zh-CN"/>
        </w:rPr>
        <w:t>预算执行进度方面</w:t>
      </w:r>
      <w:r>
        <w:rPr>
          <w:rFonts w:hint="eastAsia" w:eastAsia="仿宋_GB2312" w:cs="Times New Roman"/>
          <w:sz w:val="33"/>
          <w:szCs w:val="33"/>
          <w:lang w:val="en-US" w:eastAsia="zh-CN"/>
        </w:rPr>
        <w:t>：2024年我局中省转移支付资金1至12月预算数31549.25万元，实际支出数19146.08万元；专项预算项目1至12月预算数12730.82万元，实际支出数12730.82万元；2024年无专项债券资金项目；根据指标自评得=19146.08/31549.25*3+3+3=7.82分</w:t>
      </w:r>
      <w:r>
        <w:rPr>
          <w:rFonts w:hint="eastAsia" w:eastAsia="仿宋_GB2312" w:cs="Times New Roman"/>
          <w:b w:val="0"/>
          <w:bCs w:val="0"/>
          <w:color w:val="000000"/>
          <w:kern w:val="0"/>
          <w:sz w:val="33"/>
          <w:szCs w:val="33"/>
          <w:highlight w:val="none"/>
          <w:shd w:val="clear" w:color="auto" w:fill="FFFFFF"/>
          <w:lang w:val="en-US" w:eastAsia="zh-CN"/>
        </w:rPr>
        <w:t>。</w:t>
      </w:r>
    </w:p>
    <w:p w14:paraId="7248A0C1">
      <w:pPr>
        <w:keepNext w:val="0"/>
        <w:keepLines w:val="0"/>
        <w:pageBreakBefore w:val="0"/>
        <w:widowControl w:val="0"/>
        <w:numPr>
          <w:ilvl w:val="0"/>
          <w:numId w:val="7"/>
        </w:numPr>
        <w:kinsoku/>
        <w:wordWrap/>
        <w:overflowPunct/>
        <w:topLinePunct w:val="0"/>
        <w:autoSpaceDE/>
        <w:autoSpaceDN/>
        <w:bidi w:val="0"/>
        <w:adjustRightInd/>
        <w:snapToGrid/>
        <w:spacing w:line="590" w:lineRule="exact"/>
        <w:ind w:left="0" w:leftChars="0" w:right="0" w:rightChars="0" w:firstLine="660" w:firstLineChars="200"/>
        <w:jc w:val="both"/>
        <w:textAlignment w:val="auto"/>
        <w:rPr>
          <w:rFonts w:hint="default" w:ascii="Times New Roman" w:hAnsi="Times New Roman" w:eastAsia="仿宋_GB2312" w:cs="Times New Roman"/>
          <w:sz w:val="33"/>
          <w:szCs w:val="33"/>
          <w:lang w:val="en-US" w:eastAsia="zh-CN"/>
        </w:rPr>
      </w:pPr>
      <w:r>
        <w:rPr>
          <w:rFonts w:hint="eastAsia" w:ascii="Times New Roman" w:hAnsi="Times New Roman" w:eastAsia="仿宋_GB2312" w:cs="Times New Roman"/>
          <w:sz w:val="33"/>
          <w:szCs w:val="33"/>
          <w:lang w:val="en-US" w:eastAsia="zh-CN"/>
        </w:rPr>
        <w:t>预算年终结余方面：2024年度我局</w:t>
      </w:r>
      <w:r>
        <w:rPr>
          <w:rFonts w:hint="eastAsia" w:eastAsia="仿宋_GB2312" w:cs="Times New Roman"/>
          <w:sz w:val="33"/>
          <w:szCs w:val="33"/>
          <w:lang w:val="en-US" w:eastAsia="zh-CN"/>
        </w:rPr>
        <w:t>无</w:t>
      </w:r>
      <w:r>
        <w:rPr>
          <w:rFonts w:hint="eastAsia" w:ascii="Times New Roman" w:hAnsi="Times New Roman" w:eastAsia="仿宋_GB2312" w:cs="Times New Roman"/>
          <w:sz w:val="33"/>
          <w:szCs w:val="33"/>
          <w:lang w:val="en-US" w:eastAsia="zh-CN"/>
        </w:rPr>
        <w:t>年终结转结余</w:t>
      </w:r>
      <w:r>
        <w:rPr>
          <w:rFonts w:hint="eastAsia" w:eastAsia="仿宋_GB2312" w:cs="Times New Roman"/>
          <w:sz w:val="33"/>
          <w:szCs w:val="33"/>
          <w:lang w:val="en-US" w:eastAsia="zh-CN"/>
        </w:rPr>
        <w:t>，自评得8分</w:t>
      </w:r>
      <w:r>
        <w:rPr>
          <w:rFonts w:hint="eastAsia" w:ascii="Times New Roman" w:hAnsi="Times New Roman" w:eastAsia="仿宋_GB2312" w:cs="Times New Roman"/>
          <w:sz w:val="33"/>
          <w:szCs w:val="33"/>
          <w:lang w:val="en-US" w:eastAsia="zh-CN"/>
        </w:rPr>
        <w:t>。</w:t>
      </w:r>
    </w:p>
    <w:p w14:paraId="68B8BD53">
      <w:pPr>
        <w:keepNext w:val="0"/>
        <w:keepLines w:val="0"/>
        <w:pageBreakBefore w:val="0"/>
        <w:widowControl w:val="0"/>
        <w:numPr>
          <w:ilvl w:val="0"/>
          <w:numId w:val="7"/>
        </w:numPr>
        <w:kinsoku/>
        <w:wordWrap/>
        <w:overflowPunct/>
        <w:topLinePunct w:val="0"/>
        <w:autoSpaceDE/>
        <w:autoSpaceDN/>
        <w:bidi w:val="0"/>
        <w:adjustRightInd/>
        <w:snapToGrid/>
        <w:spacing w:line="590" w:lineRule="exact"/>
        <w:ind w:left="0" w:leftChars="0" w:right="0" w:rightChars="0" w:firstLine="660" w:firstLineChars="200"/>
        <w:jc w:val="both"/>
        <w:textAlignment w:val="auto"/>
        <w:rPr>
          <w:rFonts w:hint="eastAsia" w:ascii="Times New Roman" w:hAnsi="Times New Roman" w:eastAsia="仿宋_GB2312" w:cs="Times New Roman"/>
          <w:color w:val="000000"/>
          <w:kern w:val="0"/>
          <w:sz w:val="33"/>
          <w:szCs w:val="33"/>
          <w:highlight w:val="none"/>
          <w:shd w:val="clear" w:color="auto" w:fill="FFFFFF"/>
          <w:lang w:val="zh-CN"/>
        </w:rPr>
      </w:pPr>
      <w:r>
        <w:rPr>
          <w:rFonts w:hint="eastAsia" w:ascii="Times New Roman" w:hAnsi="Times New Roman" w:eastAsia="仿宋_GB2312" w:cs="Times New Roman"/>
          <w:sz w:val="33"/>
          <w:szCs w:val="33"/>
          <w:lang w:val="zh-CN" w:eastAsia="zh-CN"/>
        </w:rPr>
        <w:t>严控一般性支出</w:t>
      </w:r>
      <w:r>
        <w:rPr>
          <w:rFonts w:hint="eastAsia" w:ascii="Times New Roman" w:hAnsi="Times New Roman" w:eastAsia="仿宋_GB2312" w:cs="Times New Roman"/>
          <w:sz w:val="33"/>
          <w:szCs w:val="33"/>
          <w:lang w:val="en-US" w:eastAsia="zh-CN"/>
        </w:rPr>
        <w:t>方面：2024年度我局一般性支出财政拨款年初预算</w:t>
      </w:r>
      <w:r>
        <w:rPr>
          <w:rFonts w:hint="eastAsia" w:eastAsia="仿宋_GB2312" w:cs="Times New Roman"/>
          <w:sz w:val="33"/>
          <w:szCs w:val="33"/>
          <w:lang w:val="en-US" w:eastAsia="zh-CN"/>
        </w:rPr>
        <w:t>148.00万元，2023年度</w:t>
      </w:r>
      <w:r>
        <w:rPr>
          <w:rFonts w:hint="eastAsia" w:ascii="Times New Roman" w:hAnsi="Times New Roman" w:eastAsia="仿宋_GB2312" w:cs="Times New Roman"/>
          <w:sz w:val="33"/>
          <w:szCs w:val="33"/>
          <w:lang w:val="en-US" w:eastAsia="zh-CN"/>
        </w:rPr>
        <w:t>一般性支出财政拨款年初预算</w:t>
      </w:r>
      <w:r>
        <w:rPr>
          <w:rFonts w:hint="eastAsia" w:eastAsia="仿宋_GB2312" w:cs="Times New Roman"/>
          <w:sz w:val="33"/>
          <w:szCs w:val="33"/>
          <w:lang w:val="en-US" w:eastAsia="zh-CN"/>
        </w:rPr>
        <w:t>151.57万元，较上年减少2.36%；自评得1.5+0.4=1.9分</w:t>
      </w:r>
      <w:r>
        <w:rPr>
          <w:rFonts w:hint="eastAsia" w:ascii="Times New Roman" w:hAnsi="Times New Roman" w:eastAsia="仿宋_GB2312" w:cs="Times New Roman"/>
          <w:sz w:val="33"/>
          <w:szCs w:val="33"/>
          <w:lang w:val="en-US" w:eastAsia="zh-CN"/>
        </w:rPr>
        <w:t>。2024年度我局一般性支出财政拨款预算执行</w:t>
      </w:r>
      <w:r>
        <w:rPr>
          <w:rFonts w:hint="eastAsia" w:eastAsia="仿宋_GB2312" w:cs="Times New Roman"/>
          <w:sz w:val="33"/>
          <w:szCs w:val="33"/>
          <w:lang w:val="en-US" w:eastAsia="zh-CN"/>
        </w:rPr>
        <w:t>151.61万元，2023年</w:t>
      </w:r>
      <w:r>
        <w:rPr>
          <w:rFonts w:hint="eastAsia" w:ascii="Times New Roman" w:hAnsi="Times New Roman" w:eastAsia="仿宋_GB2312" w:cs="Times New Roman"/>
          <w:sz w:val="33"/>
          <w:szCs w:val="33"/>
          <w:lang w:val="en-US" w:eastAsia="zh-CN"/>
        </w:rPr>
        <w:t>一般性支出财政拨款预算执行</w:t>
      </w:r>
      <w:r>
        <w:rPr>
          <w:rFonts w:hint="eastAsia" w:eastAsia="仿宋_GB2312" w:cs="Times New Roman"/>
          <w:sz w:val="33"/>
          <w:szCs w:val="33"/>
          <w:lang w:val="en-US" w:eastAsia="zh-CN"/>
        </w:rPr>
        <w:t>167.92万元，较上年减少9.71%；自评得1.5+2=3.5分；合计得1.9+3.5=5.4分</w:t>
      </w:r>
      <w:r>
        <w:rPr>
          <w:rFonts w:hint="eastAsia" w:ascii="Times New Roman" w:hAnsi="Times New Roman" w:eastAsia="仿宋_GB2312" w:cs="Times New Roman"/>
          <w:sz w:val="33"/>
          <w:szCs w:val="33"/>
          <w:lang w:val="en-US" w:eastAsia="zh-CN"/>
        </w:rPr>
        <w:t>。</w:t>
      </w:r>
    </w:p>
    <w:p w14:paraId="351659D5">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right="0" w:rightChars="0" w:firstLine="660" w:firstLineChars="200"/>
        <w:contextualSpacing/>
        <w:jc w:val="both"/>
        <w:textAlignment w:val="auto"/>
        <w:outlineLvl w:val="9"/>
        <w:rPr>
          <w:rFonts w:hint="eastAsia" w:ascii="Times New Roman" w:hAnsi="Times New Roman" w:eastAsia="仿宋_GB2312" w:cs="Times New Roman"/>
          <w:color w:val="000000"/>
          <w:kern w:val="0"/>
          <w:sz w:val="33"/>
          <w:szCs w:val="33"/>
          <w:highlight w:val="none"/>
          <w:shd w:val="clear" w:color="auto" w:fill="FFFFFF"/>
          <w:lang w:val="zh-CN"/>
        </w:rPr>
      </w:pPr>
      <w:r>
        <w:rPr>
          <w:rFonts w:hint="eastAsia" w:eastAsia="楷体_GB2312" w:cs="楷体_GB2312"/>
          <w:color w:val="000000"/>
          <w:kern w:val="0"/>
          <w:sz w:val="33"/>
          <w:szCs w:val="33"/>
          <w:highlight w:val="none"/>
          <w:shd w:val="clear" w:color="auto" w:fill="FFFFFF"/>
          <w:lang w:val="en-US" w:eastAsia="zh-CN"/>
        </w:rPr>
        <w:t>3</w:t>
      </w:r>
      <w:r>
        <w:rPr>
          <w:rFonts w:hint="eastAsia" w:ascii="Times New Roman" w:hAnsi="Times New Roman" w:eastAsia="楷体_GB2312" w:cs="楷体_GB2312"/>
          <w:color w:val="000000"/>
          <w:kern w:val="0"/>
          <w:sz w:val="33"/>
          <w:szCs w:val="33"/>
          <w:highlight w:val="none"/>
          <w:shd w:val="clear" w:color="auto" w:fill="FFFFFF"/>
          <w:lang w:val="en-US" w:eastAsia="zh-CN"/>
        </w:rPr>
        <w:t>.</w:t>
      </w:r>
      <w:r>
        <w:rPr>
          <w:rFonts w:hint="default" w:ascii="Times New Roman" w:hAnsi="Times New Roman" w:eastAsia="楷体_GB2312" w:cs="楷体_GB2312"/>
          <w:color w:val="000000"/>
          <w:kern w:val="0"/>
          <w:sz w:val="33"/>
          <w:szCs w:val="33"/>
          <w:highlight w:val="none"/>
          <w:shd w:val="clear" w:color="auto" w:fill="FFFFFF"/>
          <w:lang w:val="zh-CN"/>
        </w:rPr>
        <w:t>资产管理</w:t>
      </w:r>
      <w:r>
        <w:rPr>
          <w:rFonts w:hint="eastAsia" w:ascii="Times New Roman" w:hAnsi="Times New Roman" w:eastAsia="楷体_GB2312" w:cs="楷体_GB2312"/>
          <w:color w:val="000000"/>
          <w:kern w:val="0"/>
          <w:sz w:val="33"/>
          <w:szCs w:val="33"/>
          <w:highlight w:val="none"/>
          <w:shd w:val="clear" w:color="auto" w:fill="FFFFFF"/>
          <w:lang w:val="zh-CN"/>
        </w:rPr>
        <w:t>。</w:t>
      </w:r>
      <w:r>
        <w:rPr>
          <w:rFonts w:hint="eastAsia" w:ascii="Times New Roman" w:hAnsi="Times New Roman" w:eastAsia="仿宋_GB2312" w:cs="Times New Roman"/>
          <w:color w:val="000000"/>
          <w:kern w:val="0"/>
          <w:sz w:val="33"/>
          <w:szCs w:val="33"/>
          <w:highlight w:val="none"/>
          <w:shd w:val="clear" w:color="auto" w:fill="FFFFFF"/>
          <w:lang w:val="zh-CN"/>
        </w:rPr>
        <w:t>围绕人均资产变化率、资产利用率、资产盘活率</w:t>
      </w:r>
      <w:r>
        <w:rPr>
          <w:rFonts w:hint="default" w:ascii="Times New Roman" w:hAnsi="Times New Roman" w:eastAsia="仿宋_GB2312" w:cs="Times New Roman"/>
          <w:color w:val="000000"/>
          <w:kern w:val="0"/>
          <w:sz w:val="33"/>
          <w:szCs w:val="33"/>
          <w:highlight w:val="none"/>
          <w:shd w:val="clear" w:color="auto" w:fill="FFFFFF"/>
          <w:lang w:val="zh-CN"/>
        </w:rPr>
        <w:t>进行绩效分析</w:t>
      </w:r>
      <w:r>
        <w:rPr>
          <w:rFonts w:hint="eastAsia" w:ascii="Times New Roman" w:hAnsi="Times New Roman" w:eastAsia="仿宋_GB2312" w:cs="Times New Roman"/>
          <w:color w:val="000000"/>
          <w:kern w:val="0"/>
          <w:sz w:val="33"/>
          <w:szCs w:val="33"/>
          <w:highlight w:val="none"/>
          <w:shd w:val="clear" w:color="auto" w:fill="FFFFFF"/>
          <w:lang w:val="zh-CN"/>
        </w:rPr>
        <w:t>。</w:t>
      </w:r>
    </w:p>
    <w:p w14:paraId="0B16CC22">
      <w:pPr>
        <w:keepNext w:val="0"/>
        <w:keepLines w:val="0"/>
        <w:pageBreakBefore w:val="0"/>
        <w:widowControl w:val="0"/>
        <w:kinsoku/>
        <w:wordWrap/>
        <w:overflowPunct/>
        <w:topLinePunct w:val="0"/>
        <w:autoSpaceDE/>
        <w:autoSpaceDN/>
        <w:bidi w:val="0"/>
        <w:adjustRightInd/>
        <w:snapToGrid/>
        <w:spacing w:line="590" w:lineRule="exact"/>
        <w:ind w:left="0" w:leftChars="0" w:right="0" w:rightChars="0" w:firstLine="660" w:firstLineChars="200"/>
        <w:jc w:val="both"/>
        <w:textAlignment w:val="auto"/>
        <w:rPr>
          <w:rFonts w:hint="default" w:ascii="Times New Roman" w:hAnsi="Times New Roman" w:eastAsia="仿宋_GB2312" w:cs="Times New Roman"/>
          <w:sz w:val="33"/>
          <w:szCs w:val="33"/>
          <w:lang w:val="en-US" w:eastAsia="zh-CN"/>
        </w:rPr>
      </w:pPr>
      <w:r>
        <w:rPr>
          <w:rFonts w:hint="eastAsia" w:ascii="Times New Roman" w:hAnsi="Times New Roman" w:eastAsia="仿宋_GB2312" w:cs="Times New Roman"/>
          <w:sz w:val="33"/>
          <w:szCs w:val="33"/>
          <w:lang w:val="en-US" w:eastAsia="zh-CN"/>
        </w:rPr>
        <w:t>（1）</w:t>
      </w:r>
      <w:r>
        <w:rPr>
          <w:rFonts w:hint="eastAsia" w:ascii="Times New Roman" w:hAnsi="Times New Roman" w:eastAsia="仿宋_GB2312" w:cs="Times New Roman"/>
          <w:color w:val="000000"/>
          <w:kern w:val="0"/>
          <w:sz w:val="33"/>
          <w:szCs w:val="33"/>
          <w:highlight w:val="none"/>
          <w:shd w:val="clear" w:color="auto" w:fill="FFFFFF"/>
          <w:lang w:val="zh-CN"/>
        </w:rPr>
        <w:t>人均资产变化率</w:t>
      </w:r>
      <w:r>
        <w:rPr>
          <w:rFonts w:hint="eastAsia" w:eastAsia="仿宋_GB2312" w:cs="Times New Roman"/>
          <w:color w:val="000000"/>
          <w:kern w:val="0"/>
          <w:sz w:val="33"/>
          <w:szCs w:val="33"/>
          <w:highlight w:val="none"/>
          <w:shd w:val="clear" w:color="auto" w:fill="FFFFFF"/>
          <w:lang w:val="zh-CN"/>
        </w:rPr>
        <w:t>：</w:t>
      </w:r>
      <w:r>
        <w:rPr>
          <w:rFonts w:hint="eastAsia" w:eastAsia="仿宋_GB2312" w:cs="Times New Roman"/>
          <w:color w:val="000000"/>
          <w:kern w:val="0"/>
          <w:sz w:val="33"/>
          <w:szCs w:val="33"/>
          <w:highlight w:val="none"/>
          <w:shd w:val="clear" w:color="auto" w:fill="FFFFFF"/>
          <w:lang w:val="en-US" w:eastAsia="zh-CN"/>
        </w:rPr>
        <w:t>2024年行政事业单位人均占有资产=2601864.58/67，2023年行政事业单位人均占有资产=2752644.25/73，</w:t>
      </w:r>
      <w:r>
        <w:rPr>
          <w:rFonts w:hint="eastAsia" w:ascii="Times New Roman" w:hAnsi="Times New Roman" w:eastAsia="仿宋_GB2312" w:cs="Times New Roman"/>
          <w:color w:val="000000"/>
          <w:kern w:val="0"/>
          <w:sz w:val="33"/>
          <w:szCs w:val="33"/>
          <w:highlight w:val="none"/>
          <w:shd w:val="clear" w:color="auto" w:fill="FFFFFF"/>
          <w:lang w:val="zh-CN"/>
        </w:rPr>
        <w:t>人均资产变化率</w:t>
      </w:r>
      <w:r>
        <w:rPr>
          <w:rFonts w:hint="eastAsia" w:eastAsia="仿宋_GB2312" w:cs="Times New Roman"/>
          <w:color w:val="000000"/>
          <w:kern w:val="0"/>
          <w:sz w:val="33"/>
          <w:szCs w:val="33"/>
          <w:highlight w:val="none"/>
          <w:shd w:val="clear" w:color="auto" w:fill="FFFFFF"/>
          <w:lang w:val="en-US" w:eastAsia="zh-CN"/>
        </w:rPr>
        <w:t>2.99%，Y&gt;0.5N,自评得0分</w:t>
      </w:r>
      <w:r>
        <w:rPr>
          <w:rFonts w:hint="eastAsia" w:ascii="Times New Roman" w:hAnsi="Times New Roman" w:eastAsia="仿宋_GB2312" w:cs="Times New Roman"/>
          <w:sz w:val="33"/>
          <w:szCs w:val="33"/>
          <w:lang w:val="en-US" w:eastAsia="zh-CN"/>
        </w:rPr>
        <w:t>。</w:t>
      </w:r>
    </w:p>
    <w:p w14:paraId="0EB8B54E">
      <w:pPr>
        <w:keepNext w:val="0"/>
        <w:keepLines w:val="0"/>
        <w:pageBreakBefore w:val="0"/>
        <w:widowControl w:val="0"/>
        <w:kinsoku/>
        <w:wordWrap w:val="0"/>
        <w:overflowPunct/>
        <w:topLinePunct w:val="0"/>
        <w:autoSpaceDE/>
        <w:autoSpaceDN/>
        <w:bidi w:val="0"/>
        <w:adjustRightInd/>
        <w:snapToGrid/>
        <w:spacing w:line="590" w:lineRule="exact"/>
        <w:ind w:left="0" w:leftChars="0" w:right="0" w:rightChars="0" w:firstLine="660" w:firstLineChars="200"/>
        <w:jc w:val="both"/>
        <w:textAlignment w:val="auto"/>
        <w:rPr>
          <w:rFonts w:hint="eastAsia" w:ascii="Times New Roman" w:hAnsi="Times New Roman" w:eastAsia="仿宋_GB2312" w:cs="Times New Roman"/>
          <w:sz w:val="33"/>
          <w:szCs w:val="33"/>
          <w:lang w:val="en-US" w:eastAsia="zh-CN"/>
        </w:rPr>
      </w:pPr>
      <w:r>
        <w:rPr>
          <w:rFonts w:hint="eastAsia" w:ascii="Times New Roman" w:hAnsi="Times New Roman" w:eastAsia="仿宋_GB2312" w:cs="Times New Roman"/>
          <w:sz w:val="33"/>
          <w:szCs w:val="33"/>
          <w:lang w:val="en-US" w:eastAsia="zh-CN"/>
        </w:rPr>
        <w:t>（2）资产利用率</w:t>
      </w:r>
      <w:r>
        <w:rPr>
          <w:rFonts w:hint="eastAsia" w:eastAsia="仿宋_GB2312" w:cs="Times New Roman"/>
          <w:sz w:val="33"/>
          <w:szCs w:val="33"/>
          <w:lang w:val="en-US" w:eastAsia="zh-CN"/>
        </w:rPr>
        <w:t>：2024年我局超最低使用年限的办公家具账面原值78300.00元，办公家具账面原值423996.26元；超最低使用年限的办公设备账面原值160701.00元，办公设备账面原值4134343.47元；根据公式，=78300.00/423996.26*100%*1.5）+（160701.00/4134343.47*100%*1.5）=0.34分</w:t>
      </w:r>
      <w:r>
        <w:rPr>
          <w:rFonts w:hint="eastAsia" w:ascii="Times New Roman" w:hAnsi="Times New Roman" w:eastAsia="仿宋_GB2312" w:cs="Times New Roman"/>
          <w:sz w:val="33"/>
          <w:szCs w:val="33"/>
          <w:lang w:val="en-US" w:eastAsia="zh-CN"/>
        </w:rPr>
        <w:t>。</w:t>
      </w:r>
    </w:p>
    <w:p w14:paraId="7D739B78">
      <w:pPr>
        <w:keepNext w:val="0"/>
        <w:keepLines w:val="0"/>
        <w:pageBreakBefore w:val="0"/>
        <w:widowControl w:val="0"/>
        <w:kinsoku/>
        <w:wordWrap/>
        <w:overflowPunct/>
        <w:topLinePunct w:val="0"/>
        <w:autoSpaceDE/>
        <w:autoSpaceDN/>
        <w:bidi w:val="0"/>
        <w:adjustRightInd/>
        <w:snapToGrid/>
        <w:spacing w:line="590" w:lineRule="exact"/>
        <w:ind w:left="0" w:leftChars="0" w:right="0" w:rightChars="0" w:firstLine="660" w:firstLineChars="200"/>
        <w:jc w:val="both"/>
        <w:textAlignment w:val="auto"/>
        <w:rPr>
          <w:rFonts w:hint="eastAsia" w:ascii="Times New Roman" w:hAnsi="Times New Roman" w:eastAsia="仿宋_GB2312" w:cs="Times New Roman"/>
          <w:b w:val="0"/>
          <w:bCs w:val="0"/>
          <w:color w:val="auto"/>
          <w:kern w:val="2"/>
          <w:sz w:val="32"/>
          <w:szCs w:val="32"/>
          <w:highlight w:val="none"/>
          <w:lang w:val="en-US" w:eastAsia="zh-CN" w:bidi="ar-SA"/>
        </w:rPr>
      </w:pPr>
      <w:r>
        <w:rPr>
          <w:rFonts w:hint="eastAsia" w:ascii="Times New Roman" w:hAnsi="Times New Roman" w:eastAsia="仿宋_GB2312" w:cs="Times New Roman"/>
          <w:sz w:val="33"/>
          <w:szCs w:val="33"/>
          <w:lang w:val="en-US" w:eastAsia="zh-CN"/>
        </w:rPr>
        <w:t>（3）</w:t>
      </w:r>
      <w:r>
        <w:rPr>
          <w:rFonts w:hint="eastAsia" w:ascii="Times New Roman" w:hAnsi="Times New Roman" w:eastAsia="仿宋_GB2312" w:cs="Times New Roman"/>
          <w:color w:val="000000"/>
          <w:kern w:val="0"/>
          <w:sz w:val="33"/>
          <w:szCs w:val="33"/>
          <w:highlight w:val="none"/>
          <w:shd w:val="clear" w:color="auto" w:fill="FFFFFF"/>
          <w:lang w:val="zh-CN"/>
        </w:rPr>
        <w:t>资产盘活率：</w:t>
      </w:r>
      <w:r>
        <w:rPr>
          <w:rFonts w:hint="eastAsia" w:ascii="Times New Roman" w:hAnsi="Times New Roman" w:eastAsia="仿宋_GB2312" w:cs="Times New Roman"/>
          <w:b w:val="0"/>
          <w:bCs w:val="0"/>
          <w:color w:val="auto"/>
          <w:kern w:val="2"/>
          <w:sz w:val="32"/>
          <w:szCs w:val="32"/>
          <w:highlight w:val="none"/>
          <w:lang w:val="en-US" w:eastAsia="zh-CN" w:bidi="ar-SA"/>
        </w:rPr>
        <w:t>2024年度，我部门/单位无闲置资产，2023年度无闲置资产，自评得3分。</w:t>
      </w:r>
    </w:p>
    <w:p w14:paraId="635EDC81">
      <w:pPr>
        <w:keepNext w:val="0"/>
        <w:keepLines w:val="0"/>
        <w:pageBreakBefore w:val="0"/>
        <w:widowControl w:val="0"/>
        <w:kinsoku/>
        <w:wordWrap/>
        <w:overflowPunct/>
        <w:topLinePunct w:val="0"/>
        <w:autoSpaceDE/>
        <w:autoSpaceDN/>
        <w:bidi w:val="0"/>
        <w:adjustRightInd/>
        <w:snapToGrid/>
        <w:spacing w:line="590" w:lineRule="exact"/>
        <w:ind w:left="0" w:leftChars="0" w:right="0" w:rightChars="0" w:firstLine="660" w:firstLineChars="200"/>
        <w:jc w:val="both"/>
        <w:textAlignment w:val="auto"/>
        <w:rPr>
          <w:rFonts w:hint="eastAsia" w:eastAsia="仿宋_GB2312"/>
          <w:lang w:val="zh-CN"/>
        </w:rPr>
      </w:pPr>
      <w:r>
        <w:rPr>
          <w:rFonts w:hint="eastAsia" w:ascii="Times New Roman" w:hAnsi="Times New Roman" w:eastAsia="仿宋_GB2312" w:cs="Times New Roman"/>
          <w:color w:val="auto"/>
          <w:sz w:val="33"/>
          <w:szCs w:val="33"/>
          <w:highlight w:val="none"/>
          <w:lang w:val="en-US" w:eastAsia="zh-CN"/>
        </w:rPr>
        <w:t>总体上，2024年我局加强资产配置</w:t>
      </w:r>
      <w:r>
        <w:rPr>
          <w:rFonts w:hint="eastAsia" w:ascii="Times New Roman" w:hAnsi="Times New Roman" w:eastAsia="仿宋_GB2312" w:cs="Times New Roman"/>
          <w:color w:val="auto"/>
          <w:sz w:val="33"/>
          <w:szCs w:val="33"/>
          <w:lang w:val="en-US" w:eastAsia="zh-CN"/>
        </w:rPr>
        <w:t>预算编制和资产报表的统计报告工作，对购置、调入的资产进行验收、登记入账，对经报批处置的资产调整资产和财务台账，及时在资产管理信息系统进行登记，做到账卡相符、账账相符、账实相符，保障资产信息清晰完整</w:t>
      </w:r>
      <w:r>
        <w:rPr>
          <w:rFonts w:hint="eastAsia" w:ascii="Times New Roman" w:hAnsi="Times New Roman" w:eastAsia="仿宋_GB2312" w:cs="Times New Roman"/>
          <w:sz w:val="33"/>
          <w:szCs w:val="33"/>
          <w:lang w:val="en-US" w:eastAsia="zh-CN"/>
        </w:rPr>
        <w:t>。</w:t>
      </w:r>
    </w:p>
    <w:p w14:paraId="60B203F8">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right="0" w:rightChars="0" w:firstLine="660" w:firstLineChars="200"/>
        <w:contextualSpacing/>
        <w:jc w:val="both"/>
        <w:textAlignment w:val="auto"/>
        <w:outlineLvl w:val="9"/>
        <w:rPr>
          <w:rFonts w:hint="eastAsia" w:ascii="Times New Roman" w:hAnsi="Times New Roman" w:eastAsia="仿宋_GB2312" w:cs="Times New Roman"/>
          <w:color w:val="000000"/>
          <w:kern w:val="0"/>
          <w:sz w:val="33"/>
          <w:szCs w:val="33"/>
          <w:highlight w:val="none"/>
          <w:shd w:val="clear" w:color="auto" w:fill="FFFFFF"/>
          <w:lang w:val="zh-CN"/>
        </w:rPr>
      </w:pPr>
      <w:r>
        <w:rPr>
          <w:rFonts w:hint="eastAsia" w:eastAsia="楷体_GB2312" w:cs="楷体_GB2312"/>
          <w:color w:val="000000"/>
          <w:kern w:val="0"/>
          <w:sz w:val="33"/>
          <w:szCs w:val="33"/>
          <w:highlight w:val="none"/>
          <w:shd w:val="clear" w:color="auto" w:fill="FFFFFF"/>
          <w:lang w:val="en-US" w:eastAsia="zh-CN"/>
        </w:rPr>
        <w:t>4</w:t>
      </w:r>
      <w:r>
        <w:rPr>
          <w:rFonts w:hint="eastAsia" w:ascii="Times New Roman" w:hAnsi="Times New Roman" w:eastAsia="楷体_GB2312" w:cs="楷体_GB2312"/>
          <w:color w:val="000000"/>
          <w:kern w:val="0"/>
          <w:sz w:val="33"/>
          <w:szCs w:val="33"/>
          <w:highlight w:val="none"/>
          <w:shd w:val="clear" w:color="auto" w:fill="FFFFFF"/>
          <w:lang w:val="en-US" w:eastAsia="zh-CN"/>
        </w:rPr>
        <w:t>.</w:t>
      </w:r>
      <w:r>
        <w:rPr>
          <w:rFonts w:hint="default" w:ascii="Times New Roman" w:hAnsi="Times New Roman" w:eastAsia="楷体_GB2312" w:cs="楷体_GB2312"/>
          <w:color w:val="000000"/>
          <w:kern w:val="0"/>
          <w:sz w:val="33"/>
          <w:szCs w:val="33"/>
          <w:highlight w:val="none"/>
          <w:shd w:val="clear" w:color="auto" w:fill="FFFFFF"/>
          <w:lang w:val="zh-CN"/>
        </w:rPr>
        <w:t>采购管理</w:t>
      </w:r>
      <w:r>
        <w:rPr>
          <w:rFonts w:hint="eastAsia" w:ascii="Times New Roman" w:hAnsi="Times New Roman" w:eastAsia="楷体_GB2312" w:cs="楷体_GB2312"/>
          <w:color w:val="000000"/>
          <w:kern w:val="0"/>
          <w:sz w:val="33"/>
          <w:szCs w:val="33"/>
          <w:highlight w:val="none"/>
          <w:shd w:val="clear" w:color="auto" w:fill="FFFFFF"/>
          <w:lang w:val="zh-CN"/>
        </w:rPr>
        <w:t>。</w:t>
      </w:r>
      <w:r>
        <w:rPr>
          <w:rFonts w:hint="eastAsia" w:ascii="Times New Roman" w:hAnsi="Times New Roman" w:eastAsia="仿宋_GB2312" w:cs="Times New Roman"/>
          <w:color w:val="000000"/>
          <w:kern w:val="0"/>
          <w:sz w:val="33"/>
          <w:szCs w:val="33"/>
          <w:highlight w:val="none"/>
          <w:shd w:val="clear" w:color="auto" w:fill="FFFFFF"/>
          <w:lang w:val="zh-CN"/>
        </w:rPr>
        <w:t>围绕支持中小企业发展、采购执行率</w:t>
      </w:r>
      <w:r>
        <w:rPr>
          <w:rFonts w:hint="default" w:ascii="Times New Roman" w:hAnsi="Times New Roman" w:eastAsia="仿宋_GB2312" w:cs="Times New Roman"/>
          <w:color w:val="000000"/>
          <w:kern w:val="0"/>
          <w:sz w:val="33"/>
          <w:szCs w:val="33"/>
          <w:highlight w:val="none"/>
          <w:shd w:val="clear" w:color="auto" w:fill="FFFFFF"/>
          <w:lang w:val="zh-CN"/>
        </w:rPr>
        <w:t>进行绩效分析</w:t>
      </w:r>
      <w:r>
        <w:rPr>
          <w:rFonts w:hint="eastAsia" w:ascii="Times New Roman" w:hAnsi="Times New Roman" w:eastAsia="仿宋_GB2312" w:cs="Times New Roman"/>
          <w:color w:val="000000"/>
          <w:kern w:val="0"/>
          <w:sz w:val="33"/>
          <w:szCs w:val="33"/>
          <w:highlight w:val="none"/>
          <w:shd w:val="clear" w:color="auto" w:fill="FFFFFF"/>
          <w:lang w:val="zh-CN"/>
        </w:rPr>
        <w:t>。</w:t>
      </w:r>
    </w:p>
    <w:p w14:paraId="4D5037BA">
      <w:pPr>
        <w:keepNext w:val="0"/>
        <w:keepLines w:val="0"/>
        <w:pageBreakBefore w:val="0"/>
        <w:widowControl w:val="0"/>
        <w:kinsoku/>
        <w:wordWrap/>
        <w:overflowPunct/>
        <w:topLinePunct w:val="0"/>
        <w:autoSpaceDE/>
        <w:autoSpaceDN/>
        <w:bidi w:val="0"/>
        <w:adjustRightInd/>
        <w:snapToGrid/>
        <w:spacing w:line="590" w:lineRule="exact"/>
        <w:ind w:left="0" w:leftChars="0" w:right="0" w:rightChars="0" w:firstLine="660" w:firstLineChars="200"/>
        <w:jc w:val="both"/>
        <w:textAlignment w:val="auto"/>
        <w:rPr>
          <w:rFonts w:hint="eastAsia" w:ascii="Times New Roman" w:hAnsi="Times New Roman" w:eastAsia="仿宋_GB2312" w:cs="Times New Roman"/>
          <w:color w:val="000000"/>
          <w:kern w:val="0"/>
          <w:sz w:val="33"/>
          <w:szCs w:val="33"/>
          <w:highlight w:val="none"/>
          <w:shd w:val="clear" w:color="auto" w:fill="FFFFFF"/>
          <w:lang w:val="zh-CN"/>
        </w:rPr>
      </w:pPr>
      <w:r>
        <w:rPr>
          <w:rFonts w:hint="eastAsia" w:ascii="Times New Roman" w:hAnsi="Times New Roman" w:eastAsia="仿宋_GB2312" w:cs="Times New Roman"/>
          <w:sz w:val="33"/>
          <w:szCs w:val="33"/>
          <w:lang w:val="en-US" w:eastAsia="zh-CN"/>
        </w:rPr>
        <w:t>截至2024年12月31日，我局政府采购计划支出63525元、实际完成支出63525元，采购执行率100%，主要为采购办公设备资产，</w:t>
      </w:r>
      <w:r>
        <w:rPr>
          <w:rFonts w:hint="eastAsia" w:ascii="Times New Roman" w:hAnsi="Times New Roman" w:eastAsia="仿宋_GB2312" w:cs="Times New Roman"/>
          <w:color w:val="000000"/>
          <w:kern w:val="0"/>
          <w:sz w:val="33"/>
          <w:szCs w:val="33"/>
          <w:highlight w:val="none"/>
          <w:shd w:val="clear" w:color="auto" w:fill="FFFFFF"/>
          <w:lang w:val="zh-CN"/>
        </w:rPr>
        <w:t>支持中小企业发展。</w:t>
      </w:r>
      <w:r>
        <w:rPr>
          <w:rFonts w:hint="eastAsia" w:ascii="Times New Roman" w:hAnsi="Times New Roman" w:eastAsia="仿宋_GB2312" w:cs="Times New Roman"/>
          <w:color w:val="000000"/>
          <w:kern w:val="0"/>
          <w:sz w:val="33"/>
          <w:szCs w:val="33"/>
          <w:highlight w:val="none"/>
          <w:shd w:val="clear" w:color="auto" w:fill="FFFFFF"/>
          <w:lang w:val="en-US" w:eastAsia="zh-CN"/>
        </w:rPr>
        <w:t>在</w:t>
      </w:r>
      <w:r>
        <w:rPr>
          <w:rFonts w:hint="eastAsia" w:ascii="Times New Roman" w:hAnsi="Times New Roman" w:eastAsia="仿宋_GB2312" w:cs="Times New Roman"/>
          <w:sz w:val="33"/>
          <w:szCs w:val="33"/>
          <w:lang w:val="en-US" w:eastAsia="zh-CN"/>
        </w:rPr>
        <w:t>政府采购管理方面的表现优秀，政府采购程序合规，严格按照法律法规进行操作；采购需求制定合理，符合部门业务需求；采购过程公开透明，保证了公平竞争。政府采购管理有效地降低了采购成本，提高了采购效率</w:t>
      </w:r>
      <w:r>
        <w:rPr>
          <w:rFonts w:hint="eastAsia" w:eastAsia="仿宋_GB2312" w:cs="Times New Roman"/>
          <w:sz w:val="33"/>
          <w:szCs w:val="33"/>
          <w:lang w:val="en-US" w:eastAsia="zh-CN"/>
        </w:rPr>
        <w:t>；自评得6分</w:t>
      </w:r>
      <w:r>
        <w:rPr>
          <w:rFonts w:hint="eastAsia" w:ascii="Times New Roman" w:hAnsi="Times New Roman" w:eastAsia="仿宋_GB2312" w:cs="Times New Roman"/>
          <w:sz w:val="33"/>
          <w:szCs w:val="33"/>
          <w:lang w:val="en-US" w:eastAsia="zh-CN"/>
        </w:rPr>
        <w:t>。</w:t>
      </w:r>
    </w:p>
    <w:p w14:paraId="6FBDEC2D">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right="0" w:rightChars="0" w:firstLine="660" w:firstLineChars="200"/>
        <w:contextualSpacing/>
        <w:jc w:val="both"/>
        <w:textAlignment w:val="auto"/>
        <w:outlineLvl w:val="9"/>
        <w:rPr>
          <w:rFonts w:hint="eastAsia" w:ascii="Times New Roman" w:hAnsi="Times New Roman" w:eastAsia="仿宋_GB2312" w:cs="Times New Roman"/>
          <w:color w:val="000000"/>
          <w:kern w:val="0"/>
          <w:sz w:val="33"/>
          <w:szCs w:val="33"/>
          <w:highlight w:val="none"/>
          <w:shd w:val="clear" w:color="auto" w:fill="FFFFFF"/>
          <w:lang w:val="zh-CN"/>
        </w:rPr>
      </w:pPr>
      <w:r>
        <w:rPr>
          <w:rFonts w:hint="eastAsia" w:eastAsia="楷体_GB2312" w:cs="楷体_GB2312"/>
          <w:color w:val="000000"/>
          <w:kern w:val="0"/>
          <w:sz w:val="33"/>
          <w:szCs w:val="33"/>
          <w:highlight w:val="none"/>
          <w:shd w:val="clear" w:color="auto" w:fill="FFFFFF"/>
          <w:lang w:val="en-US" w:eastAsia="zh-CN"/>
        </w:rPr>
        <w:t>5</w:t>
      </w:r>
      <w:r>
        <w:rPr>
          <w:rFonts w:hint="eastAsia" w:ascii="Times New Roman" w:hAnsi="Times New Roman" w:eastAsia="楷体_GB2312" w:cs="楷体_GB2312"/>
          <w:color w:val="000000"/>
          <w:kern w:val="0"/>
          <w:sz w:val="33"/>
          <w:szCs w:val="33"/>
          <w:highlight w:val="none"/>
          <w:shd w:val="clear" w:color="auto" w:fill="FFFFFF"/>
          <w:lang w:val="en-US" w:eastAsia="zh-CN"/>
        </w:rPr>
        <w:t>.</w:t>
      </w:r>
      <w:r>
        <w:rPr>
          <w:rFonts w:hint="default" w:ascii="Times New Roman" w:hAnsi="Times New Roman" w:eastAsia="楷体_GB2312" w:cs="楷体_GB2312"/>
          <w:color w:val="000000"/>
          <w:kern w:val="0"/>
          <w:sz w:val="33"/>
          <w:szCs w:val="33"/>
          <w:highlight w:val="none"/>
          <w:shd w:val="clear" w:color="auto" w:fill="FFFFFF"/>
          <w:lang w:val="zh-CN"/>
        </w:rPr>
        <w:t>财务管理</w:t>
      </w:r>
      <w:r>
        <w:rPr>
          <w:rFonts w:hint="eastAsia" w:ascii="Times New Roman" w:hAnsi="Times New Roman" w:eastAsia="楷体_GB2312" w:cs="楷体_GB2312"/>
          <w:color w:val="000000"/>
          <w:kern w:val="0"/>
          <w:sz w:val="33"/>
          <w:szCs w:val="33"/>
          <w:highlight w:val="none"/>
          <w:shd w:val="clear" w:color="auto" w:fill="FFFFFF"/>
          <w:lang w:val="zh-CN"/>
        </w:rPr>
        <w:t>。</w:t>
      </w:r>
      <w:r>
        <w:rPr>
          <w:rFonts w:hint="eastAsia" w:ascii="Times New Roman" w:hAnsi="Times New Roman" w:eastAsia="仿宋_GB2312" w:cs="Times New Roman"/>
          <w:color w:val="000000"/>
          <w:kern w:val="0"/>
          <w:sz w:val="33"/>
          <w:szCs w:val="33"/>
          <w:highlight w:val="none"/>
          <w:shd w:val="clear" w:color="auto" w:fill="FFFFFF"/>
          <w:lang w:val="zh-CN"/>
        </w:rPr>
        <w:t>围绕财务管理制度、财务岗位设置、资金使用规范</w:t>
      </w:r>
      <w:r>
        <w:rPr>
          <w:rFonts w:hint="default" w:ascii="Times New Roman" w:hAnsi="Times New Roman" w:eastAsia="仿宋_GB2312" w:cs="Times New Roman"/>
          <w:color w:val="000000"/>
          <w:kern w:val="0"/>
          <w:sz w:val="33"/>
          <w:szCs w:val="33"/>
          <w:highlight w:val="none"/>
          <w:shd w:val="clear" w:color="auto" w:fill="FFFFFF"/>
          <w:lang w:val="zh-CN"/>
        </w:rPr>
        <w:t>进行绩效分析</w:t>
      </w:r>
      <w:r>
        <w:rPr>
          <w:rFonts w:hint="eastAsia" w:ascii="Times New Roman" w:hAnsi="Times New Roman" w:eastAsia="仿宋_GB2312" w:cs="Times New Roman"/>
          <w:color w:val="000000"/>
          <w:kern w:val="0"/>
          <w:sz w:val="33"/>
          <w:szCs w:val="33"/>
          <w:highlight w:val="none"/>
          <w:shd w:val="clear" w:color="auto" w:fill="FFFFFF"/>
          <w:lang w:val="zh-CN"/>
        </w:rPr>
        <w:t>。</w:t>
      </w:r>
    </w:p>
    <w:p w14:paraId="000E35F3">
      <w:pPr>
        <w:keepNext w:val="0"/>
        <w:keepLines w:val="0"/>
        <w:pageBreakBefore w:val="0"/>
        <w:widowControl w:val="0"/>
        <w:kinsoku/>
        <w:wordWrap/>
        <w:overflowPunct/>
        <w:topLinePunct w:val="0"/>
        <w:autoSpaceDE/>
        <w:autoSpaceDN/>
        <w:bidi w:val="0"/>
        <w:adjustRightInd/>
        <w:snapToGrid/>
        <w:spacing w:line="590" w:lineRule="exact"/>
        <w:ind w:left="0" w:leftChars="0" w:right="0" w:rightChars="0" w:firstLine="660" w:firstLineChars="200"/>
        <w:jc w:val="both"/>
        <w:textAlignment w:val="auto"/>
        <w:rPr>
          <w:rFonts w:hint="eastAsia" w:ascii="Times New Roman" w:hAnsi="Times New Roman" w:eastAsia="仿宋_GB2312" w:cs="Times New Roman"/>
          <w:sz w:val="33"/>
          <w:szCs w:val="33"/>
          <w:lang w:val="en-US" w:eastAsia="zh-CN"/>
        </w:rPr>
      </w:pPr>
      <w:r>
        <w:rPr>
          <w:rFonts w:hint="eastAsia" w:ascii="Times New Roman" w:hAnsi="Times New Roman" w:eastAsia="仿宋_GB2312" w:cs="Times New Roman"/>
          <w:sz w:val="33"/>
          <w:szCs w:val="33"/>
          <w:lang w:val="en-US" w:eastAsia="zh-CN"/>
        </w:rPr>
        <w:t>（1）2024年，我局通过检查整改建立</w:t>
      </w:r>
      <w:r>
        <w:rPr>
          <w:rFonts w:hint="eastAsia" w:eastAsia="仿宋_GB2312" w:cs="Times New Roman"/>
          <w:sz w:val="33"/>
          <w:szCs w:val="33"/>
          <w:lang w:val="en-US" w:eastAsia="zh-CN"/>
        </w:rPr>
        <w:t>2</w:t>
      </w:r>
      <w:r>
        <w:rPr>
          <w:rFonts w:hint="eastAsia" w:ascii="Times New Roman" w:hAnsi="Times New Roman" w:eastAsia="仿宋_GB2312" w:cs="Times New Roman"/>
          <w:sz w:val="33"/>
          <w:szCs w:val="33"/>
          <w:lang w:val="en-US" w:eastAsia="zh-CN"/>
        </w:rPr>
        <w:t>项制度机制，强化预算编制科学性，优化会议费、培训费审批流程，落实“过紧日子”要求，党组理论学习中心组定期学习财经政策，将法治建设与预算绩效管理结合。</w:t>
      </w:r>
    </w:p>
    <w:p w14:paraId="172EBCFE">
      <w:pPr>
        <w:keepNext w:val="0"/>
        <w:keepLines w:val="0"/>
        <w:pageBreakBefore w:val="0"/>
        <w:widowControl w:val="0"/>
        <w:kinsoku/>
        <w:wordWrap/>
        <w:overflowPunct/>
        <w:topLinePunct w:val="0"/>
        <w:autoSpaceDE/>
        <w:autoSpaceDN/>
        <w:bidi w:val="0"/>
        <w:adjustRightInd/>
        <w:snapToGrid/>
        <w:spacing w:line="590" w:lineRule="exact"/>
        <w:ind w:left="0" w:leftChars="0" w:right="0" w:rightChars="0" w:firstLine="660" w:firstLineChars="200"/>
        <w:jc w:val="both"/>
        <w:textAlignment w:val="auto"/>
        <w:rPr>
          <w:rFonts w:hint="eastAsia" w:ascii="Times New Roman" w:hAnsi="Times New Roman" w:eastAsia="仿宋_GB2312" w:cs="Times New Roman"/>
          <w:sz w:val="33"/>
          <w:szCs w:val="33"/>
          <w:lang w:val="en-US" w:eastAsia="zh-CN"/>
        </w:rPr>
      </w:pPr>
      <w:r>
        <w:rPr>
          <w:rFonts w:hint="eastAsia" w:ascii="Times New Roman" w:hAnsi="Times New Roman" w:eastAsia="仿宋_GB2312" w:cs="Times New Roman"/>
          <w:sz w:val="33"/>
          <w:szCs w:val="33"/>
          <w:lang w:val="en-US" w:eastAsia="zh-CN"/>
        </w:rPr>
        <w:t>（2）</w:t>
      </w:r>
      <w:r>
        <w:rPr>
          <w:rFonts w:hint="eastAsia" w:eastAsia="仿宋_GB2312" w:cs="Times New Roman"/>
          <w:sz w:val="33"/>
          <w:szCs w:val="33"/>
          <w:lang w:val="en-US" w:eastAsia="zh-CN"/>
        </w:rPr>
        <w:t>财务岗位设置：2024年度我局财务会计（代理记账）、出纳、会计主管人员明确</w:t>
      </w:r>
      <w:r>
        <w:rPr>
          <w:rFonts w:hint="eastAsia" w:ascii="Times New Roman" w:hAnsi="Times New Roman" w:eastAsia="仿宋_GB2312" w:cs="Times New Roman"/>
          <w:sz w:val="33"/>
          <w:szCs w:val="33"/>
          <w:lang w:val="en-US" w:eastAsia="zh-CN"/>
        </w:rPr>
        <w:t>。</w:t>
      </w:r>
    </w:p>
    <w:p w14:paraId="33B0A758">
      <w:pPr>
        <w:keepNext w:val="0"/>
        <w:keepLines w:val="0"/>
        <w:pageBreakBefore w:val="0"/>
        <w:widowControl w:val="0"/>
        <w:numPr>
          <w:ilvl w:val="0"/>
          <w:numId w:val="8"/>
        </w:numPr>
        <w:kinsoku/>
        <w:wordWrap/>
        <w:overflowPunct/>
        <w:topLinePunct w:val="0"/>
        <w:autoSpaceDE/>
        <w:autoSpaceDN/>
        <w:bidi w:val="0"/>
        <w:adjustRightInd/>
        <w:snapToGrid/>
        <w:spacing w:line="590" w:lineRule="exact"/>
        <w:ind w:left="0" w:leftChars="0" w:right="0" w:rightChars="0" w:firstLine="660" w:firstLineChars="200"/>
        <w:jc w:val="both"/>
        <w:textAlignment w:val="auto"/>
        <w:rPr>
          <w:rFonts w:hint="default" w:ascii="Times New Roman" w:hAnsi="Times New Roman" w:eastAsia="仿宋_GB2312" w:cs="Times New Roman"/>
          <w:sz w:val="33"/>
          <w:szCs w:val="33"/>
          <w:highlight w:val="none"/>
          <w:lang w:val="en-US" w:eastAsia="zh-CN"/>
        </w:rPr>
      </w:pPr>
      <w:r>
        <w:rPr>
          <w:rFonts w:hint="eastAsia" w:ascii="Times New Roman" w:hAnsi="Times New Roman" w:eastAsia="仿宋_GB2312" w:cs="Times New Roman"/>
          <w:color w:val="000000"/>
          <w:kern w:val="0"/>
          <w:sz w:val="33"/>
          <w:szCs w:val="33"/>
          <w:highlight w:val="none"/>
          <w:shd w:val="clear" w:color="auto" w:fill="FFFFFF"/>
          <w:lang w:val="zh-CN"/>
        </w:rPr>
        <w:t>资金使用规范：</w:t>
      </w:r>
      <w:r>
        <w:rPr>
          <w:rFonts w:hint="eastAsia" w:ascii="Times New Roman" w:hAnsi="Times New Roman" w:eastAsia="仿宋_GB2312" w:cs="Times New Roman"/>
          <w:color w:val="000000"/>
          <w:kern w:val="0"/>
          <w:sz w:val="33"/>
          <w:szCs w:val="33"/>
          <w:highlight w:val="none"/>
          <w:shd w:val="clear" w:color="auto" w:fill="FFFFFF"/>
          <w:lang w:val="en-US" w:eastAsia="zh-CN"/>
        </w:rPr>
        <w:t>2024年我局</w:t>
      </w:r>
      <w:r>
        <w:rPr>
          <w:rFonts w:hint="eastAsia" w:eastAsia="仿宋_GB2312" w:cs="Times New Roman"/>
          <w:sz w:val="33"/>
          <w:szCs w:val="33"/>
          <w:highlight w:val="none"/>
          <w:lang w:val="en-US" w:eastAsia="zh-CN"/>
        </w:rPr>
        <w:t>预算数（含调剂）44280.07万元，实际支出31876.90万元，预算完成率71.99%，项目实际支出31876.90万元，每笔资金支出规范，无违规、超标准支出情况</w:t>
      </w:r>
      <w:r>
        <w:rPr>
          <w:rFonts w:hint="eastAsia" w:ascii="Times New Roman" w:hAnsi="Times New Roman" w:eastAsia="仿宋_GB2312" w:cs="Times New Roman"/>
          <w:sz w:val="33"/>
          <w:szCs w:val="33"/>
          <w:highlight w:val="none"/>
          <w:lang w:val="en-US" w:eastAsia="zh-CN"/>
        </w:rPr>
        <w:t>。</w:t>
      </w:r>
    </w:p>
    <w:p w14:paraId="3E374182">
      <w:pPr>
        <w:keepNext w:val="0"/>
        <w:keepLines w:val="0"/>
        <w:pageBreakBefore w:val="0"/>
        <w:widowControl/>
        <w:kinsoku/>
        <w:wordWrap/>
        <w:overflowPunct/>
        <w:topLinePunct w:val="0"/>
        <w:autoSpaceDE/>
        <w:autoSpaceDN/>
        <w:bidi w:val="0"/>
        <w:adjustRightInd/>
        <w:snapToGrid/>
        <w:spacing w:line="590" w:lineRule="exact"/>
        <w:ind w:right="0" w:rightChars="0" w:firstLine="663" w:firstLineChars="200"/>
        <w:contextualSpacing/>
        <w:jc w:val="both"/>
        <w:textAlignment w:val="auto"/>
        <w:outlineLvl w:val="9"/>
        <w:rPr>
          <w:rFonts w:hint="default" w:ascii="Times New Roman" w:hAnsi="Times New Roman" w:eastAsia="仿宋_GB2312" w:cs="Times New Roman"/>
          <w:color w:val="000000"/>
          <w:kern w:val="0"/>
          <w:sz w:val="33"/>
          <w:szCs w:val="33"/>
          <w:highlight w:val="none"/>
          <w:shd w:val="clear" w:color="auto" w:fill="FFFFFF"/>
          <w:lang w:val="en-US" w:eastAsia="zh-CN"/>
        </w:rPr>
      </w:pPr>
      <w:r>
        <w:rPr>
          <w:rFonts w:hint="default" w:ascii="Times New Roman" w:hAnsi="Times New Roman" w:eastAsia="楷体_GB2312" w:cs="Times New Roman"/>
          <w:b/>
          <w:bCs/>
          <w:color w:val="000000"/>
          <w:kern w:val="0"/>
          <w:sz w:val="33"/>
          <w:szCs w:val="33"/>
          <w:highlight w:val="none"/>
          <w:shd w:val="clear" w:color="auto" w:fill="FFFFFF"/>
          <w:lang w:val="zh-CN"/>
        </w:rPr>
        <w:t>（二）部门预算项目绩效分析。</w:t>
      </w:r>
      <w:r>
        <w:rPr>
          <w:rFonts w:hint="eastAsia" w:ascii="Times New Roman" w:hAnsi="Times New Roman" w:eastAsia="仿宋_GB2312" w:cs="Times New Roman"/>
          <w:color w:val="000000"/>
          <w:kern w:val="0"/>
          <w:sz w:val="33"/>
          <w:szCs w:val="33"/>
          <w:highlight w:val="none"/>
          <w:shd w:val="clear" w:color="auto" w:fill="FFFFFF"/>
          <w:lang w:val="zh-CN" w:eastAsia="zh-CN"/>
        </w:rPr>
        <w:t>填报以下数据，</w:t>
      </w:r>
      <w:r>
        <w:rPr>
          <w:rFonts w:hint="eastAsia" w:ascii="Times New Roman" w:hAnsi="Times New Roman" w:eastAsia="仿宋_GB2312" w:cs="Times New Roman"/>
          <w:color w:val="000000"/>
          <w:kern w:val="0"/>
          <w:sz w:val="33"/>
          <w:szCs w:val="33"/>
          <w:highlight w:val="none"/>
          <w:shd w:val="clear" w:color="auto" w:fill="FFFFFF"/>
          <w:lang w:val="zh-CN"/>
        </w:rPr>
        <w:t>并</w:t>
      </w:r>
      <w:r>
        <w:rPr>
          <w:rFonts w:hint="default" w:ascii="Times New Roman" w:hAnsi="Times New Roman" w:eastAsia="仿宋_GB2312" w:cs="Times New Roman"/>
          <w:color w:val="000000"/>
          <w:kern w:val="0"/>
          <w:sz w:val="33"/>
          <w:szCs w:val="33"/>
          <w:highlight w:val="none"/>
          <w:shd w:val="clear" w:color="auto" w:fill="FFFFFF"/>
          <w:lang w:val="zh-CN"/>
        </w:rPr>
        <w:t>根据部门预算绩效评价指标体系“项目绩效”涉及</w:t>
      </w:r>
      <w:r>
        <w:rPr>
          <w:rFonts w:hint="eastAsia" w:ascii="Times New Roman" w:hAnsi="Times New Roman" w:eastAsia="仿宋_GB2312" w:cs="Times New Roman"/>
          <w:color w:val="000000"/>
          <w:kern w:val="0"/>
          <w:sz w:val="33"/>
          <w:szCs w:val="33"/>
          <w:highlight w:val="none"/>
          <w:shd w:val="clear" w:color="auto" w:fill="FFFFFF"/>
          <w:lang w:val="zh-CN"/>
        </w:rPr>
        <w:t>二、三级</w:t>
      </w:r>
      <w:r>
        <w:rPr>
          <w:rFonts w:hint="default" w:ascii="Times New Roman" w:hAnsi="Times New Roman" w:eastAsia="仿宋_GB2312" w:cs="Times New Roman"/>
          <w:color w:val="000000"/>
          <w:kern w:val="0"/>
          <w:sz w:val="33"/>
          <w:szCs w:val="33"/>
          <w:highlight w:val="none"/>
          <w:shd w:val="clear" w:color="auto" w:fill="FFFFFF"/>
          <w:lang w:val="zh-CN"/>
        </w:rPr>
        <w:t>指标进行</w:t>
      </w:r>
      <w:r>
        <w:rPr>
          <w:rFonts w:hint="eastAsia" w:ascii="Times New Roman" w:hAnsi="Times New Roman" w:eastAsia="仿宋_GB2312" w:cs="Times New Roman"/>
          <w:color w:val="000000"/>
          <w:kern w:val="0"/>
          <w:sz w:val="33"/>
          <w:szCs w:val="33"/>
          <w:highlight w:val="none"/>
          <w:shd w:val="clear" w:color="auto" w:fill="FFFFFF"/>
          <w:lang w:val="zh-CN"/>
        </w:rPr>
        <w:t>逐项</w:t>
      </w:r>
      <w:r>
        <w:rPr>
          <w:rFonts w:hint="default" w:ascii="Times New Roman" w:hAnsi="Times New Roman" w:eastAsia="仿宋_GB2312" w:cs="Times New Roman"/>
          <w:color w:val="000000"/>
          <w:kern w:val="0"/>
          <w:sz w:val="33"/>
          <w:szCs w:val="33"/>
          <w:highlight w:val="none"/>
          <w:shd w:val="clear" w:color="auto" w:fill="FFFFFF"/>
          <w:lang w:val="zh-CN"/>
        </w:rPr>
        <w:t>绩效分析</w:t>
      </w:r>
      <w:r>
        <w:rPr>
          <w:rFonts w:hint="eastAsia" w:ascii="Times New Roman" w:hAnsi="Times New Roman" w:eastAsia="仿宋_GB2312" w:cs="Times New Roman"/>
          <w:color w:val="000000"/>
          <w:kern w:val="0"/>
          <w:sz w:val="33"/>
          <w:szCs w:val="33"/>
          <w:highlight w:val="none"/>
          <w:shd w:val="clear" w:color="auto" w:fill="FFFFFF"/>
          <w:lang w:val="zh-CN"/>
        </w:rPr>
        <w:t>并评分</w:t>
      </w:r>
      <w:r>
        <w:rPr>
          <w:rFonts w:hint="default" w:ascii="Times New Roman" w:hAnsi="Times New Roman" w:eastAsia="仿宋_GB2312" w:cs="Times New Roman"/>
          <w:color w:val="000000"/>
          <w:kern w:val="0"/>
          <w:sz w:val="33"/>
          <w:szCs w:val="33"/>
          <w:highlight w:val="none"/>
          <w:shd w:val="clear" w:color="auto" w:fill="FFFFFF"/>
          <w:lang w:val="zh-CN"/>
        </w:rPr>
        <w:t>，依次包括项目</w:t>
      </w:r>
      <w:r>
        <w:rPr>
          <w:rFonts w:hint="default" w:ascii="Times New Roman" w:hAnsi="Times New Roman" w:eastAsia="仿宋_GB2312" w:cs="Times New Roman"/>
          <w:color w:val="000000"/>
          <w:kern w:val="0"/>
          <w:sz w:val="33"/>
          <w:szCs w:val="33"/>
          <w:highlight w:val="none"/>
          <w:shd w:val="clear" w:color="auto" w:fill="FFFFFF"/>
          <w:lang w:val="en-US" w:eastAsia="zh-CN"/>
        </w:rPr>
        <w:t>决策、项目执行、目标实现等情况</w:t>
      </w:r>
      <w:r>
        <w:rPr>
          <w:rFonts w:hint="eastAsia" w:ascii="Times New Roman" w:hAnsi="Times New Roman" w:eastAsia="仿宋_GB2312" w:cs="Times New Roman"/>
          <w:color w:val="000000"/>
          <w:kern w:val="0"/>
          <w:sz w:val="33"/>
          <w:szCs w:val="33"/>
          <w:highlight w:val="none"/>
          <w:shd w:val="clear" w:color="auto" w:fill="FFFFFF"/>
          <w:lang w:val="en-US" w:eastAsia="zh-CN"/>
        </w:rPr>
        <w:t>。</w:t>
      </w:r>
    </w:p>
    <w:p w14:paraId="62752CF3">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right="0" w:rightChars="0" w:firstLine="660" w:firstLineChars="200"/>
        <w:contextualSpacing/>
        <w:jc w:val="both"/>
        <w:textAlignment w:val="auto"/>
        <w:outlineLvl w:val="9"/>
        <w:rPr>
          <w:rFonts w:hint="default" w:ascii="Times New Roman" w:hAnsi="Times New Roman" w:eastAsia="仿宋_GB2312" w:cs="Times New Roman"/>
          <w:color w:val="000000"/>
          <w:kern w:val="0"/>
          <w:sz w:val="33"/>
          <w:szCs w:val="33"/>
          <w:highlight w:val="none"/>
          <w:shd w:val="clear" w:color="auto" w:fill="FFFFFF"/>
          <w:lang w:val="zh-CN" w:eastAsia="zh-CN"/>
        </w:rPr>
      </w:pPr>
      <w:r>
        <w:rPr>
          <w:rFonts w:hint="default" w:ascii="Times New Roman" w:hAnsi="Times New Roman" w:eastAsia="仿宋_GB2312" w:cs="Times New Roman"/>
          <w:color w:val="000000"/>
          <w:kern w:val="0"/>
          <w:sz w:val="33"/>
          <w:szCs w:val="33"/>
          <w:highlight w:val="none"/>
          <w:shd w:val="clear" w:color="auto" w:fill="FFFFFF"/>
          <w:lang w:val="en-US" w:eastAsia="zh-CN"/>
        </w:rPr>
        <w:t>常年项目绩效分析。</w:t>
      </w:r>
      <w:r>
        <w:rPr>
          <w:rFonts w:hint="default" w:ascii="Times New Roman" w:hAnsi="Times New Roman" w:eastAsia="仿宋_GB2312" w:cs="Times New Roman"/>
          <w:color w:val="000000"/>
          <w:kern w:val="0"/>
          <w:sz w:val="33"/>
          <w:szCs w:val="33"/>
          <w:highlight w:val="none"/>
          <w:shd w:val="clear" w:color="auto" w:fill="FFFFFF"/>
          <w:lang w:val="zh-CN" w:eastAsia="zh-CN"/>
        </w:rPr>
        <w:t>该类项目总数</w:t>
      </w:r>
      <w:r>
        <w:rPr>
          <w:rFonts w:hint="eastAsia" w:eastAsia="仿宋_GB2312" w:cs="Times New Roman"/>
          <w:color w:val="000000"/>
          <w:kern w:val="0"/>
          <w:sz w:val="33"/>
          <w:szCs w:val="33"/>
          <w:highlight w:val="none"/>
          <w:shd w:val="clear" w:color="auto" w:fill="FFFFFF"/>
          <w:lang w:val="en-US" w:eastAsia="zh-CN"/>
        </w:rPr>
        <w:t>2</w:t>
      </w:r>
      <w:r>
        <w:rPr>
          <w:rFonts w:hint="default" w:ascii="Times New Roman" w:hAnsi="Times New Roman" w:eastAsia="仿宋_GB2312" w:cs="Times New Roman"/>
          <w:color w:val="000000"/>
          <w:kern w:val="0"/>
          <w:sz w:val="33"/>
          <w:szCs w:val="33"/>
          <w:highlight w:val="none"/>
          <w:shd w:val="clear" w:color="auto" w:fill="FFFFFF"/>
          <w:lang w:val="zh-CN" w:eastAsia="zh-CN"/>
        </w:rPr>
        <w:t>个，涉及预算总金额</w:t>
      </w:r>
      <w:r>
        <w:rPr>
          <w:rFonts w:hint="eastAsia" w:eastAsia="仿宋_GB2312" w:cs="Times New Roman"/>
          <w:color w:val="000000"/>
          <w:kern w:val="0"/>
          <w:sz w:val="33"/>
          <w:szCs w:val="33"/>
          <w:highlight w:val="none"/>
          <w:shd w:val="clear" w:color="auto" w:fill="FFFFFF"/>
          <w:lang w:val="en-US" w:eastAsia="zh-CN"/>
        </w:rPr>
        <w:t>57.17</w:t>
      </w:r>
      <w:r>
        <w:rPr>
          <w:rFonts w:hint="default" w:ascii="Times New Roman" w:hAnsi="Times New Roman" w:eastAsia="仿宋_GB2312" w:cs="Times New Roman"/>
          <w:color w:val="000000"/>
          <w:kern w:val="0"/>
          <w:sz w:val="33"/>
          <w:szCs w:val="33"/>
          <w:highlight w:val="none"/>
          <w:shd w:val="clear" w:color="auto" w:fill="FFFFFF"/>
          <w:lang w:val="zh-CN" w:eastAsia="zh-CN"/>
        </w:rPr>
        <w:t>万元，</w:t>
      </w:r>
      <w:r>
        <w:rPr>
          <w:rFonts w:hint="default" w:ascii="Times New Roman" w:hAnsi="Times New Roman" w:eastAsia="仿宋_GB2312" w:cs="Times New Roman"/>
          <w:color w:val="000000"/>
          <w:kern w:val="0"/>
          <w:sz w:val="33"/>
          <w:szCs w:val="33"/>
          <w:highlight w:val="none"/>
          <w:shd w:val="clear" w:color="auto" w:fill="FFFFFF"/>
          <w:lang w:val="zh-CN"/>
        </w:rPr>
        <w:t>1</w:t>
      </w:r>
      <w:r>
        <w:rPr>
          <w:rFonts w:hint="eastAsia" w:ascii="Times New Roman" w:hAnsi="Times New Roman" w:eastAsia="仿宋_GB2312" w:cs="Times New Roman"/>
          <w:color w:val="000000"/>
          <w:kern w:val="0"/>
          <w:sz w:val="33"/>
          <w:szCs w:val="33"/>
          <w:highlight w:val="none"/>
          <w:shd w:val="clear" w:color="auto" w:fill="FFFFFF"/>
          <w:lang w:val="zh-CN" w:eastAsia="zh-CN"/>
        </w:rPr>
        <w:t>—</w:t>
      </w:r>
      <w:r>
        <w:rPr>
          <w:rFonts w:hint="default" w:ascii="Times New Roman" w:hAnsi="Times New Roman" w:eastAsia="仿宋_GB2312" w:cs="Times New Roman"/>
          <w:color w:val="000000"/>
          <w:kern w:val="0"/>
          <w:sz w:val="33"/>
          <w:szCs w:val="33"/>
          <w:highlight w:val="none"/>
          <w:shd w:val="clear" w:color="auto" w:fill="FFFFFF"/>
          <w:lang w:val="zh-CN"/>
        </w:rPr>
        <w:t>1</w:t>
      </w:r>
      <w:r>
        <w:rPr>
          <w:rFonts w:hint="default" w:ascii="Times New Roman" w:hAnsi="Times New Roman" w:eastAsia="仿宋_GB2312" w:cs="Times New Roman"/>
          <w:color w:val="000000"/>
          <w:kern w:val="0"/>
          <w:sz w:val="33"/>
          <w:szCs w:val="33"/>
          <w:highlight w:val="none"/>
          <w:shd w:val="clear" w:color="auto" w:fill="FFFFFF"/>
          <w:lang w:val="en-US" w:eastAsia="zh-CN"/>
        </w:rPr>
        <w:t>2</w:t>
      </w:r>
      <w:r>
        <w:rPr>
          <w:rFonts w:hint="default" w:ascii="Times New Roman" w:hAnsi="Times New Roman" w:eastAsia="仿宋_GB2312" w:cs="Times New Roman"/>
          <w:color w:val="000000"/>
          <w:kern w:val="0"/>
          <w:sz w:val="33"/>
          <w:szCs w:val="33"/>
          <w:highlight w:val="none"/>
          <w:shd w:val="clear" w:color="auto" w:fill="FFFFFF"/>
          <w:lang w:val="zh-CN"/>
        </w:rPr>
        <w:t>月预算执行总体进度为</w:t>
      </w:r>
      <w:r>
        <w:rPr>
          <w:rFonts w:hint="eastAsia" w:eastAsia="仿宋_GB2312" w:cs="Times New Roman"/>
          <w:color w:val="000000"/>
          <w:kern w:val="0"/>
          <w:sz w:val="33"/>
          <w:szCs w:val="33"/>
          <w:highlight w:val="none"/>
          <w:shd w:val="clear" w:color="auto" w:fill="FFFFFF"/>
          <w:lang w:val="en-US" w:eastAsia="zh-CN"/>
        </w:rPr>
        <w:t>100</w:t>
      </w:r>
      <w:r>
        <w:rPr>
          <w:rFonts w:hint="default" w:ascii="Times New Roman" w:hAnsi="Times New Roman" w:eastAsia="仿宋_GB2312" w:cs="Times New Roman"/>
          <w:color w:val="000000"/>
          <w:kern w:val="0"/>
          <w:sz w:val="33"/>
          <w:szCs w:val="33"/>
          <w:highlight w:val="none"/>
          <w:shd w:val="clear" w:color="auto" w:fill="FFFFFF"/>
          <w:lang w:val="zh-CN"/>
        </w:rPr>
        <w:t>%，其中：</w:t>
      </w:r>
      <w:r>
        <w:rPr>
          <w:rFonts w:hint="default" w:ascii="Times New Roman" w:hAnsi="Times New Roman" w:eastAsia="仿宋_GB2312" w:cs="Times New Roman"/>
          <w:color w:val="000000"/>
          <w:kern w:val="0"/>
          <w:sz w:val="33"/>
          <w:szCs w:val="33"/>
          <w:highlight w:val="none"/>
          <w:shd w:val="clear" w:color="auto" w:fill="FFFFFF"/>
          <w:lang w:val="zh-CN" w:eastAsia="zh-CN"/>
        </w:rPr>
        <w:t>预算结余率大于</w:t>
      </w:r>
      <w:r>
        <w:rPr>
          <w:rFonts w:hint="default" w:ascii="Times New Roman" w:hAnsi="Times New Roman" w:eastAsia="仿宋_GB2312" w:cs="Times New Roman"/>
          <w:color w:val="000000"/>
          <w:kern w:val="0"/>
          <w:sz w:val="33"/>
          <w:szCs w:val="33"/>
          <w:highlight w:val="none"/>
          <w:shd w:val="clear" w:color="auto" w:fill="FFFFFF"/>
          <w:lang w:val="en-US" w:eastAsia="zh-CN"/>
        </w:rPr>
        <w:t>10%</w:t>
      </w:r>
      <w:r>
        <w:rPr>
          <w:rFonts w:hint="default" w:ascii="Times New Roman" w:hAnsi="Times New Roman" w:eastAsia="仿宋_GB2312" w:cs="Times New Roman"/>
          <w:color w:val="000000"/>
          <w:kern w:val="0"/>
          <w:sz w:val="33"/>
          <w:szCs w:val="33"/>
          <w:highlight w:val="none"/>
          <w:shd w:val="clear" w:color="auto" w:fill="FFFFFF"/>
          <w:lang w:val="zh-CN" w:eastAsia="zh-CN"/>
        </w:rPr>
        <w:t>的项目共计</w:t>
      </w:r>
      <w:r>
        <w:rPr>
          <w:rFonts w:hint="eastAsia" w:eastAsia="仿宋_GB2312" w:cs="Times New Roman"/>
          <w:color w:val="000000"/>
          <w:kern w:val="0"/>
          <w:sz w:val="33"/>
          <w:szCs w:val="33"/>
          <w:highlight w:val="none"/>
          <w:shd w:val="clear" w:color="auto" w:fill="FFFFFF"/>
          <w:lang w:val="en-US" w:eastAsia="zh-CN"/>
        </w:rPr>
        <w:t>0</w:t>
      </w:r>
      <w:r>
        <w:rPr>
          <w:rFonts w:hint="default" w:ascii="Times New Roman" w:hAnsi="Times New Roman" w:eastAsia="仿宋_GB2312" w:cs="Times New Roman"/>
          <w:color w:val="000000"/>
          <w:kern w:val="0"/>
          <w:sz w:val="33"/>
          <w:szCs w:val="33"/>
          <w:highlight w:val="none"/>
          <w:shd w:val="clear" w:color="auto" w:fill="FFFFFF"/>
          <w:lang w:val="zh-CN" w:eastAsia="zh-CN"/>
        </w:rPr>
        <w:t>个。</w:t>
      </w:r>
    </w:p>
    <w:p w14:paraId="11022773">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right="0" w:rightChars="0" w:firstLine="660" w:firstLineChars="200"/>
        <w:contextualSpacing/>
        <w:jc w:val="both"/>
        <w:textAlignment w:val="auto"/>
        <w:outlineLvl w:val="9"/>
        <w:rPr>
          <w:rFonts w:hint="default" w:ascii="Times New Roman" w:hAnsi="Times New Roman" w:eastAsia="仿宋_GB2312" w:cs="Times New Roman"/>
          <w:color w:val="000000"/>
          <w:kern w:val="0"/>
          <w:sz w:val="33"/>
          <w:szCs w:val="33"/>
          <w:highlight w:val="none"/>
          <w:shd w:val="clear" w:color="auto" w:fill="FFFFFF"/>
          <w:lang w:val="zh-CN" w:eastAsia="zh-CN"/>
        </w:rPr>
      </w:pPr>
      <w:r>
        <w:rPr>
          <w:rFonts w:hint="default" w:ascii="Times New Roman" w:hAnsi="Times New Roman" w:eastAsia="仿宋_GB2312" w:cs="Times New Roman"/>
          <w:color w:val="000000"/>
          <w:kern w:val="0"/>
          <w:sz w:val="33"/>
          <w:szCs w:val="33"/>
          <w:highlight w:val="none"/>
          <w:shd w:val="clear" w:color="auto" w:fill="FFFFFF"/>
          <w:lang w:val="en-US" w:eastAsia="zh-CN"/>
        </w:rPr>
        <w:t>阶段</w:t>
      </w:r>
      <w:r>
        <w:rPr>
          <w:rFonts w:hint="eastAsia" w:ascii="Times New Roman" w:hAnsi="Times New Roman" w:eastAsia="仿宋_GB2312" w:cs="Times New Roman"/>
          <w:color w:val="000000"/>
          <w:kern w:val="0"/>
          <w:sz w:val="33"/>
          <w:szCs w:val="33"/>
          <w:highlight w:val="none"/>
          <w:shd w:val="clear" w:color="auto" w:fill="FFFFFF"/>
          <w:lang w:val="en-US" w:eastAsia="zh-CN"/>
        </w:rPr>
        <w:t>（</w:t>
      </w:r>
      <w:r>
        <w:rPr>
          <w:rFonts w:hint="default" w:ascii="Times New Roman" w:hAnsi="Times New Roman" w:eastAsia="仿宋_GB2312" w:cs="Times New Roman"/>
          <w:color w:val="000000"/>
          <w:kern w:val="0"/>
          <w:sz w:val="33"/>
          <w:szCs w:val="33"/>
          <w:highlight w:val="none"/>
          <w:shd w:val="clear" w:color="auto" w:fill="FFFFFF"/>
          <w:lang w:val="en-US" w:eastAsia="zh-CN"/>
        </w:rPr>
        <w:t>一次性</w:t>
      </w:r>
      <w:r>
        <w:rPr>
          <w:rFonts w:hint="eastAsia" w:ascii="Times New Roman" w:hAnsi="Times New Roman" w:eastAsia="仿宋_GB2312" w:cs="Times New Roman"/>
          <w:color w:val="000000"/>
          <w:kern w:val="0"/>
          <w:sz w:val="33"/>
          <w:szCs w:val="33"/>
          <w:highlight w:val="none"/>
          <w:shd w:val="clear" w:color="auto" w:fill="FFFFFF"/>
          <w:lang w:val="en-US" w:eastAsia="zh-CN"/>
        </w:rPr>
        <w:t>）</w:t>
      </w:r>
      <w:r>
        <w:rPr>
          <w:rFonts w:hint="default" w:ascii="Times New Roman" w:hAnsi="Times New Roman" w:eastAsia="仿宋_GB2312" w:cs="Times New Roman"/>
          <w:color w:val="000000"/>
          <w:kern w:val="0"/>
          <w:sz w:val="33"/>
          <w:szCs w:val="33"/>
          <w:highlight w:val="none"/>
          <w:shd w:val="clear" w:color="auto" w:fill="FFFFFF"/>
          <w:lang w:val="en-US" w:eastAsia="zh-CN"/>
        </w:rPr>
        <w:t>项目绩效分析。</w:t>
      </w:r>
      <w:r>
        <w:rPr>
          <w:rFonts w:hint="default" w:ascii="Times New Roman" w:hAnsi="Times New Roman" w:eastAsia="仿宋_GB2312" w:cs="Times New Roman"/>
          <w:color w:val="000000"/>
          <w:kern w:val="0"/>
          <w:sz w:val="33"/>
          <w:szCs w:val="33"/>
          <w:highlight w:val="none"/>
          <w:shd w:val="clear" w:color="auto" w:fill="FFFFFF"/>
          <w:lang w:val="zh-CN" w:eastAsia="zh-CN"/>
        </w:rPr>
        <w:t>该类项目总数</w:t>
      </w:r>
      <w:r>
        <w:rPr>
          <w:rFonts w:hint="eastAsia" w:eastAsia="仿宋_GB2312" w:cs="Times New Roman"/>
          <w:color w:val="000000"/>
          <w:kern w:val="0"/>
          <w:sz w:val="33"/>
          <w:szCs w:val="33"/>
          <w:highlight w:val="none"/>
          <w:shd w:val="clear" w:color="auto" w:fill="FFFFFF"/>
          <w:lang w:val="en-US" w:eastAsia="zh-CN"/>
        </w:rPr>
        <w:t>2</w:t>
      </w:r>
      <w:r>
        <w:rPr>
          <w:rFonts w:hint="default" w:ascii="Times New Roman" w:hAnsi="Times New Roman" w:eastAsia="仿宋_GB2312" w:cs="Times New Roman"/>
          <w:color w:val="000000"/>
          <w:kern w:val="0"/>
          <w:sz w:val="33"/>
          <w:szCs w:val="33"/>
          <w:highlight w:val="none"/>
          <w:shd w:val="clear" w:color="auto" w:fill="FFFFFF"/>
          <w:lang w:val="zh-CN" w:eastAsia="zh-CN"/>
        </w:rPr>
        <w:t>个，涉及预算总金额</w:t>
      </w:r>
      <w:r>
        <w:rPr>
          <w:rFonts w:hint="eastAsia" w:eastAsia="仿宋_GB2312" w:cs="Times New Roman"/>
          <w:color w:val="000000"/>
          <w:kern w:val="0"/>
          <w:sz w:val="33"/>
          <w:szCs w:val="33"/>
          <w:highlight w:val="none"/>
          <w:shd w:val="clear" w:color="auto" w:fill="FFFFFF"/>
          <w:lang w:val="en-US" w:eastAsia="zh-CN"/>
        </w:rPr>
        <w:t>11</w:t>
      </w:r>
      <w:r>
        <w:rPr>
          <w:rFonts w:hint="default" w:ascii="Times New Roman" w:hAnsi="Times New Roman" w:eastAsia="仿宋_GB2312" w:cs="Times New Roman"/>
          <w:color w:val="000000"/>
          <w:kern w:val="0"/>
          <w:sz w:val="33"/>
          <w:szCs w:val="33"/>
          <w:highlight w:val="none"/>
          <w:shd w:val="clear" w:color="auto" w:fill="FFFFFF"/>
          <w:lang w:val="zh-CN" w:eastAsia="zh-CN"/>
        </w:rPr>
        <w:t>万元，</w:t>
      </w:r>
      <w:r>
        <w:rPr>
          <w:rFonts w:hint="default" w:ascii="Times New Roman" w:hAnsi="Times New Roman" w:eastAsia="仿宋_GB2312" w:cs="Times New Roman"/>
          <w:color w:val="000000"/>
          <w:kern w:val="0"/>
          <w:sz w:val="33"/>
          <w:szCs w:val="33"/>
          <w:highlight w:val="none"/>
          <w:shd w:val="clear" w:color="auto" w:fill="FFFFFF"/>
          <w:lang w:val="zh-CN"/>
        </w:rPr>
        <w:t>1</w:t>
      </w:r>
      <w:r>
        <w:rPr>
          <w:rFonts w:hint="eastAsia" w:ascii="Times New Roman" w:hAnsi="Times New Roman" w:eastAsia="仿宋_GB2312" w:cs="Times New Roman"/>
          <w:color w:val="000000"/>
          <w:kern w:val="0"/>
          <w:sz w:val="33"/>
          <w:szCs w:val="33"/>
          <w:highlight w:val="none"/>
          <w:shd w:val="clear" w:color="auto" w:fill="FFFFFF"/>
          <w:lang w:val="zh-CN" w:eastAsia="zh-CN"/>
        </w:rPr>
        <w:t>—</w:t>
      </w:r>
      <w:r>
        <w:rPr>
          <w:rFonts w:hint="default" w:ascii="Times New Roman" w:hAnsi="Times New Roman" w:eastAsia="仿宋_GB2312" w:cs="Times New Roman"/>
          <w:color w:val="000000"/>
          <w:kern w:val="0"/>
          <w:sz w:val="33"/>
          <w:szCs w:val="33"/>
          <w:highlight w:val="none"/>
          <w:shd w:val="clear" w:color="auto" w:fill="FFFFFF"/>
          <w:lang w:val="zh-CN"/>
        </w:rPr>
        <w:t>1</w:t>
      </w:r>
      <w:r>
        <w:rPr>
          <w:rFonts w:hint="default" w:ascii="Times New Roman" w:hAnsi="Times New Roman" w:eastAsia="仿宋_GB2312" w:cs="Times New Roman"/>
          <w:color w:val="000000"/>
          <w:kern w:val="0"/>
          <w:sz w:val="33"/>
          <w:szCs w:val="33"/>
          <w:highlight w:val="none"/>
          <w:shd w:val="clear" w:color="auto" w:fill="FFFFFF"/>
          <w:lang w:val="en-US" w:eastAsia="zh-CN"/>
        </w:rPr>
        <w:t>2</w:t>
      </w:r>
      <w:r>
        <w:rPr>
          <w:rFonts w:hint="default" w:ascii="Times New Roman" w:hAnsi="Times New Roman" w:eastAsia="仿宋_GB2312" w:cs="Times New Roman"/>
          <w:color w:val="000000"/>
          <w:kern w:val="0"/>
          <w:sz w:val="33"/>
          <w:szCs w:val="33"/>
          <w:highlight w:val="none"/>
          <w:shd w:val="clear" w:color="auto" w:fill="FFFFFF"/>
          <w:lang w:val="zh-CN"/>
        </w:rPr>
        <w:t>月预算执行总体进度为</w:t>
      </w:r>
      <w:r>
        <w:rPr>
          <w:rFonts w:hint="eastAsia" w:eastAsia="仿宋_GB2312" w:cs="Times New Roman"/>
          <w:color w:val="000000"/>
          <w:kern w:val="0"/>
          <w:sz w:val="33"/>
          <w:szCs w:val="33"/>
          <w:highlight w:val="none"/>
          <w:shd w:val="clear" w:color="auto" w:fill="FFFFFF"/>
          <w:lang w:val="en-US" w:eastAsia="zh-CN"/>
        </w:rPr>
        <w:t>100</w:t>
      </w:r>
      <w:r>
        <w:rPr>
          <w:rFonts w:hint="default" w:ascii="Times New Roman" w:hAnsi="Times New Roman" w:eastAsia="仿宋_GB2312" w:cs="Times New Roman"/>
          <w:color w:val="000000"/>
          <w:kern w:val="0"/>
          <w:sz w:val="33"/>
          <w:szCs w:val="33"/>
          <w:highlight w:val="none"/>
          <w:shd w:val="clear" w:color="auto" w:fill="FFFFFF"/>
          <w:lang w:val="zh-CN"/>
        </w:rPr>
        <w:t>%，其中：</w:t>
      </w:r>
      <w:r>
        <w:rPr>
          <w:rFonts w:hint="default" w:ascii="Times New Roman" w:hAnsi="Times New Roman" w:eastAsia="仿宋_GB2312" w:cs="Times New Roman"/>
          <w:color w:val="000000"/>
          <w:kern w:val="0"/>
          <w:sz w:val="33"/>
          <w:szCs w:val="33"/>
          <w:highlight w:val="none"/>
          <w:shd w:val="clear" w:color="auto" w:fill="FFFFFF"/>
          <w:lang w:val="zh-CN" w:eastAsia="zh-CN"/>
        </w:rPr>
        <w:t>预算结余率大于</w:t>
      </w:r>
      <w:r>
        <w:rPr>
          <w:rFonts w:hint="default" w:ascii="Times New Roman" w:hAnsi="Times New Roman" w:eastAsia="仿宋_GB2312" w:cs="Times New Roman"/>
          <w:color w:val="000000"/>
          <w:kern w:val="0"/>
          <w:sz w:val="33"/>
          <w:szCs w:val="33"/>
          <w:highlight w:val="none"/>
          <w:shd w:val="clear" w:color="auto" w:fill="FFFFFF"/>
          <w:lang w:val="en-US" w:eastAsia="zh-CN"/>
        </w:rPr>
        <w:t>10%</w:t>
      </w:r>
      <w:r>
        <w:rPr>
          <w:rFonts w:hint="default" w:ascii="Times New Roman" w:hAnsi="Times New Roman" w:eastAsia="仿宋_GB2312" w:cs="Times New Roman"/>
          <w:color w:val="000000"/>
          <w:kern w:val="0"/>
          <w:sz w:val="33"/>
          <w:szCs w:val="33"/>
          <w:highlight w:val="none"/>
          <w:shd w:val="clear" w:color="auto" w:fill="FFFFFF"/>
          <w:lang w:val="zh-CN" w:eastAsia="zh-CN"/>
        </w:rPr>
        <w:t>的项目共计</w:t>
      </w:r>
      <w:r>
        <w:rPr>
          <w:rFonts w:hint="eastAsia" w:eastAsia="仿宋_GB2312" w:cs="Times New Roman"/>
          <w:color w:val="000000"/>
          <w:kern w:val="0"/>
          <w:sz w:val="33"/>
          <w:szCs w:val="33"/>
          <w:highlight w:val="none"/>
          <w:shd w:val="clear" w:color="auto" w:fill="FFFFFF"/>
          <w:lang w:val="en-US" w:eastAsia="zh-CN"/>
        </w:rPr>
        <w:t>0</w:t>
      </w:r>
      <w:r>
        <w:rPr>
          <w:rFonts w:hint="default" w:ascii="Times New Roman" w:hAnsi="Times New Roman" w:eastAsia="仿宋_GB2312" w:cs="Times New Roman"/>
          <w:color w:val="000000"/>
          <w:kern w:val="0"/>
          <w:sz w:val="33"/>
          <w:szCs w:val="33"/>
          <w:highlight w:val="none"/>
          <w:shd w:val="clear" w:color="auto" w:fill="FFFFFF"/>
          <w:lang w:val="zh-CN" w:eastAsia="zh-CN"/>
        </w:rPr>
        <w:t>个</w:t>
      </w:r>
      <w:r>
        <w:rPr>
          <w:rFonts w:hint="eastAsia" w:eastAsia="仿宋_GB2312" w:cs="Times New Roman"/>
          <w:color w:val="000000"/>
          <w:kern w:val="0"/>
          <w:sz w:val="33"/>
          <w:szCs w:val="33"/>
          <w:highlight w:val="none"/>
          <w:shd w:val="clear" w:color="auto" w:fill="FFFFFF"/>
          <w:lang w:val="zh-CN" w:eastAsia="zh-CN"/>
        </w:rPr>
        <w:t>、</w:t>
      </w:r>
      <w:r>
        <w:rPr>
          <w:rFonts w:hint="eastAsia" w:eastAsia="仿宋_GB2312" w:cs="Times New Roman"/>
          <w:color w:val="000000"/>
          <w:kern w:val="0"/>
          <w:sz w:val="33"/>
          <w:szCs w:val="33"/>
          <w:highlight w:val="none"/>
          <w:shd w:val="clear" w:color="auto" w:fill="FFFFFF"/>
          <w:lang w:val="en-US" w:eastAsia="zh-CN"/>
        </w:rPr>
        <w:t>结转结余0.00万元</w:t>
      </w:r>
      <w:r>
        <w:rPr>
          <w:rFonts w:hint="default" w:ascii="Times New Roman" w:hAnsi="Times New Roman" w:eastAsia="仿宋_GB2312" w:cs="Times New Roman"/>
          <w:color w:val="000000"/>
          <w:kern w:val="0"/>
          <w:sz w:val="33"/>
          <w:szCs w:val="33"/>
          <w:highlight w:val="none"/>
          <w:shd w:val="clear" w:color="auto" w:fill="FFFFFF"/>
          <w:lang w:val="zh-CN" w:eastAsia="zh-CN"/>
        </w:rPr>
        <w:t>。</w:t>
      </w:r>
    </w:p>
    <w:p w14:paraId="7DF28B2A">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right="0" w:rightChars="0" w:firstLine="660" w:firstLineChars="200"/>
        <w:contextualSpacing/>
        <w:jc w:val="both"/>
        <w:textAlignment w:val="auto"/>
        <w:outlineLvl w:val="9"/>
        <w:rPr>
          <w:rFonts w:hint="eastAsia" w:ascii="Times New Roman" w:hAnsi="Times New Roman" w:eastAsia="仿宋_GB2312" w:cs="Times New Roman"/>
          <w:color w:val="000000"/>
          <w:kern w:val="0"/>
          <w:sz w:val="33"/>
          <w:szCs w:val="33"/>
          <w:highlight w:val="none"/>
          <w:shd w:val="clear" w:color="auto" w:fill="FFFFFF"/>
          <w:lang w:val="zh-CN"/>
        </w:rPr>
      </w:pPr>
      <w:r>
        <w:rPr>
          <w:rFonts w:hint="eastAsia" w:ascii="Times New Roman" w:hAnsi="Times New Roman" w:eastAsia="楷体_GB2312" w:cs="楷体_GB2312"/>
          <w:color w:val="000000"/>
          <w:kern w:val="0"/>
          <w:sz w:val="33"/>
          <w:szCs w:val="33"/>
          <w:highlight w:val="none"/>
          <w:shd w:val="clear" w:color="auto" w:fill="FFFFFF"/>
          <w:lang w:val="en-US" w:eastAsia="zh-CN"/>
        </w:rPr>
        <w:t>1.</w:t>
      </w:r>
      <w:r>
        <w:rPr>
          <w:rFonts w:hint="eastAsia" w:ascii="Times New Roman" w:hAnsi="Times New Roman" w:eastAsia="楷体_GB2312" w:cs="楷体_GB2312"/>
          <w:color w:val="000000"/>
          <w:kern w:val="0"/>
          <w:sz w:val="33"/>
          <w:szCs w:val="33"/>
          <w:highlight w:val="none"/>
          <w:shd w:val="clear" w:color="auto" w:fill="FFFFFF"/>
          <w:lang w:val="zh-CN"/>
        </w:rPr>
        <w:t>项目决策。</w:t>
      </w:r>
      <w:r>
        <w:rPr>
          <w:rFonts w:hint="eastAsia" w:ascii="Times New Roman" w:hAnsi="Times New Roman" w:eastAsia="仿宋_GB2312" w:cs="Times New Roman"/>
          <w:color w:val="000000"/>
          <w:kern w:val="0"/>
          <w:sz w:val="33"/>
          <w:szCs w:val="33"/>
          <w:highlight w:val="none"/>
          <w:shd w:val="clear" w:color="auto" w:fill="FFFFFF"/>
          <w:lang w:val="zh-CN"/>
        </w:rPr>
        <w:t>围绕决策程序、目标设置、项目入库</w:t>
      </w:r>
      <w:r>
        <w:rPr>
          <w:rFonts w:hint="default" w:ascii="Times New Roman" w:hAnsi="Times New Roman" w:eastAsia="仿宋_GB2312" w:cs="Times New Roman"/>
          <w:color w:val="000000"/>
          <w:kern w:val="0"/>
          <w:sz w:val="33"/>
          <w:szCs w:val="33"/>
          <w:highlight w:val="none"/>
          <w:shd w:val="clear" w:color="auto" w:fill="FFFFFF"/>
          <w:lang w:val="zh-CN"/>
        </w:rPr>
        <w:t>进行绩效分析</w:t>
      </w:r>
      <w:r>
        <w:rPr>
          <w:rFonts w:hint="eastAsia" w:ascii="Times New Roman" w:hAnsi="Times New Roman" w:eastAsia="仿宋_GB2312" w:cs="Times New Roman"/>
          <w:color w:val="000000"/>
          <w:kern w:val="0"/>
          <w:sz w:val="33"/>
          <w:szCs w:val="33"/>
          <w:highlight w:val="none"/>
          <w:shd w:val="clear" w:color="auto" w:fill="FFFFFF"/>
          <w:lang w:val="zh-CN"/>
        </w:rPr>
        <w:t>。</w:t>
      </w:r>
    </w:p>
    <w:p w14:paraId="4F3A9636">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right="0" w:rightChars="0" w:firstLine="660" w:firstLineChars="200"/>
        <w:contextualSpacing/>
        <w:jc w:val="both"/>
        <w:textAlignment w:val="auto"/>
        <w:outlineLvl w:val="9"/>
        <w:rPr>
          <w:rFonts w:hint="default" w:ascii="Times New Roman" w:hAnsi="Times New Roman" w:eastAsia="仿宋_GB2312" w:cs="Times New Roman"/>
          <w:color w:val="000000"/>
          <w:kern w:val="0"/>
          <w:sz w:val="33"/>
          <w:szCs w:val="33"/>
          <w:highlight w:val="none"/>
          <w:shd w:val="clear" w:color="auto" w:fill="FFFFFF"/>
          <w:lang w:val="en-US" w:eastAsia="zh-CN"/>
        </w:rPr>
      </w:pPr>
      <w:r>
        <w:rPr>
          <w:rFonts w:hint="eastAsia" w:ascii="Times New Roman" w:hAnsi="Times New Roman" w:eastAsia="仿宋_GB2312" w:cs="Times New Roman"/>
          <w:color w:val="000000"/>
          <w:kern w:val="0"/>
          <w:sz w:val="33"/>
          <w:szCs w:val="33"/>
          <w:highlight w:val="none"/>
          <w:shd w:val="clear" w:color="auto" w:fill="FFFFFF"/>
          <w:lang w:val="en-US" w:eastAsia="zh-CN"/>
        </w:rPr>
        <w:t>（1）决策程序：</w:t>
      </w:r>
      <w:r>
        <w:rPr>
          <w:rFonts w:hint="eastAsia" w:eastAsia="仿宋_GB2312" w:cs="Times New Roman"/>
          <w:color w:val="000000"/>
          <w:kern w:val="0"/>
          <w:sz w:val="33"/>
          <w:szCs w:val="33"/>
          <w:highlight w:val="none"/>
          <w:shd w:val="clear" w:color="auto" w:fill="FFFFFF"/>
          <w:lang w:val="en-US" w:eastAsia="zh-CN"/>
        </w:rPr>
        <w:t>2024年我局85个项目，包括47个县区级资金项目12730.82万元，28个中省资金项目24527.71万元</w:t>
      </w:r>
      <w:r>
        <w:rPr>
          <w:rFonts w:hint="eastAsia" w:ascii="Times New Roman" w:hAnsi="Times New Roman" w:eastAsia="仿宋_GB2312" w:cs="Times New Roman"/>
          <w:color w:val="000000"/>
          <w:kern w:val="0"/>
          <w:sz w:val="33"/>
          <w:szCs w:val="33"/>
          <w:highlight w:val="none"/>
          <w:shd w:val="clear" w:color="auto" w:fill="FFFFFF"/>
          <w:lang w:val="en-US" w:eastAsia="zh-CN"/>
        </w:rPr>
        <w:t>，除延续性项目和上年结转项目外，我局均已开展事前绩效评估，自评得4分。</w:t>
      </w:r>
    </w:p>
    <w:p w14:paraId="52C65188">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right="0" w:rightChars="0" w:firstLine="660" w:firstLineChars="200"/>
        <w:contextualSpacing/>
        <w:jc w:val="both"/>
        <w:textAlignment w:val="auto"/>
        <w:outlineLvl w:val="9"/>
        <w:rPr>
          <w:rFonts w:hint="default" w:ascii="Times New Roman" w:hAnsi="Times New Roman" w:eastAsia="仿宋_GB2312" w:cs="Times New Roman"/>
          <w:color w:val="000000"/>
          <w:kern w:val="0"/>
          <w:sz w:val="33"/>
          <w:szCs w:val="33"/>
          <w:highlight w:val="none"/>
          <w:shd w:val="clear" w:color="auto" w:fill="FFFFFF"/>
          <w:lang w:val="en-US" w:eastAsia="zh-CN"/>
        </w:rPr>
      </w:pPr>
      <w:r>
        <w:rPr>
          <w:rFonts w:hint="eastAsia" w:ascii="Times New Roman" w:hAnsi="Times New Roman" w:eastAsia="仿宋_GB2312" w:cs="Times New Roman"/>
          <w:color w:val="000000"/>
          <w:kern w:val="0"/>
          <w:sz w:val="33"/>
          <w:szCs w:val="33"/>
          <w:highlight w:val="none"/>
          <w:shd w:val="clear" w:color="auto" w:fill="FFFFFF"/>
          <w:lang w:val="en-US" w:eastAsia="zh-CN"/>
        </w:rPr>
        <w:t>（2）目标设置：根据“该项指标得分=4-绩效目标与计划期内的任务量、预算安排不相匹配的部门预算阶段项目（含一次性项目）数量÷部门预算阶段项目（含一次性项目）总数×100%×4。若无部门预算阶段项目（含一次性项目），则抽评涉及核心业务、资金量大的其他部门预算项目，下同”评分标准，2024年</w:t>
      </w:r>
      <w:r>
        <w:rPr>
          <w:rFonts w:hint="eastAsia" w:eastAsia="仿宋_GB2312" w:cs="Times New Roman"/>
          <w:color w:val="000000"/>
          <w:kern w:val="0"/>
          <w:sz w:val="33"/>
          <w:szCs w:val="33"/>
          <w:highlight w:val="none"/>
          <w:shd w:val="clear" w:color="auto" w:fill="FFFFFF"/>
          <w:lang w:val="en-US" w:eastAsia="zh-CN"/>
        </w:rPr>
        <w:t>我局85</w:t>
      </w:r>
      <w:r>
        <w:rPr>
          <w:rFonts w:hint="eastAsia" w:ascii="Times New Roman" w:hAnsi="Times New Roman" w:eastAsia="仿宋_GB2312" w:cs="Times New Roman"/>
          <w:color w:val="000000"/>
          <w:kern w:val="0"/>
          <w:sz w:val="33"/>
          <w:szCs w:val="33"/>
          <w:highlight w:val="none"/>
          <w:shd w:val="clear" w:color="auto" w:fill="FFFFFF"/>
          <w:lang w:val="en-US" w:eastAsia="zh-CN"/>
        </w:rPr>
        <w:t>个项目（47个县区级资金项目12730.82万元，28个中省资金项目24527.71万元）绩效目标与计划期内的任务量、预算安排均相匹配，自评得4分。</w:t>
      </w:r>
    </w:p>
    <w:p w14:paraId="5FF7BF50">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right="0" w:rightChars="0" w:firstLine="660" w:firstLineChars="200"/>
        <w:contextualSpacing/>
        <w:jc w:val="both"/>
        <w:textAlignment w:val="auto"/>
        <w:outlineLvl w:val="9"/>
        <w:rPr>
          <w:rFonts w:hint="default" w:ascii="Times New Roman" w:hAnsi="Times New Roman" w:eastAsia="仿宋_GB2312" w:cs="Times New Roman"/>
          <w:color w:val="000000"/>
          <w:kern w:val="0"/>
          <w:sz w:val="33"/>
          <w:szCs w:val="33"/>
          <w:highlight w:val="none"/>
          <w:shd w:val="clear" w:color="auto" w:fill="FFFFFF"/>
          <w:lang w:val="en-US" w:eastAsia="zh-CN"/>
        </w:rPr>
      </w:pPr>
      <w:r>
        <w:rPr>
          <w:rFonts w:hint="eastAsia" w:ascii="Times New Roman" w:hAnsi="Times New Roman" w:eastAsia="仿宋_GB2312" w:cs="Times New Roman"/>
          <w:color w:val="000000"/>
          <w:kern w:val="0"/>
          <w:sz w:val="33"/>
          <w:szCs w:val="33"/>
          <w:highlight w:val="none"/>
          <w:shd w:val="clear" w:color="auto" w:fill="FFFFFF"/>
          <w:lang w:val="en-US" w:eastAsia="zh-CN"/>
        </w:rPr>
        <w:t>（3）项目入库：2024年</w:t>
      </w:r>
      <w:r>
        <w:rPr>
          <w:rFonts w:hint="eastAsia" w:eastAsia="仿宋_GB2312" w:cs="Times New Roman"/>
          <w:color w:val="000000"/>
          <w:kern w:val="0"/>
          <w:sz w:val="33"/>
          <w:szCs w:val="33"/>
          <w:highlight w:val="none"/>
          <w:shd w:val="clear" w:color="auto" w:fill="FFFFFF"/>
          <w:lang w:val="en-US" w:eastAsia="zh-CN"/>
        </w:rPr>
        <w:t>我局85</w:t>
      </w:r>
      <w:r>
        <w:rPr>
          <w:rFonts w:hint="eastAsia" w:ascii="Times New Roman" w:hAnsi="Times New Roman" w:eastAsia="仿宋_GB2312" w:cs="Times New Roman"/>
          <w:color w:val="000000"/>
          <w:kern w:val="0"/>
          <w:sz w:val="33"/>
          <w:szCs w:val="33"/>
          <w:highlight w:val="none"/>
          <w:shd w:val="clear" w:color="auto" w:fill="FFFFFF"/>
          <w:lang w:val="en-US" w:eastAsia="zh-CN"/>
        </w:rPr>
        <w:t>个项目（47个县区级资金项目12730.82万元，28个中省资金项目24527.71万元）均以预算指标形式下达，县区级资金已入区财政局库，中省资金项目已入省资金项目库，自评得4分。</w:t>
      </w:r>
    </w:p>
    <w:p w14:paraId="2785B609">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right="0" w:rightChars="0" w:firstLine="660" w:firstLineChars="200"/>
        <w:contextualSpacing/>
        <w:jc w:val="both"/>
        <w:textAlignment w:val="auto"/>
        <w:outlineLvl w:val="9"/>
        <w:rPr>
          <w:rFonts w:hint="eastAsia" w:ascii="Times New Roman" w:hAnsi="Times New Roman" w:eastAsia="仿宋_GB2312" w:cs="Times New Roman"/>
          <w:color w:val="000000"/>
          <w:kern w:val="0"/>
          <w:sz w:val="33"/>
          <w:szCs w:val="33"/>
          <w:highlight w:val="none"/>
          <w:shd w:val="clear" w:color="auto" w:fill="FFFFFF"/>
          <w:lang w:val="zh-CN"/>
        </w:rPr>
      </w:pPr>
      <w:r>
        <w:rPr>
          <w:rFonts w:hint="eastAsia" w:ascii="Times New Roman" w:hAnsi="Times New Roman" w:eastAsia="楷体_GB2312" w:cs="楷体_GB2312"/>
          <w:color w:val="000000"/>
          <w:kern w:val="0"/>
          <w:sz w:val="33"/>
          <w:szCs w:val="33"/>
          <w:highlight w:val="none"/>
          <w:shd w:val="clear" w:color="auto" w:fill="FFFFFF"/>
          <w:lang w:val="en-US" w:eastAsia="zh-CN"/>
        </w:rPr>
        <w:t>2.项目执行</w:t>
      </w:r>
      <w:r>
        <w:rPr>
          <w:rFonts w:hint="eastAsia" w:ascii="Times New Roman" w:hAnsi="Times New Roman" w:eastAsia="楷体_GB2312" w:cs="楷体_GB2312"/>
          <w:color w:val="000000"/>
          <w:kern w:val="0"/>
          <w:sz w:val="33"/>
          <w:szCs w:val="33"/>
          <w:highlight w:val="none"/>
          <w:shd w:val="clear" w:color="auto" w:fill="FFFFFF"/>
          <w:lang w:val="zh-CN"/>
        </w:rPr>
        <w:t>。</w:t>
      </w:r>
      <w:r>
        <w:rPr>
          <w:rFonts w:hint="eastAsia" w:ascii="Times New Roman" w:hAnsi="Times New Roman" w:eastAsia="仿宋_GB2312" w:cs="Times New Roman"/>
          <w:color w:val="000000"/>
          <w:kern w:val="0"/>
          <w:sz w:val="33"/>
          <w:szCs w:val="33"/>
          <w:highlight w:val="none"/>
          <w:shd w:val="clear" w:color="auto" w:fill="FFFFFF"/>
          <w:lang w:val="zh-CN"/>
        </w:rPr>
        <w:t>围绕资金执行同向、项目调整、执行结果</w:t>
      </w:r>
      <w:r>
        <w:rPr>
          <w:rFonts w:hint="default" w:ascii="Times New Roman" w:hAnsi="Times New Roman" w:eastAsia="仿宋_GB2312" w:cs="Times New Roman"/>
          <w:color w:val="000000"/>
          <w:kern w:val="0"/>
          <w:sz w:val="33"/>
          <w:szCs w:val="33"/>
          <w:highlight w:val="none"/>
          <w:shd w:val="clear" w:color="auto" w:fill="FFFFFF"/>
          <w:lang w:val="zh-CN"/>
        </w:rPr>
        <w:t>进行绩效分析</w:t>
      </w:r>
      <w:r>
        <w:rPr>
          <w:rFonts w:hint="eastAsia" w:ascii="Times New Roman" w:hAnsi="Times New Roman" w:eastAsia="仿宋_GB2312" w:cs="Times New Roman"/>
          <w:color w:val="000000"/>
          <w:kern w:val="0"/>
          <w:sz w:val="33"/>
          <w:szCs w:val="33"/>
          <w:highlight w:val="none"/>
          <w:shd w:val="clear" w:color="auto" w:fill="FFFFFF"/>
          <w:lang w:val="zh-CN"/>
        </w:rPr>
        <w:t>。</w:t>
      </w:r>
    </w:p>
    <w:p w14:paraId="273AC8F0">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right="0" w:rightChars="0" w:firstLine="660" w:firstLineChars="200"/>
        <w:contextualSpacing/>
        <w:jc w:val="both"/>
        <w:textAlignment w:val="auto"/>
        <w:outlineLvl w:val="9"/>
        <w:rPr>
          <w:rFonts w:hint="default" w:ascii="Times New Roman" w:hAnsi="Times New Roman" w:eastAsia="仿宋_GB2312" w:cs="Times New Roman"/>
          <w:color w:val="000000"/>
          <w:kern w:val="0"/>
          <w:sz w:val="33"/>
          <w:szCs w:val="33"/>
          <w:highlight w:val="none"/>
          <w:shd w:val="clear" w:color="auto" w:fill="FFFFFF"/>
          <w:lang w:val="en-US" w:eastAsia="zh-CN"/>
        </w:rPr>
      </w:pPr>
      <w:r>
        <w:rPr>
          <w:rFonts w:hint="eastAsia" w:ascii="Times New Roman" w:hAnsi="Times New Roman" w:eastAsia="仿宋_GB2312" w:cs="Times New Roman"/>
          <w:color w:val="000000"/>
          <w:kern w:val="0"/>
          <w:sz w:val="33"/>
          <w:szCs w:val="33"/>
          <w:highlight w:val="none"/>
          <w:shd w:val="clear" w:color="auto" w:fill="FFFFFF"/>
          <w:lang w:val="zh-CN" w:eastAsia="zh-CN"/>
        </w:rPr>
        <w:t>（</w:t>
      </w:r>
      <w:r>
        <w:rPr>
          <w:rFonts w:hint="eastAsia" w:ascii="Times New Roman" w:hAnsi="Times New Roman" w:eastAsia="仿宋_GB2312" w:cs="Times New Roman"/>
          <w:color w:val="000000"/>
          <w:kern w:val="0"/>
          <w:sz w:val="33"/>
          <w:szCs w:val="33"/>
          <w:highlight w:val="none"/>
          <w:shd w:val="clear" w:color="auto" w:fill="FFFFFF"/>
          <w:lang w:val="en-US" w:eastAsia="zh-CN"/>
        </w:rPr>
        <w:t>1</w:t>
      </w:r>
      <w:r>
        <w:rPr>
          <w:rFonts w:hint="eastAsia" w:ascii="Times New Roman" w:hAnsi="Times New Roman" w:eastAsia="仿宋_GB2312" w:cs="Times New Roman"/>
          <w:color w:val="000000"/>
          <w:kern w:val="0"/>
          <w:sz w:val="33"/>
          <w:szCs w:val="33"/>
          <w:highlight w:val="none"/>
          <w:shd w:val="clear" w:color="auto" w:fill="FFFFFF"/>
          <w:lang w:val="zh-CN" w:eastAsia="zh-CN"/>
        </w:rPr>
        <w:t>）</w:t>
      </w:r>
      <w:r>
        <w:rPr>
          <w:rFonts w:hint="eastAsia" w:ascii="Times New Roman" w:hAnsi="Times New Roman" w:eastAsia="仿宋_GB2312" w:cs="Times New Roman"/>
          <w:color w:val="000000"/>
          <w:kern w:val="0"/>
          <w:sz w:val="33"/>
          <w:szCs w:val="33"/>
          <w:highlight w:val="none"/>
          <w:shd w:val="clear" w:color="auto" w:fill="FFFFFF"/>
          <w:lang w:val="en-US" w:eastAsia="zh-CN"/>
        </w:rPr>
        <w:t>执行同向：2024年</w:t>
      </w:r>
      <w:r>
        <w:rPr>
          <w:rFonts w:hint="eastAsia" w:eastAsia="仿宋_GB2312" w:cs="Times New Roman"/>
          <w:color w:val="000000"/>
          <w:kern w:val="0"/>
          <w:sz w:val="33"/>
          <w:szCs w:val="33"/>
          <w:highlight w:val="none"/>
          <w:shd w:val="clear" w:color="auto" w:fill="FFFFFF"/>
          <w:lang w:val="en-US" w:eastAsia="zh-CN"/>
        </w:rPr>
        <w:t>我局85</w:t>
      </w:r>
      <w:r>
        <w:rPr>
          <w:rFonts w:hint="eastAsia" w:ascii="Times New Roman" w:hAnsi="Times New Roman" w:eastAsia="仿宋_GB2312" w:cs="Times New Roman"/>
          <w:color w:val="000000"/>
          <w:kern w:val="0"/>
          <w:sz w:val="33"/>
          <w:szCs w:val="33"/>
          <w:highlight w:val="none"/>
          <w:shd w:val="clear" w:color="auto" w:fill="FFFFFF"/>
          <w:lang w:val="en-US" w:eastAsia="zh-CN"/>
        </w:rPr>
        <w:t>个项目（47个县区级资金项目12730.82万元，28个中省资金项目24527.71万元）实际列支内容与</w:t>
      </w:r>
      <w:r>
        <w:rPr>
          <w:rFonts w:hint="eastAsia" w:eastAsia="仿宋_GB2312" w:cs="Times New Roman"/>
          <w:color w:val="000000"/>
          <w:kern w:val="0"/>
          <w:sz w:val="33"/>
          <w:szCs w:val="33"/>
          <w:highlight w:val="none"/>
          <w:shd w:val="clear" w:color="auto" w:fill="FFFFFF"/>
          <w:lang w:val="en-US" w:eastAsia="zh-CN"/>
        </w:rPr>
        <w:t>85</w:t>
      </w:r>
      <w:r>
        <w:rPr>
          <w:rFonts w:hint="eastAsia" w:ascii="Times New Roman" w:hAnsi="Times New Roman" w:eastAsia="仿宋_GB2312" w:cs="Times New Roman"/>
          <w:color w:val="000000"/>
          <w:kern w:val="0"/>
          <w:sz w:val="33"/>
          <w:szCs w:val="33"/>
          <w:highlight w:val="none"/>
          <w:shd w:val="clear" w:color="auto" w:fill="FFFFFF"/>
          <w:lang w:val="en-US" w:eastAsia="zh-CN"/>
        </w:rPr>
        <w:t>个项目绩效目标设置方向均相符，无不不相符项目，自评得4分。</w:t>
      </w:r>
    </w:p>
    <w:p w14:paraId="7AD7FE95">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right="0" w:rightChars="0" w:firstLine="660" w:firstLineChars="200"/>
        <w:contextualSpacing/>
        <w:jc w:val="both"/>
        <w:textAlignment w:val="auto"/>
        <w:outlineLvl w:val="9"/>
        <w:rPr>
          <w:rFonts w:hint="default" w:ascii="Times New Roman" w:hAnsi="Times New Roman" w:eastAsia="仿宋_GB2312" w:cs="Times New Roman"/>
          <w:color w:val="000000"/>
          <w:kern w:val="0"/>
          <w:sz w:val="33"/>
          <w:szCs w:val="33"/>
          <w:highlight w:val="none"/>
          <w:shd w:val="clear" w:color="auto" w:fill="FFFFFF"/>
          <w:lang w:val="en-US" w:eastAsia="zh-CN"/>
        </w:rPr>
      </w:pPr>
      <w:r>
        <w:rPr>
          <w:rFonts w:hint="eastAsia" w:ascii="Times New Roman" w:hAnsi="Times New Roman" w:eastAsia="仿宋_GB2312" w:cs="Times New Roman"/>
          <w:color w:val="000000"/>
          <w:kern w:val="0"/>
          <w:sz w:val="33"/>
          <w:szCs w:val="33"/>
          <w:highlight w:val="none"/>
          <w:shd w:val="clear" w:color="auto" w:fill="FFFFFF"/>
          <w:lang w:val="en-US" w:eastAsia="zh-CN"/>
        </w:rPr>
        <w:t>（2）项目调整：2024年我局无预算调整项目，</w:t>
      </w:r>
      <w:r>
        <w:rPr>
          <w:rFonts w:hint="eastAsia" w:eastAsia="仿宋_GB2312" w:cs="Times New Roman"/>
          <w:color w:val="000000"/>
          <w:kern w:val="0"/>
          <w:sz w:val="33"/>
          <w:szCs w:val="33"/>
          <w:highlight w:val="none"/>
          <w:shd w:val="clear" w:color="auto" w:fill="FFFFFF"/>
          <w:lang w:val="en-US" w:eastAsia="zh-CN"/>
        </w:rPr>
        <w:t>只有</w:t>
      </w:r>
      <w:r>
        <w:rPr>
          <w:rFonts w:hint="eastAsia" w:ascii="Times New Roman" w:hAnsi="Times New Roman" w:eastAsia="仿宋_GB2312" w:cs="Times New Roman"/>
          <w:color w:val="000000"/>
          <w:kern w:val="0"/>
          <w:sz w:val="33"/>
          <w:szCs w:val="33"/>
          <w:highlight w:val="none"/>
          <w:shd w:val="clear" w:color="auto" w:fill="FFFFFF"/>
          <w:lang w:val="en-US" w:eastAsia="zh-CN"/>
        </w:rPr>
        <w:t>预算调剂项目</w:t>
      </w:r>
      <w:r>
        <w:rPr>
          <w:rFonts w:hint="eastAsia" w:eastAsia="仿宋_GB2312" w:cs="Times New Roman"/>
          <w:color w:val="000000"/>
          <w:kern w:val="0"/>
          <w:sz w:val="33"/>
          <w:szCs w:val="33"/>
          <w:highlight w:val="none"/>
          <w:shd w:val="clear" w:color="auto" w:fill="FFFFFF"/>
          <w:lang w:val="en-US" w:eastAsia="zh-CN"/>
        </w:rPr>
        <w:t>，自评得6分</w:t>
      </w:r>
      <w:r>
        <w:rPr>
          <w:rFonts w:hint="eastAsia" w:ascii="Times New Roman" w:hAnsi="Times New Roman" w:eastAsia="仿宋_GB2312" w:cs="Times New Roman"/>
          <w:color w:val="000000"/>
          <w:kern w:val="0"/>
          <w:sz w:val="33"/>
          <w:szCs w:val="33"/>
          <w:highlight w:val="none"/>
          <w:shd w:val="clear" w:color="auto" w:fill="FFFFFF"/>
          <w:lang w:val="en-US" w:eastAsia="zh-CN"/>
        </w:rPr>
        <w:t>。</w:t>
      </w:r>
    </w:p>
    <w:p w14:paraId="74CF66F2">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right="0" w:rightChars="0" w:firstLine="660" w:firstLineChars="200"/>
        <w:contextualSpacing/>
        <w:jc w:val="both"/>
        <w:textAlignment w:val="auto"/>
        <w:outlineLvl w:val="9"/>
        <w:rPr>
          <w:rFonts w:hint="default" w:eastAsia="仿宋_GB2312"/>
          <w:lang w:val="en-US" w:eastAsia="zh-CN"/>
        </w:rPr>
      </w:pPr>
      <w:r>
        <w:rPr>
          <w:rFonts w:hint="eastAsia" w:ascii="Times New Roman" w:hAnsi="Times New Roman" w:eastAsia="仿宋_GB2312" w:cs="Times New Roman"/>
          <w:color w:val="000000"/>
          <w:kern w:val="0"/>
          <w:sz w:val="33"/>
          <w:szCs w:val="33"/>
          <w:highlight w:val="none"/>
          <w:shd w:val="clear" w:color="auto" w:fill="FFFFFF"/>
          <w:lang w:val="en-US" w:eastAsia="zh-CN"/>
        </w:rPr>
        <w:t>（3）执行结果：整体上，2024年度我局项目执行良好，在资金及指标下达后严格按照财政部门批复执行相关项目；</w:t>
      </w:r>
      <w:r>
        <w:rPr>
          <w:rFonts w:hint="eastAsia" w:eastAsia="仿宋_GB2312" w:cs="Times New Roman"/>
          <w:color w:val="000000"/>
          <w:kern w:val="0"/>
          <w:sz w:val="33"/>
          <w:szCs w:val="33"/>
          <w:highlight w:val="none"/>
          <w:shd w:val="clear" w:color="auto" w:fill="FFFFFF"/>
          <w:lang w:val="en-US" w:eastAsia="zh-CN"/>
        </w:rPr>
        <w:t>2024年度我结转结余项目，自评得4分</w:t>
      </w:r>
      <w:r>
        <w:rPr>
          <w:rFonts w:hint="eastAsia" w:ascii="Times New Roman" w:hAnsi="Times New Roman" w:eastAsia="仿宋_GB2312" w:cs="Times New Roman"/>
          <w:color w:val="000000"/>
          <w:kern w:val="0"/>
          <w:sz w:val="33"/>
          <w:szCs w:val="33"/>
          <w:highlight w:val="none"/>
          <w:shd w:val="clear" w:color="auto" w:fill="FFFFFF"/>
          <w:lang w:val="en-US" w:eastAsia="zh-CN"/>
        </w:rPr>
        <w:t>。</w:t>
      </w:r>
    </w:p>
    <w:p w14:paraId="24E7A8B5">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right="0" w:rightChars="0" w:firstLine="660" w:firstLineChars="200"/>
        <w:contextualSpacing/>
        <w:jc w:val="both"/>
        <w:textAlignment w:val="auto"/>
        <w:outlineLvl w:val="9"/>
        <w:rPr>
          <w:rFonts w:hint="eastAsia" w:ascii="Times New Roman" w:hAnsi="Times New Roman" w:eastAsia="仿宋_GB2312" w:cs="Times New Roman"/>
          <w:color w:val="000000"/>
          <w:kern w:val="0"/>
          <w:sz w:val="33"/>
          <w:szCs w:val="33"/>
          <w:highlight w:val="none"/>
          <w:shd w:val="clear" w:color="auto" w:fill="FFFFFF"/>
          <w:lang w:val="zh-CN"/>
        </w:rPr>
      </w:pPr>
      <w:r>
        <w:rPr>
          <w:rFonts w:hint="eastAsia" w:ascii="Times New Roman" w:hAnsi="Times New Roman" w:eastAsia="楷体_GB2312" w:cs="楷体_GB2312"/>
          <w:color w:val="000000"/>
          <w:kern w:val="0"/>
          <w:sz w:val="33"/>
          <w:szCs w:val="33"/>
          <w:highlight w:val="none"/>
          <w:shd w:val="clear" w:color="auto" w:fill="FFFFFF"/>
          <w:lang w:val="en-US" w:eastAsia="zh-CN"/>
        </w:rPr>
        <w:t>3.</w:t>
      </w:r>
      <w:r>
        <w:rPr>
          <w:rFonts w:hint="eastAsia" w:ascii="Times New Roman" w:hAnsi="Times New Roman" w:eastAsia="楷体_GB2312" w:cs="楷体_GB2312"/>
          <w:color w:val="000000"/>
          <w:kern w:val="0"/>
          <w:sz w:val="33"/>
          <w:szCs w:val="33"/>
          <w:highlight w:val="none"/>
          <w:shd w:val="clear" w:color="auto" w:fill="FFFFFF"/>
          <w:lang w:val="zh-CN"/>
        </w:rPr>
        <w:t>目标实现。</w:t>
      </w:r>
      <w:r>
        <w:rPr>
          <w:rFonts w:hint="eastAsia" w:ascii="Times New Roman" w:hAnsi="Times New Roman" w:eastAsia="仿宋_GB2312" w:cs="Times New Roman"/>
          <w:color w:val="000000"/>
          <w:kern w:val="0"/>
          <w:sz w:val="33"/>
          <w:szCs w:val="33"/>
          <w:highlight w:val="none"/>
          <w:shd w:val="clear" w:color="auto" w:fill="FFFFFF"/>
          <w:lang w:val="zh-CN"/>
        </w:rPr>
        <w:t>围绕目标完成、目标偏离、实现效果</w:t>
      </w:r>
      <w:r>
        <w:rPr>
          <w:rFonts w:hint="default" w:ascii="Times New Roman" w:hAnsi="Times New Roman" w:eastAsia="仿宋_GB2312" w:cs="Times New Roman"/>
          <w:color w:val="000000"/>
          <w:kern w:val="0"/>
          <w:sz w:val="33"/>
          <w:szCs w:val="33"/>
          <w:highlight w:val="none"/>
          <w:shd w:val="clear" w:color="auto" w:fill="FFFFFF"/>
          <w:lang w:val="zh-CN"/>
        </w:rPr>
        <w:t>进行绩效分析</w:t>
      </w:r>
      <w:r>
        <w:rPr>
          <w:rFonts w:hint="eastAsia" w:ascii="Times New Roman" w:hAnsi="Times New Roman" w:eastAsia="仿宋_GB2312" w:cs="Times New Roman"/>
          <w:color w:val="000000"/>
          <w:kern w:val="0"/>
          <w:sz w:val="33"/>
          <w:szCs w:val="33"/>
          <w:highlight w:val="none"/>
          <w:shd w:val="clear" w:color="auto" w:fill="FFFFFF"/>
          <w:lang w:val="zh-CN"/>
        </w:rPr>
        <w:t>。</w:t>
      </w:r>
    </w:p>
    <w:p w14:paraId="0AD6A5F3">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both"/>
        <w:textAlignment w:val="auto"/>
        <w:outlineLvl w:val="9"/>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（1）目标完成：</w:t>
      </w:r>
    </w:p>
    <w:p w14:paraId="49453605">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right="0" w:rightChars="0" w:firstLine="660" w:firstLineChars="200"/>
        <w:contextualSpacing/>
        <w:jc w:val="both"/>
        <w:textAlignment w:val="auto"/>
        <w:outlineLvl w:val="9"/>
        <w:rPr>
          <w:rFonts w:hint="eastAsia" w:ascii="Times New Roman" w:hAnsi="Times New Roman" w:eastAsia="仿宋_GB2312" w:cs="Times New Roman"/>
          <w:color w:val="000000"/>
          <w:kern w:val="0"/>
          <w:sz w:val="33"/>
          <w:szCs w:val="33"/>
          <w:highlight w:val="none"/>
          <w:shd w:val="clear" w:color="auto" w:fill="FFFFFF"/>
          <w:lang w:val="en-US" w:eastAsia="zh-CN"/>
        </w:rPr>
      </w:pPr>
      <w:r>
        <w:rPr>
          <w:rFonts w:hint="eastAsia" w:ascii="Times New Roman" w:hAnsi="Times New Roman" w:eastAsia="仿宋_GB2312" w:cs="Times New Roman"/>
          <w:color w:val="000000"/>
          <w:kern w:val="0"/>
          <w:sz w:val="33"/>
          <w:szCs w:val="33"/>
          <w:highlight w:val="none"/>
          <w:shd w:val="clear" w:color="auto" w:fill="FFFFFF"/>
          <w:lang w:val="en-US" w:eastAsia="zh-CN"/>
        </w:rPr>
        <w:t>全区在建水利建设项目14个</w:t>
      </w:r>
      <w:r>
        <w:rPr>
          <w:rFonts w:hint="eastAsia" w:eastAsia="仿宋_GB2312" w:cs="Times New Roman"/>
          <w:color w:val="000000"/>
          <w:kern w:val="0"/>
          <w:sz w:val="33"/>
          <w:szCs w:val="33"/>
          <w:highlight w:val="none"/>
          <w:shd w:val="clear" w:color="auto" w:fill="FFFFFF"/>
          <w:lang w:val="en-US" w:eastAsia="zh-CN"/>
        </w:rPr>
        <w:t>（按总项目）</w:t>
      </w:r>
      <w:r>
        <w:rPr>
          <w:rFonts w:hint="eastAsia" w:ascii="Times New Roman" w:hAnsi="Times New Roman" w:eastAsia="仿宋_GB2312" w:cs="Times New Roman"/>
          <w:color w:val="000000"/>
          <w:kern w:val="0"/>
          <w:sz w:val="33"/>
          <w:szCs w:val="33"/>
          <w:highlight w:val="none"/>
          <w:shd w:val="clear" w:color="auto" w:fill="FFFFFF"/>
          <w:lang w:val="en-US" w:eastAsia="zh-CN"/>
        </w:rPr>
        <w:t>，总投资4.52亿元，其中：国债项目7个，总投资2.37亿元，各项工程稳步推进。其中，跑马滩水库除险加固项目已全面完工，跑马滩水库增设防空洞工程已完成总工程量的85%，麻子滩水库除险加固项目已完成总工程量的95%，2024年中央水利发展资金小型水库设施维修养护项目和安居城镇全域供水基础设施建设项目续建工程已完工，2024水利发展资金安居区狮姚河姚河小流域综合治理提质增效项目已完成总工程量90%，蟠龙河安居中学段防洪治理工程和琼江两中心五馆段防洪治理工程完成85%，白家河磨溪镇防洪治理工程已完工，遂宁市安居区蟠龙河东禅镇场镇段防洪治理工程完成总工程量的90%，白家河磨溪镇莲池乡板仓段防洪治理工程、白家河西眉镇和赤乡段防洪治理工程、白家河磨溪镇永灵段防洪治理工程均已完成总工程量80%，12座病险小型水库除险加固建设项目已完工。</w:t>
      </w:r>
    </w:p>
    <w:p w14:paraId="766F618A">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right="0" w:rightChars="0" w:firstLine="660" w:firstLineChars="200"/>
        <w:contextualSpacing/>
        <w:jc w:val="both"/>
        <w:textAlignment w:val="auto"/>
        <w:outlineLvl w:val="9"/>
        <w:rPr>
          <w:rFonts w:hint="default" w:eastAsia="仿宋_GB2312"/>
          <w:highlight w:val="none"/>
          <w:lang w:val="en-US" w:eastAsia="zh-CN"/>
        </w:rPr>
      </w:pPr>
      <w:r>
        <w:rPr>
          <w:rFonts w:hint="eastAsia" w:ascii="Times New Roman" w:hAnsi="Times New Roman" w:eastAsia="仿宋_GB2312" w:cs="Times New Roman"/>
          <w:color w:val="000000"/>
          <w:kern w:val="0"/>
          <w:sz w:val="33"/>
          <w:szCs w:val="33"/>
          <w:highlight w:val="none"/>
          <w:shd w:val="clear" w:color="auto" w:fill="FFFFFF"/>
          <w:lang w:val="en-US" w:eastAsia="zh-CN"/>
        </w:rPr>
        <w:t>2024年</w:t>
      </w:r>
      <w:r>
        <w:rPr>
          <w:rFonts w:hint="eastAsia" w:eastAsia="仿宋_GB2312" w:cs="Times New Roman"/>
          <w:color w:val="000000"/>
          <w:kern w:val="0"/>
          <w:sz w:val="33"/>
          <w:szCs w:val="33"/>
          <w:highlight w:val="none"/>
          <w:shd w:val="clear" w:color="auto" w:fill="FFFFFF"/>
          <w:lang w:val="en-US" w:eastAsia="zh-CN"/>
        </w:rPr>
        <w:t>我局85个</w:t>
      </w:r>
      <w:r>
        <w:rPr>
          <w:rFonts w:hint="eastAsia" w:ascii="Times New Roman" w:hAnsi="Times New Roman" w:eastAsia="仿宋_GB2312" w:cs="Times New Roman"/>
          <w:color w:val="000000"/>
          <w:kern w:val="0"/>
          <w:sz w:val="33"/>
          <w:szCs w:val="33"/>
          <w:highlight w:val="none"/>
          <w:shd w:val="clear" w:color="auto" w:fill="FFFFFF"/>
          <w:lang w:val="en-US" w:eastAsia="zh-CN"/>
        </w:rPr>
        <w:t>预算项目（47个县区级资金项目12730.82万元，28个中省资金项目24527.71万元），实际完成绩效目标数量指标的部门预算阶段项目（含一次性项目）数量为：47个县区级资金项目12730.82万元全部完成，28个中省资金项目24527.71万元</w:t>
      </w:r>
      <w:r>
        <w:rPr>
          <w:rFonts w:hint="eastAsia" w:eastAsia="仿宋_GB2312" w:cs="Times New Roman"/>
          <w:color w:val="000000"/>
          <w:kern w:val="0"/>
          <w:sz w:val="33"/>
          <w:szCs w:val="33"/>
          <w:highlight w:val="none"/>
          <w:shd w:val="clear" w:color="auto" w:fill="FFFFFF"/>
          <w:lang w:val="en-US" w:eastAsia="zh-CN"/>
        </w:rPr>
        <w:t>2</w:t>
      </w:r>
      <w:r>
        <w:rPr>
          <w:rFonts w:hint="eastAsia" w:ascii="Times New Roman" w:hAnsi="Times New Roman" w:eastAsia="仿宋_GB2312" w:cs="Times New Roman"/>
          <w:color w:val="000000"/>
          <w:kern w:val="0"/>
          <w:sz w:val="33"/>
          <w:szCs w:val="33"/>
          <w:highlight w:val="none"/>
          <w:shd w:val="clear" w:color="auto" w:fill="FFFFFF"/>
          <w:lang w:val="en-US" w:eastAsia="zh-CN"/>
        </w:rPr>
        <w:t>0个项目未完成。根据指标，自评得</w:t>
      </w:r>
      <w:r>
        <w:rPr>
          <w:rFonts w:hint="eastAsia" w:eastAsia="仿宋_GB2312" w:cs="Times New Roman"/>
          <w:color w:val="000000"/>
          <w:kern w:val="0"/>
          <w:sz w:val="33"/>
          <w:szCs w:val="33"/>
          <w:highlight w:val="none"/>
          <w:shd w:val="clear" w:color="auto" w:fill="FFFFFF"/>
          <w:lang w:val="en-US" w:eastAsia="zh-CN"/>
        </w:rPr>
        <w:t>4.59</w:t>
      </w:r>
      <w:r>
        <w:rPr>
          <w:rFonts w:hint="eastAsia" w:ascii="Times New Roman" w:hAnsi="Times New Roman" w:eastAsia="仿宋_GB2312" w:cs="Times New Roman"/>
          <w:color w:val="000000"/>
          <w:kern w:val="0"/>
          <w:sz w:val="33"/>
          <w:szCs w:val="33"/>
          <w:highlight w:val="none"/>
          <w:shd w:val="clear" w:color="auto" w:fill="FFFFFF"/>
          <w:lang w:val="en-US" w:eastAsia="zh-CN"/>
        </w:rPr>
        <w:t>分。</w:t>
      </w:r>
    </w:p>
    <w:p w14:paraId="325DC8BC">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zh-CN" w:eastAsia="zh-CN"/>
        </w:rPr>
        <w:t>（</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val="zh-CN" w:eastAsia="zh-CN"/>
        </w:rPr>
        <w:t>）</w:t>
      </w:r>
      <w:r>
        <w:rPr>
          <w:rFonts w:hint="eastAsia" w:ascii="仿宋_GB2312" w:hAnsi="仿宋_GB2312" w:eastAsia="仿宋_GB2312" w:cs="仿宋_GB2312"/>
          <w:sz w:val="32"/>
          <w:szCs w:val="32"/>
          <w:lang w:val="en-US" w:eastAsia="zh-CN"/>
        </w:rPr>
        <w:t>目标偏离：</w:t>
      </w:r>
    </w:p>
    <w:p w14:paraId="00E0EE93">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right="0" w:rightChars="0" w:firstLine="660" w:firstLineChars="200"/>
        <w:contextualSpacing/>
        <w:jc w:val="both"/>
        <w:textAlignment w:val="auto"/>
        <w:outlineLvl w:val="9"/>
        <w:rPr>
          <w:rFonts w:hint="eastAsia" w:ascii="Times New Roman" w:hAnsi="Times New Roman" w:eastAsia="仿宋_GB2312" w:cs="Times New Roman"/>
          <w:color w:val="000000"/>
          <w:kern w:val="0"/>
          <w:sz w:val="33"/>
          <w:szCs w:val="33"/>
          <w:highlight w:val="none"/>
          <w:shd w:val="clear" w:color="auto" w:fill="FFFFFF"/>
          <w:lang w:val="en-US" w:eastAsia="zh-CN"/>
        </w:rPr>
      </w:pPr>
      <w:r>
        <w:rPr>
          <w:rFonts w:hint="eastAsia" w:ascii="Times New Roman" w:hAnsi="Times New Roman" w:eastAsia="仿宋_GB2312" w:cs="Times New Roman"/>
          <w:color w:val="000000"/>
          <w:kern w:val="0"/>
          <w:sz w:val="33"/>
          <w:szCs w:val="33"/>
          <w:highlight w:val="none"/>
          <w:shd w:val="clear" w:color="auto" w:fill="FFFFFF"/>
          <w:lang w:val="en-US" w:eastAsia="zh-CN"/>
        </w:rPr>
        <w:t>2024年</w:t>
      </w:r>
      <w:r>
        <w:rPr>
          <w:rFonts w:hint="eastAsia" w:eastAsia="仿宋_GB2312" w:cs="Times New Roman"/>
          <w:color w:val="000000"/>
          <w:kern w:val="0"/>
          <w:sz w:val="33"/>
          <w:szCs w:val="33"/>
          <w:highlight w:val="none"/>
          <w:shd w:val="clear" w:color="auto" w:fill="FFFFFF"/>
          <w:lang w:val="en-US" w:eastAsia="zh-CN"/>
        </w:rPr>
        <w:t>我局85个</w:t>
      </w:r>
      <w:r>
        <w:rPr>
          <w:rFonts w:hint="eastAsia" w:ascii="Times New Roman" w:hAnsi="Times New Roman" w:eastAsia="仿宋_GB2312" w:cs="Times New Roman"/>
          <w:color w:val="000000"/>
          <w:kern w:val="0"/>
          <w:sz w:val="33"/>
          <w:szCs w:val="33"/>
          <w:highlight w:val="none"/>
          <w:shd w:val="clear" w:color="auto" w:fill="FFFFFF"/>
          <w:lang w:val="en-US" w:eastAsia="zh-CN"/>
        </w:rPr>
        <w:t>预算项目（47个县区级资金项目12730.82万元，28个中省资金项目24527.71万元），实际完成绩效目标数量指标的部门预算阶段项目（含一次性项目）数量为：47个县区级资金项目12730.82万元全部完成，28个中省资金项目24527.71万元</w:t>
      </w:r>
      <w:r>
        <w:rPr>
          <w:rFonts w:hint="eastAsia" w:eastAsia="仿宋_GB2312" w:cs="Times New Roman"/>
          <w:color w:val="000000"/>
          <w:kern w:val="0"/>
          <w:sz w:val="33"/>
          <w:szCs w:val="33"/>
          <w:highlight w:val="none"/>
          <w:shd w:val="clear" w:color="auto" w:fill="FFFFFF"/>
          <w:lang w:val="en-US" w:eastAsia="zh-CN"/>
        </w:rPr>
        <w:t>2</w:t>
      </w:r>
      <w:r>
        <w:rPr>
          <w:rFonts w:hint="eastAsia" w:ascii="Times New Roman" w:hAnsi="Times New Roman" w:eastAsia="仿宋_GB2312" w:cs="Times New Roman"/>
          <w:color w:val="000000"/>
          <w:kern w:val="0"/>
          <w:sz w:val="33"/>
          <w:szCs w:val="33"/>
          <w:highlight w:val="none"/>
          <w:shd w:val="clear" w:color="auto" w:fill="FFFFFF"/>
          <w:lang w:val="en-US" w:eastAsia="zh-CN"/>
        </w:rPr>
        <w:t>0个项目未完成，</w:t>
      </w:r>
      <w:r>
        <w:rPr>
          <w:rFonts w:hint="eastAsia" w:eastAsia="仿宋_GB2312" w:cs="Times New Roman"/>
          <w:color w:val="000000"/>
          <w:kern w:val="0"/>
          <w:sz w:val="33"/>
          <w:szCs w:val="33"/>
          <w:highlight w:val="none"/>
          <w:shd w:val="clear" w:color="auto" w:fill="FFFFFF"/>
          <w:lang w:val="en-US" w:eastAsia="zh-CN"/>
        </w:rPr>
        <w:t>65</w:t>
      </w:r>
      <w:r>
        <w:rPr>
          <w:rFonts w:hint="eastAsia" w:ascii="Times New Roman" w:hAnsi="Times New Roman" w:eastAsia="仿宋_GB2312" w:cs="Times New Roman"/>
          <w:color w:val="000000"/>
          <w:kern w:val="0"/>
          <w:sz w:val="33"/>
          <w:szCs w:val="33"/>
          <w:highlight w:val="none"/>
          <w:shd w:val="clear" w:color="auto" w:fill="FFFFFF"/>
          <w:lang w:val="en-US" w:eastAsia="zh-CN"/>
        </w:rPr>
        <w:t>个项目数量指标均已完成预期指标值，无偏离度超过30%内的指标；自评得</w:t>
      </w:r>
      <w:r>
        <w:rPr>
          <w:rFonts w:hint="eastAsia" w:eastAsia="仿宋_GB2312" w:cs="Times New Roman"/>
          <w:color w:val="000000"/>
          <w:kern w:val="0"/>
          <w:sz w:val="33"/>
          <w:szCs w:val="33"/>
          <w:highlight w:val="none"/>
          <w:shd w:val="clear" w:color="auto" w:fill="FFFFFF"/>
          <w:lang w:val="en-US" w:eastAsia="zh-CN"/>
        </w:rPr>
        <w:t>4.59</w:t>
      </w:r>
      <w:r>
        <w:rPr>
          <w:rFonts w:hint="eastAsia" w:ascii="Times New Roman" w:hAnsi="Times New Roman" w:eastAsia="仿宋_GB2312" w:cs="Times New Roman"/>
          <w:color w:val="000000"/>
          <w:kern w:val="0"/>
          <w:sz w:val="33"/>
          <w:szCs w:val="33"/>
          <w:highlight w:val="none"/>
          <w:shd w:val="clear" w:color="auto" w:fill="FFFFFF"/>
          <w:lang w:val="en-US" w:eastAsia="zh-CN"/>
        </w:rPr>
        <w:t>分。</w:t>
      </w:r>
    </w:p>
    <w:p w14:paraId="658D1BED">
      <w:pPr>
        <w:keepNext w:val="0"/>
        <w:keepLines w:val="0"/>
        <w:pageBreakBefore w:val="0"/>
        <w:widowControl w:val="0"/>
        <w:numPr>
          <w:ilvl w:val="0"/>
          <w:numId w:val="8"/>
        </w:numPr>
        <w:kinsoku/>
        <w:wordWrap/>
        <w:overflowPunct/>
        <w:topLinePunct w:val="0"/>
        <w:autoSpaceDE/>
        <w:autoSpaceDN/>
        <w:bidi w:val="0"/>
        <w:adjustRightInd/>
        <w:snapToGrid/>
        <w:spacing w:line="590" w:lineRule="exact"/>
        <w:ind w:left="0" w:leftChars="0" w:right="0" w:rightChars="0" w:firstLine="640" w:firstLineChars="200"/>
        <w:contextualSpacing/>
        <w:jc w:val="both"/>
        <w:textAlignment w:val="auto"/>
        <w:outlineLvl w:val="9"/>
        <w:rPr>
          <w:rFonts w:hint="eastAsia" w:ascii="仿宋_GB2312" w:hAnsi="Times New Roman" w:eastAsia="仿宋_GB2312" w:cs="仿宋_GB2312"/>
          <w:b w:val="0"/>
          <w:bCs w:val="0"/>
          <w:kern w:val="2"/>
          <w:sz w:val="32"/>
          <w:szCs w:val="32"/>
          <w:lang w:val="en-US" w:eastAsia="zh-CN" w:bidi="ar"/>
        </w:rPr>
      </w:pPr>
      <w:r>
        <w:rPr>
          <w:rFonts w:hint="eastAsia" w:ascii="仿宋_GB2312" w:hAnsi="仿宋_GB2312" w:eastAsia="仿宋_GB2312" w:cs="仿宋_GB2312"/>
          <w:sz w:val="32"/>
          <w:szCs w:val="32"/>
          <w:lang w:val="en-US" w:eastAsia="zh-CN"/>
        </w:rPr>
        <w:t>实现效果：2024年，区水利局坚持以习近平新时代中国特色社会主义思想为指导，深入学习贯彻党的二十届三中全会精神，贯彻落实习近平总书记关于治水的重要论述，突出抓好水旱灾害防御、水利基础设施建设、河湖长制、依法治水管水、干部队伍建设等重点工作，争取无偿资金2.55亿元，完成固定投资3.88亿元。完成的四川盆地低山丘陵区林草模式构建及水土保持功能提升关键技术被评为全省科学技术三等奖，全区水利事业稳步发展。</w:t>
      </w:r>
    </w:p>
    <w:p w14:paraId="0F58F97D">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right="0" w:rightChars="0" w:firstLine="660" w:firstLineChars="200"/>
        <w:contextualSpacing/>
        <w:jc w:val="both"/>
        <w:textAlignment w:val="auto"/>
        <w:outlineLvl w:val="9"/>
        <w:rPr>
          <w:rFonts w:hint="eastAsia" w:eastAsia="仿宋_GB2312" w:cs="Times New Roman"/>
          <w:color w:val="000000"/>
          <w:kern w:val="0"/>
          <w:sz w:val="33"/>
          <w:szCs w:val="33"/>
          <w:highlight w:val="none"/>
          <w:shd w:val="clear" w:color="auto" w:fill="FFFFFF"/>
          <w:lang w:val="en-US" w:eastAsia="zh-CN"/>
        </w:rPr>
      </w:pPr>
      <w:r>
        <w:rPr>
          <w:rFonts w:hint="eastAsia" w:ascii="Times New Roman" w:hAnsi="Times New Roman" w:eastAsia="仿宋_GB2312" w:cs="Times New Roman"/>
          <w:color w:val="000000"/>
          <w:kern w:val="0"/>
          <w:sz w:val="33"/>
          <w:szCs w:val="33"/>
          <w:highlight w:val="none"/>
          <w:shd w:val="clear" w:color="auto" w:fill="FFFFFF"/>
          <w:lang w:val="en-US" w:eastAsia="zh-CN"/>
        </w:rPr>
        <w:t>2024年</w:t>
      </w:r>
      <w:r>
        <w:rPr>
          <w:rFonts w:hint="eastAsia" w:eastAsia="仿宋_GB2312" w:cs="Times New Roman"/>
          <w:color w:val="000000"/>
          <w:kern w:val="0"/>
          <w:sz w:val="33"/>
          <w:szCs w:val="33"/>
          <w:highlight w:val="none"/>
          <w:shd w:val="clear" w:color="auto" w:fill="FFFFFF"/>
          <w:lang w:val="en-US" w:eastAsia="zh-CN"/>
        </w:rPr>
        <w:t>我局85</w:t>
      </w:r>
      <w:r>
        <w:rPr>
          <w:rFonts w:hint="eastAsia" w:ascii="Times New Roman" w:hAnsi="Times New Roman" w:eastAsia="仿宋_GB2312" w:cs="Times New Roman"/>
          <w:color w:val="000000"/>
          <w:kern w:val="0"/>
          <w:sz w:val="33"/>
          <w:szCs w:val="33"/>
          <w:highlight w:val="none"/>
          <w:shd w:val="clear" w:color="auto" w:fill="FFFFFF"/>
          <w:lang w:val="en-US" w:eastAsia="zh-CN"/>
        </w:rPr>
        <w:t>个预算项目（47个县区级资金项目12730.82万元，28个中省资金项目24527.71万元），完成绩效目标效益指标的部门预算阶段项目（含一次性项目）数量：</w:t>
      </w:r>
      <w:r>
        <w:rPr>
          <w:rFonts w:hint="eastAsia" w:eastAsia="仿宋_GB2312" w:cs="Times New Roman"/>
          <w:color w:val="000000"/>
          <w:kern w:val="0"/>
          <w:sz w:val="33"/>
          <w:szCs w:val="33"/>
          <w:highlight w:val="none"/>
          <w:shd w:val="clear" w:color="auto" w:fill="FFFFFF"/>
          <w:lang w:val="en-US" w:eastAsia="zh-CN"/>
        </w:rPr>
        <w:t>20个，分别为：</w:t>
      </w:r>
    </w:p>
    <w:p w14:paraId="3AF645D5">
      <w:pPr>
        <w:keepNext w:val="0"/>
        <w:keepLines w:val="0"/>
        <w:pageBreakBefore w:val="0"/>
        <w:widowControl w:val="0"/>
        <w:numPr>
          <w:ilvl w:val="0"/>
          <w:numId w:val="9"/>
        </w:numPr>
        <w:kinsoku/>
        <w:wordWrap/>
        <w:overflowPunct/>
        <w:topLinePunct w:val="0"/>
        <w:autoSpaceDE/>
        <w:autoSpaceDN/>
        <w:bidi w:val="0"/>
        <w:adjustRightInd/>
        <w:snapToGrid/>
        <w:spacing w:line="590" w:lineRule="exact"/>
        <w:ind w:left="0" w:leftChars="0" w:right="0" w:rightChars="0" w:firstLine="660" w:firstLineChars="200"/>
        <w:contextualSpacing/>
        <w:jc w:val="both"/>
        <w:textAlignment w:val="auto"/>
        <w:outlineLvl w:val="9"/>
        <w:rPr>
          <w:rFonts w:hint="eastAsia" w:eastAsia="仿宋_GB2312" w:cs="Times New Roman"/>
          <w:color w:val="000000"/>
          <w:kern w:val="0"/>
          <w:sz w:val="33"/>
          <w:szCs w:val="33"/>
          <w:highlight w:val="none"/>
          <w:shd w:val="clear" w:color="auto" w:fill="FFFFFF"/>
          <w:lang w:val="en-US" w:eastAsia="zh-CN"/>
        </w:rPr>
      </w:pPr>
      <w:r>
        <w:rPr>
          <w:rFonts w:hint="eastAsia" w:eastAsia="仿宋_GB2312" w:cs="Times New Roman"/>
          <w:color w:val="000000"/>
          <w:kern w:val="0"/>
          <w:sz w:val="33"/>
          <w:szCs w:val="33"/>
          <w:highlight w:val="none"/>
          <w:shd w:val="clear" w:color="auto" w:fill="FFFFFF"/>
          <w:lang w:val="en-US" w:eastAsia="zh-CN"/>
        </w:rPr>
        <w:t>51090422T000006091926-2022年中央和省级水利发展资金</w:t>
      </w:r>
    </w:p>
    <w:p w14:paraId="1B935BC9">
      <w:pPr>
        <w:keepNext w:val="0"/>
        <w:keepLines w:val="0"/>
        <w:pageBreakBefore w:val="0"/>
        <w:widowControl w:val="0"/>
        <w:numPr>
          <w:ilvl w:val="0"/>
          <w:numId w:val="9"/>
        </w:numPr>
        <w:kinsoku/>
        <w:wordWrap/>
        <w:overflowPunct/>
        <w:topLinePunct w:val="0"/>
        <w:autoSpaceDE/>
        <w:autoSpaceDN/>
        <w:bidi w:val="0"/>
        <w:adjustRightInd/>
        <w:snapToGrid/>
        <w:spacing w:line="590" w:lineRule="exact"/>
        <w:ind w:left="0" w:leftChars="0" w:right="0" w:rightChars="0" w:firstLine="660" w:firstLineChars="200"/>
        <w:contextualSpacing/>
        <w:jc w:val="both"/>
        <w:textAlignment w:val="auto"/>
        <w:outlineLvl w:val="9"/>
        <w:rPr>
          <w:rFonts w:hint="eastAsia" w:eastAsia="仿宋_GB2312" w:cs="Times New Roman"/>
          <w:color w:val="000000"/>
          <w:kern w:val="0"/>
          <w:sz w:val="33"/>
          <w:szCs w:val="33"/>
          <w:highlight w:val="none"/>
          <w:shd w:val="clear" w:color="auto" w:fill="FFFFFF"/>
          <w:lang w:val="en-US" w:eastAsia="zh-CN"/>
        </w:rPr>
      </w:pPr>
      <w:r>
        <w:rPr>
          <w:rFonts w:hint="eastAsia" w:eastAsia="仿宋_GB2312" w:cs="Times New Roman"/>
          <w:color w:val="000000"/>
          <w:kern w:val="0"/>
          <w:sz w:val="33"/>
          <w:szCs w:val="33"/>
          <w:highlight w:val="none"/>
          <w:shd w:val="clear" w:color="auto" w:fill="FFFFFF"/>
          <w:lang w:val="en-US" w:eastAsia="zh-CN"/>
        </w:rPr>
        <w:t>51090422T000006092488-2022年中央大中型水库移民后期扶持资金</w:t>
      </w:r>
    </w:p>
    <w:p w14:paraId="01030505">
      <w:pPr>
        <w:keepNext w:val="0"/>
        <w:keepLines w:val="0"/>
        <w:pageBreakBefore w:val="0"/>
        <w:widowControl w:val="0"/>
        <w:numPr>
          <w:ilvl w:val="0"/>
          <w:numId w:val="9"/>
        </w:numPr>
        <w:kinsoku/>
        <w:wordWrap/>
        <w:overflowPunct/>
        <w:topLinePunct w:val="0"/>
        <w:autoSpaceDE/>
        <w:autoSpaceDN/>
        <w:bidi w:val="0"/>
        <w:adjustRightInd/>
        <w:snapToGrid/>
        <w:spacing w:line="590" w:lineRule="exact"/>
        <w:ind w:left="0" w:leftChars="0" w:right="0" w:rightChars="0" w:firstLine="660" w:firstLineChars="200"/>
        <w:contextualSpacing/>
        <w:jc w:val="both"/>
        <w:textAlignment w:val="auto"/>
        <w:outlineLvl w:val="9"/>
        <w:rPr>
          <w:rFonts w:hint="eastAsia" w:eastAsia="仿宋_GB2312" w:cs="Times New Roman"/>
          <w:color w:val="000000"/>
          <w:kern w:val="0"/>
          <w:sz w:val="33"/>
          <w:szCs w:val="33"/>
          <w:highlight w:val="none"/>
          <w:shd w:val="clear" w:color="auto" w:fill="FFFFFF"/>
          <w:lang w:val="en-US" w:eastAsia="zh-CN"/>
        </w:rPr>
      </w:pPr>
      <w:r>
        <w:rPr>
          <w:rFonts w:hint="eastAsia" w:eastAsia="仿宋_GB2312" w:cs="Times New Roman"/>
          <w:color w:val="000000"/>
          <w:kern w:val="0"/>
          <w:sz w:val="33"/>
          <w:szCs w:val="33"/>
          <w:highlight w:val="none"/>
          <w:shd w:val="clear" w:color="auto" w:fill="FFFFFF"/>
          <w:lang w:val="en-US" w:eastAsia="zh-CN"/>
        </w:rPr>
        <w:t>51090422T000007402097-2022年中央和省级水利发展琼江流域数字孪生先行先试建设项目</w:t>
      </w:r>
    </w:p>
    <w:p w14:paraId="4ECD9B13">
      <w:pPr>
        <w:keepNext w:val="0"/>
        <w:keepLines w:val="0"/>
        <w:pageBreakBefore w:val="0"/>
        <w:widowControl w:val="0"/>
        <w:numPr>
          <w:ilvl w:val="0"/>
          <w:numId w:val="9"/>
        </w:numPr>
        <w:kinsoku/>
        <w:wordWrap/>
        <w:overflowPunct/>
        <w:topLinePunct w:val="0"/>
        <w:autoSpaceDE/>
        <w:autoSpaceDN/>
        <w:bidi w:val="0"/>
        <w:adjustRightInd/>
        <w:snapToGrid/>
        <w:spacing w:line="590" w:lineRule="exact"/>
        <w:ind w:left="0" w:leftChars="0" w:right="0" w:rightChars="0" w:firstLine="660" w:firstLineChars="200"/>
        <w:contextualSpacing/>
        <w:jc w:val="both"/>
        <w:textAlignment w:val="auto"/>
        <w:outlineLvl w:val="9"/>
        <w:rPr>
          <w:rFonts w:hint="eastAsia" w:eastAsia="仿宋_GB2312" w:cs="Times New Roman"/>
          <w:color w:val="000000"/>
          <w:kern w:val="0"/>
          <w:sz w:val="33"/>
          <w:szCs w:val="33"/>
          <w:highlight w:val="none"/>
          <w:shd w:val="clear" w:color="auto" w:fill="FFFFFF"/>
          <w:lang w:val="en-US" w:eastAsia="zh-CN"/>
        </w:rPr>
      </w:pPr>
      <w:r>
        <w:rPr>
          <w:rFonts w:hint="eastAsia" w:eastAsia="仿宋_GB2312" w:cs="Times New Roman"/>
          <w:color w:val="000000"/>
          <w:kern w:val="0"/>
          <w:sz w:val="33"/>
          <w:szCs w:val="33"/>
          <w:highlight w:val="none"/>
          <w:shd w:val="clear" w:color="auto" w:fill="FFFFFF"/>
          <w:lang w:val="en-US" w:eastAsia="zh-CN"/>
        </w:rPr>
        <w:t>51090423T000007612094-2022年中央财政农业生产和水利救灾资金</w:t>
      </w:r>
    </w:p>
    <w:p w14:paraId="2BB76D2E">
      <w:pPr>
        <w:keepNext w:val="0"/>
        <w:keepLines w:val="0"/>
        <w:pageBreakBefore w:val="0"/>
        <w:widowControl w:val="0"/>
        <w:numPr>
          <w:ilvl w:val="0"/>
          <w:numId w:val="9"/>
        </w:numPr>
        <w:kinsoku/>
        <w:wordWrap/>
        <w:overflowPunct/>
        <w:topLinePunct w:val="0"/>
        <w:autoSpaceDE/>
        <w:autoSpaceDN/>
        <w:bidi w:val="0"/>
        <w:adjustRightInd/>
        <w:snapToGrid/>
        <w:spacing w:line="590" w:lineRule="exact"/>
        <w:ind w:left="0" w:leftChars="0" w:right="0" w:rightChars="0" w:firstLine="660" w:firstLineChars="200"/>
        <w:contextualSpacing/>
        <w:jc w:val="both"/>
        <w:textAlignment w:val="auto"/>
        <w:outlineLvl w:val="9"/>
        <w:rPr>
          <w:rFonts w:hint="eastAsia" w:eastAsia="仿宋_GB2312" w:cs="Times New Roman"/>
          <w:color w:val="000000"/>
          <w:kern w:val="0"/>
          <w:sz w:val="33"/>
          <w:szCs w:val="33"/>
          <w:highlight w:val="none"/>
          <w:shd w:val="clear" w:color="auto" w:fill="FFFFFF"/>
          <w:lang w:val="en-US" w:eastAsia="zh-CN"/>
        </w:rPr>
      </w:pPr>
      <w:r>
        <w:rPr>
          <w:rFonts w:hint="eastAsia" w:eastAsia="仿宋_GB2312" w:cs="Times New Roman"/>
          <w:color w:val="000000"/>
          <w:kern w:val="0"/>
          <w:sz w:val="33"/>
          <w:szCs w:val="33"/>
          <w:highlight w:val="none"/>
          <w:shd w:val="clear" w:color="auto" w:fill="FFFFFF"/>
          <w:lang w:val="en-US" w:eastAsia="zh-CN"/>
        </w:rPr>
        <w:t>51090423T000009113089-遂财农【2023】4号2023年中央和省级水利发展资金</w:t>
      </w:r>
    </w:p>
    <w:p w14:paraId="6AD64464">
      <w:pPr>
        <w:keepNext w:val="0"/>
        <w:keepLines w:val="0"/>
        <w:pageBreakBefore w:val="0"/>
        <w:widowControl w:val="0"/>
        <w:numPr>
          <w:ilvl w:val="0"/>
          <w:numId w:val="9"/>
        </w:numPr>
        <w:kinsoku/>
        <w:wordWrap/>
        <w:overflowPunct/>
        <w:topLinePunct w:val="0"/>
        <w:autoSpaceDE/>
        <w:autoSpaceDN/>
        <w:bidi w:val="0"/>
        <w:adjustRightInd/>
        <w:snapToGrid/>
        <w:spacing w:line="590" w:lineRule="exact"/>
        <w:ind w:left="0" w:leftChars="0" w:right="0" w:rightChars="0" w:firstLine="660" w:firstLineChars="200"/>
        <w:contextualSpacing/>
        <w:jc w:val="both"/>
        <w:textAlignment w:val="auto"/>
        <w:outlineLvl w:val="9"/>
        <w:rPr>
          <w:rFonts w:hint="eastAsia" w:eastAsia="仿宋_GB2312" w:cs="Times New Roman"/>
          <w:color w:val="000000"/>
          <w:kern w:val="0"/>
          <w:sz w:val="33"/>
          <w:szCs w:val="33"/>
          <w:highlight w:val="none"/>
          <w:shd w:val="clear" w:color="auto" w:fill="FFFFFF"/>
          <w:lang w:val="en-US" w:eastAsia="zh-CN"/>
        </w:rPr>
      </w:pPr>
      <w:r>
        <w:rPr>
          <w:rFonts w:hint="eastAsia" w:eastAsia="仿宋_GB2312" w:cs="Times New Roman"/>
          <w:color w:val="000000"/>
          <w:kern w:val="0"/>
          <w:sz w:val="33"/>
          <w:szCs w:val="33"/>
          <w:highlight w:val="none"/>
          <w:shd w:val="clear" w:color="auto" w:fill="FFFFFF"/>
          <w:lang w:val="en-US" w:eastAsia="zh-CN"/>
        </w:rPr>
        <w:t>51090423T000009189402-遂财农【2023】3号2023年中央大中型水库移民后期扶持资金</w:t>
      </w:r>
    </w:p>
    <w:p w14:paraId="585521C1">
      <w:pPr>
        <w:keepNext w:val="0"/>
        <w:keepLines w:val="0"/>
        <w:pageBreakBefore w:val="0"/>
        <w:widowControl w:val="0"/>
        <w:numPr>
          <w:ilvl w:val="0"/>
          <w:numId w:val="9"/>
        </w:numPr>
        <w:kinsoku/>
        <w:wordWrap/>
        <w:overflowPunct/>
        <w:topLinePunct w:val="0"/>
        <w:autoSpaceDE/>
        <w:autoSpaceDN/>
        <w:bidi w:val="0"/>
        <w:adjustRightInd/>
        <w:snapToGrid/>
        <w:spacing w:line="590" w:lineRule="exact"/>
        <w:ind w:left="0" w:leftChars="0" w:right="0" w:rightChars="0" w:firstLine="660" w:firstLineChars="200"/>
        <w:contextualSpacing/>
        <w:jc w:val="both"/>
        <w:textAlignment w:val="auto"/>
        <w:outlineLvl w:val="9"/>
        <w:rPr>
          <w:rFonts w:hint="eastAsia" w:eastAsia="仿宋_GB2312" w:cs="Times New Roman"/>
          <w:color w:val="000000"/>
          <w:kern w:val="0"/>
          <w:sz w:val="33"/>
          <w:szCs w:val="33"/>
          <w:highlight w:val="none"/>
          <w:shd w:val="clear" w:color="auto" w:fill="FFFFFF"/>
          <w:lang w:val="en-US" w:eastAsia="zh-CN"/>
        </w:rPr>
      </w:pPr>
      <w:r>
        <w:rPr>
          <w:rFonts w:hint="eastAsia" w:eastAsia="仿宋_GB2312" w:cs="Times New Roman"/>
          <w:color w:val="000000"/>
          <w:kern w:val="0"/>
          <w:sz w:val="33"/>
          <w:szCs w:val="33"/>
          <w:highlight w:val="none"/>
          <w:shd w:val="clear" w:color="auto" w:fill="FFFFFF"/>
          <w:lang w:val="en-US" w:eastAsia="zh-CN"/>
        </w:rPr>
        <w:t>51090423T000009834031-遂财农【2023】46号2023年省级大中型水库移民后期扶持资金</w:t>
      </w:r>
    </w:p>
    <w:p w14:paraId="2EB818A5">
      <w:pPr>
        <w:keepNext w:val="0"/>
        <w:keepLines w:val="0"/>
        <w:pageBreakBefore w:val="0"/>
        <w:widowControl w:val="0"/>
        <w:numPr>
          <w:ilvl w:val="0"/>
          <w:numId w:val="9"/>
        </w:numPr>
        <w:kinsoku/>
        <w:wordWrap/>
        <w:overflowPunct/>
        <w:topLinePunct w:val="0"/>
        <w:autoSpaceDE/>
        <w:autoSpaceDN/>
        <w:bidi w:val="0"/>
        <w:adjustRightInd/>
        <w:snapToGrid/>
        <w:spacing w:line="590" w:lineRule="exact"/>
        <w:ind w:left="0" w:leftChars="0" w:right="0" w:rightChars="0" w:firstLine="660" w:firstLineChars="200"/>
        <w:contextualSpacing/>
        <w:jc w:val="both"/>
        <w:textAlignment w:val="auto"/>
        <w:outlineLvl w:val="9"/>
        <w:rPr>
          <w:rFonts w:hint="eastAsia" w:eastAsia="仿宋_GB2312" w:cs="Times New Roman"/>
          <w:color w:val="000000"/>
          <w:kern w:val="0"/>
          <w:sz w:val="33"/>
          <w:szCs w:val="33"/>
          <w:highlight w:val="none"/>
          <w:shd w:val="clear" w:color="auto" w:fill="FFFFFF"/>
          <w:lang w:val="en-US" w:eastAsia="zh-CN"/>
        </w:rPr>
      </w:pPr>
      <w:r>
        <w:rPr>
          <w:rFonts w:hint="eastAsia" w:eastAsia="仿宋_GB2312" w:cs="Times New Roman"/>
          <w:color w:val="000000"/>
          <w:kern w:val="0"/>
          <w:sz w:val="33"/>
          <w:szCs w:val="33"/>
          <w:highlight w:val="none"/>
          <w:shd w:val="clear" w:color="auto" w:fill="FFFFFF"/>
          <w:lang w:val="en-US" w:eastAsia="zh-CN"/>
        </w:rPr>
        <w:t>51090423T000009189402-遂财农【2023】3号2023年中央大中型水库移民后期扶持资金</w:t>
      </w:r>
    </w:p>
    <w:p w14:paraId="2E5BB268">
      <w:pPr>
        <w:keepNext w:val="0"/>
        <w:keepLines w:val="0"/>
        <w:pageBreakBefore w:val="0"/>
        <w:widowControl w:val="0"/>
        <w:numPr>
          <w:ilvl w:val="0"/>
          <w:numId w:val="9"/>
        </w:numPr>
        <w:kinsoku/>
        <w:wordWrap/>
        <w:overflowPunct/>
        <w:topLinePunct w:val="0"/>
        <w:autoSpaceDE/>
        <w:autoSpaceDN/>
        <w:bidi w:val="0"/>
        <w:adjustRightInd/>
        <w:snapToGrid/>
        <w:spacing w:line="590" w:lineRule="exact"/>
        <w:ind w:left="0" w:leftChars="0" w:right="0" w:rightChars="0" w:firstLine="660" w:firstLineChars="200"/>
        <w:contextualSpacing/>
        <w:jc w:val="both"/>
        <w:textAlignment w:val="auto"/>
        <w:outlineLvl w:val="9"/>
        <w:rPr>
          <w:rFonts w:hint="eastAsia" w:eastAsia="仿宋_GB2312" w:cs="Times New Roman"/>
          <w:color w:val="000000"/>
          <w:kern w:val="0"/>
          <w:sz w:val="33"/>
          <w:szCs w:val="33"/>
          <w:highlight w:val="none"/>
          <w:shd w:val="clear" w:color="auto" w:fill="FFFFFF"/>
          <w:lang w:val="en-US" w:eastAsia="zh-CN"/>
        </w:rPr>
      </w:pPr>
      <w:r>
        <w:rPr>
          <w:rFonts w:hint="eastAsia" w:eastAsia="仿宋_GB2312" w:cs="Times New Roman"/>
          <w:color w:val="000000"/>
          <w:kern w:val="0"/>
          <w:sz w:val="33"/>
          <w:szCs w:val="33"/>
          <w:highlight w:val="none"/>
          <w:shd w:val="clear" w:color="auto" w:fill="FFFFFF"/>
          <w:lang w:val="en-US" w:eastAsia="zh-CN"/>
        </w:rPr>
        <w:t>51090424T000010753264-遂财农【2023】86号农业防灾减灾和水利救灾资金</w:t>
      </w:r>
    </w:p>
    <w:p w14:paraId="7BACFA7B">
      <w:pPr>
        <w:keepNext w:val="0"/>
        <w:keepLines w:val="0"/>
        <w:pageBreakBefore w:val="0"/>
        <w:widowControl w:val="0"/>
        <w:numPr>
          <w:ilvl w:val="0"/>
          <w:numId w:val="9"/>
        </w:numPr>
        <w:kinsoku/>
        <w:wordWrap/>
        <w:overflowPunct/>
        <w:topLinePunct w:val="0"/>
        <w:autoSpaceDE/>
        <w:autoSpaceDN/>
        <w:bidi w:val="0"/>
        <w:adjustRightInd/>
        <w:snapToGrid/>
        <w:spacing w:line="590" w:lineRule="exact"/>
        <w:ind w:left="0" w:leftChars="0" w:right="0" w:rightChars="0" w:firstLine="660" w:firstLineChars="200"/>
        <w:contextualSpacing/>
        <w:jc w:val="both"/>
        <w:textAlignment w:val="auto"/>
        <w:outlineLvl w:val="9"/>
        <w:rPr>
          <w:rFonts w:hint="eastAsia" w:eastAsia="仿宋_GB2312" w:cs="Times New Roman"/>
          <w:color w:val="000000"/>
          <w:kern w:val="0"/>
          <w:sz w:val="33"/>
          <w:szCs w:val="33"/>
          <w:highlight w:val="none"/>
          <w:shd w:val="clear" w:color="auto" w:fill="FFFFFF"/>
          <w:lang w:val="en-US" w:eastAsia="zh-CN"/>
        </w:rPr>
      </w:pPr>
      <w:r>
        <w:rPr>
          <w:rFonts w:hint="eastAsia" w:eastAsia="仿宋_GB2312" w:cs="Times New Roman"/>
          <w:color w:val="000000"/>
          <w:kern w:val="0"/>
          <w:sz w:val="33"/>
          <w:szCs w:val="33"/>
          <w:highlight w:val="none"/>
          <w:shd w:val="clear" w:color="auto" w:fill="FFFFFF"/>
          <w:lang w:val="en-US" w:eastAsia="zh-CN"/>
        </w:rPr>
        <w:t>51090424T000011138954-遂财农【2023】91号2023年省级大中型水库移民后期扶持资金</w:t>
      </w:r>
    </w:p>
    <w:p w14:paraId="1CEBDCC6">
      <w:pPr>
        <w:keepNext w:val="0"/>
        <w:keepLines w:val="0"/>
        <w:pageBreakBefore w:val="0"/>
        <w:widowControl w:val="0"/>
        <w:numPr>
          <w:ilvl w:val="0"/>
          <w:numId w:val="9"/>
        </w:numPr>
        <w:kinsoku/>
        <w:wordWrap/>
        <w:overflowPunct/>
        <w:topLinePunct w:val="0"/>
        <w:autoSpaceDE/>
        <w:autoSpaceDN/>
        <w:bidi w:val="0"/>
        <w:adjustRightInd/>
        <w:snapToGrid/>
        <w:spacing w:line="590" w:lineRule="exact"/>
        <w:ind w:left="0" w:leftChars="0" w:right="0" w:rightChars="0" w:firstLine="660" w:firstLineChars="200"/>
        <w:contextualSpacing/>
        <w:jc w:val="both"/>
        <w:textAlignment w:val="auto"/>
        <w:outlineLvl w:val="9"/>
        <w:rPr>
          <w:rFonts w:hint="eastAsia" w:eastAsia="仿宋_GB2312" w:cs="Times New Roman"/>
          <w:color w:val="000000"/>
          <w:kern w:val="0"/>
          <w:sz w:val="33"/>
          <w:szCs w:val="33"/>
          <w:highlight w:val="none"/>
          <w:shd w:val="clear" w:color="auto" w:fill="FFFFFF"/>
          <w:lang w:val="en-US" w:eastAsia="zh-CN"/>
        </w:rPr>
      </w:pPr>
      <w:r>
        <w:rPr>
          <w:rFonts w:hint="eastAsia" w:eastAsia="仿宋_GB2312" w:cs="Times New Roman"/>
          <w:color w:val="000000"/>
          <w:kern w:val="0"/>
          <w:sz w:val="33"/>
          <w:szCs w:val="33"/>
          <w:highlight w:val="none"/>
          <w:shd w:val="clear" w:color="auto" w:fill="FFFFFF"/>
          <w:lang w:val="en-US" w:eastAsia="zh-CN"/>
        </w:rPr>
        <w:t>51090424T000011275000-遂财农【2023】97号2024年中央大中型水库移民后扶资金</w:t>
      </w:r>
    </w:p>
    <w:p w14:paraId="26E9860C">
      <w:pPr>
        <w:keepNext w:val="0"/>
        <w:keepLines w:val="0"/>
        <w:pageBreakBefore w:val="0"/>
        <w:widowControl w:val="0"/>
        <w:numPr>
          <w:ilvl w:val="0"/>
          <w:numId w:val="9"/>
        </w:numPr>
        <w:kinsoku/>
        <w:wordWrap/>
        <w:overflowPunct/>
        <w:topLinePunct w:val="0"/>
        <w:autoSpaceDE/>
        <w:autoSpaceDN/>
        <w:bidi w:val="0"/>
        <w:adjustRightInd/>
        <w:snapToGrid/>
        <w:spacing w:line="590" w:lineRule="exact"/>
        <w:ind w:left="0" w:leftChars="0" w:right="0" w:rightChars="0" w:firstLine="660" w:firstLineChars="200"/>
        <w:contextualSpacing/>
        <w:jc w:val="both"/>
        <w:textAlignment w:val="auto"/>
        <w:outlineLvl w:val="9"/>
        <w:rPr>
          <w:rFonts w:hint="eastAsia" w:eastAsia="仿宋_GB2312" w:cs="Times New Roman"/>
          <w:color w:val="000000"/>
          <w:kern w:val="0"/>
          <w:sz w:val="33"/>
          <w:szCs w:val="33"/>
          <w:highlight w:val="none"/>
          <w:shd w:val="clear" w:color="auto" w:fill="FFFFFF"/>
          <w:lang w:val="en-US" w:eastAsia="zh-CN"/>
        </w:rPr>
      </w:pPr>
      <w:r>
        <w:rPr>
          <w:rFonts w:hint="eastAsia" w:eastAsia="仿宋_GB2312" w:cs="Times New Roman"/>
          <w:color w:val="000000"/>
          <w:kern w:val="0"/>
          <w:sz w:val="33"/>
          <w:szCs w:val="33"/>
          <w:highlight w:val="none"/>
          <w:shd w:val="clear" w:color="auto" w:fill="FFFFFF"/>
          <w:lang w:val="en-US" w:eastAsia="zh-CN"/>
        </w:rPr>
        <w:t>51090424T000011413876-遂财农【2023】101号2024年中央水利发展资金</w:t>
      </w:r>
    </w:p>
    <w:p w14:paraId="723328A2">
      <w:pPr>
        <w:keepNext w:val="0"/>
        <w:keepLines w:val="0"/>
        <w:pageBreakBefore w:val="0"/>
        <w:widowControl w:val="0"/>
        <w:numPr>
          <w:ilvl w:val="0"/>
          <w:numId w:val="9"/>
        </w:numPr>
        <w:kinsoku/>
        <w:wordWrap/>
        <w:overflowPunct/>
        <w:topLinePunct w:val="0"/>
        <w:autoSpaceDE/>
        <w:autoSpaceDN/>
        <w:bidi w:val="0"/>
        <w:adjustRightInd/>
        <w:snapToGrid/>
        <w:spacing w:line="590" w:lineRule="exact"/>
        <w:ind w:left="0" w:leftChars="0" w:right="0" w:rightChars="0" w:firstLine="660" w:firstLineChars="200"/>
        <w:contextualSpacing/>
        <w:jc w:val="both"/>
        <w:textAlignment w:val="auto"/>
        <w:outlineLvl w:val="9"/>
        <w:rPr>
          <w:rFonts w:hint="eastAsia" w:eastAsia="仿宋_GB2312" w:cs="Times New Roman"/>
          <w:color w:val="000000"/>
          <w:kern w:val="0"/>
          <w:sz w:val="33"/>
          <w:szCs w:val="33"/>
          <w:highlight w:val="none"/>
          <w:shd w:val="clear" w:color="auto" w:fill="FFFFFF"/>
          <w:lang w:val="en-US" w:eastAsia="zh-CN"/>
        </w:rPr>
      </w:pPr>
      <w:r>
        <w:rPr>
          <w:rFonts w:hint="eastAsia" w:eastAsia="仿宋_GB2312" w:cs="Times New Roman"/>
          <w:color w:val="000000"/>
          <w:kern w:val="0"/>
          <w:sz w:val="33"/>
          <w:szCs w:val="33"/>
          <w:highlight w:val="none"/>
          <w:shd w:val="clear" w:color="auto" w:fill="FFFFFF"/>
          <w:lang w:val="en-US" w:eastAsia="zh-CN"/>
        </w:rPr>
        <w:t>51090424T000011854703-遂财农【2024】11号市级财政衔接推进乡村振兴补助资金</w:t>
      </w:r>
    </w:p>
    <w:p w14:paraId="6BB8DE2C">
      <w:pPr>
        <w:keepNext w:val="0"/>
        <w:keepLines w:val="0"/>
        <w:pageBreakBefore w:val="0"/>
        <w:widowControl w:val="0"/>
        <w:numPr>
          <w:ilvl w:val="0"/>
          <w:numId w:val="9"/>
        </w:numPr>
        <w:kinsoku/>
        <w:wordWrap/>
        <w:overflowPunct/>
        <w:topLinePunct w:val="0"/>
        <w:autoSpaceDE/>
        <w:autoSpaceDN/>
        <w:bidi w:val="0"/>
        <w:adjustRightInd/>
        <w:snapToGrid/>
        <w:spacing w:line="590" w:lineRule="exact"/>
        <w:ind w:left="0" w:leftChars="0" w:right="0" w:rightChars="0" w:firstLine="660" w:firstLineChars="200"/>
        <w:contextualSpacing/>
        <w:jc w:val="both"/>
        <w:textAlignment w:val="auto"/>
        <w:outlineLvl w:val="9"/>
        <w:rPr>
          <w:rFonts w:hint="eastAsia" w:eastAsia="仿宋_GB2312" w:cs="Times New Roman"/>
          <w:color w:val="000000"/>
          <w:kern w:val="0"/>
          <w:sz w:val="33"/>
          <w:szCs w:val="33"/>
          <w:highlight w:val="none"/>
          <w:shd w:val="clear" w:color="auto" w:fill="FFFFFF"/>
          <w:lang w:val="en-US" w:eastAsia="zh-CN"/>
        </w:rPr>
      </w:pPr>
      <w:r>
        <w:rPr>
          <w:rFonts w:hint="eastAsia" w:eastAsia="仿宋_GB2312" w:cs="Times New Roman"/>
          <w:color w:val="000000"/>
          <w:kern w:val="0"/>
          <w:sz w:val="33"/>
          <w:szCs w:val="33"/>
          <w:highlight w:val="none"/>
          <w:shd w:val="clear" w:color="auto" w:fill="FFFFFF"/>
          <w:lang w:val="en-US" w:eastAsia="zh-CN"/>
        </w:rPr>
        <w:t>51090425T000012122802-遂财建【2024】85号关于下达水利专项2024年第一批中央基建投资（麻子滩水库除险加固）</w:t>
      </w:r>
    </w:p>
    <w:p w14:paraId="216F67E8">
      <w:pPr>
        <w:keepNext w:val="0"/>
        <w:keepLines w:val="0"/>
        <w:pageBreakBefore w:val="0"/>
        <w:widowControl w:val="0"/>
        <w:numPr>
          <w:ilvl w:val="0"/>
          <w:numId w:val="9"/>
        </w:numPr>
        <w:kinsoku/>
        <w:wordWrap/>
        <w:overflowPunct/>
        <w:topLinePunct w:val="0"/>
        <w:autoSpaceDE/>
        <w:autoSpaceDN/>
        <w:bidi w:val="0"/>
        <w:adjustRightInd/>
        <w:snapToGrid/>
        <w:spacing w:line="590" w:lineRule="exact"/>
        <w:ind w:left="0" w:leftChars="0" w:right="0" w:rightChars="0" w:firstLine="660" w:firstLineChars="200"/>
        <w:contextualSpacing/>
        <w:jc w:val="both"/>
        <w:textAlignment w:val="auto"/>
        <w:outlineLvl w:val="9"/>
        <w:rPr>
          <w:rFonts w:hint="eastAsia" w:eastAsia="仿宋_GB2312" w:cs="Times New Roman"/>
          <w:color w:val="000000"/>
          <w:kern w:val="0"/>
          <w:sz w:val="33"/>
          <w:szCs w:val="33"/>
          <w:highlight w:val="none"/>
          <w:shd w:val="clear" w:color="auto" w:fill="FFFFFF"/>
          <w:lang w:val="en-US" w:eastAsia="zh-CN"/>
        </w:rPr>
      </w:pPr>
      <w:r>
        <w:rPr>
          <w:rFonts w:hint="eastAsia" w:eastAsia="仿宋_GB2312" w:cs="Times New Roman"/>
          <w:color w:val="000000"/>
          <w:kern w:val="0"/>
          <w:sz w:val="33"/>
          <w:szCs w:val="33"/>
          <w:highlight w:val="none"/>
          <w:shd w:val="clear" w:color="auto" w:fill="FFFFFF"/>
          <w:lang w:val="en-US" w:eastAsia="zh-CN"/>
        </w:rPr>
        <w:t>51090425T000012173455-遂财农【2024】36号2024年省级乡村水务发展专项资金</w:t>
      </w:r>
    </w:p>
    <w:p w14:paraId="371B9930">
      <w:pPr>
        <w:keepNext w:val="0"/>
        <w:keepLines w:val="0"/>
        <w:pageBreakBefore w:val="0"/>
        <w:widowControl w:val="0"/>
        <w:numPr>
          <w:ilvl w:val="0"/>
          <w:numId w:val="9"/>
        </w:numPr>
        <w:kinsoku/>
        <w:wordWrap/>
        <w:overflowPunct/>
        <w:topLinePunct w:val="0"/>
        <w:autoSpaceDE/>
        <w:autoSpaceDN/>
        <w:bidi w:val="0"/>
        <w:adjustRightInd/>
        <w:snapToGrid/>
        <w:spacing w:line="590" w:lineRule="exact"/>
        <w:ind w:left="0" w:leftChars="0" w:right="0" w:rightChars="0" w:firstLine="660" w:firstLineChars="200"/>
        <w:contextualSpacing/>
        <w:jc w:val="both"/>
        <w:textAlignment w:val="auto"/>
        <w:outlineLvl w:val="9"/>
        <w:rPr>
          <w:rFonts w:hint="eastAsia" w:eastAsia="仿宋_GB2312" w:cs="Times New Roman"/>
          <w:color w:val="000000"/>
          <w:kern w:val="0"/>
          <w:sz w:val="33"/>
          <w:szCs w:val="33"/>
          <w:highlight w:val="none"/>
          <w:shd w:val="clear" w:color="auto" w:fill="FFFFFF"/>
          <w:lang w:val="en-US" w:eastAsia="zh-CN"/>
        </w:rPr>
      </w:pPr>
      <w:r>
        <w:rPr>
          <w:rFonts w:hint="eastAsia" w:eastAsia="仿宋_GB2312" w:cs="Times New Roman"/>
          <w:color w:val="000000"/>
          <w:kern w:val="0"/>
          <w:sz w:val="33"/>
          <w:szCs w:val="33"/>
          <w:highlight w:val="none"/>
          <w:shd w:val="clear" w:color="auto" w:fill="FFFFFF"/>
          <w:lang w:val="en-US" w:eastAsia="zh-CN"/>
        </w:rPr>
        <w:t>51090425T000012151439-遂财农【2024】30号-2024年市级财政衔接振兴补助资金</w:t>
      </w:r>
    </w:p>
    <w:p w14:paraId="4162429F">
      <w:pPr>
        <w:keepNext w:val="0"/>
        <w:keepLines w:val="0"/>
        <w:pageBreakBefore w:val="0"/>
        <w:widowControl w:val="0"/>
        <w:numPr>
          <w:ilvl w:val="0"/>
          <w:numId w:val="9"/>
        </w:numPr>
        <w:kinsoku/>
        <w:wordWrap/>
        <w:overflowPunct/>
        <w:topLinePunct w:val="0"/>
        <w:autoSpaceDE/>
        <w:autoSpaceDN/>
        <w:bidi w:val="0"/>
        <w:adjustRightInd/>
        <w:snapToGrid/>
        <w:spacing w:line="590" w:lineRule="exact"/>
        <w:ind w:left="0" w:leftChars="0" w:right="0" w:rightChars="0" w:firstLine="660" w:firstLineChars="200"/>
        <w:contextualSpacing/>
        <w:jc w:val="both"/>
        <w:textAlignment w:val="auto"/>
        <w:outlineLvl w:val="9"/>
        <w:rPr>
          <w:rFonts w:hint="eastAsia" w:eastAsia="仿宋_GB2312" w:cs="Times New Roman"/>
          <w:color w:val="000000"/>
          <w:kern w:val="0"/>
          <w:sz w:val="33"/>
          <w:szCs w:val="33"/>
          <w:highlight w:val="none"/>
          <w:shd w:val="clear" w:color="auto" w:fill="FFFFFF"/>
          <w:lang w:val="en-US" w:eastAsia="zh-CN"/>
        </w:rPr>
      </w:pPr>
      <w:r>
        <w:rPr>
          <w:rFonts w:hint="eastAsia" w:eastAsia="仿宋_GB2312" w:cs="Times New Roman"/>
          <w:color w:val="000000"/>
          <w:kern w:val="0"/>
          <w:sz w:val="33"/>
          <w:szCs w:val="33"/>
          <w:highlight w:val="none"/>
          <w:shd w:val="clear" w:color="auto" w:fill="FFFFFF"/>
          <w:lang w:val="en-US" w:eastAsia="zh-CN"/>
        </w:rPr>
        <w:t>51090425T000012291558-遂财农【2024】43号2024年市级财政衔接推进乡村振兴补助资金</w:t>
      </w:r>
    </w:p>
    <w:p w14:paraId="2CE8488F">
      <w:pPr>
        <w:keepNext w:val="0"/>
        <w:keepLines w:val="0"/>
        <w:pageBreakBefore w:val="0"/>
        <w:widowControl w:val="0"/>
        <w:numPr>
          <w:ilvl w:val="0"/>
          <w:numId w:val="9"/>
        </w:numPr>
        <w:kinsoku/>
        <w:wordWrap/>
        <w:overflowPunct/>
        <w:topLinePunct w:val="0"/>
        <w:autoSpaceDE/>
        <w:autoSpaceDN/>
        <w:bidi w:val="0"/>
        <w:adjustRightInd/>
        <w:snapToGrid/>
        <w:spacing w:line="590" w:lineRule="exact"/>
        <w:ind w:left="0" w:leftChars="0" w:right="0" w:rightChars="0" w:firstLine="660" w:firstLineChars="200"/>
        <w:contextualSpacing/>
        <w:jc w:val="both"/>
        <w:textAlignment w:val="auto"/>
        <w:outlineLvl w:val="9"/>
        <w:rPr>
          <w:rFonts w:hint="eastAsia" w:eastAsia="仿宋_GB2312" w:cs="Times New Roman"/>
          <w:color w:val="000000"/>
          <w:kern w:val="0"/>
          <w:sz w:val="33"/>
          <w:szCs w:val="33"/>
          <w:highlight w:val="none"/>
          <w:shd w:val="clear" w:color="auto" w:fill="FFFFFF"/>
          <w:lang w:val="en-US" w:eastAsia="zh-CN"/>
        </w:rPr>
      </w:pPr>
      <w:r>
        <w:rPr>
          <w:rFonts w:hint="eastAsia" w:eastAsia="仿宋_GB2312" w:cs="Times New Roman"/>
          <w:color w:val="000000"/>
          <w:kern w:val="0"/>
          <w:sz w:val="33"/>
          <w:szCs w:val="33"/>
          <w:highlight w:val="none"/>
          <w:shd w:val="clear" w:color="auto" w:fill="FFFFFF"/>
          <w:lang w:val="en-US" w:eastAsia="zh-CN"/>
        </w:rPr>
        <w:t>51090425T000012434097-遂财农【2024】45号下达2024年大中型水库移民后扶资金</w:t>
      </w:r>
    </w:p>
    <w:p w14:paraId="5973C24F">
      <w:pPr>
        <w:keepNext w:val="0"/>
        <w:keepLines w:val="0"/>
        <w:pageBreakBefore w:val="0"/>
        <w:widowControl w:val="0"/>
        <w:numPr>
          <w:ilvl w:val="0"/>
          <w:numId w:val="9"/>
        </w:numPr>
        <w:kinsoku/>
        <w:wordWrap/>
        <w:overflowPunct/>
        <w:topLinePunct w:val="0"/>
        <w:autoSpaceDE/>
        <w:autoSpaceDN/>
        <w:bidi w:val="0"/>
        <w:adjustRightInd/>
        <w:snapToGrid/>
        <w:spacing w:line="590" w:lineRule="exact"/>
        <w:ind w:left="0" w:leftChars="0" w:right="0" w:rightChars="0" w:firstLine="660" w:firstLineChars="200"/>
        <w:contextualSpacing/>
        <w:jc w:val="both"/>
        <w:textAlignment w:val="auto"/>
        <w:outlineLvl w:val="9"/>
        <w:rPr>
          <w:rFonts w:hint="eastAsia" w:eastAsia="仿宋_GB2312" w:cs="Times New Roman"/>
          <w:color w:val="000000"/>
          <w:kern w:val="0"/>
          <w:sz w:val="33"/>
          <w:szCs w:val="33"/>
          <w:highlight w:val="none"/>
          <w:shd w:val="clear" w:color="auto" w:fill="FFFFFF"/>
          <w:lang w:val="en-US" w:eastAsia="zh-CN"/>
        </w:rPr>
      </w:pPr>
      <w:r>
        <w:rPr>
          <w:rFonts w:hint="eastAsia" w:eastAsia="仿宋_GB2312" w:cs="Times New Roman"/>
          <w:color w:val="000000"/>
          <w:kern w:val="0"/>
          <w:sz w:val="33"/>
          <w:szCs w:val="33"/>
          <w:highlight w:val="none"/>
          <w:shd w:val="clear" w:color="auto" w:fill="FFFFFF"/>
          <w:lang w:val="en-US" w:eastAsia="zh-CN"/>
        </w:rPr>
        <w:t>51090425T000012612394-遂财农【2024】59号2024年市级财政衔接推进乡村振兴补助资金</w:t>
      </w:r>
    </w:p>
    <w:p w14:paraId="002FA2AE">
      <w:pPr>
        <w:keepNext w:val="0"/>
        <w:keepLines w:val="0"/>
        <w:pageBreakBefore w:val="0"/>
        <w:widowControl w:val="0"/>
        <w:numPr>
          <w:ilvl w:val="0"/>
          <w:numId w:val="9"/>
        </w:numPr>
        <w:kinsoku/>
        <w:wordWrap/>
        <w:overflowPunct/>
        <w:topLinePunct w:val="0"/>
        <w:autoSpaceDE/>
        <w:autoSpaceDN/>
        <w:bidi w:val="0"/>
        <w:adjustRightInd/>
        <w:snapToGrid/>
        <w:spacing w:line="590" w:lineRule="exact"/>
        <w:ind w:left="0" w:leftChars="0" w:right="0" w:rightChars="0" w:firstLine="660" w:firstLineChars="200"/>
        <w:contextualSpacing/>
        <w:jc w:val="both"/>
        <w:textAlignment w:val="auto"/>
        <w:outlineLvl w:val="9"/>
        <w:rPr>
          <w:rFonts w:hint="eastAsia" w:eastAsia="仿宋_GB2312" w:cs="Times New Roman"/>
          <w:color w:val="000000"/>
          <w:kern w:val="0"/>
          <w:sz w:val="33"/>
          <w:szCs w:val="33"/>
          <w:highlight w:val="none"/>
          <w:shd w:val="clear" w:color="auto" w:fill="FFFFFF"/>
          <w:lang w:val="en-US" w:eastAsia="zh-CN"/>
        </w:rPr>
      </w:pPr>
      <w:r>
        <w:rPr>
          <w:rFonts w:hint="eastAsia" w:eastAsia="仿宋_GB2312" w:cs="Times New Roman"/>
          <w:color w:val="000000"/>
          <w:kern w:val="0"/>
          <w:sz w:val="33"/>
          <w:szCs w:val="33"/>
          <w:highlight w:val="none"/>
          <w:shd w:val="clear" w:color="auto" w:fill="FFFFFF"/>
          <w:lang w:val="en-US" w:eastAsia="zh-CN"/>
        </w:rPr>
        <w:t>51090425T000013248106-遂财农【2024】69号2024年省级大中型水库移民后扶资金</w:t>
      </w:r>
    </w:p>
    <w:p w14:paraId="3A972098">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right="0" w:rightChars="0" w:firstLine="660" w:firstLineChars="200"/>
        <w:contextualSpacing/>
        <w:jc w:val="both"/>
        <w:textAlignment w:val="auto"/>
        <w:outlineLvl w:val="9"/>
        <w:rPr>
          <w:rFonts w:hint="eastAsia" w:eastAsia="仿宋_GB2312"/>
          <w:lang w:val="en-US" w:eastAsia="zh-CN"/>
        </w:rPr>
      </w:pPr>
      <w:r>
        <w:rPr>
          <w:rFonts w:hint="eastAsia" w:eastAsia="仿宋_GB2312" w:cs="Times New Roman"/>
          <w:color w:val="000000"/>
          <w:kern w:val="0"/>
          <w:sz w:val="33"/>
          <w:szCs w:val="33"/>
          <w:highlight w:val="none"/>
          <w:shd w:val="clear" w:color="auto" w:fill="FFFFFF"/>
          <w:lang w:val="en-US" w:eastAsia="zh-CN"/>
        </w:rPr>
        <w:t>根据指标该项指标得分=完成绩效目标数量指标的部门预算阶段项目（含一次性项目）数量÷部门预算阶段项目（含一次性项目）总数×100%×6。</w:t>
      </w:r>
      <w:r>
        <w:rPr>
          <w:rFonts w:hint="eastAsia" w:ascii="Times New Roman" w:hAnsi="Times New Roman" w:eastAsia="仿宋_GB2312" w:cs="Times New Roman"/>
          <w:color w:val="000000"/>
          <w:kern w:val="0"/>
          <w:sz w:val="33"/>
          <w:szCs w:val="33"/>
          <w:highlight w:val="none"/>
          <w:shd w:val="clear" w:color="auto" w:fill="FFFFFF"/>
          <w:lang w:val="en-US" w:eastAsia="zh-CN"/>
        </w:rPr>
        <w:t>；自评得</w:t>
      </w:r>
      <w:r>
        <w:rPr>
          <w:rFonts w:hint="eastAsia" w:eastAsia="仿宋_GB2312" w:cs="Times New Roman"/>
          <w:color w:val="000000"/>
          <w:kern w:val="0"/>
          <w:sz w:val="33"/>
          <w:szCs w:val="33"/>
          <w:highlight w:val="none"/>
          <w:shd w:val="clear" w:color="auto" w:fill="FFFFFF"/>
          <w:lang w:val="en-US" w:eastAsia="zh-CN"/>
        </w:rPr>
        <w:t>4.59</w:t>
      </w:r>
      <w:r>
        <w:rPr>
          <w:rFonts w:hint="eastAsia" w:ascii="Times New Roman" w:hAnsi="Times New Roman" w:eastAsia="仿宋_GB2312" w:cs="Times New Roman"/>
          <w:color w:val="000000"/>
          <w:kern w:val="0"/>
          <w:sz w:val="33"/>
          <w:szCs w:val="33"/>
          <w:highlight w:val="none"/>
          <w:shd w:val="clear" w:color="auto" w:fill="FFFFFF"/>
          <w:lang w:val="en-US" w:eastAsia="zh-CN"/>
        </w:rPr>
        <w:t>分。</w:t>
      </w:r>
    </w:p>
    <w:p w14:paraId="0AC65036">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63" w:firstLineChars="200"/>
        <w:contextualSpacing/>
        <w:jc w:val="both"/>
        <w:textAlignment w:val="auto"/>
        <w:outlineLvl w:val="9"/>
        <w:rPr>
          <w:rFonts w:hint="eastAsia" w:ascii="Times New Roman" w:hAnsi="Times New Roman" w:eastAsia="仿宋_GB2312" w:cs="Times New Roman"/>
          <w:sz w:val="33"/>
          <w:szCs w:val="33"/>
          <w:highlight w:val="none"/>
          <w:u w:val="none"/>
          <w:lang w:eastAsia="zh-CN" w:bidi="ar"/>
        </w:rPr>
      </w:pPr>
      <w:r>
        <w:rPr>
          <w:rFonts w:hint="default" w:ascii="Times New Roman" w:hAnsi="Times New Roman" w:eastAsia="楷体_GB2312" w:cs="Times New Roman"/>
          <w:b/>
          <w:bCs/>
          <w:color w:val="000000"/>
          <w:kern w:val="0"/>
          <w:sz w:val="33"/>
          <w:szCs w:val="33"/>
          <w:highlight w:val="none"/>
          <w:shd w:val="clear" w:color="auto" w:fill="FFFFFF"/>
          <w:lang w:val="zh-CN"/>
        </w:rPr>
        <w:t>（</w:t>
      </w:r>
      <w:r>
        <w:rPr>
          <w:rFonts w:hint="eastAsia" w:ascii="Times New Roman" w:hAnsi="Times New Roman" w:eastAsia="楷体_GB2312" w:cs="Times New Roman"/>
          <w:b/>
          <w:bCs/>
          <w:color w:val="000000"/>
          <w:kern w:val="0"/>
          <w:sz w:val="33"/>
          <w:szCs w:val="33"/>
          <w:highlight w:val="none"/>
          <w:shd w:val="clear" w:color="auto" w:fill="FFFFFF"/>
          <w:lang w:val="zh-CN"/>
        </w:rPr>
        <w:t>三</w:t>
      </w:r>
      <w:r>
        <w:rPr>
          <w:rFonts w:hint="default" w:ascii="Times New Roman" w:hAnsi="Times New Roman" w:eastAsia="楷体_GB2312" w:cs="Times New Roman"/>
          <w:b/>
          <w:bCs/>
          <w:color w:val="000000"/>
          <w:kern w:val="0"/>
          <w:sz w:val="33"/>
          <w:szCs w:val="33"/>
          <w:highlight w:val="none"/>
          <w:shd w:val="clear" w:color="auto" w:fill="FFFFFF"/>
          <w:lang w:val="zh-CN"/>
        </w:rPr>
        <w:t>）</w:t>
      </w:r>
      <w:r>
        <w:rPr>
          <w:rFonts w:hint="default" w:ascii="Times New Roman" w:hAnsi="Times New Roman" w:eastAsia="楷体_GB2312" w:cs="Times New Roman"/>
          <w:b/>
          <w:bCs/>
          <w:color w:val="000000"/>
          <w:kern w:val="0"/>
          <w:sz w:val="33"/>
          <w:szCs w:val="33"/>
          <w:highlight w:val="none"/>
          <w:shd w:val="clear" w:color="auto" w:fill="FFFFFF"/>
          <w:lang w:val="zh-CN" w:eastAsia="zh-CN"/>
        </w:rPr>
        <w:t>重点领域</w:t>
      </w:r>
      <w:r>
        <w:rPr>
          <w:rFonts w:hint="default" w:ascii="Times New Roman" w:hAnsi="Times New Roman" w:eastAsia="楷体_GB2312" w:cs="Times New Roman"/>
          <w:b/>
          <w:bCs/>
          <w:color w:val="000000"/>
          <w:kern w:val="0"/>
          <w:sz w:val="33"/>
          <w:szCs w:val="33"/>
          <w:highlight w:val="none"/>
          <w:shd w:val="clear" w:color="auto" w:fill="FFFFFF"/>
          <w:lang w:val="zh-CN"/>
        </w:rPr>
        <w:t>绩效分析</w:t>
      </w:r>
      <w:r>
        <w:rPr>
          <w:rFonts w:hint="default" w:ascii="Times New Roman" w:hAnsi="Times New Roman" w:eastAsia="楷体_GB2312" w:cs="Times New Roman"/>
          <w:b/>
          <w:bCs/>
          <w:color w:val="000000"/>
          <w:kern w:val="0"/>
          <w:sz w:val="33"/>
          <w:szCs w:val="33"/>
          <w:highlight w:val="none"/>
          <w:shd w:val="clear" w:color="auto" w:fill="FFFFFF"/>
          <w:lang w:val="zh-CN" w:eastAsia="zh-CN"/>
        </w:rPr>
        <w:t>。</w:t>
      </w:r>
      <w:r>
        <w:rPr>
          <w:rFonts w:hint="eastAsia" w:ascii="Times New Roman" w:hAnsi="Times New Roman" w:eastAsia="仿宋_GB2312" w:cs="Times New Roman"/>
          <w:sz w:val="33"/>
          <w:szCs w:val="33"/>
          <w:highlight w:val="none"/>
          <w:u w:val="none"/>
          <w:lang w:eastAsia="zh-CN"/>
        </w:rPr>
        <w:t>市</w:t>
      </w:r>
      <w:r>
        <w:rPr>
          <w:rFonts w:hint="default" w:ascii="Times New Roman" w:hAnsi="Times New Roman" w:eastAsia="仿宋_GB2312" w:cs="Times New Roman"/>
          <w:sz w:val="33"/>
          <w:szCs w:val="33"/>
          <w:highlight w:val="none"/>
          <w:u w:val="none"/>
        </w:rPr>
        <w:t>级部门</w:t>
      </w:r>
      <w:r>
        <w:rPr>
          <w:rFonts w:hint="eastAsia" w:ascii="Times New Roman" w:hAnsi="Times New Roman" w:eastAsia="仿宋_GB2312" w:cs="Times New Roman"/>
          <w:sz w:val="33"/>
          <w:szCs w:val="33"/>
          <w:u w:val="none"/>
          <w:lang w:val="en-US" w:eastAsia="zh-CN"/>
        </w:rPr>
        <w:t>202</w:t>
      </w:r>
      <w:r>
        <w:rPr>
          <w:rFonts w:hint="eastAsia" w:eastAsia="仿宋_GB2312" w:cs="Times New Roman"/>
          <w:sz w:val="33"/>
          <w:szCs w:val="33"/>
          <w:u w:val="none"/>
          <w:lang w:val="en-US" w:eastAsia="zh-CN"/>
        </w:rPr>
        <w:t>4</w:t>
      </w:r>
      <w:r>
        <w:rPr>
          <w:rFonts w:hint="eastAsia" w:ascii="Times New Roman" w:hAnsi="Times New Roman" w:eastAsia="仿宋_GB2312" w:cs="Times New Roman"/>
          <w:sz w:val="33"/>
          <w:szCs w:val="33"/>
          <w:u w:val="none"/>
          <w:lang w:val="en-US" w:eastAsia="zh-CN"/>
        </w:rPr>
        <w:t>年度</w:t>
      </w:r>
      <w:r>
        <w:rPr>
          <w:rFonts w:hint="default" w:ascii="Times New Roman" w:hAnsi="Times New Roman" w:eastAsia="仿宋_GB2312" w:cs="Times New Roman"/>
          <w:sz w:val="33"/>
          <w:szCs w:val="33"/>
          <w:highlight w:val="none"/>
          <w:u w:val="none"/>
        </w:rPr>
        <w:t>若涉及国有资本、行政事业性国有资产、</w:t>
      </w:r>
      <w:r>
        <w:rPr>
          <w:rFonts w:hint="default" w:ascii="Times New Roman" w:hAnsi="Times New Roman" w:eastAsia="仿宋_GB2312" w:cs="Times New Roman"/>
          <w:b w:val="0"/>
          <w:bCs w:val="0"/>
          <w:sz w:val="33"/>
          <w:szCs w:val="33"/>
          <w:highlight w:val="none"/>
          <w:u w:val="none"/>
        </w:rPr>
        <w:t>债券</w:t>
      </w:r>
      <w:r>
        <w:rPr>
          <w:rFonts w:hint="default" w:ascii="Times New Roman" w:hAnsi="Times New Roman" w:eastAsia="仿宋_GB2312" w:cs="Times New Roman"/>
          <w:b w:val="0"/>
          <w:bCs w:val="0"/>
          <w:sz w:val="33"/>
          <w:szCs w:val="33"/>
          <w:highlight w:val="none"/>
          <w:u w:val="none"/>
          <w:lang w:eastAsia="zh-CN"/>
        </w:rPr>
        <w:t>资金、政府采购和政府购买服务等重点领域</w:t>
      </w:r>
      <w:r>
        <w:rPr>
          <w:rFonts w:hint="default" w:ascii="Times New Roman" w:hAnsi="Times New Roman" w:eastAsia="仿宋_GB2312" w:cs="Times New Roman"/>
          <w:sz w:val="33"/>
          <w:szCs w:val="33"/>
          <w:highlight w:val="none"/>
          <w:u w:val="none"/>
        </w:rPr>
        <w:t>的</w:t>
      </w:r>
      <w:r>
        <w:rPr>
          <w:rFonts w:hint="default" w:ascii="Times New Roman" w:hAnsi="Times New Roman" w:eastAsia="仿宋_GB2312" w:cs="Times New Roman"/>
          <w:sz w:val="33"/>
          <w:szCs w:val="33"/>
          <w:highlight w:val="none"/>
          <w:u w:val="none"/>
          <w:lang w:eastAsia="zh-CN"/>
        </w:rPr>
        <w:t>，</w:t>
      </w:r>
      <w:r>
        <w:rPr>
          <w:rFonts w:hint="default" w:ascii="Times New Roman" w:hAnsi="Times New Roman" w:eastAsia="仿宋_GB2312" w:cs="Times New Roman"/>
          <w:sz w:val="33"/>
          <w:szCs w:val="33"/>
          <w:highlight w:val="none"/>
          <w:u w:val="none"/>
          <w:lang w:bidi="ar"/>
        </w:rPr>
        <w:t>应在部门</w:t>
      </w:r>
      <w:r>
        <w:rPr>
          <w:rFonts w:hint="default" w:ascii="Times New Roman" w:hAnsi="Times New Roman" w:eastAsia="仿宋_GB2312" w:cs="Times New Roman"/>
          <w:sz w:val="33"/>
          <w:szCs w:val="33"/>
          <w:u w:val="none"/>
          <w:lang w:eastAsia="zh-CN" w:bidi="ar"/>
        </w:rPr>
        <w:t>预算</w:t>
      </w:r>
      <w:r>
        <w:rPr>
          <w:rFonts w:hint="default" w:ascii="Times New Roman" w:hAnsi="Times New Roman" w:eastAsia="仿宋_GB2312" w:cs="Times New Roman"/>
          <w:sz w:val="33"/>
          <w:szCs w:val="33"/>
          <w:highlight w:val="none"/>
          <w:u w:val="none"/>
          <w:lang w:bidi="ar"/>
        </w:rPr>
        <w:t>绩效自评报告中</w:t>
      </w:r>
      <w:r>
        <w:rPr>
          <w:rFonts w:hint="default" w:ascii="Times New Roman" w:hAnsi="Times New Roman" w:eastAsia="仿宋_GB2312" w:cs="Times New Roman"/>
          <w:sz w:val="33"/>
          <w:szCs w:val="33"/>
          <w:highlight w:val="none"/>
          <w:u w:val="none"/>
          <w:lang w:eastAsia="zh-CN" w:bidi="ar"/>
        </w:rPr>
        <w:t>对完成情况进行梳理阐述</w:t>
      </w:r>
      <w:r>
        <w:rPr>
          <w:rFonts w:hint="eastAsia" w:ascii="Times New Roman" w:hAnsi="Times New Roman" w:eastAsia="仿宋_GB2312" w:cs="Times New Roman"/>
          <w:sz w:val="33"/>
          <w:szCs w:val="33"/>
          <w:highlight w:val="none"/>
          <w:u w:val="none"/>
          <w:lang w:eastAsia="zh-CN" w:bidi="ar"/>
        </w:rPr>
        <w:t>。</w:t>
      </w:r>
    </w:p>
    <w:p w14:paraId="4BEF140B">
      <w:pPr>
        <w:keepNext w:val="0"/>
        <w:keepLines w:val="0"/>
        <w:pageBreakBefore w:val="0"/>
        <w:widowControl w:val="0"/>
        <w:kinsoku/>
        <w:wordWrap/>
        <w:overflowPunct/>
        <w:topLinePunct w:val="0"/>
        <w:autoSpaceDE/>
        <w:autoSpaceDN/>
        <w:bidi w:val="0"/>
        <w:adjustRightInd/>
        <w:snapToGrid/>
        <w:spacing w:line="590" w:lineRule="exact"/>
        <w:ind w:left="0" w:leftChars="0" w:right="0" w:rightChars="0" w:firstLine="420" w:firstLineChars="200"/>
        <w:jc w:val="both"/>
        <w:textAlignment w:val="auto"/>
        <w:rPr>
          <w:rFonts w:hint="default" w:eastAsia="仿宋_GB2312"/>
          <w:lang w:val="en-US" w:eastAsia="zh-CN"/>
        </w:rPr>
      </w:pPr>
      <w:r>
        <w:rPr>
          <w:rFonts w:hint="eastAsia" w:ascii="Times New Roman" w:hAnsi="Times New Roman" w:eastAsia="仿宋_GB2312" w:cs="Times New Roman"/>
          <w:lang w:val="en-US" w:eastAsia="zh-CN"/>
        </w:rPr>
        <w:t>1.</w:t>
      </w:r>
      <w:r>
        <w:rPr>
          <w:rFonts w:hint="default" w:ascii="Times New Roman" w:hAnsi="Times New Roman" w:eastAsia="仿宋_GB2312" w:cs="Times New Roman"/>
          <w:b w:val="0"/>
          <w:bCs w:val="0"/>
          <w:sz w:val="33"/>
          <w:szCs w:val="33"/>
          <w:highlight w:val="none"/>
          <w:u w:val="none"/>
        </w:rPr>
        <w:t>债券</w:t>
      </w:r>
      <w:r>
        <w:rPr>
          <w:rFonts w:hint="default" w:ascii="Times New Roman" w:hAnsi="Times New Roman" w:eastAsia="仿宋_GB2312" w:cs="Times New Roman"/>
          <w:b w:val="0"/>
          <w:bCs w:val="0"/>
          <w:sz w:val="33"/>
          <w:szCs w:val="33"/>
          <w:highlight w:val="none"/>
          <w:u w:val="none"/>
          <w:lang w:eastAsia="zh-CN"/>
        </w:rPr>
        <w:t>资金</w:t>
      </w:r>
      <w:r>
        <w:rPr>
          <w:rFonts w:hint="eastAsia" w:ascii="Times New Roman" w:hAnsi="Times New Roman" w:eastAsia="仿宋_GB2312" w:cs="Times New Roman"/>
          <w:b w:val="0"/>
          <w:bCs w:val="0"/>
          <w:sz w:val="33"/>
          <w:szCs w:val="33"/>
          <w:highlight w:val="none"/>
          <w:u w:val="none"/>
          <w:lang w:eastAsia="zh-CN"/>
        </w:rPr>
        <w:t>：</w:t>
      </w:r>
      <w:r>
        <w:rPr>
          <w:rFonts w:hint="eastAsia" w:ascii="Times New Roman" w:hAnsi="Times New Roman" w:eastAsia="仿宋_GB2312" w:cs="Times New Roman"/>
          <w:b w:val="0"/>
          <w:bCs w:val="0"/>
          <w:sz w:val="33"/>
          <w:szCs w:val="33"/>
          <w:highlight w:val="none"/>
          <w:u w:val="none"/>
          <w:lang w:val="en-US" w:eastAsia="zh-CN"/>
        </w:rPr>
        <w:t>2024年度我局一般债券资金预算数370.15万元，为51090422T000007269729-2022年小型水库安全运行一般债券、51090423T000009106121-遂宁市安居区2023年小型水库安全运行项目2个项目，2个项目为上年结转项目，2个项目实际完成支付370.15万元，项目全部完成支付，</w:t>
      </w:r>
    </w:p>
    <w:p w14:paraId="1E68A018">
      <w:pPr>
        <w:keepNext w:val="0"/>
        <w:keepLines w:val="0"/>
        <w:pageBreakBefore w:val="0"/>
        <w:widowControl w:val="0"/>
        <w:kinsoku/>
        <w:wordWrap/>
        <w:overflowPunct/>
        <w:topLinePunct w:val="0"/>
        <w:autoSpaceDE/>
        <w:autoSpaceDN/>
        <w:bidi w:val="0"/>
        <w:adjustRightInd/>
        <w:snapToGrid/>
        <w:spacing w:line="590" w:lineRule="exact"/>
        <w:ind w:left="0" w:leftChars="0" w:right="0" w:rightChars="0" w:firstLine="420" w:firstLineChars="200"/>
        <w:jc w:val="both"/>
        <w:textAlignment w:val="auto"/>
        <w:rPr>
          <w:rFonts w:hint="default" w:eastAsia="仿宋_GB2312"/>
          <w:lang w:val="en-US" w:eastAsia="zh-CN"/>
        </w:rPr>
      </w:pPr>
      <w:r>
        <w:rPr>
          <w:rFonts w:hint="eastAsia" w:eastAsia="仿宋_GB2312"/>
          <w:lang w:val="en-US" w:eastAsia="zh-CN"/>
        </w:rPr>
        <w:t>2.政府采购：2024年度，我局</w:t>
      </w:r>
      <w:r>
        <w:rPr>
          <w:rFonts w:hint="eastAsia" w:ascii="Times New Roman" w:hAnsi="Times New Roman" w:eastAsia="仿宋_GB2312" w:cs="Times New Roman"/>
          <w:sz w:val="33"/>
          <w:szCs w:val="33"/>
          <w:lang w:val="en-US" w:eastAsia="zh-CN"/>
        </w:rPr>
        <w:t>政府采购计划支出63525元、实际完成支出63525元，采购执行率100%，主要为采购</w:t>
      </w:r>
      <w:r>
        <w:rPr>
          <w:rFonts w:hint="eastAsia" w:eastAsia="仿宋_GB2312" w:cs="Times New Roman"/>
          <w:sz w:val="33"/>
          <w:szCs w:val="33"/>
          <w:lang w:val="en-US" w:eastAsia="zh-CN"/>
        </w:rPr>
        <w:t>电脑</w:t>
      </w:r>
      <w:r>
        <w:rPr>
          <w:rFonts w:hint="eastAsia" w:ascii="Times New Roman" w:hAnsi="Times New Roman" w:eastAsia="仿宋_GB2312" w:cs="Times New Roman"/>
          <w:sz w:val="33"/>
          <w:szCs w:val="33"/>
          <w:lang w:val="en-US" w:eastAsia="zh-CN"/>
        </w:rPr>
        <w:t>办公设备资产，</w:t>
      </w:r>
      <w:r>
        <w:rPr>
          <w:rFonts w:hint="eastAsia" w:ascii="Times New Roman" w:hAnsi="Times New Roman" w:eastAsia="仿宋_GB2312" w:cs="Times New Roman"/>
          <w:color w:val="000000"/>
          <w:kern w:val="0"/>
          <w:sz w:val="33"/>
          <w:szCs w:val="33"/>
          <w:highlight w:val="none"/>
          <w:shd w:val="clear" w:color="auto" w:fill="FFFFFF"/>
          <w:lang w:val="zh-CN"/>
        </w:rPr>
        <w:t>支持中小企业发展。</w:t>
      </w:r>
      <w:r>
        <w:rPr>
          <w:rFonts w:hint="eastAsia" w:ascii="Times New Roman" w:hAnsi="Times New Roman" w:eastAsia="仿宋_GB2312" w:cs="Times New Roman"/>
          <w:color w:val="000000"/>
          <w:kern w:val="0"/>
          <w:sz w:val="33"/>
          <w:szCs w:val="33"/>
          <w:highlight w:val="none"/>
          <w:shd w:val="clear" w:color="auto" w:fill="FFFFFF"/>
          <w:lang w:val="en-US" w:eastAsia="zh-CN"/>
        </w:rPr>
        <w:t>在</w:t>
      </w:r>
      <w:r>
        <w:rPr>
          <w:rFonts w:hint="eastAsia" w:ascii="Times New Roman" w:hAnsi="Times New Roman" w:eastAsia="仿宋_GB2312" w:cs="Times New Roman"/>
          <w:sz w:val="33"/>
          <w:szCs w:val="33"/>
          <w:lang w:val="en-US" w:eastAsia="zh-CN"/>
        </w:rPr>
        <w:t>政府采购管理方面的表现优秀，政府采购程序合规，严格按照法律法规进行操作；采购需求制定合理，符合部门业务需求；采购过程公开透明，保证了公平竞争。政府采购管理有效地降低了采购成本，提高了采购效率。</w:t>
      </w:r>
    </w:p>
    <w:p w14:paraId="5B2880F9">
      <w:pPr>
        <w:keepNext w:val="0"/>
        <w:keepLines w:val="0"/>
        <w:pageBreakBefore w:val="0"/>
        <w:widowControl w:val="0"/>
        <w:kinsoku/>
        <w:wordWrap/>
        <w:overflowPunct/>
        <w:topLinePunct w:val="0"/>
        <w:autoSpaceDE/>
        <w:autoSpaceDN/>
        <w:bidi w:val="0"/>
        <w:adjustRightInd/>
        <w:snapToGrid/>
        <w:spacing w:line="590" w:lineRule="exact"/>
        <w:ind w:left="0" w:leftChars="0" w:right="0" w:rightChars="0" w:firstLine="663" w:firstLineChars="200"/>
        <w:jc w:val="both"/>
        <w:textAlignment w:val="auto"/>
        <w:rPr>
          <w:rFonts w:hint="eastAsia" w:ascii="Times New Roman" w:hAnsi="Times New Roman" w:eastAsia="仿宋_GB2312" w:cs="Times New Roman"/>
          <w:sz w:val="33"/>
          <w:szCs w:val="33"/>
          <w:u w:val="none"/>
          <w:lang w:eastAsia="zh-CN"/>
        </w:rPr>
      </w:pPr>
      <w:r>
        <w:rPr>
          <w:rFonts w:hint="default" w:ascii="Times New Roman" w:hAnsi="Times New Roman" w:eastAsia="楷体_GB2312" w:cs="Times New Roman"/>
          <w:b/>
          <w:bCs/>
          <w:sz w:val="33"/>
          <w:szCs w:val="33"/>
          <w:lang w:val="zh-CN"/>
        </w:rPr>
        <w:t>（四）绩效结果应用情况</w:t>
      </w:r>
      <w:r>
        <w:rPr>
          <w:rFonts w:hint="eastAsia" w:ascii="Times New Roman" w:hAnsi="Times New Roman" w:eastAsia="楷体_GB2312" w:cs="Times New Roman"/>
          <w:b/>
          <w:bCs/>
          <w:sz w:val="33"/>
          <w:szCs w:val="33"/>
          <w:lang w:val="zh-CN"/>
        </w:rPr>
        <w:t>。</w:t>
      </w:r>
      <w:r>
        <w:rPr>
          <w:rFonts w:hint="eastAsia" w:ascii="Times New Roman" w:hAnsi="Times New Roman" w:eastAsia="仿宋_GB2312" w:cs="Times New Roman"/>
          <w:color w:val="000000"/>
          <w:kern w:val="0"/>
          <w:sz w:val="33"/>
          <w:szCs w:val="33"/>
          <w:highlight w:val="none"/>
          <w:shd w:val="clear" w:color="auto" w:fill="FFFFFF"/>
          <w:lang w:val="zh-CN" w:eastAsia="zh-CN"/>
        </w:rPr>
        <w:t>围绕内部应用情况、</w:t>
      </w:r>
      <w:r>
        <w:rPr>
          <w:rFonts w:hint="default" w:ascii="Times New Roman" w:hAnsi="Times New Roman" w:eastAsia="仿宋_GB2312" w:cs="Times New Roman"/>
          <w:color w:val="000000"/>
          <w:kern w:val="0"/>
          <w:sz w:val="33"/>
          <w:szCs w:val="33"/>
          <w:highlight w:val="none"/>
          <w:shd w:val="clear" w:color="auto" w:fill="FFFFFF"/>
          <w:lang w:val="zh-CN" w:eastAsia="zh-CN"/>
        </w:rPr>
        <w:t>信息公开情况</w:t>
      </w:r>
      <w:r>
        <w:rPr>
          <w:rFonts w:hint="eastAsia" w:ascii="Times New Roman" w:hAnsi="Times New Roman" w:eastAsia="仿宋_GB2312" w:cs="Times New Roman"/>
          <w:color w:val="000000"/>
          <w:kern w:val="0"/>
          <w:sz w:val="33"/>
          <w:szCs w:val="33"/>
          <w:highlight w:val="none"/>
          <w:shd w:val="clear" w:color="auto" w:fill="FFFFFF"/>
          <w:lang w:val="zh-CN" w:eastAsia="zh-CN"/>
        </w:rPr>
        <w:t>、</w:t>
      </w:r>
      <w:r>
        <w:rPr>
          <w:rFonts w:hint="default" w:ascii="Times New Roman" w:hAnsi="Times New Roman" w:eastAsia="仿宋_GB2312" w:cs="Times New Roman"/>
          <w:color w:val="000000"/>
          <w:kern w:val="0"/>
          <w:sz w:val="33"/>
          <w:szCs w:val="33"/>
          <w:highlight w:val="none"/>
          <w:shd w:val="clear" w:color="auto" w:fill="FFFFFF"/>
          <w:lang w:val="zh-CN" w:eastAsia="zh-CN"/>
        </w:rPr>
        <w:t>整改反馈情况</w:t>
      </w:r>
      <w:r>
        <w:rPr>
          <w:rFonts w:hint="eastAsia" w:ascii="Times New Roman" w:hAnsi="Times New Roman" w:eastAsia="仿宋_GB2312" w:cs="Times New Roman"/>
          <w:color w:val="000000"/>
          <w:kern w:val="0"/>
          <w:sz w:val="33"/>
          <w:szCs w:val="33"/>
          <w:highlight w:val="none"/>
          <w:shd w:val="clear" w:color="auto" w:fill="FFFFFF"/>
          <w:lang w:val="zh-CN" w:eastAsia="zh-CN"/>
        </w:rPr>
        <w:t>进分析。</w:t>
      </w:r>
    </w:p>
    <w:p w14:paraId="4212CEB3">
      <w:pPr>
        <w:keepNext w:val="0"/>
        <w:keepLines w:val="0"/>
        <w:pageBreakBefore w:val="0"/>
        <w:kinsoku/>
        <w:wordWrap/>
        <w:overflowPunct/>
        <w:topLinePunct w:val="0"/>
        <w:autoSpaceDE/>
        <w:autoSpaceDN/>
        <w:bidi w:val="0"/>
        <w:adjustRightInd/>
        <w:snapToGrid/>
        <w:spacing w:line="590" w:lineRule="exact"/>
        <w:ind w:left="0" w:leftChars="0" w:right="0" w:rightChars="0" w:firstLine="660" w:firstLineChars="200"/>
        <w:jc w:val="both"/>
        <w:textAlignment w:val="auto"/>
        <w:rPr>
          <w:rFonts w:hint="default" w:ascii="Times New Roman" w:hAnsi="Times New Roman" w:eastAsia="仿宋_GB2312" w:cs="Times New Roman"/>
          <w:sz w:val="33"/>
          <w:szCs w:val="33"/>
          <w:u w:val="none"/>
          <w:lang w:val="en-US" w:eastAsia="zh-CN"/>
        </w:rPr>
      </w:pPr>
      <w:r>
        <w:rPr>
          <w:rFonts w:hint="eastAsia" w:ascii="Times New Roman" w:hAnsi="Times New Roman" w:eastAsia="仿宋_GB2312" w:cs="Times New Roman"/>
          <w:sz w:val="33"/>
          <w:szCs w:val="33"/>
          <w:u w:val="none"/>
          <w:lang w:eastAsia="zh-CN"/>
        </w:rPr>
        <w:t>我局于202</w:t>
      </w:r>
      <w:r>
        <w:rPr>
          <w:rFonts w:hint="eastAsia" w:ascii="Times New Roman" w:hAnsi="Times New Roman" w:eastAsia="仿宋_GB2312" w:cs="Times New Roman"/>
          <w:sz w:val="33"/>
          <w:szCs w:val="33"/>
          <w:u w:val="none"/>
          <w:lang w:val="en-US" w:eastAsia="zh-CN"/>
        </w:rPr>
        <w:t>3</w:t>
      </w:r>
      <w:r>
        <w:rPr>
          <w:rFonts w:hint="eastAsia" w:ascii="Times New Roman" w:hAnsi="Times New Roman" w:eastAsia="仿宋_GB2312" w:cs="Times New Roman"/>
          <w:sz w:val="33"/>
          <w:szCs w:val="33"/>
          <w:u w:val="none"/>
          <w:lang w:eastAsia="zh-CN"/>
        </w:rPr>
        <w:t>年10月在“</w:t>
      </w:r>
      <w:r>
        <w:rPr>
          <w:rFonts w:hint="eastAsia" w:eastAsia="仿宋_GB2312" w:cs="Times New Roman"/>
          <w:sz w:val="33"/>
          <w:szCs w:val="33"/>
          <w:u w:val="none"/>
          <w:lang w:val="en-US" w:eastAsia="zh-CN"/>
        </w:rPr>
        <w:t>安居区</w:t>
      </w:r>
      <w:r>
        <w:rPr>
          <w:rFonts w:hint="eastAsia" w:ascii="Times New Roman" w:hAnsi="Times New Roman" w:eastAsia="仿宋_GB2312" w:cs="Times New Roman"/>
          <w:sz w:val="33"/>
          <w:szCs w:val="33"/>
          <w:u w:val="none"/>
          <w:lang w:eastAsia="zh-CN"/>
        </w:rPr>
        <w:t>人民政府公众信息网”发布《</w:t>
      </w:r>
      <w:r>
        <w:rPr>
          <w:rFonts w:hint="eastAsia" w:ascii="Times New Roman" w:hAnsi="Times New Roman" w:eastAsia="仿宋_GB2312" w:cs="Times New Roman"/>
          <w:sz w:val="33"/>
          <w:szCs w:val="33"/>
          <w:u w:val="none"/>
          <w:lang w:val="en-US" w:eastAsia="zh-CN"/>
        </w:rPr>
        <w:t>遂宁市</w:t>
      </w:r>
      <w:r>
        <w:rPr>
          <w:rFonts w:hint="eastAsia" w:eastAsia="仿宋_GB2312" w:cs="Times New Roman"/>
          <w:sz w:val="33"/>
          <w:szCs w:val="33"/>
          <w:u w:val="none"/>
          <w:lang w:val="en-US" w:eastAsia="zh-CN"/>
        </w:rPr>
        <w:t>安居区水利局</w:t>
      </w:r>
      <w:r>
        <w:rPr>
          <w:rFonts w:hint="eastAsia" w:ascii="Times New Roman" w:hAnsi="Times New Roman" w:eastAsia="仿宋_GB2312" w:cs="Times New Roman"/>
          <w:sz w:val="33"/>
          <w:szCs w:val="33"/>
          <w:u w:val="none"/>
          <w:lang w:eastAsia="zh-CN"/>
        </w:rPr>
        <w:t>202</w:t>
      </w:r>
      <w:r>
        <w:rPr>
          <w:rFonts w:hint="eastAsia" w:ascii="Times New Roman" w:hAnsi="Times New Roman" w:eastAsia="仿宋_GB2312" w:cs="Times New Roman"/>
          <w:sz w:val="33"/>
          <w:szCs w:val="33"/>
          <w:u w:val="none"/>
          <w:lang w:val="en-US" w:eastAsia="zh-CN"/>
        </w:rPr>
        <w:t>3</w:t>
      </w:r>
      <w:r>
        <w:rPr>
          <w:rFonts w:hint="eastAsia" w:ascii="Times New Roman" w:hAnsi="Times New Roman" w:eastAsia="仿宋_GB2312" w:cs="Times New Roman"/>
          <w:sz w:val="33"/>
          <w:szCs w:val="33"/>
          <w:u w:val="none"/>
          <w:lang w:eastAsia="zh-CN"/>
        </w:rPr>
        <w:t>年度部门决算公开》，按要求在财政部门批复后二十日内向社会公开了本部门决算，同时公布了202</w:t>
      </w:r>
      <w:r>
        <w:rPr>
          <w:rFonts w:hint="eastAsia" w:ascii="Times New Roman" w:hAnsi="Times New Roman" w:eastAsia="仿宋_GB2312" w:cs="Times New Roman"/>
          <w:sz w:val="33"/>
          <w:szCs w:val="33"/>
          <w:u w:val="none"/>
          <w:lang w:val="en-US" w:eastAsia="zh-CN"/>
        </w:rPr>
        <w:t>3</w:t>
      </w:r>
      <w:r>
        <w:rPr>
          <w:rFonts w:hint="eastAsia" w:ascii="Times New Roman" w:hAnsi="Times New Roman" w:eastAsia="仿宋_GB2312" w:cs="Times New Roman"/>
          <w:sz w:val="33"/>
          <w:szCs w:val="33"/>
          <w:u w:val="none"/>
          <w:lang w:eastAsia="zh-CN"/>
        </w:rPr>
        <w:t>年度部门预算整体绩效评价报告和项目绩效评价报告；</w:t>
      </w:r>
      <w:r>
        <w:rPr>
          <w:rFonts w:hint="eastAsia" w:ascii="Times New Roman" w:hAnsi="Times New Roman" w:eastAsia="仿宋_GB2312" w:cs="Times New Roman"/>
          <w:sz w:val="33"/>
          <w:szCs w:val="33"/>
          <w:u w:val="none"/>
          <w:lang w:val="en-US" w:eastAsia="zh-CN"/>
        </w:rPr>
        <w:t>2023年度我局无财政部门要求绩效整改反馈的情况；公开网址</w:t>
      </w:r>
      <w:r>
        <w:rPr>
          <w:rFonts w:hint="eastAsia" w:ascii="Times New Roman" w:hAnsi="Times New Roman" w:eastAsia="仿宋_GB2312" w:cs="Times New Roman"/>
          <w:lang w:val="en-US" w:eastAsia="zh-CN"/>
        </w:rPr>
        <w:t>https://www.scanju.gov.cn/gongkai/show/60c4754d29b9486d931b20dccae84fc7.html。</w:t>
      </w:r>
    </w:p>
    <w:p w14:paraId="592CD1DF">
      <w:pPr>
        <w:keepNext w:val="0"/>
        <w:keepLines w:val="0"/>
        <w:pageBreakBefore w:val="0"/>
        <w:kinsoku/>
        <w:wordWrap/>
        <w:overflowPunct/>
        <w:topLinePunct w:val="0"/>
        <w:autoSpaceDE/>
        <w:autoSpaceDN/>
        <w:bidi w:val="0"/>
        <w:adjustRightInd/>
        <w:snapToGrid/>
        <w:spacing w:line="590" w:lineRule="exact"/>
        <w:ind w:left="0" w:leftChars="0" w:right="0" w:rightChars="0" w:firstLine="420" w:firstLineChars="200"/>
        <w:jc w:val="both"/>
        <w:textAlignment w:val="auto"/>
        <w:rPr>
          <w:rFonts w:hint="eastAsia" w:eastAsia="仿宋_GB2312"/>
          <w:lang w:val="en-US" w:eastAsia="zh-CN"/>
        </w:rPr>
      </w:pPr>
      <w:r>
        <w:rPr>
          <w:rFonts w:hint="eastAsia" w:eastAsia="仿宋_GB2312"/>
          <w:lang w:val="en-US" w:eastAsia="zh-CN"/>
        </w:rPr>
        <w:t>2024年度整体支出绩效目标、项目支出绩效目标已随年度预算进行公开，公开网站：</w:t>
      </w:r>
      <w:r>
        <w:rPr>
          <w:rFonts w:hint="eastAsia" w:eastAsia="仿宋_GB2312"/>
          <w:lang w:val="en-US" w:eastAsia="zh-CN"/>
        </w:rPr>
        <w:fldChar w:fldCharType="begin"/>
      </w:r>
      <w:r>
        <w:rPr>
          <w:rFonts w:hint="eastAsia" w:eastAsia="仿宋_GB2312"/>
          <w:lang w:val="en-US" w:eastAsia="zh-CN"/>
        </w:rPr>
        <w:instrText xml:space="preserve"> HYPERLINK "https://www.chuanshan.gov.cn/gongkai/show/8aba50016e325857e5f739364270421b.html。" </w:instrText>
      </w:r>
      <w:r>
        <w:rPr>
          <w:rFonts w:hint="eastAsia" w:eastAsia="仿宋_GB2312"/>
          <w:lang w:val="en-US" w:eastAsia="zh-CN"/>
        </w:rPr>
        <w:fldChar w:fldCharType="separate"/>
      </w:r>
      <w:r>
        <w:rPr>
          <w:rStyle w:val="27"/>
          <w:rFonts w:hint="eastAsia" w:eastAsia="仿宋_GB2312"/>
          <w:lang w:val="en-US" w:eastAsia="zh-CN"/>
        </w:rPr>
        <w:t>https://www.scanju.gov.cn/gongkai/show/9d4052a0d8f40ab3b374648bda68e713.html。</w:t>
      </w:r>
      <w:r>
        <w:rPr>
          <w:rFonts w:hint="eastAsia" w:eastAsia="仿宋_GB2312"/>
          <w:lang w:val="en-US" w:eastAsia="zh-CN"/>
        </w:rPr>
        <w:fldChar w:fldCharType="end"/>
      </w:r>
    </w:p>
    <w:p w14:paraId="09775AB7">
      <w:pPr>
        <w:keepNext w:val="0"/>
        <w:keepLines w:val="0"/>
        <w:pageBreakBefore w:val="0"/>
        <w:kinsoku/>
        <w:wordWrap/>
        <w:overflowPunct/>
        <w:topLinePunct w:val="0"/>
        <w:autoSpaceDE/>
        <w:autoSpaceDN/>
        <w:bidi w:val="0"/>
        <w:adjustRightInd/>
        <w:snapToGrid/>
        <w:spacing w:line="590" w:lineRule="exact"/>
        <w:ind w:left="0" w:leftChars="0" w:right="0" w:rightChars="0" w:firstLine="660" w:firstLineChars="200"/>
        <w:jc w:val="both"/>
        <w:textAlignment w:val="auto"/>
        <w:rPr>
          <w:rFonts w:hint="eastAsia" w:ascii="Times New Roman" w:hAnsi="Times New Roman" w:eastAsia="仿宋_GB2312" w:cs="Times New Roman"/>
          <w:sz w:val="33"/>
          <w:szCs w:val="33"/>
          <w:u w:val="none"/>
          <w:lang w:val="en-US" w:eastAsia="zh-CN"/>
        </w:rPr>
      </w:pPr>
      <w:r>
        <w:rPr>
          <w:rFonts w:hint="eastAsia" w:ascii="Times New Roman" w:hAnsi="Times New Roman" w:eastAsia="仿宋_GB2312" w:cs="Times New Roman"/>
          <w:sz w:val="33"/>
          <w:szCs w:val="33"/>
          <w:u w:val="none"/>
          <w:lang w:val="en-US" w:eastAsia="zh-CN"/>
        </w:rPr>
        <w:t>2024年度预算绩效完成情况，目前正在执行中，待随2024年度决算进行公开。</w:t>
      </w:r>
    </w:p>
    <w:p w14:paraId="59420D85">
      <w:pPr>
        <w:keepNext w:val="0"/>
        <w:keepLines w:val="0"/>
        <w:pageBreakBefore w:val="0"/>
        <w:kinsoku/>
        <w:wordWrap/>
        <w:overflowPunct/>
        <w:topLinePunct w:val="0"/>
        <w:autoSpaceDE/>
        <w:autoSpaceDN/>
        <w:bidi w:val="0"/>
        <w:adjustRightInd/>
        <w:snapToGrid/>
        <w:spacing w:line="590" w:lineRule="exact"/>
        <w:ind w:left="0" w:leftChars="0" w:right="0" w:rightChars="0" w:firstLine="660" w:firstLineChars="200"/>
        <w:jc w:val="both"/>
        <w:textAlignment w:val="auto"/>
        <w:rPr>
          <w:rFonts w:hint="default" w:eastAsia="仿宋_GB2312"/>
        </w:rPr>
      </w:pPr>
      <w:r>
        <w:rPr>
          <w:rFonts w:hint="eastAsia" w:ascii="Times New Roman" w:hAnsi="Times New Roman" w:eastAsia="仿宋_GB2312" w:cs="Times New Roman"/>
          <w:sz w:val="33"/>
          <w:szCs w:val="33"/>
          <w:u w:val="none"/>
          <w:lang w:eastAsia="zh-CN"/>
        </w:rPr>
        <w:t>经过每年开展的绩效评价工作，对我局今后加强财务管理、提升预算在执行中的约束力、促进提高财政资金使用效率，提供了可靠的数据分析依据，具有重要的指导意义。对于自评得出的问题，我局也将制定整改措施，进一步完善内部控制制度，努力做到在有限的经费中保障机关正常运转，保质保量完成区委区政府下达的各项目标任务</w:t>
      </w:r>
      <w:r>
        <w:rPr>
          <w:rFonts w:hint="eastAsia" w:ascii="Times New Roman" w:hAnsi="Times New Roman" w:eastAsia="仿宋_GB2312" w:cs="Times New Roman"/>
          <w:sz w:val="33"/>
          <w:szCs w:val="33"/>
          <w:u w:val="none"/>
          <w:lang w:val="en-US" w:eastAsia="zh-CN"/>
        </w:rPr>
        <w:t>。</w:t>
      </w:r>
    </w:p>
    <w:p w14:paraId="7B339253">
      <w:pPr>
        <w:keepNext w:val="0"/>
        <w:keepLines w:val="0"/>
        <w:pageBreakBefore w:val="0"/>
        <w:widowControl/>
        <w:kinsoku/>
        <w:wordWrap/>
        <w:overflowPunct/>
        <w:topLinePunct w:val="0"/>
        <w:autoSpaceDE/>
        <w:autoSpaceDN/>
        <w:bidi w:val="0"/>
        <w:adjustRightInd/>
        <w:snapToGrid/>
        <w:spacing w:line="590" w:lineRule="exact"/>
        <w:ind w:left="0" w:leftChars="0" w:right="0" w:rightChars="0" w:firstLine="660" w:firstLineChars="200"/>
        <w:contextualSpacing/>
        <w:jc w:val="both"/>
        <w:textAlignment w:val="auto"/>
        <w:outlineLvl w:val="9"/>
        <w:rPr>
          <w:rFonts w:hint="default" w:ascii="Times New Roman" w:hAnsi="Times New Roman" w:eastAsia="黑体" w:cs="Times New Roman"/>
          <w:color w:val="000000"/>
          <w:kern w:val="0"/>
          <w:sz w:val="33"/>
          <w:szCs w:val="33"/>
          <w:highlight w:val="none"/>
          <w:shd w:val="clear" w:color="auto" w:fill="FFFFFF"/>
        </w:rPr>
      </w:pPr>
      <w:r>
        <w:rPr>
          <w:rFonts w:hint="default" w:ascii="Times New Roman" w:hAnsi="Times New Roman" w:eastAsia="黑体" w:cs="Times New Roman"/>
          <w:color w:val="000000"/>
          <w:kern w:val="0"/>
          <w:sz w:val="33"/>
          <w:szCs w:val="33"/>
          <w:highlight w:val="none"/>
          <w:shd w:val="clear" w:color="auto" w:fill="FFFFFF"/>
          <w:lang w:eastAsia="zh-CN"/>
        </w:rPr>
        <w:t>四、</w:t>
      </w:r>
      <w:r>
        <w:rPr>
          <w:rFonts w:hint="default" w:ascii="Times New Roman" w:hAnsi="Times New Roman" w:eastAsia="黑体" w:cs="Times New Roman"/>
          <w:color w:val="000000"/>
          <w:kern w:val="0"/>
          <w:sz w:val="33"/>
          <w:szCs w:val="33"/>
          <w:highlight w:val="none"/>
          <w:shd w:val="clear" w:color="auto" w:fill="FFFFFF"/>
        </w:rPr>
        <w:t>评价结论及建议</w:t>
      </w:r>
    </w:p>
    <w:p w14:paraId="73F41B35">
      <w:pPr>
        <w:keepNext w:val="0"/>
        <w:keepLines w:val="0"/>
        <w:pageBreakBefore w:val="0"/>
        <w:widowControl w:val="0"/>
        <w:kinsoku/>
        <w:wordWrap/>
        <w:overflowPunct/>
        <w:topLinePunct w:val="0"/>
        <w:autoSpaceDE/>
        <w:autoSpaceDN/>
        <w:bidi w:val="0"/>
        <w:adjustRightInd/>
        <w:snapToGrid/>
        <w:spacing w:line="590" w:lineRule="exact"/>
        <w:ind w:left="0" w:leftChars="0" w:right="0" w:rightChars="0" w:firstLine="663" w:firstLineChars="200"/>
        <w:contextualSpacing/>
        <w:jc w:val="both"/>
        <w:textAlignment w:val="auto"/>
        <w:outlineLvl w:val="9"/>
        <w:rPr>
          <w:rFonts w:hint="eastAsia" w:ascii="Times New Roman" w:hAnsi="Times New Roman" w:eastAsia="仿宋_GB2312" w:cs="仿宋_GB2312"/>
          <w:b w:val="0"/>
          <w:bCs w:val="0"/>
          <w:kern w:val="0"/>
          <w:position w:val="0"/>
          <w:sz w:val="33"/>
          <w:szCs w:val="33"/>
          <w:highlight w:val="none"/>
          <w:lang w:val="en-US" w:eastAsia="zh-CN" w:bidi="ar-SA"/>
        </w:rPr>
      </w:pPr>
      <w:r>
        <w:rPr>
          <w:rFonts w:hint="default" w:ascii="Times New Roman" w:hAnsi="Times New Roman" w:eastAsia="楷体_GB2312" w:cs="Times New Roman"/>
          <w:b/>
          <w:bCs/>
          <w:color w:val="000000"/>
          <w:kern w:val="0"/>
          <w:sz w:val="33"/>
          <w:szCs w:val="33"/>
          <w:highlight w:val="none"/>
          <w:shd w:val="clear" w:color="auto" w:fill="FFFFFF"/>
          <w:lang w:val="zh-CN"/>
        </w:rPr>
        <w:t>（一）评价结论。</w:t>
      </w:r>
      <w:r>
        <w:rPr>
          <w:rFonts w:hint="eastAsia" w:ascii="Times New Roman" w:hAnsi="Times New Roman" w:eastAsia="仿宋_GB2312" w:cs="仿宋_GB2312"/>
          <w:b w:val="0"/>
          <w:bCs w:val="0"/>
          <w:kern w:val="0"/>
          <w:position w:val="0"/>
          <w:sz w:val="33"/>
          <w:szCs w:val="33"/>
          <w:highlight w:val="none"/>
          <w:lang w:val="en-US" w:eastAsia="zh-CN" w:bidi="ar-SA"/>
        </w:rPr>
        <w:t>简要阐述</w:t>
      </w:r>
      <w:r>
        <w:rPr>
          <w:rFonts w:hint="eastAsia" w:ascii="Times New Roman" w:hAnsi="Times New Roman" w:eastAsia="仿宋_GB2312" w:cs="仿宋_GB2312"/>
          <w:b w:val="0"/>
          <w:bCs w:val="0"/>
          <w:w w:val="95"/>
          <w:kern w:val="0"/>
          <w:position w:val="0"/>
          <w:sz w:val="33"/>
          <w:szCs w:val="33"/>
          <w:highlight w:val="none"/>
          <w:lang w:val="en-US" w:eastAsia="zh-CN" w:bidi="ar-SA"/>
        </w:rPr>
        <w:t>部门预算绩效自评</w:t>
      </w:r>
      <w:r>
        <w:rPr>
          <w:rFonts w:hint="eastAsia" w:ascii="Times New Roman" w:hAnsi="Times New Roman" w:eastAsia="仿宋_GB2312" w:cs="仿宋_GB2312"/>
          <w:b w:val="0"/>
          <w:bCs w:val="0"/>
          <w:kern w:val="0"/>
          <w:position w:val="0"/>
          <w:sz w:val="33"/>
          <w:szCs w:val="33"/>
          <w:highlight w:val="none"/>
          <w:lang w:val="en-US" w:eastAsia="zh-CN" w:bidi="ar-SA"/>
        </w:rPr>
        <w:t>总体结论，其中必须包含自评得分。</w:t>
      </w:r>
    </w:p>
    <w:p w14:paraId="251FE33D">
      <w:pPr>
        <w:keepNext w:val="0"/>
        <w:keepLines w:val="0"/>
        <w:pageBreakBefore w:val="0"/>
        <w:kinsoku/>
        <w:wordWrap/>
        <w:overflowPunct/>
        <w:topLinePunct w:val="0"/>
        <w:autoSpaceDE/>
        <w:autoSpaceDN/>
        <w:bidi w:val="0"/>
        <w:adjustRightInd/>
        <w:snapToGrid/>
        <w:spacing w:line="590" w:lineRule="exact"/>
        <w:ind w:left="0" w:leftChars="0" w:right="0" w:rightChars="0" w:firstLine="660" w:firstLineChars="200"/>
        <w:jc w:val="both"/>
        <w:textAlignment w:val="auto"/>
        <w:rPr>
          <w:rFonts w:hint="default" w:eastAsia="仿宋_GB2312"/>
          <w:highlight w:val="none"/>
          <w:lang w:val="en-US"/>
        </w:rPr>
      </w:pPr>
      <w:r>
        <w:rPr>
          <w:rFonts w:hint="eastAsia" w:ascii="Times New Roman" w:hAnsi="Times New Roman" w:eastAsia="仿宋_GB2312" w:cs="Times New Roman"/>
          <w:sz w:val="33"/>
          <w:szCs w:val="33"/>
          <w:highlight w:val="none"/>
          <w:u w:val="none"/>
          <w:lang w:val="en-US" w:eastAsia="zh-CN"/>
        </w:rPr>
        <w:t>我</w:t>
      </w:r>
      <w:r>
        <w:rPr>
          <w:rFonts w:hint="eastAsia" w:ascii="Times New Roman" w:hAnsi="Times New Roman" w:eastAsia="仿宋_GB2312" w:cs="Times New Roman"/>
          <w:sz w:val="33"/>
          <w:szCs w:val="33"/>
          <w:highlight w:val="none"/>
          <w:u w:val="none"/>
          <w:lang w:eastAsia="zh-CN"/>
        </w:rPr>
        <w:t>部门整体支出绩效评价自评得分</w:t>
      </w:r>
      <w:r>
        <w:rPr>
          <w:rFonts w:hint="eastAsia" w:ascii="Times New Roman" w:hAnsi="Times New Roman" w:eastAsia="仿宋_GB2312" w:cs="Times New Roman"/>
          <w:sz w:val="33"/>
          <w:szCs w:val="33"/>
          <w:highlight w:val="none"/>
          <w:u w:val="none"/>
          <w:lang w:val="en-US" w:eastAsia="zh-CN"/>
        </w:rPr>
        <w:t>8</w:t>
      </w:r>
      <w:r>
        <w:rPr>
          <w:rFonts w:hint="eastAsia" w:eastAsia="仿宋_GB2312" w:cs="Times New Roman"/>
          <w:sz w:val="33"/>
          <w:szCs w:val="33"/>
          <w:highlight w:val="none"/>
          <w:u w:val="none"/>
          <w:lang w:val="en-US" w:eastAsia="zh-CN"/>
        </w:rPr>
        <w:t>7.83</w:t>
      </w:r>
      <w:r>
        <w:rPr>
          <w:rFonts w:hint="eastAsia" w:ascii="Times New Roman" w:hAnsi="Times New Roman" w:eastAsia="仿宋_GB2312" w:cs="Times New Roman"/>
          <w:sz w:val="33"/>
          <w:szCs w:val="33"/>
          <w:highlight w:val="none"/>
          <w:u w:val="none"/>
          <w:lang w:eastAsia="zh-CN"/>
        </w:rPr>
        <w:t>分。总体来看，我局202</w:t>
      </w:r>
      <w:r>
        <w:rPr>
          <w:rFonts w:hint="eastAsia" w:ascii="Times New Roman" w:hAnsi="Times New Roman" w:eastAsia="仿宋_GB2312" w:cs="Times New Roman"/>
          <w:sz w:val="33"/>
          <w:szCs w:val="33"/>
          <w:highlight w:val="none"/>
          <w:u w:val="none"/>
          <w:lang w:val="en-US" w:eastAsia="zh-CN"/>
        </w:rPr>
        <w:t>4</w:t>
      </w:r>
      <w:r>
        <w:rPr>
          <w:rFonts w:hint="eastAsia" w:ascii="Times New Roman" w:hAnsi="Times New Roman" w:eastAsia="仿宋_GB2312" w:cs="Times New Roman"/>
          <w:sz w:val="33"/>
          <w:szCs w:val="33"/>
          <w:highlight w:val="none"/>
          <w:u w:val="none"/>
          <w:lang w:eastAsia="zh-CN"/>
        </w:rPr>
        <w:t>年度按要求及时准确的编制、完成预算公开、决算公开及其他要求公开的工作；严格按照政府采购计划和采购程序进行采购，没有出现违反政府采购的情况；将本单位国有资产纳入资产信息管理系统，资产信息与财务账固定资产信息完全相符，并安排专人专门负责资产信息管理工作；内部控制制度健全，包括财务制度、差旅费管理规定等一系列制度，本年度没有出现因内控制度不健全或执行不到位，造成单位出现廉政风险或发生重大责任事故；及时完成财政要求的202</w:t>
      </w:r>
      <w:r>
        <w:rPr>
          <w:rFonts w:hint="eastAsia" w:ascii="Times New Roman" w:hAnsi="Times New Roman" w:eastAsia="仿宋_GB2312" w:cs="Times New Roman"/>
          <w:sz w:val="33"/>
          <w:szCs w:val="33"/>
          <w:highlight w:val="none"/>
          <w:u w:val="none"/>
          <w:lang w:val="en-US" w:eastAsia="zh-CN"/>
        </w:rPr>
        <w:t>4</w:t>
      </w:r>
      <w:r>
        <w:rPr>
          <w:rFonts w:hint="eastAsia" w:ascii="Times New Roman" w:hAnsi="Times New Roman" w:eastAsia="仿宋_GB2312" w:cs="Times New Roman"/>
          <w:sz w:val="33"/>
          <w:szCs w:val="33"/>
          <w:highlight w:val="none"/>
          <w:u w:val="none"/>
          <w:lang w:eastAsia="zh-CN"/>
        </w:rPr>
        <w:t>年相关绩效评价自评工作，并按时完成上报工作；依法接受财政监督，按照要求完成了各类上报及情况汇报工作；</w:t>
      </w:r>
      <w:r>
        <w:rPr>
          <w:rFonts w:hint="eastAsia" w:ascii="Times New Roman" w:hAnsi="Times New Roman" w:eastAsia="仿宋_GB2312" w:cs="Times New Roman"/>
          <w:sz w:val="33"/>
          <w:szCs w:val="33"/>
          <w:highlight w:val="none"/>
          <w:u w:val="none"/>
          <w:lang w:val="zh-CN" w:eastAsia="zh-CN"/>
        </w:rPr>
        <w:t>较好的完成了部门职能目标，实现了较高的工作效率和支出绩效。</w:t>
      </w:r>
    </w:p>
    <w:p w14:paraId="6996D505">
      <w:pPr>
        <w:keepNext w:val="0"/>
        <w:keepLines w:val="0"/>
        <w:pageBreakBefore w:val="0"/>
        <w:widowControl w:val="0"/>
        <w:kinsoku/>
        <w:wordWrap/>
        <w:overflowPunct/>
        <w:topLinePunct w:val="0"/>
        <w:autoSpaceDE/>
        <w:autoSpaceDN/>
        <w:bidi w:val="0"/>
        <w:adjustRightInd/>
        <w:snapToGrid/>
        <w:spacing w:line="590" w:lineRule="exact"/>
        <w:ind w:left="0" w:leftChars="0" w:right="0" w:rightChars="0" w:firstLine="663" w:firstLineChars="200"/>
        <w:contextualSpacing/>
        <w:jc w:val="both"/>
        <w:textAlignment w:val="auto"/>
        <w:outlineLvl w:val="9"/>
        <w:rPr>
          <w:rFonts w:hint="eastAsia" w:ascii="Times New Roman" w:hAnsi="Times New Roman" w:eastAsia="仿宋_GB2312" w:cs="仿宋_GB2312"/>
          <w:b w:val="0"/>
          <w:bCs w:val="0"/>
          <w:w w:val="95"/>
          <w:kern w:val="0"/>
          <w:position w:val="0"/>
          <w:sz w:val="33"/>
          <w:szCs w:val="33"/>
          <w:highlight w:val="none"/>
          <w:lang w:val="en-US" w:eastAsia="zh-CN" w:bidi="ar-SA"/>
        </w:rPr>
      </w:pPr>
      <w:r>
        <w:rPr>
          <w:rFonts w:hint="default" w:ascii="Times New Roman" w:hAnsi="Times New Roman" w:eastAsia="楷体_GB2312" w:cs="Times New Roman"/>
          <w:b/>
          <w:bCs/>
          <w:color w:val="000000"/>
          <w:kern w:val="0"/>
          <w:sz w:val="33"/>
          <w:szCs w:val="33"/>
          <w:highlight w:val="none"/>
          <w:shd w:val="clear" w:color="auto" w:fill="FFFFFF"/>
          <w:lang w:val="zh-CN"/>
        </w:rPr>
        <w:t>（二）存在问题。</w:t>
      </w:r>
      <w:r>
        <w:rPr>
          <w:rFonts w:hint="eastAsia" w:ascii="Times New Roman" w:hAnsi="Times New Roman" w:eastAsia="仿宋_GB2312" w:cs="仿宋_GB2312"/>
          <w:b w:val="0"/>
          <w:bCs w:val="0"/>
          <w:w w:val="95"/>
          <w:kern w:val="0"/>
          <w:position w:val="0"/>
          <w:sz w:val="33"/>
          <w:szCs w:val="33"/>
          <w:highlight w:val="none"/>
          <w:lang w:val="en-US" w:eastAsia="zh-CN" w:bidi="ar-SA"/>
        </w:rPr>
        <w:t>简要阐述部门预算绩效自评发现的主要问题。</w:t>
      </w:r>
    </w:p>
    <w:p w14:paraId="0E912AB8">
      <w:pPr>
        <w:keepNext w:val="0"/>
        <w:keepLines w:val="0"/>
        <w:pageBreakBefore w:val="0"/>
        <w:kinsoku/>
        <w:wordWrap/>
        <w:overflowPunct/>
        <w:topLinePunct w:val="0"/>
        <w:autoSpaceDE/>
        <w:autoSpaceDN/>
        <w:bidi w:val="0"/>
        <w:adjustRightInd/>
        <w:snapToGrid/>
        <w:spacing w:line="590" w:lineRule="exact"/>
        <w:ind w:left="0" w:leftChars="0" w:right="0" w:rightChars="0" w:firstLine="660" w:firstLineChars="200"/>
        <w:jc w:val="both"/>
        <w:textAlignment w:val="auto"/>
        <w:rPr>
          <w:rFonts w:hint="eastAsia" w:ascii="Times New Roman" w:hAnsi="Times New Roman" w:eastAsia="仿宋_GB2312" w:cs="Times New Roman"/>
          <w:sz w:val="33"/>
          <w:szCs w:val="33"/>
          <w:u w:val="none"/>
          <w:lang w:val="en-US" w:eastAsia="zh-CN"/>
        </w:rPr>
      </w:pPr>
      <w:r>
        <w:rPr>
          <w:rFonts w:hint="eastAsia" w:eastAsia="仿宋_GB2312" w:cs="Times New Roman"/>
          <w:sz w:val="33"/>
          <w:szCs w:val="33"/>
          <w:u w:val="none"/>
          <w:lang w:val="en-US" w:eastAsia="zh-CN"/>
        </w:rPr>
        <w:t>1.</w:t>
      </w:r>
      <w:r>
        <w:rPr>
          <w:rFonts w:hint="eastAsia" w:ascii="Times New Roman" w:hAnsi="Times New Roman" w:eastAsia="仿宋_GB2312" w:cs="Times New Roman"/>
          <w:sz w:val="33"/>
          <w:szCs w:val="33"/>
          <w:u w:val="none"/>
          <w:lang w:val="en-US" w:eastAsia="zh-CN"/>
        </w:rPr>
        <w:t>水利项目建设推进不快。项目推进过程中用地、环保要素瓶颈制约未能及时有效破解，项目前期论证工作不深，如城区两个堤防工程虽已进场开工，有效调度水资源难度大，导致项目推进严重滞后，再生水配置项目设计深度不够，导致设计方案多次反复修改，至今项目仍未开工建设；</w:t>
      </w:r>
    </w:p>
    <w:p w14:paraId="5EBDE82E">
      <w:pPr>
        <w:keepNext w:val="0"/>
        <w:keepLines w:val="0"/>
        <w:pageBreakBefore w:val="0"/>
        <w:kinsoku/>
        <w:wordWrap/>
        <w:overflowPunct/>
        <w:topLinePunct w:val="0"/>
        <w:autoSpaceDE/>
        <w:autoSpaceDN/>
        <w:bidi w:val="0"/>
        <w:adjustRightInd/>
        <w:snapToGrid/>
        <w:spacing w:line="590" w:lineRule="exact"/>
        <w:ind w:left="0" w:leftChars="0" w:right="0" w:rightChars="0" w:firstLine="660" w:firstLineChars="200"/>
        <w:jc w:val="both"/>
        <w:textAlignment w:val="auto"/>
        <w:rPr>
          <w:rFonts w:hint="eastAsia" w:ascii="Times New Roman" w:hAnsi="Times New Roman" w:eastAsia="仿宋_GB2312" w:cs="Times New Roman"/>
          <w:sz w:val="33"/>
          <w:szCs w:val="33"/>
          <w:u w:val="none"/>
          <w:lang w:val="en-US" w:eastAsia="zh-CN"/>
        </w:rPr>
      </w:pPr>
      <w:r>
        <w:rPr>
          <w:rFonts w:hint="eastAsia" w:eastAsia="仿宋_GB2312" w:cs="Times New Roman"/>
          <w:sz w:val="33"/>
          <w:szCs w:val="33"/>
          <w:u w:val="none"/>
          <w:lang w:val="en-US" w:eastAsia="zh-CN"/>
        </w:rPr>
        <w:t>2.</w:t>
      </w:r>
      <w:r>
        <w:rPr>
          <w:rFonts w:hint="eastAsia" w:ascii="Times New Roman" w:hAnsi="Times New Roman" w:eastAsia="仿宋_GB2312" w:cs="Times New Roman"/>
          <w:sz w:val="33"/>
          <w:szCs w:val="33"/>
          <w:u w:val="none"/>
          <w:lang w:val="en-US" w:eastAsia="zh-CN"/>
        </w:rPr>
        <w:t>河湖管护责任意识不强。部分河长制联系单位和属镇（街道）对河湖长制工作认识不到位，发现和解决问题能力不足，工作存在“推着走”的现象，被动整改问题多，主动巡查解决少，导致河湖保洁不及时等现象时有发生。</w:t>
      </w:r>
    </w:p>
    <w:p w14:paraId="6CA8B262">
      <w:pPr>
        <w:keepNext w:val="0"/>
        <w:keepLines w:val="0"/>
        <w:pageBreakBefore w:val="0"/>
        <w:kinsoku/>
        <w:wordWrap/>
        <w:overflowPunct/>
        <w:topLinePunct w:val="0"/>
        <w:autoSpaceDE/>
        <w:autoSpaceDN/>
        <w:bidi w:val="0"/>
        <w:adjustRightInd/>
        <w:snapToGrid/>
        <w:spacing w:line="590" w:lineRule="exact"/>
        <w:ind w:left="0" w:leftChars="0" w:right="0" w:rightChars="0" w:firstLine="660" w:firstLineChars="200"/>
        <w:jc w:val="both"/>
        <w:textAlignment w:val="auto"/>
        <w:rPr>
          <w:rFonts w:hint="eastAsia" w:ascii="Times New Roman" w:hAnsi="Times New Roman" w:eastAsia="仿宋_GB2312" w:cs="Times New Roman"/>
          <w:sz w:val="33"/>
          <w:szCs w:val="33"/>
          <w:u w:val="none"/>
          <w:lang w:val="en-US" w:eastAsia="zh-CN"/>
        </w:rPr>
      </w:pPr>
      <w:r>
        <w:rPr>
          <w:rFonts w:hint="eastAsia" w:eastAsia="仿宋_GB2312" w:cs="Times New Roman"/>
          <w:sz w:val="33"/>
          <w:szCs w:val="33"/>
          <w:u w:val="none"/>
          <w:lang w:val="en-US" w:eastAsia="zh-CN"/>
        </w:rPr>
        <w:t>3.</w:t>
      </w:r>
      <w:r>
        <w:rPr>
          <w:rFonts w:hint="eastAsia" w:ascii="Times New Roman" w:hAnsi="Times New Roman" w:eastAsia="仿宋_GB2312" w:cs="Times New Roman"/>
          <w:sz w:val="33"/>
          <w:szCs w:val="33"/>
          <w:u w:val="none"/>
          <w:lang w:val="en-US" w:eastAsia="zh-CN"/>
        </w:rPr>
        <w:t>中型水库灌区配套不足。我区麻子滩、跑马滩2个中型水库灌区渠道建设早、标准低，运行多年垮塌、淤积、堵塞严重，实际灌溉面积呈萎缩趋势逐年减少，麻子滩水库灌区面积被纳入都江堰灌区，但省都发中心未将麻子滩水库灌区续建改造纳入其相应规划，麻子滩和跑马滩水库至今未开展灌区改造。。</w:t>
      </w:r>
    </w:p>
    <w:p w14:paraId="5DCB81DD">
      <w:pPr>
        <w:keepNext w:val="0"/>
        <w:keepLines w:val="0"/>
        <w:pageBreakBefore w:val="0"/>
        <w:widowControl w:val="0"/>
        <w:kinsoku/>
        <w:wordWrap/>
        <w:overflowPunct/>
        <w:topLinePunct w:val="0"/>
        <w:autoSpaceDE/>
        <w:autoSpaceDN/>
        <w:bidi w:val="0"/>
        <w:adjustRightInd/>
        <w:snapToGrid/>
        <w:spacing w:line="590" w:lineRule="exact"/>
        <w:ind w:left="0" w:leftChars="0" w:right="0" w:rightChars="0" w:firstLine="663" w:firstLineChars="200"/>
        <w:contextualSpacing/>
        <w:jc w:val="both"/>
        <w:textAlignment w:val="auto"/>
        <w:outlineLvl w:val="9"/>
        <w:rPr>
          <w:rFonts w:hint="eastAsia" w:ascii="Times New Roman" w:hAnsi="Times New Roman" w:eastAsia="仿宋_GB2312" w:cs="仿宋_GB2312"/>
          <w:b w:val="0"/>
          <w:bCs w:val="0"/>
          <w:kern w:val="0"/>
          <w:position w:val="0"/>
          <w:sz w:val="33"/>
          <w:szCs w:val="33"/>
          <w:highlight w:val="none"/>
          <w:lang w:val="en" w:eastAsia="zh-CN" w:bidi="ar-SA"/>
        </w:rPr>
      </w:pPr>
      <w:r>
        <w:rPr>
          <w:rFonts w:hint="default" w:ascii="Times New Roman" w:hAnsi="Times New Roman" w:eastAsia="楷体_GB2312" w:cs="Times New Roman"/>
          <w:b/>
          <w:bCs/>
          <w:color w:val="000000"/>
          <w:kern w:val="0"/>
          <w:sz w:val="33"/>
          <w:szCs w:val="33"/>
          <w:highlight w:val="none"/>
          <w:shd w:val="clear" w:color="auto" w:fill="FFFFFF"/>
          <w:lang w:val="zh-CN" w:eastAsia="zh-CN"/>
        </w:rPr>
        <w:t>（三）改进建议。</w:t>
      </w:r>
      <w:r>
        <w:rPr>
          <w:rFonts w:hint="eastAsia" w:ascii="Times New Roman" w:hAnsi="Times New Roman" w:eastAsia="仿宋_GB2312" w:cs="仿宋_GB2312"/>
          <w:b w:val="0"/>
          <w:bCs w:val="0"/>
          <w:kern w:val="0"/>
          <w:position w:val="0"/>
          <w:sz w:val="33"/>
          <w:szCs w:val="33"/>
          <w:highlight w:val="none"/>
          <w:lang w:val="en-US" w:eastAsia="zh-CN" w:bidi="ar-SA"/>
        </w:rPr>
        <w:t>简要阐述</w:t>
      </w:r>
      <w:r>
        <w:rPr>
          <w:rFonts w:hint="eastAsia" w:ascii="Times New Roman" w:hAnsi="Times New Roman" w:eastAsia="仿宋_GB2312" w:cs="仿宋_GB2312"/>
          <w:b w:val="0"/>
          <w:bCs w:val="0"/>
          <w:kern w:val="0"/>
          <w:position w:val="0"/>
          <w:sz w:val="33"/>
          <w:szCs w:val="33"/>
          <w:highlight w:val="none"/>
          <w:lang w:val="en" w:eastAsia="zh-CN" w:bidi="ar-SA"/>
        </w:rPr>
        <w:t>预算安排、完善政策、改进管理等方面的</w:t>
      </w:r>
      <w:r>
        <w:rPr>
          <w:rFonts w:hint="eastAsia" w:ascii="Times New Roman" w:hAnsi="Times New Roman" w:eastAsia="仿宋_GB2312" w:cs="仿宋_GB2312"/>
          <w:b w:val="0"/>
          <w:bCs w:val="0"/>
          <w:kern w:val="0"/>
          <w:position w:val="0"/>
          <w:sz w:val="33"/>
          <w:szCs w:val="33"/>
          <w:highlight w:val="none"/>
          <w:lang w:val="en-US" w:eastAsia="zh-CN" w:bidi="ar-SA"/>
        </w:rPr>
        <w:t>措施</w:t>
      </w:r>
      <w:r>
        <w:rPr>
          <w:rFonts w:hint="eastAsia" w:ascii="Times New Roman" w:hAnsi="Times New Roman" w:eastAsia="仿宋_GB2312" w:cs="仿宋_GB2312"/>
          <w:b w:val="0"/>
          <w:bCs w:val="0"/>
          <w:kern w:val="0"/>
          <w:position w:val="0"/>
          <w:sz w:val="33"/>
          <w:szCs w:val="33"/>
          <w:highlight w:val="none"/>
          <w:lang w:val="en" w:eastAsia="zh-CN" w:bidi="ar-SA"/>
        </w:rPr>
        <w:t>建议，其中</w:t>
      </w:r>
      <w:r>
        <w:rPr>
          <w:rFonts w:hint="eastAsia" w:ascii="Times New Roman" w:hAnsi="Times New Roman" w:eastAsia="仿宋_GB2312" w:cs="仿宋_GB2312"/>
          <w:b w:val="0"/>
          <w:bCs w:val="0"/>
          <w:kern w:val="0"/>
          <w:position w:val="0"/>
          <w:sz w:val="33"/>
          <w:szCs w:val="33"/>
          <w:highlight w:val="none"/>
          <w:lang w:val="en-US" w:eastAsia="zh-CN" w:bidi="ar-SA"/>
        </w:rPr>
        <w:t>必须对应评价发现的主要问题一一提出措施建议。</w:t>
      </w:r>
    </w:p>
    <w:p w14:paraId="6A18A448">
      <w:pPr>
        <w:keepNext w:val="0"/>
        <w:keepLines w:val="0"/>
        <w:pageBreakBefore w:val="0"/>
        <w:kinsoku/>
        <w:wordWrap/>
        <w:overflowPunct/>
        <w:topLinePunct w:val="0"/>
        <w:autoSpaceDE/>
        <w:autoSpaceDN/>
        <w:bidi w:val="0"/>
        <w:adjustRightInd/>
        <w:snapToGrid/>
        <w:spacing w:line="590" w:lineRule="exact"/>
        <w:ind w:left="0" w:leftChars="0" w:right="0" w:rightChars="0" w:firstLine="660" w:firstLineChars="200"/>
        <w:jc w:val="both"/>
        <w:textAlignment w:val="auto"/>
        <w:rPr>
          <w:rFonts w:hint="default" w:ascii="Times New Roman" w:hAnsi="Times New Roman" w:eastAsia="仿宋_GB2312" w:cs="Times New Roman"/>
          <w:sz w:val="33"/>
          <w:szCs w:val="33"/>
          <w:u w:val="none"/>
          <w:lang w:val="en-US" w:eastAsia="zh-CN"/>
        </w:rPr>
      </w:pPr>
      <w:r>
        <w:rPr>
          <w:rFonts w:hint="default" w:ascii="Times New Roman" w:hAnsi="Times New Roman" w:eastAsia="仿宋_GB2312" w:cs="Times New Roman"/>
          <w:sz w:val="33"/>
          <w:szCs w:val="33"/>
          <w:u w:val="none"/>
          <w:lang w:val="en-US" w:eastAsia="zh-CN"/>
        </w:rPr>
        <w:t>2025年，我局将坚持以习近平新时代中国特色社会主义思想为指导，深入贯彻党的二十届三中全会和省委市委区委历次全会精神，埋头苦干、真抓实干、创新巧干，在项目争取谋划、水利工程建设、河长制及水旱灾害防御等工作上狠下功夫，为全区“打造新标杆，争创百强区”贡献水利力量。</w:t>
      </w:r>
    </w:p>
    <w:p w14:paraId="54E534B3">
      <w:pPr>
        <w:keepNext w:val="0"/>
        <w:keepLines w:val="0"/>
        <w:pageBreakBefore w:val="0"/>
        <w:kinsoku/>
        <w:wordWrap/>
        <w:overflowPunct/>
        <w:topLinePunct w:val="0"/>
        <w:autoSpaceDE/>
        <w:autoSpaceDN/>
        <w:bidi w:val="0"/>
        <w:adjustRightInd/>
        <w:snapToGrid/>
        <w:spacing w:line="590" w:lineRule="exact"/>
        <w:ind w:left="0" w:leftChars="0" w:right="0" w:rightChars="0" w:firstLine="660" w:firstLineChars="200"/>
        <w:jc w:val="both"/>
        <w:textAlignment w:val="auto"/>
        <w:rPr>
          <w:rFonts w:hint="default" w:ascii="Times New Roman" w:hAnsi="Times New Roman" w:eastAsia="仿宋_GB2312" w:cs="Times New Roman"/>
          <w:sz w:val="33"/>
          <w:szCs w:val="33"/>
          <w:u w:val="none"/>
          <w:lang w:val="en-US" w:eastAsia="zh-CN"/>
        </w:rPr>
      </w:pPr>
      <w:r>
        <w:rPr>
          <w:rFonts w:hint="eastAsia" w:eastAsia="仿宋_GB2312" w:cs="Times New Roman"/>
          <w:sz w:val="33"/>
          <w:szCs w:val="33"/>
          <w:u w:val="none"/>
          <w:lang w:val="en-US" w:eastAsia="zh-CN"/>
        </w:rPr>
        <w:t>1.</w:t>
      </w:r>
      <w:r>
        <w:rPr>
          <w:rFonts w:hint="default" w:ascii="Times New Roman" w:hAnsi="Times New Roman" w:eastAsia="仿宋_GB2312" w:cs="Times New Roman"/>
          <w:sz w:val="33"/>
          <w:szCs w:val="33"/>
          <w:u w:val="none"/>
          <w:lang w:val="en-US" w:eastAsia="zh-CN"/>
        </w:rPr>
        <w:t>更优建设服务高质量发展。坚持以高质量党建统领水利高质量发展，深入学习贯彻习近平新时代中国特色社会主义思想，巩固主题教育成果，进一步激发党员干部践行初心使命的责任意识和担当精神；全面落实党风廉政建设主体责任，严格落实水利廉政风险防控措施，持续抓好经常性纪律教育和廉政教育，通过提拔、岗位调整，大力培养优秀年轻干部，锤炼锻造一支“忠诚干净强政治、担当作为兴水利”的水利铁军队伍，对作风建设和工作纪律抽查做到“一月一督查、一月一通报”；持续推进巡察、巡察12345政务服务热线反馈问题整改，通过解决群众关心的热点、难点问题，切实让群众感受整改效果，提升群众满意度。</w:t>
      </w:r>
    </w:p>
    <w:p w14:paraId="0CF93942">
      <w:pPr>
        <w:keepNext w:val="0"/>
        <w:keepLines w:val="0"/>
        <w:pageBreakBefore w:val="0"/>
        <w:kinsoku/>
        <w:wordWrap/>
        <w:overflowPunct/>
        <w:topLinePunct w:val="0"/>
        <w:autoSpaceDE/>
        <w:autoSpaceDN/>
        <w:bidi w:val="0"/>
        <w:adjustRightInd/>
        <w:snapToGrid/>
        <w:spacing w:line="590" w:lineRule="exact"/>
        <w:ind w:left="0" w:leftChars="0" w:right="0" w:rightChars="0" w:firstLine="660" w:firstLineChars="200"/>
        <w:jc w:val="both"/>
        <w:textAlignment w:val="auto"/>
        <w:rPr>
          <w:rFonts w:hint="default" w:ascii="Times New Roman" w:hAnsi="Times New Roman" w:eastAsia="仿宋_GB2312" w:cs="Times New Roman"/>
          <w:sz w:val="33"/>
          <w:szCs w:val="33"/>
          <w:u w:val="none"/>
          <w:lang w:val="en-US" w:eastAsia="zh-CN"/>
        </w:rPr>
      </w:pPr>
      <w:r>
        <w:rPr>
          <w:rFonts w:hint="eastAsia" w:eastAsia="仿宋_GB2312" w:cs="Times New Roman"/>
          <w:sz w:val="33"/>
          <w:szCs w:val="33"/>
          <w:u w:val="none"/>
          <w:lang w:val="en-US" w:eastAsia="zh-CN"/>
        </w:rPr>
        <w:t>2.</w:t>
      </w:r>
      <w:r>
        <w:rPr>
          <w:rFonts w:hint="default" w:ascii="Times New Roman" w:hAnsi="Times New Roman" w:eastAsia="仿宋_GB2312" w:cs="Times New Roman"/>
          <w:sz w:val="33"/>
          <w:szCs w:val="33"/>
          <w:u w:val="none"/>
          <w:lang w:val="en-US" w:eastAsia="zh-CN"/>
        </w:rPr>
        <w:t>更快节奏推进重点水利项目。抓紧抓好当前重点水利工程项目建设，高质量、高标准如期完成国债水利项目、麻子滩水库除险加固和再生水配置等项目建设任务，有力推进项目建设进度。加大向上对接力度。合理包装谋划“十五五”水利项目主动对接水利厅及市水利局，争取更多的项目落户安居大地，做实做细安居区供水管网漏损治理及相关附属设施建设项目、麻子滩水库至三仙湖水库连通供水管道工程、跑马滩和麻子滩水库灌区续建配套和现代化改造等项目前期工作，及早谋划，及早启动，力争项目早日落实落地。</w:t>
      </w:r>
    </w:p>
    <w:p w14:paraId="25B9D570">
      <w:pPr>
        <w:keepNext w:val="0"/>
        <w:keepLines w:val="0"/>
        <w:pageBreakBefore w:val="0"/>
        <w:kinsoku/>
        <w:wordWrap/>
        <w:overflowPunct/>
        <w:topLinePunct w:val="0"/>
        <w:autoSpaceDE/>
        <w:autoSpaceDN/>
        <w:bidi w:val="0"/>
        <w:adjustRightInd/>
        <w:snapToGrid/>
        <w:spacing w:line="590" w:lineRule="exact"/>
        <w:ind w:left="0" w:leftChars="0" w:right="0" w:rightChars="0" w:firstLine="660" w:firstLineChars="200"/>
        <w:jc w:val="both"/>
        <w:textAlignment w:val="auto"/>
        <w:rPr>
          <w:rFonts w:hint="default" w:ascii="Times New Roman" w:hAnsi="Times New Roman" w:eastAsia="仿宋_GB2312" w:cs="Times New Roman"/>
          <w:sz w:val="33"/>
          <w:szCs w:val="33"/>
          <w:u w:val="none"/>
          <w:lang w:val="en-US" w:eastAsia="zh-CN"/>
        </w:rPr>
      </w:pPr>
      <w:r>
        <w:rPr>
          <w:rFonts w:hint="eastAsia" w:eastAsia="仿宋_GB2312" w:cs="Times New Roman"/>
          <w:sz w:val="33"/>
          <w:szCs w:val="33"/>
          <w:u w:val="none"/>
          <w:lang w:val="en-US" w:eastAsia="zh-CN"/>
        </w:rPr>
        <w:t>3.</w:t>
      </w:r>
      <w:r>
        <w:rPr>
          <w:rFonts w:hint="default" w:ascii="Times New Roman" w:hAnsi="Times New Roman" w:eastAsia="仿宋_GB2312" w:cs="Times New Roman"/>
          <w:sz w:val="33"/>
          <w:szCs w:val="33"/>
          <w:u w:val="none"/>
          <w:lang w:val="en-US" w:eastAsia="zh-CN"/>
        </w:rPr>
        <w:t>更实举措筑牢水旱灾害防御防线。积极贯彻落实上级有关水旱灾害防御工作指示精神，进一步压紧压实压水利系统各层级、全链条防御责任，坚决做到守土有责、守土负责、守土尽责，锚定“人员不伤亡、重要堤防不决口、重要基础设施不受冲击目标，贯通雨情汛情险情灾情防御，强化预报预警预演预案措施，紧绷洪水防御“四个链条”，以“时时放心不下”工作责任感，在水旱灾害防御和灾后水利建设一线挑重担，为坚决打赢水旱灾害防御硬仗，提供坚强政治保证。</w:t>
      </w:r>
    </w:p>
    <w:p w14:paraId="46862EF2">
      <w:pPr>
        <w:keepNext w:val="0"/>
        <w:keepLines w:val="0"/>
        <w:pageBreakBefore w:val="0"/>
        <w:kinsoku/>
        <w:wordWrap/>
        <w:overflowPunct/>
        <w:topLinePunct w:val="0"/>
        <w:autoSpaceDE/>
        <w:autoSpaceDN/>
        <w:bidi w:val="0"/>
        <w:adjustRightInd/>
        <w:snapToGrid/>
        <w:spacing w:line="590" w:lineRule="exact"/>
        <w:ind w:left="0" w:leftChars="0" w:right="0" w:rightChars="0" w:firstLine="660" w:firstLineChars="200"/>
        <w:jc w:val="both"/>
        <w:textAlignment w:val="auto"/>
        <w:rPr>
          <w:rFonts w:hint="default" w:ascii="Times New Roman" w:hAnsi="Times New Roman" w:eastAsia="仿宋_GB2312" w:cs="Times New Roman"/>
          <w:sz w:val="33"/>
          <w:szCs w:val="33"/>
          <w:u w:val="none"/>
          <w:lang w:val="en-US" w:eastAsia="zh-CN"/>
        </w:rPr>
      </w:pPr>
      <w:r>
        <w:rPr>
          <w:rFonts w:hint="eastAsia" w:eastAsia="仿宋_GB2312" w:cs="Times New Roman"/>
          <w:sz w:val="33"/>
          <w:szCs w:val="33"/>
          <w:u w:val="none"/>
          <w:lang w:val="en-US" w:eastAsia="zh-CN"/>
        </w:rPr>
        <w:t>4.</w:t>
      </w:r>
      <w:r>
        <w:rPr>
          <w:rFonts w:hint="default" w:ascii="Times New Roman" w:hAnsi="Times New Roman" w:eastAsia="仿宋_GB2312" w:cs="Times New Roman"/>
          <w:sz w:val="33"/>
          <w:szCs w:val="33"/>
          <w:u w:val="none"/>
          <w:lang w:val="en-US" w:eastAsia="zh-CN"/>
        </w:rPr>
        <w:t>更大力度抓牢河湖长制工作。抓好琼江省级幸福河湖和蟠龙河国家级幸福河湖建设，抓图斑核查整改，确保按时保质完成图斑现场核查及问题整改任务；抓巡河履职，积极督促全区各级河长巡河履职，持续抓好各级河长日常巡河工作，常态开展河道日常保洁和河湖清四乱等常规工作，确保全区各国、省考断面水质稳定达标，实现一江清水出川；持续加强与潼南、乐至、安岳等毗邻</w:t>
      </w:r>
      <w:r>
        <w:rPr>
          <w:rFonts w:hint="eastAsia" w:eastAsia="仿宋_GB2312" w:cs="Times New Roman"/>
          <w:sz w:val="33"/>
          <w:szCs w:val="33"/>
          <w:u w:val="none"/>
          <w:lang w:val="en-US" w:eastAsia="zh-CN"/>
        </w:rPr>
        <w:t>区（县）</w:t>
      </w:r>
      <w:r>
        <w:rPr>
          <w:rFonts w:hint="default" w:ascii="Times New Roman" w:hAnsi="Times New Roman" w:eastAsia="仿宋_GB2312" w:cs="Times New Roman"/>
          <w:sz w:val="33"/>
          <w:szCs w:val="33"/>
          <w:u w:val="none"/>
          <w:lang w:val="en-US" w:eastAsia="zh-CN"/>
        </w:rPr>
        <w:t>的对接合作，开展联合会商、联合监测、联合巡河、联合执法等工作，形成流域治理合力。</w:t>
      </w:r>
    </w:p>
    <w:p w14:paraId="37642C52">
      <w:pPr>
        <w:keepNext w:val="0"/>
        <w:keepLines w:val="0"/>
        <w:pageBreakBefore w:val="0"/>
        <w:kinsoku/>
        <w:wordWrap/>
        <w:overflowPunct/>
        <w:topLinePunct w:val="0"/>
        <w:autoSpaceDE/>
        <w:autoSpaceDN/>
        <w:bidi w:val="0"/>
        <w:adjustRightInd/>
        <w:snapToGrid/>
        <w:spacing w:line="590" w:lineRule="exact"/>
        <w:ind w:left="0" w:leftChars="0" w:right="0" w:rightChars="0" w:firstLine="660" w:firstLineChars="200"/>
        <w:jc w:val="both"/>
        <w:textAlignment w:val="auto"/>
        <w:rPr>
          <w:rFonts w:hint="default" w:ascii="Times New Roman" w:hAnsi="Times New Roman" w:eastAsia="仿宋_GB2312" w:cs="仿宋_GB2312"/>
          <w:b w:val="0"/>
          <w:bCs w:val="0"/>
          <w:kern w:val="0"/>
          <w:position w:val="0"/>
          <w:sz w:val="33"/>
          <w:szCs w:val="33"/>
          <w:highlight w:val="none"/>
          <w:lang w:val="zh-CN" w:eastAsia="zh-CN" w:bidi="ar-SA"/>
        </w:rPr>
      </w:pPr>
      <w:r>
        <w:rPr>
          <w:rFonts w:hint="eastAsia" w:eastAsia="仿宋_GB2312" w:cs="Times New Roman"/>
          <w:sz w:val="33"/>
          <w:szCs w:val="33"/>
          <w:u w:val="none"/>
          <w:lang w:val="en-US" w:eastAsia="zh-CN"/>
        </w:rPr>
        <w:t>5.</w:t>
      </w:r>
      <w:r>
        <w:rPr>
          <w:rFonts w:hint="default" w:ascii="Times New Roman" w:hAnsi="Times New Roman" w:eastAsia="仿宋_GB2312" w:cs="Times New Roman"/>
          <w:sz w:val="33"/>
          <w:szCs w:val="33"/>
          <w:u w:val="none"/>
          <w:lang w:val="en-US" w:eastAsia="zh-CN"/>
        </w:rPr>
        <w:t>更高水平提升水利行业管理。严格水资源管理，加强取水工程规范化建设，做好取用水在线计量监测设施运行维护管理，推动白家河母亲河复苏行动落实，严查无证取水，严格水资源有偿使用；做好水土保持监管，加大水土流失综合治理力度。开展水土保持专题宣传，强化水土保持监督检查专项行动；强化执法队伍建设，依法严厉打击重大水事违法行为，常态化推进水利行业扫黑除恶斗争，加强水法治宣传教育，深入开展水利“八五”普法；完善监管机制，加大在建水利工程市场主体行为监管和工程质量安全监管。</w:t>
      </w:r>
    </w:p>
    <w:p w14:paraId="1D3EB8F3">
      <w:pPr>
        <w:keepNext w:val="0"/>
        <w:keepLines w:val="0"/>
        <w:pageBreakBefore w:val="0"/>
        <w:kinsoku/>
        <w:wordWrap/>
        <w:overflowPunct/>
        <w:topLinePunct w:val="0"/>
        <w:autoSpaceDE/>
        <w:autoSpaceDN/>
        <w:bidi w:val="0"/>
        <w:adjustRightInd/>
        <w:snapToGrid/>
        <w:spacing w:line="590" w:lineRule="exact"/>
        <w:ind w:left="0" w:leftChars="0" w:right="0" w:rightChars="0"/>
        <w:contextualSpacing/>
        <w:jc w:val="both"/>
        <w:textAlignment w:val="auto"/>
        <w:outlineLvl w:val="9"/>
        <w:rPr>
          <w:rFonts w:hint="default" w:ascii="Times New Roman" w:hAnsi="Times New Roman" w:eastAsia="黑体" w:cs="Times New Roman"/>
          <w:sz w:val="33"/>
          <w:szCs w:val="33"/>
          <w:highlight w:val="none"/>
          <w:lang w:val="en-US" w:eastAsia="zh-CN"/>
        </w:rPr>
      </w:pPr>
    </w:p>
    <w:p w14:paraId="0C610C30">
      <w:pPr>
        <w:pStyle w:val="3"/>
        <w:keepNext w:val="0"/>
        <w:keepLines w:val="0"/>
        <w:pageBreakBefore w:val="0"/>
        <w:numPr>
          <w:ilvl w:val="0"/>
          <w:numId w:val="0"/>
        </w:numPr>
        <w:kinsoku/>
        <w:wordWrap/>
        <w:overflowPunct/>
        <w:topLinePunct w:val="0"/>
        <w:autoSpaceDE/>
        <w:autoSpaceDN/>
        <w:bidi w:val="0"/>
        <w:spacing w:line="560" w:lineRule="exact"/>
        <w:ind w:firstLine="660" w:firstLineChars="200"/>
        <w:textAlignment w:val="auto"/>
        <w:rPr>
          <w:rFonts w:hint="eastAsia" w:ascii="Times New Roman" w:hAnsi="Times New Roman" w:eastAsia="仿宋_GB2312" w:cs="Times New Roman"/>
          <w:kern w:val="2"/>
          <w:sz w:val="32"/>
          <w:szCs w:val="32"/>
          <w:u w:val="none"/>
          <w:lang w:val="zh-CN" w:eastAsia="zh-CN" w:bidi="ar"/>
        </w:rPr>
      </w:pPr>
      <w:r>
        <w:rPr>
          <w:rFonts w:hint="eastAsia" w:ascii="Times New Roman" w:hAnsi="Times New Roman" w:eastAsia="仿宋_GB2312" w:cs="Times New Roman"/>
          <w:color w:val="000000"/>
          <w:kern w:val="0"/>
          <w:sz w:val="33"/>
          <w:szCs w:val="33"/>
          <w:highlight w:val="none"/>
          <w:shd w:val="clear" w:color="auto" w:fill="FFFFFF"/>
          <w:lang w:val="en-US" w:eastAsia="zh-CN"/>
        </w:rPr>
        <w:t>附表：</w:t>
      </w:r>
      <w:r>
        <w:rPr>
          <w:rFonts w:hint="eastAsia" w:ascii="Times New Roman" w:hAnsi="Times New Roman" w:eastAsia="仿宋_GB2312" w:cs="Times New Roman"/>
          <w:kern w:val="2"/>
          <w:sz w:val="32"/>
          <w:szCs w:val="32"/>
          <w:u w:val="none"/>
          <w:lang w:val="en-US" w:eastAsia="zh-CN" w:bidi="ar"/>
        </w:rPr>
        <w:t>1.</w:t>
      </w:r>
      <w:r>
        <w:rPr>
          <w:rFonts w:hint="default" w:ascii="Times New Roman" w:hAnsi="Times New Roman" w:eastAsia="仿宋_GB2312" w:cs="Times New Roman"/>
          <w:kern w:val="2"/>
          <w:sz w:val="32"/>
          <w:szCs w:val="32"/>
          <w:u w:val="none"/>
          <w:lang w:val="en-US" w:eastAsia="zh-CN" w:bidi="ar"/>
        </w:rPr>
        <w:t>部门整体支出绩效自评表</w:t>
      </w:r>
    </w:p>
    <w:p w14:paraId="2E16789A">
      <w:pPr>
        <w:pStyle w:val="3"/>
        <w:keepNext w:val="0"/>
        <w:keepLines w:val="0"/>
        <w:pageBreakBefore w:val="0"/>
        <w:numPr>
          <w:ilvl w:val="0"/>
          <w:numId w:val="0"/>
        </w:numPr>
        <w:kinsoku/>
        <w:wordWrap/>
        <w:overflowPunct/>
        <w:topLinePunct w:val="0"/>
        <w:autoSpaceDE/>
        <w:autoSpaceDN/>
        <w:bidi w:val="0"/>
        <w:spacing w:line="560" w:lineRule="exact"/>
        <w:ind w:firstLine="1600" w:firstLineChars="500"/>
        <w:textAlignment w:val="auto"/>
        <w:rPr>
          <w:rFonts w:hint="default" w:ascii="Times New Roman" w:hAnsi="Times New Roman" w:eastAsia="仿宋_GB2312" w:cs="Times New Roman"/>
          <w:sz w:val="32"/>
          <w:szCs w:val="32"/>
          <w:lang w:val="zh-CN" w:eastAsia="zh-CN" w:bidi="ar"/>
        </w:rPr>
      </w:pPr>
      <w:r>
        <w:rPr>
          <w:rFonts w:hint="eastAsia" w:ascii="Times New Roman" w:hAnsi="Times New Roman" w:eastAsia="仿宋_GB2312" w:cs="Times New Roman"/>
          <w:kern w:val="2"/>
          <w:sz w:val="32"/>
          <w:szCs w:val="32"/>
          <w:u w:val="none"/>
          <w:lang w:val="en-US" w:eastAsia="zh-CN" w:bidi="ar"/>
        </w:rPr>
        <w:t>2.部门预算项目支出绩效自评表（2024年度）</w:t>
      </w:r>
    </w:p>
    <w:p w14:paraId="2C288F2D">
      <w:pPr>
        <w:rPr>
          <w:rFonts w:hint="default" w:ascii="Times New Roman" w:hAnsi="Times New Roman" w:eastAsia="仿宋_GB2312" w:cs="Times New Roman"/>
          <w:color w:val="000000"/>
          <w:kern w:val="0"/>
          <w:sz w:val="33"/>
          <w:szCs w:val="33"/>
          <w:highlight w:val="none"/>
          <w:shd w:val="clear" w:color="auto" w:fill="FFFFFF"/>
          <w:lang w:val="en-US" w:eastAsia="zh-CN"/>
        </w:rPr>
      </w:pPr>
      <w:r>
        <w:rPr>
          <w:rFonts w:hint="default" w:ascii="Times New Roman" w:hAnsi="Times New Roman" w:eastAsia="仿宋_GB2312" w:cs="Times New Roman"/>
          <w:color w:val="000000"/>
          <w:kern w:val="0"/>
          <w:sz w:val="33"/>
          <w:szCs w:val="33"/>
          <w:highlight w:val="none"/>
          <w:shd w:val="clear" w:color="auto" w:fill="FFFFFF"/>
          <w:lang w:val="en-US" w:eastAsia="zh-CN"/>
        </w:rPr>
        <w:br w:type="page"/>
      </w:r>
    </w:p>
    <w:p w14:paraId="41D4309C">
      <w:pPr>
        <w:keepNext w:val="0"/>
        <w:keepLines w:val="0"/>
        <w:widowControl/>
        <w:suppressLineNumbers w:val="0"/>
        <w:jc w:val="center"/>
        <w:textAlignment w:val="center"/>
        <w:rPr>
          <w:rFonts w:hint="eastAsia" w:ascii="黑体" w:hAnsi="宋体" w:eastAsia="黑体" w:cs="黑体"/>
          <w:i w:val="0"/>
          <w:iCs w:val="0"/>
          <w:color w:val="000000"/>
          <w:kern w:val="0"/>
          <w:sz w:val="36"/>
          <w:szCs w:val="36"/>
          <w:u w:val="none"/>
          <w:lang w:val="en-US" w:eastAsia="zh-CN" w:bidi="ar"/>
        </w:rPr>
        <w:sectPr>
          <w:footerReference r:id="rId7" w:type="default"/>
          <w:pgSz w:w="11906" w:h="16838"/>
          <w:pgMar w:top="2098" w:right="1474" w:bottom="1984" w:left="1587" w:header="851" w:footer="992" w:gutter="0"/>
          <w:pgNumType w:fmt="decimal" w:start="1"/>
          <w:cols w:space="0" w:num="1"/>
          <w:rtlGutter w:val="0"/>
          <w:docGrid w:type="lines" w:linePitch="312" w:charSpace="0"/>
        </w:sectPr>
      </w:pPr>
    </w:p>
    <w:p w14:paraId="3BFD4FC3">
      <w:pPr>
        <w:rPr>
          <w:rFonts w:hint="eastAsia" w:ascii="黑体" w:hAnsi="宋体" w:eastAsia="黑体" w:cs="黑体"/>
          <w:i w:val="0"/>
          <w:iCs w:val="0"/>
          <w:color w:val="000000"/>
          <w:kern w:val="0"/>
          <w:sz w:val="36"/>
          <w:szCs w:val="36"/>
          <w:u w:val="none"/>
          <w:lang w:val="en-US" w:eastAsia="zh-CN" w:bidi="ar"/>
        </w:rPr>
      </w:pPr>
      <w:r>
        <w:rPr>
          <w:rFonts w:hint="eastAsia" w:ascii="黑体" w:hAnsi="宋体" w:eastAsia="黑体" w:cs="黑体"/>
          <w:i w:val="0"/>
          <w:iCs w:val="0"/>
          <w:color w:val="000000"/>
          <w:kern w:val="0"/>
          <w:sz w:val="36"/>
          <w:szCs w:val="36"/>
          <w:u w:val="none"/>
          <w:lang w:val="en-US" w:eastAsia="zh-CN" w:bidi="ar"/>
        </w:rPr>
        <w:t>附表1</w:t>
      </w:r>
    </w:p>
    <w:p w14:paraId="43AAE345">
      <w:pPr>
        <w:pStyle w:val="3"/>
        <w:ind w:left="0" w:leftChars="0" w:firstLine="0" w:firstLineChars="0"/>
        <w:jc w:val="center"/>
        <w:rPr>
          <w:rFonts w:hint="default"/>
          <w:lang w:val="zh-CN"/>
        </w:rPr>
      </w:pPr>
      <w:r>
        <w:rPr>
          <w:rFonts w:hint="eastAsia" w:ascii="方正小标宋简体" w:hAnsi="方正小标宋简体" w:eastAsia="方正小标宋简体" w:cs="方正小标宋简体"/>
          <w:i w:val="0"/>
          <w:iCs w:val="0"/>
          <w:color w:val="000000"/>
          <w:kern w:val="0"/>
          <w:sz w:val="48"/>
          <w:szCs w:val="48"/>
          <w:u w:val="none"/>
          <w:lang w:val="en-US" w:eastAsia="zh-CN" w:bidi="ar"/>
        </w:rPr>
        <w:t>部门整体支出绩效自评表</w:t>
      </w:r>
    </w:p>
    <w:tbl>
      <w:tblPr>
        <w:tblStyle w:val="23"/>
        <w:tblW w:w="498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19"/>
        <w:gridCol w:w="423"/>
        <w:gridCol w:w="994"/>
        <w:gridCol w:w="454"/>
        <w:gridCol w:w="822"/>
        <w:gridCol w:w="2007"/>
        <w:gridCol w:w="621"/>
        <w:gridCol w:w="3289"/>
      </w:tblGrid>
      <w:tr w14:paraId="0FFA7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90" w:hRule="atLeast"/>
          <w:tblHeader/>
        </w:trPr>
        <w:tc>
          <w:tcPr>
            <w:tcW w:w="1267" w:type="pct"/>
            <w:gridSpan w:val="4"/>
            <w:shd w:val="clear" w:color="auto" w:fill="auto"/>
            <w:vAlign w:val="center"/>
          </w:tcPr>
          <w:p w14:paraId="38E09B5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绩效指标</w:t>
            </w:r>
          </w:p>
        </w:tc>
        <w:tc>
          <w:tcPr>
            <w:tcW w:w="455" w:type="pct"/>
            <w:vMerge w:val="restart"/>
            <w:shd w:val="clear" w:color="auto" w:fill="auto"/>
            <w:vAlign w:val="center"/>
          </w:tcPr>
          <w:p w14:paraId="333D36E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指标解释</w:t>
            </w:r>
          </w:p>
        </w:tc>
        <w:tc>
          <w:tcPr>
            <w:tcW w:w="1111" w:type="pct"/>
            <w:vMerge w:val="restart"/>
            <w:shd w:val="clear" w:color="auto" w:fill="auto"/>
            <w:vAlign w:val="center"/>
          </w:tcPr>
          <w:p w14:paraId="7785BC0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评分说明</w:t>
            </w:r>
          </w:p>
        </w:tc>
        <w:tc>
          <w:tcPr>
            <w:tcW w:w="343" w:type="pct"/>
            <w:vMerge w:val="restart"/>
            <w:shd w:val="clear" w:color="auto" w:fill="auto"/>
            <w:vAlign w:val="center"/>
          </w:tcPr>
          <w:p w14:paraId="1453A09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自评得分</w:t>
            </w:r>
          </w:p>
        </w:tc>
        <w:tc>
          <w:tcPr>
            <w:tcW w:w="1821" w:type="pct"/>
            <w:vMerge w:val="restart"/>
            <w:shd w:val="clear" w:color="auto" w:fill="auto"/>
            <w:vAlign w:val="center"/>
          </w:tcPr>
          <w:p w14:paraId="60306A5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备注</w:t>
            </w:r>
          </w:p>
        </w:tc>
      </w:tr>
      <w:tr w14:paraId="5232A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0" w:hRule="atLeast"/>
          <w:tblHeader/>
        </w:trPr>
        <w:tc>
          <w:tcPr>
            <w:tcW w:w="232" w:type="pct"/>
            <w:shd w:val="clear" w:color="auto" w:fill="auto"/>
            <w:vAlign w:val="center"/>
          </w:tcPr>
          <w:p w14:paraId="2768B7A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一级指标</w:t>
            </w:r>
          </w:p>
        </w:tc>
        <w:tc>
          <w:tcPr>
            <w:tcW w:w="234" w:type="pct"/>
            <w:shd w:val="clear" w:color="auto" w:fill="auto"/>
            <w:vAlign w:val="center"/>
          </w:tcPr>
          <w:p w14:paraId="0DBF746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二级指标</w:t>
            </w:r>
          </w:p>
        </w:tc>
        <w:tc>
          <w:tcPr>
            <w:tcW w:w="550" w:type="pct"/>
            <w:shd w:val="clear" w:color="auto" w:fill="auto"/>
            <w:vAlign w:val="center"/>
          </w:tcPr>
          <w:p w14:paraId="65B30C9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三级指标</w:t>
            </w:r>
          </w:p>
        </w:tc>
        <w:tc>
          <w:tcPr>
            <w:tcW w:w="251" w:type="pct"/>
            <w:shd w:val="clear" w:color="auto" w:fill="auto"/>
            <w:vAlign w:val="center"/>
          </w:tcPr>
          <w:p w14:paraId="0C368E5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指标分值</w:t>
            </w:r>
          </w:p>
        </w:tc>
        <w:tc>
          <w:tcPr>
            <w:tcW w:w="455" w:type="pct"/>
            <w:vMerge w:val="continue"/>
            <w:shd w:val="clear" w:color="auto" w:fill="auto"/>
            <w:vAlign w:val="center"/>
          </w:tcPr>
          <w:p w14:paraId="2709FC3E">
            <w:pPr>
              <w:keepNext w:val="0"/>
              <w:keepLines w:val="0"/>
              <w:pageBreakBefore w:val="0"/>
              <w:kinsoku/>
              <w:wordWrap/>
              <w:overflowPunct/>
              <w:topLinePunct w:val="0"/>
              <w:autoSpaceDE/>
              <w:autoSpaceDN/>
              <w:bidi w:val="0"/>
              <w:adjustRightInd/>
              <w:snapToGrid/>
              <w:spacing w:line="240" w:lineRule="exact"/>
              <w:jc w:val="center"/>
              <w:rPr>
                <w:rFonts w:hint="eastAsia" w:ascii="黑体" w:hAnsi="宋体" w:eastAsia="黑体" w:cs="黑体"/>
                <w:i w:val="0"/>
                <w:iCs w:val="0"/>
                <w:color w:val="000000"/>
                <w:sz w:val="18"/>
                <w:szCs w:val="18"/>
                <w:u w:val="none"/>
              </w:rPr>
            </w:pPr>
          </w:p>
        </w:tc>
        <w:tc>
          <w:tcPr>
            <w:tcW w:w="1111" w:type="pct"/>
            <w:vMerge w:val="continue"/>
            <w:shd w:val="clear" w:color="auto" w:fill="auto"/>
            <w:vAlign w:val="center"/>
          </w:tcPr>
          <w:p w14:paraId="7A0E63B0">
            <w:pPr>
              <w:keepNext w:val="0"/>
              <w:keepLines w:val="0"/>
              <w:pageBreakBefore w:val="0"/>
              <w:kinsoku/>
              <w:wordWrap/>
              <w:overflowPunct/>
              <w:topLinePunct w:val="0"/>
              <w:autoSpaceDE/>
              <w:autoSpaceDN/>
              <w:bidi w:val="0"/>
              <w:adjustRightInd/>
              <w:snapToGrid/>
              <w:spacing w:line="240" w:lineRule="exact"/>
              <w:jc w:val="center"/>
              <w:rPr>
                <w:rFonts w:hint="eastAsia" w:ascii="黑体" w:hAnsi="宋体" w:eastAsia="黑体" w:cs="黑体"/>
                <w:i w:val="0"/>
                <w:iCs w:val="0"/>
                <w:color w:val="000000"/>
                <w:sz w:val="18"/>
                <w:szCs w:val="18"/>
                <w:u w:val="none"/>
              </w:rPr>
            </w:pPr>
          </w:p>
        </w:tc>
        <w:tc>
          <w:tcPr>
            <w:tcW w:w="343" w:type="pct"/>
            <w:vMerge w:val="continue"/>
            <w:shd w:val="clear" w:color="auto" w:fill="auto"/>
            <w:vAlign w:val="center"/>
          </w:tcPr>
          <w:p w14:paraId="6A21FC38">
            <w:pPr>
              <w:keepNext w:val="0"/>
              <w:keepLines w:val="0"/>
              <w:pageBreakBefore w:val="0"/>
              <w:kinsoku/>
              <w:wordWrap/>
              <w:overflowPunct/>
              <w:topLinePunct w:val="0"/>
              <w:autoSpaceDE/>
              <w:autoSpaceDN/>
              <w:bidi w:val="0"/>
              <w:adjustRightInd/>
              <w:snapToGrid/>
              <w:spacing w:line="240" w:lineRule="exact"/>
              <w:jc w:val="center"/>
              <w:rPr>
                <w:rFonts w:hint="eastAsia" w:ascii="黑体" w:hAnsi="宋体" w:eastAsia="黑体" w:cs="黑体"/>
                <w:i w:val="0"/>
                <w:iCs w:val="0"/>
                <w:color w:val="000000"/>
                <w:sz w:val="18"/>
                <w:szCs w:val="18"/>
                <w:u w:val="none"/>
              </w:rPr>
            </w:pPr>
          </w:p>
        </w:tc>
        <w:tc>
          <w:tcPr>
            <w:tcW w:w="1821" w:type="pct"/>
            <w:vMerge w:val="continue"/>
            <w:shd w:val="clear" w:color="auto" w:fill="auto"/>
            <w:vAlign w:val="center"/>
          </w:tcPr>
          <w:p w14:paraId="0509F03C">
            <w:pPr>
              <w:keepNext w:val="0"/>
              <w:keepLines w:val="0"/>
              <w:pageBreakBefore w:val="0"/>
              <w:kinsoku/>
              <w:wordWrap/>
              <w:overflowPunct/>
              <w:topLinePunct w:val="0"/>
              <w:autoSpaceDE/>
              <w:autoSpaceDN/>
              <w:bidi w:val="0"/>
              <w:adjustRightInd/>
              <w:snapToGrid/>
              <w:spacing w:line="240" w:lineRule="exact"/>
              <w:jc w:val="center"/>
              <w:rPr>
                <w:rFonts w:hint="eastAsia" w:ascii="黑体" w:hAnsi="宋体" w:eastAsia="黑体" w:cs="黑体"/>
                <w:i w:val="0"/>
                <w:iCs w:val="0"/>
                <w:color w:val="000000"/>
                <w:sz w:val="18"/>
                <w:szCs w:val="18"/>
                <w:u w:val="none"/>
              </w:rPr>
            </w:pPr>
          </w:p>
        </w:tc>
      </w:tr>
      <w:tr w14:paraId="508F0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7" w:hRule="atLeast"/>
        </w:trPr>
        <w:tc>
          <w:tcPr>
            <w:tcW w:w="232" w:type="pct"/>
            <w:vMerge w:val="restart"/>
            <w:shd w:val="clear" w:color="auto" w:fill="auto"/>
            <w:vAlign w:val="center"/>
          </w:tcPr>
          <w:p w14:paraId="6620E47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b/>
                <w:bCs/>
                <w:i w:val="0"/>
                <w:iCs w:val="0"/>
                <w:color w:val="000000"/>
                <w:sz w:val="18"/>
                <w:szCs w:val="18"/>
                <w:u w:val="none"/>
              </w:rPr>
            </w:pPr>
            <w:r>
              <w:rPr>
                <w:rFonts w:hint="eastAsia" w:ascii="宋体" w:hAnsi="宋体" w:eastAsia="仿宋_GB2312" w:cs="宋体"/>
                <w:b/>
                <w:bCs/>
                <w:i w:val="0"/>
                <w:iCs w:val="0"/>
                <w:color w:val="000000"/>
                <w:kern w:val="0"/>
                <w:sz w:val="18"/>
                <w:szCs w:val="18"/>
                <w:u w:val="none"/>
                <w:lang w:val="en-US" w:eastAsia="zh-CN" w:bidi="ar"/>
              </w:rPr>
              <w:t>总体绩效</w:t>
            </w:r>
            <w:r>
              <w:rPr>
                <w:rFonts w:hint="eastAsia" w:ascii="宋体" w:hAnsi="宋体" w:eastAsia="仿宋_GB2312" w:cs="宋体"/>
                <w:b/>
                <w:bCs/>
                <w:i w:val="0"/>
                <w:iCs w:val="0"/>
                <w:color w:val="000000"/>
                <w:kern w:val="0"/>
                <w:sz w:val="18"/>
                <w:szCs w:val="18"/>
                <w:u w:val="none"/>
                <w:lang w:val="en-US" w:eastAsia="zh-CN" w:bidi="ar"/>
              </w:rPr>
              <w:br w:type="textWrapping"/>
            </w:r>
            <w:r>
              <w:rPr>
                <w:rFonts w:hint="eastAsia" w:ascii="宋体" w:hAnsi="宋体" w:eastAsia="仿宋_GB2312" w:cs="宋体"/>
                <w:b/>
                <w:bCs/>
                <w:i w:val="0"/>
                <w:iCs w:val="0"/>
                <w:color w:val="000000"/>
                <w:kern w:val="0"/>
                <w:sz w:val="18"/>
                <w:szCs w:val="18"/>
                <w:u w:val="none"/>
                <w:lang w:val="en-US" w:eastAsia="zh-CN" w:bidi="ar"/>
              </w:rPr>
              <w:t>（65分）</w:t>
            </w:r>
          </w:p>
        </w:tc>
        <w:tc>
          <w:tcPr>
            <w:tcW w:w="234" w:type="pct"/>
            <w:vMerge w:val="restart"/>
            <w:shd w:val="clear" w:color="auto" w:fill="auto"/>
            <w:vAlign w:val="center"/>
          </w:tcPr>
          <w:p w14:paraId="5D7A489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b/>
                <w:bCs/>
                <w:i w:val="0"/>
                <w:iCs w:val="0"/>
                <w:color w:val="000000"/>
                <w:sz w:val="18"/>
                <w:szCs w:val="18"/>
                <w:u w:val="none"/>
              </w:rPr>
            </w:pPr>
            <w:r>
              <w:rPr>
                <w:rFonts w:hint="eastAsia" w:ascii="宋体" w:hAnsi="宋体" w:eastAsia="仿宋_GB2312" w:cs="宋体"/>
                <w:b/>
                <w:bCs/>
                <w:i w:val="0"/>
                <w:iCs w:val="0"/>
                <w:color w:val="000000"/>
                <w:kern w:val="0"/>
                <w:sz w:val="18"/>
                <w:szCs w:val="18"/>
                <w:u w:val="none"/>
                <w:lang w:val="en-US" w:eastAsia="zh-CN" w:bidi="ar"/>
              </w:rPr>
              <w:t>履职效能</w:t>
            </w:r>
            <w:r>
              <w:rPr>
                <w:rFonts w:hint="eastAsia" w:ascii="宋体" w:hAnsi="宋体" w:eastAsia="仿宋_GB2312" w:cs="宋体"/>
                <w:b/>
                <w:bCs/>
                <w:i w:val="0"/>
                <w:iCs w:val="0"/>
                <w:color w:val="000000"/>
                <w:kern w:val="0"/>
                <w:sz w:val="18"/>
                <w:szCs w:val="18"/>
                <w:u w:val="none"/>
                <w:lang w:val="en-US" w:eastAsia="zh-CN" w:bidi="ar"/>
              </w:rPr>
              <w:br w:type="textWrapping"/>
            </w:r>
            <w:r>
              <w:rPr>
                <w:rFonts w:hint="eastAsia" w:ascii="宋体" w:hAnsi="宋体" w:eastAsia="仿宋_GB2312" w:cs="宋体"/>
                <w:b/>
                <w:bCs/>
                <w:i w:val="0"/>
                <w:iCs w:val="0"/>
                <w:color w:val="000000"/>
                <w:kern w:val="0"/>
                <w:sz w:val="18"/>
                <w:szCs w:val="18"/>
                <w:u w:val="none"/>
                <w:lang w:val="en-US" w:eastAsia="zh-CN" w:bidi="ar"/>
              </w:rPr>
              <w:t>（19分）</w:t>
            </w:r>
          </w:p>
        </w:tc>
        <w:tc>
          <w:tcPr>
            <w:tcW w:w="550" w:type="pct"/>
            <w:shd w:val="clear" w:color="auto" w:fill="auto"/>
            <w:vAlign w:val="center"/>
          </w:tcPr>
          <w:p w14:paraId="78544CC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仿宋_GB2312" w:cs="宋体"/>
                <w:i w:val="0"/>
                <w:iCs w:val="0"/>
                <w:color w:val="000000"/>
                <w:kern w:val="0"/>
                <w:sz w:val="18"/>
                <w:szCs w:val="18"/>
                <w:u w:val="none"/>
                <w:lang w:val="en-US" w:eastAsia="zh-CN" w:bidi="ar"/>
              </w:rPr>
              <w:t>半年一次发放跑马滩水库人员工资和保险≥12元/年</w:t>
            </w:r>
          </w:p>
        </w:tc>
        <w:tc>
          <w:tcPr>
            <w:tcW w:w="251" w:type="pct"/>
            <w:vMerge w:val="restart"/>
            <w:shd w:val="clear" w:color="auto" w:fill="auto"/>
            <w:vAlign w:val="center"/>
          </w:tcPr>
          <w:p w14:paraId="1552A06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仿宋_GB2312" w:cs="宋体"/>
                <w:i w:val="0"/>
                <w:iCs w:val="0"/>
                <w:color w:val="000000"/>
                <w:kern w:val="0"/>
                <w:sz w:val="18"/>
                <w:szCs w:val="18"/>
                <w:u w:val="none"/>
                <w:lang w:val="en-US" w:eastAsia="zh-CN" w:bidi="ar"/>
              </w:rPr>
              <w:t>10</w:t>
            </w:r>
          </w:p>
        </w:tc>
        <w:tc>
          <w:tcPr>
            <w:tcW w:w="455" w:type="pct"/>
            <w:vMerge w:val="restart"/>
            <w:shd w:val="clear" w:color="auto" w:fill="auto"/>
            <w:vAlign w:val="center"/>
          </w:tcPr>
          <w:p w14:paraId="67BB3F6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仿宋_GB2312" w:cs="宋体"/>
                <w:i w:val="0"/>
                <w:iCs w:val="0"/>
                <w:color w:val="000000"/>
                <w:kern w:val="0"/>
                <w:sz w:val="18"/>
                <w:szCs w:val="18"/>
                <w:u w:val="none"/>
                <w:lang w:val="en-US" w:eastAsia="zh-CN" w:bidi="ar"/>
              </w:rPr>
              <w:t>部门整体绩效目标中选定4-6个核心职能目标，反映该项职能目标完成效果情况</w:t>
            </w:r>
          </w:p>
        </w:tc>
        <w:tc>
          <w:tcPr>
            <w:tcW w:w="1111" w:type="pct"/>
            <w:vMerge w:val="restart"/>
            <w:shd w:val="clear" w:color="auto" w:fill="auto"/>
            <w:vAlign w:val="center"/>
          </w:tcPr>
          <w:p w14:paraId="2D4684E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仿宋_GB2312" w:cs="宋体"/>
                <w:i w:val="0"/>
                <w:iCs w:val="0"/>
                <w:color w:val="000000"/>
                <w:kern w:val="0"/>
                <w:sz w:val="18"/>
                <w:szCs w:val="18"/>
                <w:u w:val="none"/>
                <w:lang w:val="en-US" w:eastAsia="zh-CN" w:bidi="ar"/>
              </w:rPr>
              <w:t>部门整体绩效目标中选定4-6个可量化计算、可评价的核心职能目标，分别设定指标分值、指标解释、评分方法和评分说明，总分值不超过10分。该项指标得分=年终完成履职效果目标数量÷年初目标设置总数×100%×指标分值。履职效能总分为各项履职效果得分的和。</w:t>
            </w:r>
          </w:p>
        </w:tc>
        <w:tc>
          <w:tcPr>
            <w:tcW w:w="343" w:type="pct"/>
            <w:vMerge w:val="restart"/>
            <w:shd w:val="clear" w:color="auto" w:fill="auto"/>
            <w:vAlign w:val="center"/>
          </w:tcPr>
          <w:p w14:paraId="21AA076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仿宋_GB2312" w:cs="宋体"/>
                <w:i w:val="0"/>
                <w:iCs w:val="0"/>
                <w:color w:val="000000"/>
                <w:kern w:val="0"/>
                <w:sz w:val="18"/>
                <w:szCs w:val="18"/>
                <w:u w:val="none"/>
                <w:lang w:val="en-US" w:eastAsia="zh-CN" w:bidi="ar"/>
              </w:rPr>
              <w:t xml:space="preserve">9.76 </w:t>
            </w:r>
          </w:p>
        </w:tc>
        <w:tc>
          <w:tcPr>
            <w:tcW w:w="1821" w:type="pct"/>
            <w:vMerge w:val="restart"/>
            <w:shd w:val="clear" w:color="auto" w:fill="auto"/>
            <w:vAlign w:val="center"/>
          </w:tcPr>
          <w:p w14:paraId="0C011D9E">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仿宋_GB2312" w:cs="宋体"/>
                <w:i w:val="0"/>
                <w:iCs w:val="0"/>
                <w:color w:val="000000"/>
                <w:kern w:val="0"/>
                <w:sz w:val="18"/>
                <w:szCs w:val="18"/>
                <w:u w:val="none"/>
                <w:lang w:val="en-US" w:eastAsia="zh-CN" w:bidi="ar"/>
              </w:rPr>
              <w:t>（1）数量指标半年一次发放跑马滩水库人员工资和保险≥12人/年：2024年我局实际发放跑马滩水库人员工资和保险为半年发放一次，跑马滩水库人员人员为12人；该指标完成率100%，自评2.5分。</w:t>
            </w:r>
            <w:r>
              <w:rPr>
                <w:rFonts w:hint="eastAsia" w:ascii="宋体" w:hAnsi="宋体" w:eastAsia="仿宋_GB2312" w:cs="宋体"/>
                <w:i w:val="0"/>
                <w:iCs w:val="0"/>
                <w:color w:val="000000"/>
                <w:kern w:val="0"/>
                <w:sz w:val="18"/>
                <w:szCs w:val="18"/>
                <w:u w:val="none"/>
                <w:lang w:val="en-US" w:eastAsia="zh-CN" w:bidi="ar"/>
              </w:rPr>
              <w:br w:type="textWrapping"/>
            </w:r>
            <w:r>
              <w:rPr>
                <w:rFonts w:hint="eastAsia" w:ascii="宋体" w:hAnsi="宋体" w:eastAsia="仿宋_GB2312" w:cs="宋体"/>
                <w:i w:val="0"/>
                <w:iCs w:val="0"/>
                <w:color w:val="000000"/>
                <w:kern w:val="0"/>
                <w:sz w:val="18"/>
                <w:szCs w:val="18"/>
                <w:u w:val="none"/>
                <w:lang w:val="en-US" w:eastAsia="zh-CN" w:bidi="ar"/>
              </w:rPr>
              <w:t>（2）质量指保障机关人员基本工资、津补贴、奖金≥74人/户：2024年我局编制内实有人员67人、财政拨款开支人员1人，其中：行政编制14人，事业编制53人；该指标完成率90.54%，自评2.26分。</w:t>
            </w:r>
            <w:r>
              <w:rPr>
                <w:rFonts w:hint="eastAsia" w:ascii="宋体" w:hAnsi="宋体" w:eastAsia="仿宋_GB2312" w:cs="宋体"/>
                <w:i w:val="0"/>
                <w:iCs w:val="0"/>
                <w:color w:val="000000"/>
                <w:kern w:val="0"/>
                <w:sz w:val="18"/>
                <w:szCs w:val="18"/>
                <w:u w:val="none"/>
                <w:lang w:val="en-US" w:eastAsia="zh-CN" w:bidi="ar"/>
              </w:rPr>
              <w:br w:type="textWrapping"/>
            </w:r>
            <w:r>
              <w:rPr>
                <w:rFonts w:hint="eastAsia" w:ascii="宋体" w:hAnsi="宋体" w:eastAsia="仿宋_GB2312" w:cs="宋体"/>
                <w:i w:val="0"/>
                <w:iCs w:val="0"/>
                <w:color w:val="000000"/>
                <w:kern w:val="0"/>
                <w:sz w:val="18"/>
                <w:szCs w:val="18"/>
                <w:u w:val="none"/>
                <w:lang w:val="en-US" w:eastAsia="zh-CN" w:bidi="ar"/>
              </w:rPr>
              <w:t>（3）质量指标质量保证率≥95%：2024年我局所有已完成项目验收合格率100%，，自评2.5分。</w:t>
            </w:r>
            <w:r>
              <w:rPr>
                <w:rFonts w:hint="eastAsia" w:ascii="宋体" w:hAnsi="宋体" w:eastAsia="仿宋_GB2312" w:cs="宋体"/>
                <w:i w:val="0"/>
                <w:iCs w:val="0"/>
                <w:color w:val="000000"/>
                <w:kern w:val="0"/>
                <w:sz w:val="18"/>
                <w:szCs w:val="18"/>
                <w:u w:val="none"/>
                <w:lang w:val="en-US" w:eastAsia="zh-CN" w:bidi="ar"/>
              </w:rPr>
              <w:br w:type="textWrapping"/>
            </w:r>
            <w:r>
              <w:rPr>
                <w:rFonts w:hint="eastAsia" w:ascii="宋体" w:hAnsi="宋体" w:eastAsia="仿宋_GB2312" w:cs="宋体"/>
                <w:i w:val="0"/>
                <w:iCs w:val="0"/>
                <w:color w:val="000000"/>
                <w:kern w:val="0"/>
                <w:sz w:val="18"/>
                <w:szCs w:val="18"/>
                <w:u w:val="none"/>
                <w:lang w:val="en-US" w:eastAsia="zh-CN" w:bidi="ar"/>
              </w:rPr>
              <w:t>（4）经济成本指标完成全年指标≥228543347.88元：2024年我局本年支出33322.22万元，按资金来源财政拨款33322.22万元，占支出总额100.00%，其他资金0.00万元，占支出总额0.0%；按支出性质基本支出1445.32万元，占支出总额4.34%，项目支出31876.90万元，占支出总额95.66%；自评2.5分。</w:t>
            </w:r>
            <w:r>
              <w:rPr>
                <w:rFonts w:hint="eastAsia" w:ascii="宋体" w:hAnsi="宋体" w:eastAsia="仿宋_GB2312" w:cs="宋体"/>
                <w:i w:val="0"/>
                <w:iCs w:val="0"/>
                <w:color w:val="000000"/>
                <w:kern w:val="0"/>
                <w:sz w:val="18"/>
                <w:szCs w:val="18"/>
                <w:u w:val="none"/>
                <w:lang w:val="en-US" w:eastAsia="zh-CN" w:bidi="ar"/>
              </w:rPr>
              <w:br w:type="textWrapping"/>
            </w:r>
            <w:r>
              <w:rPr>
                <w:rFonts w:hint="eastAsia" w:ascii="宋体" w:hAnsi="宋体" w:eastAsia="仿宋_GB2312" w:cs="宋体"/>
                <w:i w:val="0"/>
                <w:iCs w:val="0"/>
                <w:color w:val="000000"/>
                <w:kern w:val="0"/>
                <w:sz w:val="18"/>
                <w:szCs w:val="18"/>
                <w:u w:val="none"/>
                <w:lang w:val="en-US" w:eastAsia="zh-CN" w:bidi="ar"/>
              </w:rPr>
              <w:t>以上4个核心职能指标10分自评合计得9.76分。</w:t>
            </w:r>
          </w:p>
        </w:tc>
      </w:tr>
      <w:tr w14:paraId="5DC1E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224" w:hRule="atLeast"/>
        </w:trPr>
        <w:tc>
          <w:tcPr>
            <w:tcW w:w="232" w:type="pct"/>
            <w:vMerge w:val="continue"/>
            <w:shd w:val="clear" w:color="auto" w:fill="auto"/>
            <w:vAlign w:val="center"/>
          </w:tcPr>
          <w:p w14:paraId="701C993B">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b/>
                <w:bCs/>
                <w:i w:val="0"/>
                <w:iCs w:val="0"/>
                <w:color w:val="000000"/>
                <w:sz w:val="18"/>
                <w:szCs w:val="18"/>
                <w:u w:val="none"/>
              </w:rPr>
            </w:pPr>
          </w:p>
        </w:tc>
        <w:tc>
          <w:tcPr>
            <w:tcW w:w="234" w:type="pct"/>
            <w:vMerge w:val="continue"/>
            <w:shd w:val="clear" w:color="auto" w:fill="auto"/>
            <w:vAlign w:val="center"/>
          </w:tcPr>
          <w:p w14:paraId="3097C992">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b/>
                <w:bCs/>
                <w:i w:val="0"/>
                <w:iCs w:val="0"/>
                <w:color w:val="000000"/>
                <w:sz w:val="18"/>
                <w:szCs w:val="18"/>
                <w:u w:val="none"/>
              </w:rPr>
            </w:pPr>
          </w:p>
        </w:tc>
        <w:tc>
          <w:tcPr>
            <w:tcW w:w="550" w:type="pct"/>
            <w:shd w:val="clear" w:color="auto" w:fill="auto"/>
            <w:vAlign w:val="center"/>
          </w:tcPr>
          <w:p w14:paraId="5BA4021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仿宋_GB2312" w:cs="宋体"/>
                <w:i w:val="0"/>
                <w:iCs w:val="0"/>
                <w:color w:val="000000"/>
                <w:kern w:val="0"/>
                <w:sz w:val="18"/>
                <w:szCs w:val="18"/>
                <w:u w:val="none"/>
                <w:lang w:val="en-US" w:eastAsia="zh-CN" w:bidi="ar"/>
              </w:rPr>
              <w:t>保障机关人员基本工资、津补贴、奖金≥74人/户</w:t>
            </w:r>
          </w:p>
        </w:tc>
        <w:tc>
          <w:tcPr>
            <w:tcW w:w="251" w:type="pct"/>
            <w:vMerge w:val="continue"/>
            <w:shd w:val="clear" w:color="auto" w:fill="auto"/>
            <w:vAlign w:val="center"/>
          </w:tcPr>
          <w:p w14:paraId="5C259323">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c>
          <w:tcPr>
            <w:tcW w:w="455" w:type="pct"/>
            <w:vMerge w:val="continue"/>
            <w:shd w:val="clear" w:color="auto" w:fill="auto"/>
            <w:vAlign w:val="center"/>
          </w:tcPr>
          <w:p w14:paraId="30D4928C">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c>
          <w:tcPr>
            <w:tcW w:w="1111" w:type="pct"/>
            <w:vMerge w:val="continue"/>
            <w:shd w:val="clear" w:color="auto" w:fill="auto"/>
            <w:vAlign w:val="center"/>
          </w:tcPr>
          <w:p w14:paraId="7DA2D036">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c>
          <w:tcPr>
            <w:tcW w:w="343" w:type="pct"/>
            <w:vMerge w:val="continue"/>
            <w:shd w:val="clear" w:color="auto" w:fill="auto"/>
            <w:vAlign w:val="center"/>
          </w:tcPr>
          <w:p w14:paraId="320B8B21">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c>
          <w:tcPr>
            <w:tcW w:w="1821" w:type="pct"/>
            <w:vMerge w:val="continue"/>
            <w:shd w:val="clear" w:color="auto" w:fill="auto"/>
            <w:vAlign w:val="center"/>
          </w:tcPr>
          <w:p w14:paraId="45392C0B">
            <w:pPr>
              <w:keepNext w:val="0"/>
              <w:keepLines w:val="0"/>
              <w:pageBreakBefore w:val="0"/>
              <w:kinsoku/>
              <w:wordWrap/>
              <w:overflowPunct/>
              <w:topLinePunct w:val="0"/>
              <w:autoSpaceDE/>
              <w:autoSpaceDN/>
              <w:bidi w:val="0"/>
              <w:adjustRightInd/>
              <w:snapToGrid/>
              <w:spacing w:line="240" w:lineRule="exact"/>
              <w:jc w:val="left"/>
              <w:rPr>
                <w:rFonts w:hint="eastAsia" w:ascii="宋体" w:hAnsi="宋体" w:eastAsia="宋体" w:cs="宋体"/>
                <w:i w:val="0"/>
                <w:iCs w:val="0"/>
                <w:color w:val="000000"/>
                <w:sz w:val="18"/>
                <w:szCs w:val="18"/>
                <w:u w:val="none"/>
              </w:rPr>
            </w:pPr>
          </w:p>
        </w:tc>
      </w:tr>
      <w:tr w14:paraId="47F50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0" w:hRule="atLeast"/>
        </w:trPr>
        <w:tc>
          <w:tcPr>
            <w:tcW w:w="232" w:type="pct"/>
            <w:vMerge w:val="continue"/>
            <w:shd w:val="clear" w:color="auto" w:fill="auto"/>
            <w:vAlign w:val="center"/>
          </w:tcPr>
          <w:p w14:paraId="2451289D">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b/>
                <w:bCs/>
                <w:i w:val="0"/>
                <w:iCs w:val="0"/>
                <w:color w:val="000000"/>
                <w:sz w:val="18"/>
                <w:szCs w:val="18"/>
                <w:u w:val="none"/>
              </w:rPr>
            </w:pPr>
          </w:p>
        </w:tc>
        <w:tc>
          <w:tcPr>
            <w:tcW w:w="234" w:type="pct"/>
            <w:vMerge w:val="continue"/>
            <w:shd w:val="clear" w:color="auto" w:fill="auto"/>
            <w:vAlign w:val="center"/>
          </w:tcPr>
          <w:p w14:paraId="077BF53E">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b/>
                <w:bCs/>
                <w:i w:val="0"/>
                <w:iCs w:val="0"/>
                <w:color w:val="000000"/>
                <w:sz w:val="18"/>
                <w:szCs w:val="18"/>
                <w:u w:val="none"/>
              </w:rPr>
            </w:pPr>
          </w:p>
        </w:tc>
        <w:tc>
          <w:tcPr>
            <w:tcW w:w="550" w:type="pct"/>
            <w:shd w:val="clear" w:color="auto" w:fill="auto"/>
            <w:vAlign w:val="center"/>
          </w:tcPr>
          <w:p w14:paraId="69257DE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仿宋_GB2312" w:cs="宋体"/>
                <w:i w:val="0"/>
                <w:iCs w:val="0"/>
                <w:color w:val="000000"/>
                <w:kern w:val="0"/>
                <w:sz w:val="18"/>
                <w:szCs w:val="18"/>
                <w:u w:val="none"/>
                <w:lang w:val="en-US" w:eastAsia="zh-CN" w:bidi="ar"/>
              </w:rPr>
              <w:t>质量保证率≥95%</w:t>
            </w:r>
          </w:p>
        </w:tc>
        <w:tc>
          <w:tcPr>
            <w:tcW w:w="251" w:type="pct"/>
            <w:vMerge w:val="continue"/>
            <w:shd w:val="clear" w:color="auto" w:fill="auto"/>
            <w:vAlign w:val="center"/>
          </w:tcPr>
          <w:p w14:paraId="6A8BA773">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c>
          <w:tcPr>
            <w:tcW w:w="455" w:type="pct"/>
            <w:vMerge w:val="continue"/>
            <w:shd w:val="clear" w:color="auto" w:fill="auto"/>
            <w:vAlign w:val="center"/>
          </w:tcPr>
          <w:p w14:paraId="43F5BF56">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c>
          <w:tcPr>
            <w:tcW w:w="1111" w:type="pct"/>
            <w:vMerge w:val="continue"/>
            <w:shd w:val="clear" w:color="auto" w:fill="auto"/>
            <w:vAlign w:val="center"/>
          </w:tcPr>
          <w:p w14:paraId="0A6C1466">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c>
          <w:tcPr>
            <w:tcW w:w="343" w:type="pct"/>
            <w:vMerge w:val="continue"/>
            <w:shd w:val="clear" w:color="auto" w:fill="auto"/>
            <w:vAlign w:val="center"/>
          </w:tcPr>
          <w:p w14:paraId="0A240A4F">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c>
          <w:tcPr>
            <w:tcW w:w="1821" w:type="pct"/>
            <w:vMerge w:val="continue"/>
            <w:shd w:val="clear" w:color="auto" w:fill="auto"/>
            <w:vAlign w:val="center"/>
          </w:tcPr>
          <w:p w14:paraId="240A854F">
            <w:pPr>
              <w:keepNext w:val="0"/>
              <w:keepLines w:val="0"/>
              <w:pageBreakBefore w:val="0"/>
              <w:kinsoku/>
              <w:wordWrap/>
              <w:overflowPunct/>
              <w:topLinePunct w:val="0"/>
              <w:autoSpaceDE/>
              <w:autoSpaceDN/>
              <w:bidi w:val="0"/>
              <w:adjustRightInd/>
              <w:snapToGrid/>
              <w:spacing w:line="240" w:lineRule="exact"/>
              <w:jc w:val="left"/>
              <w:rPr>
                <w:rFonts w:hint="eastAsia" w:ascii="宋体" w:hAnsi="宋体" w:eastAsia="宋体" w:cs="宋体"/>
                <w:i w:val="0"/>
                <w:iCs w:val="0"/>
                <w:color w:val="000000"/>
                <w:sz w:val="18"/>
                <w:szCs w:val="18"/>
                <w:u w:val="none"/>
              </w:rPr>
            </w:pPr>
          </w:p>
        </w:tc>
      </w:tr>
      <w:tr w14:paraId="410D6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2" w:hRule="atLeast"/>
        </w:trPr>
        <w:tc>
          <w:tcPr>
            <w:tcW w:w="232" w:type="pct"/>
            <w:vMerge w:val="continue"/>
            <w:shd w:val="clear" w:color="auto" w:fill="auto"/>
            <w:vAlign w:val="center"/>
          </w:tcPr>
          <w:p w14:paraId="4C7BE0A7">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b/>
                <w:bCs/>
                <w:i w:val="0"/>
                <w:iCs w:val="0"/>
                <w:color w:val="000000"/>
                <w:sz w:val="18"/>
                <w:szCs w:val="18"/>
                <w:u w:val="none"/>
              </w:rPr>
            </w:pPr>
          </w:p>
        </w:tc>
        <w:tc>
          <w:tcPr>
            <w:tcW w:w="234" w:type="pct"/>
            <w:vMerge w:val="continue"/>
            <w:shd w:val="clear" w:color="auto" w:fill="auto"/>
            <w:vAlign w:val="center"/>
          </w:tcPr>
          <w:p w14:paraId="00B8BCFF">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b/>
                <w:bCs/>
                <w:i w:val="0"/>
                <w:iCs w:val="0"/>
                <w:color w:val="000000"/>
                <w:sz w:val="18"/>
                <w:szCs w:val="18"/>
                <w:u w:val="none"/>
              </w:rPr>
            </w:pPr>
          </w:p>
        </w:tc>
        <w:tc>
          <w:tcPr>
            <w:tcW w:w="550" w:type="pct"/>
            <w:shd w:val="clear" w:color="auto" w:fill="auto"/>
            <w:vAlign w:val="center"/>
          </w:tcPr>
          <w:p w14:paraId="3A7F378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仿宋_GB2312" w:cs="宋体"/>
                <w:i w:val="0"/>
                <w:iCs w:val="0"/>
                <w:color w:val="000000"/>
                <w:kern w:val="0"/>
                <w:sz w:val="18"/>
                <w:szCs w:val="18"/>
                <w:u w:val="none"/>
                <w:lang w:val="en-US" w:eastAsia="zh-CN" w:bidi="ar"/>
              </w:rPr>
              <w:t>完成全年指标≥228543347.88元</w:t>
            </w:r>
          </w:p>
        </w:tc>
        <w:tc>
          <w:tcPr>
            <w:tcW w:w="251" w:type="pct"/>
            <w:vMerge w:val="continue"/>
            <w:shd w:val="clear" w:color="auto" w:fill="auto"/>
            <w:vAlign w:val="center"/>
          </w:tcPr>
          <w:p w14:paraId="7ACEC595">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c>
          <w:tcPr>
            <w:tcW w:w="455" w:type="pct"/>
            <w:vMerge w:val="continue"/>
            <w:shd w:val="clear" w:color="auto" w:fill="auto"/>
            <w:vAlign w:val="center"/>
          </w:tcPr>
          <w:p w14:paraId="6BC14BAA">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c>
          <w:tcPr>
            <w:tcW w:w="1111" w:type="pct"/>
            <w:vMerge w:val="continue"/>
            <w:shd w:val="clear" w:color="auto" w:fill="auto"/>
            <w:vAlign w:val="center"/>
          </w:tcPr>
          <w:p w14:paraId="3CB514D9">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c>
          <w:tcPr>
            <w:tcW w:w="343" w:type="pct"/>
            <w:vMerge w:val="continue"/>
            <w:shd w:val="clear" w:color="auto" w:fill="auto"/>
            <w:vAlign w:val="center"/>
          </w:tcPr>
          <w:p w14:paraId="7AA4F369">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c>
          <w:tcPr>
            <w:tcW w:w="1821" w:type="pct"/>
            <w:vMerge w:val="continue"/>
            <w:shd w:val="clear" w:color="auto" w:fill="auto"/>
            <w:vAlign w:val="center"/>
          </w:tcPr>
          <w:p w14:paraId="13C966EE">
            <w:pPr>
              <w:keepNext w:val="0"/>
              <w:keepLines w:val="0"/>
              <w:pageBreakBefore w:val="0"/>
              <w:kinsoku/>
              <w:wordWrap/>
              <w:overflowPunct/>
              <w:topLinePunct w:val="0"/>
              <w:autoSpaceDE/>
              <w:autoSpaceDN/>
              <w:bidi w:val="0"/>
              <w:adjustRightInd/>
              <w:snapToGrid/>
              <w:spacing w:line="240" w:lineRule="exact"/>
              <w:jc w:val="left"/>
              <w:rPr>
                <w:rFonts w:hint="eastAsia" w:ascii="宋体" w:hAnsi="宋体" w:eastAsia="宋体" w:cs="宋体"/>
                <w:i w:val="0"/>
                <w:iCs w:val="0"/>
                <w:color w:val="000000"/>
                <w:sz w:val="18"/>
                <w:szCs w:val="18"/>
                <w:u w:val="none"/>
              </w:rPr>
            </w:pPr>
          </w:p>
        </w:tc>
      </w:tr>
      <w:tr w14:paraId="2D737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8" w:hRule="atLeast"/>
        </w:trPr>
        <w:tc>
          <w:tcPr>
            <w:tcW w:w="232" w:type="pct"/>
            <w:vMerge w:val="continue"/>
            <w:shd w:val="clear" w:color="auto" w:fill="auto"/>
            <w:vAlign w:val="center"/>
          </w:tcPr>
          <w:p w14:paraId="0CBCF123">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b/>
                <w:bCs/>
                <w:i w:val="0"/>
                <w:iCs w:val="0"/>
                <w:color w:val="000000"/>
                <w:sz w:val="18"/>
                <w:szCs w:val="18"/>
                <w:u w:val="none"/>
              </w:rPr>
            </w:pPr>
          </w:p>
        </w:tc>
        <w:tc>
          <w:tcPr>
            <w:tcW w:w="234" w:type="pct"/>
            <w:vMerge w:val="restart"/>
            <w:shd w:val="clear" w:color="auto" w:fill="auto"/>
            <w:vAlign w:val="center"/>
          </w:tcPr>
          <w:p w14:paraId="191C5C7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b/>
                <w:bCs/>
                <w:i w:val="0"/>
                <w:iCs w:val="0"/>
                <w:color w:val="000000"/>
                <w:sz w:val="18"/>
                <w:szCs w:val="18"/>
                <w:u w:val="none"/>
              </w:rPr>
            </w:pPr>
            <w:r>
              <w:rPr>
                <w:rFonts w:hint="eastAsia" w:ascii="宋体" w:hAnsi="宋体" w:eastAsia="仿宋_GB2312" w:cs="宋体"/>
                <w:b/>
                <w:bCs/>
                <w:i w:val="0"/>
                <w:iCs w:val="0"/>
                <w:color w:val="000000"/>
                <w:kern w:val="0"/>
                <w:sz w:val="18"/>
                <w:szCs w:val="18"/>
                <w:u w:val="none"/>
                <w:lang w:val="en-US" w:eastAsia="zh-CN" w:bidi="ar"/>
              </w:rPr>
              <w:t>预算管理</w:t>
            </w:r>
            <w:r>
              <w:rPr>
                <w:rFonts w:hint="eastAsia" w:ascii="宋体" w:hAnsi="宋体" w:eastAsia="仿宋_GB2312" w:cs="宋体"/>
                <w:b/>
                <w:bCs/>
                <w:i w:val="0"/>
                <w:iCs w:val="0"/>
                <w:color w:val="000000"/>
                <w:kern w:val="0"/>
                <w:sz w:val="18"/>
                <w:szCs w:val="18"/>
                <w:u w:val="none"/>
                <w:lang w:val="en-US" w:eastAsia="zh-CN" w:bidi="ar"/>
              </w:rPr>
              <w:br w:type="textWrapping"/>
            </w:r>
            <w:r>
              <w:rPr>
                <w:rFonts w:hint="eastAsia" w:ascii="宋体" w:hAnsi="宋体" w:eastAsia="仿宋_GB2312" w:cs="宋体"/>
                <w:b/>
                <w:bCs/>
                <w:i w:val="0"/>
                <w:iCs w:val="0"/>
                <w:color w:val="000000"/>
                <w:kern w:val="0"/>
                <w:sz w:val="18"/>
                <w:szCs w:val="18"/>
                <w:u w:val="none"/>
                <w:lang w:val="en-US" w:eastAsia="zh-CN" w:bidi="ar"/>
              </w:rPr>
              <w:t>（21分）</w:t>
            </w:r>
          </w:p>
        </w:tc>
        <w:tc>
          <w:tcPr>
            <w:tcW w:w="550" w:type="pct"/>
            <w:shd w:val="clear" w:color="auto" w:fill="auto"/>
            <w:vAlign w:val="center"/>
          </w:tcPr>
          <w:p w14:paraId="54EDAB6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仿宋_GB2312" w:cs="宋体"/>
                <w:i w:val="0"/>
                <w:iCs w:val="0"/>
                <w:color w:val="000000"/>
                <w:kern w:val="0"/>
                <w:sz w:val="18"/>
                <w:szCs w:val="18"/>
                <w:u w:val="none"/>
                <w:lang w:val="en-US" w:eastAsia="zh-CN" w:bidi="ar"/>
              </w:rPr>
              <w:t>预算编制质量</w:t>
            </w:r>
          </w:p>
        </w:tc>
        <w:tc>
          <w:tcPr>
            <w:tcW w:w="251" w:type="pct"/>
            <w:shd w:val="clear" w:color="auto" w:fill="auto"/>
            <w:vAlign w:val="center"/>
          </w:tcPr>
          <w:p w14:paraId="17C6E55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仿宋_GB2312" w:cs="宋体"/>
                <w:i w:val="0"/>
                <w:iCs w:val="0"/>
                <w:color w:val="000000"/>
                <w:kern w:val="0"/>
                <w:sz w:val="18"/>
                <w:szCs w:val="18"/>
                <w:u w:val="none"/>
                <w:lang w:val="en-US" w:eastAsia="zh-CN" w:bidi="ar"/>
              </w:rPr>
              <w:t>8</w:t>
            </w:r>
          </w:p>
        </w:tc>
        <w:tc>
          <w:tcPr>
            <w:tcW w:w="455" w:type="pct"/>
            <w:shd w:val="clear" w:color="auto" w:fill="auto"/>
            <w:vAlign w:val="center"/>
          </w:tcPr>
          <w:p w14:paraId="199C8C8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仿宋_GB2312" w:cs="宋体"/>
                <w:i w:val="0"/>
                <w:iCs w:val="0"/>
                <w:color w:val="000000"/>
                <w:kern w:val="0"/>
                <w:sz w:val="18"/>
                <w:szCs w:val="18"/>
                <w:u w:val="none"/>
                <w:lang w:val="en-US" w:eastAsia="zh-CN" w:bidi="ar"/>
              </w:rPr>
              <w:t>部门是否严格按要求编制年初部门预算，年初预算编制的科学性和准确性</w:t>
            </w:r>
          </w:p>
        </w:tc>
        <w:tc>
          <w:tcPr>
            <w:tcW w:w="1111" w:type="pct"/>
            <w:shd w:val="clear" w:color="auto" w:fill="auto"/>
            <w:vAlign w:val="center"/>
          </w:tcPr>
          <w:p w14:paraId="660C78F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仿宋_GB2312" w:cs="宋体"/>
                <w:i w:val="0"/>
                <w:iCs w:val="0"/>
                <w:color w:val="000000"/>
                <w:kern w:val="0"/>
                <w:sz w:val="18"/>
                <w:szCs w:val="18"/>
                <w:u w:val="none"/>
                <w:lang w:val="en-US" w:eastAsia="zh-CN" w:bidi="ar"/>
              </w:rPr>
              <w:t>该项指标得分=（1-财政拨款预算偏离度）×100%×8。偏离度=|预算执行数-调整预算数|÷调整预算数。</w:t>
            </w:r>
          </w:p>
        </w:tc>
        <w:tc>
          <w:tcPr>
            <w:tcW w:w="343" w:type="pct"/>
            <w:shd w:val="clear" w:color="auto" w:fill="auto"/>
            <w:vAlign w:val="center"/>
          </w:tcPr>
          <w:p w14:paraId="296A91A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仿宋_GB2312" w:cs="宋体"/>
                <w:i w:val="0"/>
                <w:iCs w:val="0"/>
                <w:color w:val="000000"/>
                <w:kern w:val="0"/>
                <w:sz w:val="18"/>
                <w:szCs w:val="18"/>
                <w:u w:val="none"/>
                <w:lang w:val="en-US" w:eastAsia="zh-CN" w:bidi="ar"/>
              </w:rPr>
              <w:t xml:space="preserve">8.00 </w:t>
            </w:r>
          </w:p>
        </w:tc>
        <w:tc>
          <w:tcPr>
            <w:tcW w:w="1821" w:type="pct"/>
            <w:shd w:val="clear" w:color="auto" w:fill="auto"/>
            <w:vAlign w:val="center"/>
          </w:tcPr>
          <w:p w14:paraId="7421ED6B">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仿宋_GB2312" w:cs="宋体"/>
                <w:i w:val="0"/>
                <w:iCs w:val="0"/>
                <w:color w:val="000000"/>
                <w:kern w:val="0"/>
                <w:sz w:val="18"/>
                <w:szCs w:val="18"/>
                <w:u w:val="none"/>
                <w:lang w:val="en-US" w:eastAsia="zh-CN" w:bidi="ar"/>
              </w:rPr>
              <w:t>年初预算编制合理，考虑到了全年的业务需求和可能的变化因素，为部门的运行提供了充足的资金保障；单位收入统筹方面，收入严格按照区财政局预算批复收入，统一收入，安排各项支出；年度内无预算调整；预算编制质量自评8分。</w:t>
            </w:r>
          </w:p>
        </w:tc>
      </w:tr>
      <w:tr w14:paraId="7B629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1" w:hRule="atLeast"/>
        </w:trPr>
        <w:tc>
          <w:tcPr>
            <w:tcW w:w="232" w:type="pct"/>
            <w:vMerge w:val="continue"/>
            <w:shd w:val="clear" w:color="auto" w:fill="auto"/>
            <w:vAlign w:val="center"/>
          </w:tcPr>
          <w:p w14:paraId="5F31B6A0">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b/>
                <w:bCs/>
                <w:i w:val="0"/>
                <w:iCs w:val="0"/>
                <w:color w:val="000000"/>
                <w:sz w:val="18"/>
                <w:szCs w:val="18"/>
                <w:u w:val="none"/>
              </w:rPr>
            </w:pPr>
          </w:p>
        </w:tc>
        <w:tc>
          <w:tcPr>
            <w:tcW w:w="234" w:type="pct"/>
            <w:vMerge w:val="continue"/>
            <w:shd w:val="clear" w:color="auto" w:fill="auto"/>
            <w:vAlign w:val="center"/>
          </w:tcPr>
          <w:p w14:paraId="5BBB7BA8">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b/>
                <w:bCs/>
                <w:i w:val="0"/>
                <w:iCs w:val="0"/>
                <w:color w:val="000000"/>
                <w:sz w:val="18"/>
                <w:szCs w:val="18"/>
                <w:u w:val="none"/>
              </w:rPr>
            </w:pPr>
          </w:p>
        </w:tc>
        <w:tc>
          <w:tcPr>
            <w:tcW w:w="550" w:type="pct"/>
            <w:shd w:val="clear" w:color="auto" w:fill="auto"/>
            <w:vAlign w:val="center"/>
          </w:tcPr>
          <w:p w14:paraId="3359539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仿宋_GB2312" w:cs="宋体"/>
                <w:i w:val="0"/>
                <w:iCs w:val="0"/>
                <w:color w:val="000000"/>
                <w:kern w:val="0"/>
                <w:sz w:val="18"/>
                <w:szCs w:val="18"/>
                <w:u w:val="none"/>
                <w:lang w:val="en-US" w:eastAsia="zh-CN" w:bidi="ar"/>
              </w:rPr>
              <w:t>支出执行进度</w:t>
            </w:r>
          </w:p>
        </w:tc>
        <w:tc>
          <w:tcPr>
            <w:tcW w:w="251" w:type="pct"/>
            <w:shd w:val="clear" w:color="auto" w:fill="auto"/>
            <w:vAlign w:val="center"/>
          </w:tcPr>
          <w:p w14:paraId="5B6E81D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仿宋_GB2312" w:cs="宋体"/>
                <w:i w:val="0"/>
                <w:iCs w:val="0"/>
                <w:color w:val="000000"/>
                <w:kern w:val="0"/>
                <w:sz w:val="18"/>
                <w:szCs w:val="18"/>
                <w:u w:val="none"/>
                <w:lang w:val="en-US" w:eastAsia="zh-CN" w:bidi="ar"/>
              </w:rPr>
              <w:t>9</w:t>
            </w:r>
          </w:p>
        </w:tc>
        <w:tc>
          <w:tcPr>
            <w:tcW w:w="455" w:type="pct"/>
            <w:shd w:val="clear" w:color="auto" w:fill="auto"/>
            <w:vAlign w:val="center"/>
          </w:tcPr>
          <w:p w14:paraId="20F2F4F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仿宋_GB2312" w:cs="宋体"/>
                <w:i w:val="0"/>
                <w:iCs w:val="0"/>
                <w:color w:val="000000"/>
                <w:kern w:val="0"/>
                <w:sz w:val="18"/>
                <w:szCs w:val="18"/>
                <w:u w:val="none"/>
                <w:lang w:val="en-US" w:eastAsia="zh-CN" w:bidi="ar"/>
              </w:rPr>
              <w:t>部门1至12月预算执行情况</w:t>
            </w:r>
          </w:p>
        </w:tc>
        <w:tc>
          <w:tcPr>
            <w:tcW w:w="1111" w:type="pct"/>
            <w:shd w:val="clear" w:color="auto" w:fill="auto"/>
            <w:vAlign w:val="center"/>
          </w:tcPr>
          <w:p w14:paraId="0113A47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仿宋_GB2312" w:cs="宋体"/>
                <w:i w:val="0"/>
                <w:iCs w:val="0"/>
                <w:color w:val="000000"/>
                <w:kern w:val="0"/>
                <w:sz w:val="18"/>
                <w:szCs w:val="18"/>
                <w:u w:val="none"/>
                <w:lang w:val="en-US" w:eastAsia="zh-CN" w:bidi="ar"/>
              </w:rPr>
              <w:t>该项指标得分=中省转移支付资金1至12月实际支出数÷1-12月预算数*3+专项债券资金实际支出数÷1-12月部门预算数*3+专项预算项目1至12月实际支出数÷1-12月预算数*3。</w:t>
            </w:r>
          </w:p>
        </w:tc>
        <w:tc>
          <w:tcPr>
            <w:tcW w:w="343" w:type="pct"/>
            <w:shd w:val="clear" w:color="auto" w:fill="auto"/>
            <w:vAlign w:val="center"/>
          </w:tcPr>
          <w:p w14:paraId="537DFE9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仿宋_GB2312" w:cs="宋体"/>
                <w:i w:val="0"/>
                <w:iCs w:val="0"/>
                <w:color w:val="000000"/>
                <w:kern w:val="0"/>
                <w:sz w:val="18"/>
                <w:szCs w:val="18"/>
                <w:u w:val="none"/>
                <w:lang w:val="en-US" w:eastAsia="zh-CN" w:bidi="ar"/>
              </w:rPr>
              <w:t xml:space="preserve">7.82 </w:t>
            </w:r>
          </w:p>
        </w:tc>
        <w:tc>
          <w:tcPr>
            <w:tcW w:w="1821" w:type="pct"/>
            <w:shd w:val="clear" w:color="auto" w:fill="auto"/>
            <w:vAlign w:val="center"/>
          </w:tcPr>
          <w:p w14:paraId="0704F3D2">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仿宋_GB2312" w:cs="宋体"/>
                <w:i w:val="0"/>
                <w:iCs w:val="0"/>
                <w:color w:val="000000"/>
                <w:kern w:val="0"/>
                <w:sz w:val="18"/>
                <w:szCs w:val="18"/>
                <w:u w:val="none"/>
                <w:lang w:val="en-US" w:eastAsia="zh-CN" w:bidi="ar"/>
              </w:rPr>
              <w:t>2024年我局中省转移支付资金1至12月预算数31549.25万元，实际支出数19146.08万元；专项预算项目1至12月预算数12730.82万元，实际支出数12730.82万元；2024年无专项债券资金项目；根据指标自评得9分。</w:t>
            </w:r>
          </w:p>
        </w:tc>
      </w:tr>
      <w:tr w14:paraId="01023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8" w:hRule="atLeast"/>
        </w:trPr>
        <w:tc>
          <w:tcPr>
            <w:tcW w:w="232" w:type="pct"/>
            <w:vMerge w:val="continue"/>
            <w:shd w:val="clear" w:color="auto" w:fill="auto"/>
            <w:vAlign w:val="center"/>
          </w:tcPr>
          <w:p w14:paraId="50BC8D26">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b/>
                <w:bCs/>
                <w:i w:val="0"/>
                <w:iCs w:val="0"/>
                <w:color w:val="000000"/>
                <w:sz w:val="18"/>
                <w:szCs w:val="18"/>
                <w:u w:val="none"/>
              </w:rPr>
            </w:pPr>
          </w:p>
        </w:tc>
        <w:tc>
          <w:tcPr>
            <w:tcW w:w="234" w:type="pct"/>
            <w:vMerge w:val="continue"/>
            <w:shd w:val="clear" w:color="auto" w:fill="auto"/>
            <w:vAlign w:val="center"/>
          </w:tcPr>
          <w:p w14:paraId="0245C791">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b/>
                <w:bCs/>
                <w:i w:val="0"/>
                <w:iCs w:val="0"/>
                <w:color w:val="000000"/>
                <w:sz w:val="18"/>
                <w:szCs w:val="18"/>
                <w:u w:val="none"/>
              </w:rPr>
            </w:pPr>
          </w:p>
        </w:tc>
        <w:tc>
          <w:tcPr>
            <w:tcW w:w="550" w:type="pct"/>
            <w:shd w:val="clear" w:color="auto" w:fill="auto"/>
            <w:vAlign w:val="center"/>
          </w:tcPr>
          <w:p w14:paraId="509FED5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仿宋_GB2312" w:cs="宋体"/>
                <w:i w:val="0"/>
                <w:iCs w:val="0"/>
                <w:color w:val="000000"/>
                <w:kern w:val="0"/>
                <w:sz w:val="18"/>
                <w:szCs w:val="18"/>
                <w:u w:val="none"/>
                <w:lang w:val="en-US" w:eastAsia="zh-CN" w:bidi="ar"/>
              </w:rPr>
              <w:t>预算年终结余</w:t>
            </w:r>
          </w:p>
        </w:tc>
        <w:tc>
          <w:tcPr>
            <w:tcW w:w="251" w:type="pct"/>
            <w:shd w:val="clear" w:color="auto" w:fill="auto"/>
            <w:vAlign w:val="center"/>
          </w:tcPr>
          <w:p w14:paraId="765E0B6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仿宋_GB2312" w:cs="宋体"/>
                <w:i w:val="0"/>
                <w:iCs w:val="0"/>
                <w:color w:val="000000"/>
                <w:kern w:val="0"/>
                <w:sz w:val="18"/>
                <w:szCs w:val="18"/>
                <w:u w:val="none"/>
                <w:lang w:val="en-US" w:eastAsia="zh-CN" w:bidi="ar"/>
              </w:rPr>
              <w:t>8</w:t>
            </w:r>
          </w:p>
        </w:tc>
        <w:tc>
          <w:tcPr>
            <w:tcW w:w="455" w:type="pct"/>
            <w:shd w:val="clear" w:color="auto" w:fill="auto"/>
            <w:vAlign w:val="center"/>
          </w:tcPr>
          <w:p w14:paraId="51A15F8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仿宋_GB2312" w:cs="宋体"/>
                <w:i w:val="0"/>
                <w:iCs w:val="0"/>
                <w:color w:val="000000"/>
                <w:kern w:val="0"/>
                <w:sz w:val="18"/>
                <w:szCs w:val="18"/>
                <w:u w:val="none"/>
                <w:lang w:val="en-US" w:eastAsia="zh-CN" w:bidi="ar"/>
              </w:rPr>
              <w:t>部门整体年终预算结余情况</w:t>
            </w:r>
          </w:p>
        </w:tc>
        <w:tc>
          <w:tcPr>
            <w:tcW w:w="1111" w:type="pct"/>
            <w:shd w:val="clear" w:color="auto" w:fill="auto"/>
            <w:vAlign w:val="center"/>
          </w:tcPr>
          <w:p w14:paraId="7BDDFA7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仿宋_GB2312" w:cs="宋体"/>
                <w:i w:val="0"/>
                <w:iCs w:val="0"/>
                <w:color w:val="000000"/>
                <w:kern w:val="0"/>
                <w:sz w:val="18"/>
                <w:szCs w:val="18"/>
                <w:u w:val="none"/>
                <w:lang w:val="en-US" w:eastAsia="zh-CN" w:bidi="ar"/>
              </w:rPr>
              <w:t>该项指标得分=（1-部门整体预算结余率）×100%×8部门整体预算结余率为当年年终部门预算注销金额和结转金额占部门预算总金额的比率。</w:t>
            </w:r>
          </w:p>
        </w:tc>
        <w:tc>
          <w:tcPr>
            <w:tcW w:w="343" w:type="pct"/>
            <w:shd w:val="clear" w:color="auto" w:fill="auto"/>
            <w:vAlign w:val="center"/>
          </w:tcPr>
          <w:p w14:paraId="49AAB3C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仿宋_GB2312" w:cs="宋体"/>
                <w:i w:val="0"/>
                <w:iCs w:val="0"/>
                <w:color w:val="000000"/>
                <w:kern w:val="0"/>
                <w:sz w:val="18"/>
                <w:szCs w:val="18"/>
                <w:u w:val="none"/>
                <w:lang w:val="en-US" w:eastAsia="zh-CN" w:bidi="ar"/>
              </w:rPr>
              <w:t xml:space="preserve">8.00 </w:t>
            </w:r>
          </w:p>
        </w:tc>
        <w:tc>
          <w:tcPr>
            <w:tcW w:w="1821" w:type="pct"/>
            <w:shd w:val="clear" w:color="auto" w:fill="auto"/>
            <w:vAlign w:val="center"/>
          </w:tcPr>
          <w:p w14:paraId="477C2110">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仿宋_GB2312" w:cs="宋体"/>
                <w:i w:val="0"/>
                <w:iCs w:val="0"/>
                <w:color w:val="000000"/>
                <w:kern w:val="0"/>
                <w:sz w:val="18"/>
                <w:szCs w:val="18"/>
                <w:u w:val="none"/>
                <w:lang w:val="en-US" w:eastAsia="zh-CN" w:bidi="ar"/>
              </w:rPr>
              <w:t>2024年度我局无年终结转结余，自评得8分。</w:t>
            </w:r>
          </w:p>
        </w:tc>
      </w:tr>
      <w:tr w14:paraId="10BD4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79" w:hRule="atLeast"/>
        </w:trPr>
        <w:tc>
          <w:tcPr>
            <w:tcW w:w="232" w:type="pct"/>
            <w:vMerge w:val="continue"/>
            <w:shd w:val="clear" w:color="auto" w:fill="auto"/>
            <w:vAlign w:val="center"/>
          </w:tcPr>
          <w:p w14:paraId="56715A77">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b/>
                <w:bCs/>
                <w:i w:val="0"/>
                <w:iCs w:val="0"/>
                <w:color w:val="000000"/>
                <w:sz w:val="18"/>
                <w:szCs w:val="18"/>
                <w:u w:val="none"/>
              </w:rPr>
            </w:pPr>
          </w:p>
        </w:tc>
        <w:tc>
          <w:tcPr>
            <w:tcW w:w="234" w:type="pct"/>
            <w:vMerge w:val="continue"/>
            <w:shd w:val="clear" w:color="auto" w:fill="auto"/>
            <w:vAlign w:val="center"/>
          </w:tcPr>
          <w:p w14:paraId="73DB724D">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b/>
                <w:bCs/>
                <w:i w:val="0"/>
                <w:iCs w:val="0"/>
                <w:color w:val="000000"/>
                <w:sz w:val="18"/>
                <w:szCs w:val="18"/>
                <w:u w:val="none"/>
              </w:rPr>
            </w:pPr>
          </w:p>
        </w:tc>
        <w:tc>
          <w:tcPr>
            <w:tcW w:w="550" w:type="pct"/>
            <w:shd w:val="clear" w:color="auto" w:fill="auto"/>
            <w:vAlign w:val="center"/>
          </w:tcPr>
          <w:p w14:paraId="032DB64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仿宋_GB2312" w:cs="宋体"/>
                <w:i w:val="0"/>
                <w:iCs w:val="0"/>
                <w:color w:val="000000"/>
                <w:kern w:val="0"/>
                <w:sz w:val="18"/>
                <w:szCs w:val="18"/>
                <w:u w:val="none"/>
                <w:lang w:val="en-US" w:eastAsia="zh-CN" w:bidi="ar"/>
              </w:rPr>
              <w:t>严控一般性支出</w:t>
            </w:r>
          </w:p>
        </w:tc>
        <w:tc>
          <w:tcPr>
            <w:tcW w:w="251" w:type="pct"/>
            <w:shd w:val="clear" w:color="auto" w:fill="auto"/>
            <w:vAlign w:val="center"/>
          </w:tcPr>
          <w:p w14:paraId="5B8492E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仿宋_GB2312" w:cs="宋体"/>
                <w:i w:val="0"/>
                <w:iCs w:val="0"/>
                <w:color w:val="000000"/>
                <w:kern w:val="0"/>
                <w:sz w:val="18"/>
                <w:szCs w:val="18"/>
                <w:u w:val="none"/>
                <w:lang w:val="en-US" w:eastAsia="zh-CN" w:bidi="ar"/>
              </w:rPr>
              <w:t>6</w:t>
            </w:r>
          </w:p>
        </w:tc>
        <w:tc>
          <w:tcPr>
            <w:tcW w:w="455" w:type="pct"/>
            <w:shd w:val="clear" w:color="auto" w:fill="auto"/>
            <w:vAlign w:val="center"/>
          </w:tcPr>
          <w:p w14:paraId="513B356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仿宋_GB2312" w:cs="宋体"/>
                <w:i w:val="0"/>
                <w:iCs w:val="0"/>
                <w:color w:val="000000"/>
                <w:kern w:val="0"/>
                <w:sz w:val="18"/>
                <w:szCs w:val="18"/>
                <w:u w:val="none"/>
                <w:lang w:val="en-US" w:eastAsia="zh-CN" w:bidi="ar"/>
              </w:rPr>
              <w:t>部门严控“三公”经费、会议、培训、差旅、办节办展、办公设备购置、信息网络及软件购置更新、课题经费等8项一般性支出情况</w:t>
            </w:r>
          </w:p>
        </w:tc>
        <w:tc>
          <w:tcPr>
            <w:tcW w:w="1111" w:type="pct"/>
            <w:shd w:val="clear" w:color="auto" w:fill="auto"/>
            <w:vAlign w:val="center"/>
          </w:tcPr>
          <w:p w14:paraId="759FD74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仿宋_GB2312" w:cs="宋体"/>
                <w:i w:val="0"/>
                <w:iCs w:val="0"/>
                <w:color w:val="000000"/>
                <w:kern w:val="0"/>
                <w:sz w:val="18"/>
                <w:szCs w:val="18"/>
                <w:u w:val="none"/>
                <w:lang w:val="en-US" w:eastAsia="zh-CN" w:bidi="ar"/>
              </w:rPr>
              <w:t>该项指标得分=基础分值+加分值。</w:t>
            </w:r>
            <w:r>
              <w:rPr>
                <w:rFonts w:hint="eastAsia" w:ascii="宋体" w:hAnsi="宋体" w:eastAsia="仿宋_GB2312" w:cs="宋体"/>
                <w:i w:val="0"/>
                <w:iCs w:val="0"/>
                <w:color w:val="000000"/>
                <w:kern w:val="0"/>
                <w:sz w:val="18"/>
                <w:szCs w:val="18"/>
                <w:u w:val="none"/>
                <w:lang w:val="en-US" w:eastAsia="zh-CN" w:bidi="ar"/>
              </w:rPr>
              <w:br w:type="textWrapping"/>
            </w:r>
            <w:r>
              <w:rPr>
                <w:rFonts w:hint="eastAsia" w:ascii="宋体" w:hAnsi="宋体" w:eastAsia="仿宋_GB2312" w:cs="宋体"/>
                <w:i w:val="0"/>
                <w:iCs w:val="0"/>
                <w:color w:val="000000"/>
                <w:kern w:val="0"/>
                <w:sz w:val="18"/>
                <w:szCs w:val="18"/>
                <w:u w:val="none"/>
                <w:lang w:val="en-US" w:eastAsia="zh-CN" w:bidi="ar"/>
              </w:rPr>
              <w:t>1.基础分值。一般性支出财政拨款年初预算较上年实现压减得1.5分；一般性支出财政拨款预算执行较上年实现压减得1.5分。</w:t>
            </w:r>
            <w:r>
              <w:rPr>
                <w:rFonts w:hint="eastAsia" w:ascii="宋体" w:hAnsi="宋体" w:eastAsia="仿宋_GB2312" w:cs="宋体"/>
                <w:i w:val="0"/>
                <w:iCs w:val="0"/>
                <w:color w:val="000000"/>
                <w:kern w:val="0"/>
                <w:sz w:val="18"/>
                <w:szCs w:val="18"/>
                <w:u w:val="none"/>
                <w:lang w:val="en-US" w:eastAsia="zh-CN" w:bidi="ar"/>
              </w:rPr>
              <w:br w:type="textWrapping"/>
            </w:r>
            <w:r>
              <w:rPr>
                <w:rFonts w:hint="eastAsia" w:ascii="宋体" w:hAnsi="宋体" w:eastAsia="仿宋_GB2312" w:cs="宋体"/>
                <w:i w:val="0"/>
                <w:iCs w:val="0"/>
                <w:color w:val="000000"/>
                <w:kern w:val="0"/>
                <w:sz w:val="18"/>
                <w:szCs w:val="18"/>
                <w:u w:val="none"/>
                <w:lang w:val="en-US" w:eastAsia="zh-CN" w:bidi="ar"/>
              </w:rPr>
              <w:t>2.加分值。一般性支出财政拨款年初预算较上年每压减1%得0.2分，累计不超过1分；一般性支出财政拨款预算执行较上年每压减1%得0.4分，累计不超过2分。</w:t>
            </w:r>
          </w:p>
        </w:tc>
        <w:tc>
          <w:tcPr>
            <w:tcW w:w="343" w:type="pct"/>
            <w:shd w:val="clear" w:color="auto" w:fill="auto"/>
            <w:vAlign w:val="center"/>
          </w:tcPr>
          <w:p w14:paraId="04001A1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仿宋_GB2312" w:cs="宋体"/>
                <w:i w:val="0"/>
                <w:iCs w:val="0"/>
                <w:color w:val="000000"/>
                <w:kern w:val="0"/>
                <w:sz w:val="18"/>
                <w:szCs w:val="18"/>
                <w:u w:val="none"/>
                <w:lang w:val="en-US" w:eastAsia="zh-CN" w:bidi="ar"/>
              </w:rPr>
              <w:t xml:space="preserve">5.40 </w:t>
            </w:r>
          </w:p>
        </w:tc>
        <w:tc>
          <w:tcPr>
            <w:tcW w:w="1821" w:type="pct"/>
            <w:shd w:val="clear" w:color="auto" w:fill="auto"/>
            <w:vAlign w:val="center"/>
          </w:tcPr>
          <w:p w14:paraId="05DB410F">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仿宋_GB2312" w:cs="宋体"/>
                <w:i w:val="0"/>
                <w:iCs w:val="0"/>
                <w:color w:val="000000"/>
                <w:kern w:val="0"/>
                <w:sz w:val="18"/>
                <w:szCs w:val="18"/>
                <w:u w:val="none"/>
                <w:lang w:val="en-US" w:eastAsia="zh-CN" w:bidi="ar"/>
              </w:rPr>
              <w:t>2024年度我局一般性支出财政拨款年初预算148.00万元，2023年度一般性支出财政拨款年初预算151.57万元，较上年减少2.36%；自评得1.5+0.4=1.9分。2024年度我局一般性支出财政拨款预算执行151.61万元，2023年一般性支出财政拨款预算执行167.92万元，较上年减少9.71%；自评得1.5+2=3.5分；合计得1.9+3.5=5.4分。</w:t>
            </w:r>
          </w:p>
        </w:tc>
      </w:tr>
      <w:tr w14:paraId="2484F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8" w:hRule="atLeast"/>
        </w:trPr>
        <w:tc>
          <w:tcPr>
            <w:tcW w:w="232" w:type="pct"/>
            <w:vMerge w:val="continue"/>
            <w:shd w:val="clear" w:color="auto" w:fill="auto"/>
            <w:vAlign w:val="center"/>
          </w:tcPr>
          <w:p w14:paraId="73953342">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b/>
                <w:bCs/>
                <w:i w:val="0"/>
                <w:iCs w:val="0"/>
                <w:color w:val="000000"/>
                <w:sz w:val="18"/>
                <w:szCs w:val="18"/>
                <w:u w:val="none"/>
              </w:rPr>
            </w:pPr>
          </w:p>
        </w:tc>
        <w:tc>
          <w:tcPr>
            <w:tcW w:w="234" w:type="pct"/>
            <w:vMerge w:val="restart"/>
            <w:shd w:val="clear" w:color="auto" w:fill="auto"/>
            <w:vAlign w:val="center"/>
          </w:tcPr>
          <w:p w14:paraId="6E6CCD7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b/>
                <w:bCs/>
                <w:i w:val="0"/>
                <w:iCs w:val="0"/>
                <w:color w:val="000000"/>
                <w:sz w:val="18"/>
                <w:szCs w:val="18"/>
                <w:u w:val="none"/>
              </w:rPr>
            </w:pPr>
            <w:r>
              <w:rPr>
                <w:rFonts w:hint="eastAsia" w:ascii="宋体" w:hAnsi="宋体" w:eastAsia="仿宋_GB2312" w:cs="宋体"/>
                <w:b/>
                <w:bCs/>
                <w:i w:val="0"/>
                <w:iCs w:val="0"/>
                <w:color w:val="000000"/>
                <w:kern w:val="0"/>
                <w:sz w:val="18"/>
                <w:szCs w:val="18"/>
                <w:u w:val="none"/>
                <w:lang w:val="en-US" w:eastAsia="zh-CN" w:bidi="ar"/>
              </w:rPr>
              <w:t>资产管理</w:t>
            </w:r>
            <w:r>
              <w:rPr>
                <w:rFonts w:hint="eastAsia" w:ascii="宋体" w:hAnsi="宋体" w:eastAsia="仿宋_GB2312" w:cs="宋体"/>
                <w:b/>
                <w:bCs/>
                <w:i w:val="0"/>
                <w:iCs w:val="0"/>
                <w:color w:val="000000"/>
                <w:kern w:val="0"/>
                <w:sz w:val="18"/>
                <w:szCs w:val="18"/>
                <w:u w:val="none"/>
                <w:lang w:val="en-US" w:eastAsia="zh-CN" w:bidi="ar"/>
              </w:rPr>
              <w:br w:type="textWrapping"/>
            </w:r>
            <w:r>
              <w:rPr>
                <w:rFonts w:hint="eastAsia" w:ascii="宋体" w:hAnsi="宋体" w:eastAsia="仿宋_GB2312" w:cs="宋体"/>
                <w:b/>
                <w:bCs/>
                <w:i w:val="0"/>
                <w:iCs w:val="0"/>
                <w:color w:val="000000"/>
                <w:kern w:val="0"/>
                <w:sz w:val="18"/>
                <w:szCs w:val="18"/>
                <w:u w:val="none"/>
                <w:lang w:val="en-US" w:eastAsia="zh-CN" w:bidi="ar"/>
              </w:rPr>
              <w:t>（9分）</w:t>
            </w:r>
          </w:p>
        </w:tc>
        <w:tc>
          <w:tcPr>
            <w:tcW w:w="550" w:type="pct"/>
            <w:shd w:val="clear" w:color="auto" w:fill="auto"/>
            <w:vAlign w:val="center"/>
          </w:tcPr>
          <w:p w14:paraId="3F82925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仿宋_GB2312" w:cs="宋体"/>
                <w:i w:val="0"/>
                <w:iCs w:val="0"/>
                <w:color w:val="000000"/>
                <w:kern w:val="0"/>
                <w:sz w:val="18"/>
                <w:szCs w:val="18"/>
                <w:u w:val="none"/>
                <w:lang w:val="en-US" w:eastAsia="zh-CN" w:bidi="ar"/>
              </w:rPr>
              <w:t>人均资产变化率</w:t>
            </w:r>
          </w:p>
        </w:tc>
        <w:tc>
          <w:tcPr>
            <w:tcW w:w="251" w:type="pct"/>
            <w:shd w:val="clear" w:color="auto" w:fill="auto"/>
            <w:vAlign w:val="center"/>
          </w:tcPr>
          <w:p w14:paraId="4CFCBB1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仿宋_GB2312" w:cs="宋体"/>
                <w:i w:val="0"/>
                <w:iCs w:val="0"/>
                <w:color w:val="000000"/>
                <w:kern w:val="0"/>
                <w:sz w:val="18"/>
                <w:szCs w:val="18"/>
                <w:u w:val="none"/>
                <w:lang w:val="en-US" w:eastAsia="zh-CN" w:bidi="ar"/>
              </w:rPr>
              <w:t>3</w:t>
            </w:r>
          </w:p>
        </w:tc>
        <w:tc>
          <w:tcPr>
            <w:tcW w:w="455" w:type="pct"/>
            <w:shd w:val="clear" w:color="auto" w:fill="auto"/>
            <w:vAlign w:val="center"/>
          </w:tcPr>
          <w:p w14:paraId="35AF96C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仿宋_GB2312" w:cs="宋体"/>
                <w:i w:val="0"/>
                <w:iCs w:val="0"/>
                <w:color w:val="000000"/>
                <w:kern w:val="0"/>
                <w:sz w:val="18"/>
                <w:szCs w:val="18"/>
                <w:u w:val="none"/>
                <w:lang w:val="en-US" w:eastAsia="zh-CN" w:bidi="ar"/>
              </w:rPr>
              <w:t>部门人均资产变化情况</w:t>
            </w:r>
          </w:p>
        </w:tc>
        <w:tc>
          <w:tcPr>
            <w:tcW w:w="1111" w:type="pct"/>
            <w:shd w:val="clear" w:color="auto" w:fill="auto"/>
            <w:vAlign w:val="center"/>
          </w:tcPr>
          <w:p w14:paraId="7EE6B9B8">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仿宋_GB2312" w:cs="宋体"/>
                <w:i w:val="0"/>
                <w:iCs w:val="0"/>
                <w:color w:val="000000"/>
                <w:kern w:val="0"/>
                <w:sz w:val="18"/>
                <w:szCs w:val="18"/>
                <w:u w:val="none"/>
                <w:lang w:val="en-US" w:eastAsia="zh-CN" w:bidi="ar"/>
              </w:rPr>
              <w:t>部门人均资产变化率Y=（2024年行政事业单位人均占有资产-2023年行政事业单位人均占有资产）÷2023年行政事业单位人均占有资产×100%。行政事业单位人均占有资产=（固定资产净值+无形资产净值）÷行政事业单位编制内实有人数。2024年市直行政事业单位人均资产变化率平均值N为-4.63%，Y≤N，得3分；N＜Y≤0.8N（即-3.704%），得2分；0.8N＜Y≤0.5N（即-2.32%），得1分；Y＞0.5N，得0分。</w:t>
            </w:r>
          </w:p>
        </w:tc>
        <w:tc>
          <w:tcPr>
            <w:tcW w:w="343" w:type="pct"/>
            <w:shd w:val="clear" w:color="auto" w:fill="auto"/>
            <w:vAlign w:val="center"/>
          </w:tcPr>
          <w:p w14:paraId="1A96BD82">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仿宋_GB2312" w:cs="宋体"/>
                <w:i w:val="0"/>
                <w:iCs w:val="0"/>
                <w:color w:val="000000"/>
                <w:kern w:val="0"/>
                <w:sz w:val="18"/>
                <w:szCs w:val="18"/>
                <w:u w:val="none"/>
                <w:lang w:val="en-US" w:eastAsia="zh-CN" w:bidi="ar"/>
              </w:rPr>
              <w:t xml:space="preserve">0.00 </w:t>
            </w:r>
          </w:p>
        </w:tc>
        <w:tc>
          <w:tcPr>
            <w:tcW w:w="1821" w:type="pct"/>
            <w:shd w:val="clear" w:color="auto" w:fill="auto"/>
            <w:vAlign w:val="center"/>
          </w:tcPr>
          <w:p w14:paraId="168145FA">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仿宋_GB2312" w:cs="宋体"/>
                <w:i w:val="0"/>
                <w:iCs w:val="0"/>
                <w:color w:val="000000"/>
                <w:kern w:val="0"/>
                <w:sz w:val="18"/>
                <w:szCs w:val="18"/>
                <w:u w:val="none"/>
                <w:lang w:val="en-US" w:eastAsia="zh-CN" w:bidi="ar"/>
              </w:rPr>
              <w:t>2024年行政事业单位人均占有资产=2601864.58/67，2023年行政事业单位人均占有资产=2752644.25/73，人均资产变化率2.99%，Y&gt;0.5N,自评得0分。</w:t>
            </w:r>
          </w:p>
        </w:tc>
      </w:tr>
      <w:tr w14:paraId="36DC6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8" w:hRule="atLeast"/>
        </w:trPr>
        <w:tc>
          <w:tcPr>
            <w:tcW w:w="232" w:type="pct"/>
            <w:vMerge w:val="continue"/>
            <w:shd w:val="clear" w:color="auto" w:fill="auto"/>
            <w:vAlign w:val="center"/>
          </w:tcPr>
          <w:p w14:paraId="77E7B8A4">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b/>
                <w:bCs/>
                <w:i w:val="0"/>
                <w:iCs w:val="0"/>
                <w:color w:val="000000"/>
                <w:sz w:val="18"/>
                <w:szCs w:val="18"/>
                <w:u w:val="none"/>
              </w:rPr>
            </w:pPr>
          </w:p>
        </w:tc>
        <w:tc>
          <w:tcPr>
            <w:tcW w:w="234" w:type="pct"/>
            <w:vMerge w:val="continue"/>
            <w:shd w:val="clear" w:color="auto" w:fill="auto"/>
            <w:vAlign w:val="center"/>
          </w:tcPr>
          <w:p w14:paraId="132AC4A5">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b/>
                <w:bCs/>
                <w:i w:val="0"/>
                <w:iCs w:val="0"/>
                <w:color w:val="000000"/>
                <w:sz w:val="18"/>
                <w:szCs w:val="18"/>
                <w:u w:val="none"/>
              </w:rPr>
            </w:pPr>
          </w:p>
        </w:tc>
        <w:tc>
          <w:tcPr>
            <w:tcW w:w="550" w:type="pct"/>
            <w:shd w:val="clear" w:color="auto" w:fill="auto"/>
            <w:vAlign w:val="center"/>
          </w:tcPr>
          <w:p w14:paraId="01E0E8B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仿宋_GB2312" w:cs="宋体"/>
                <w:i w:val="0"/>
                <w:iCs w:val="0"/>
                <w:color w:val="000000"/>
                <w:kern w:val="0"/>
                <w:sz w:val="18"/>
                <w:szCs w:val="18"/>
                <w:u w:val="none"/>
                <w:lang w:val="en-US" w:eastAsia="zh-CN" w:bidi="ar"/>
              </w:rPr>
              <w:t>资产利用率</w:t>
            </w:r>
          </w:p>
        </w:tc>
        <w:tc>
          <w:tcPr>
            <w:tcW w:w="251" w:type="pct"/>
            <w:shd w:val="clear" w:color="auto" w:fill="auto"/>
            <w:vAlign w:val="center"/>
          </w:tcPr>
          <w:p w14:paraId="03D1279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仿宋_GB2312" w:cs="宋体"/>
                <w:i w:val="0"/>
                <w:iCs w:val="0"/>
                <w:color w:val="000000"/>
                <w:kern w:val="0"/>
                <w:sz w:val="18"/>
                <w:szCs w:val="18"/>
                <w:u w:val="none"/>
                <w:lang w:val="en-US" w:eastAsia="zh-CN" w:bidi="ar"/>
              </w:rPr>
              <w:t>3</w:t>
            </w:r>
          </w:p>
        </w:tc>
        <w:tc>
          <w:tcPr>
            <w:tcW w:w="455" w:type="pct"/>
            <w:shd w:val="clear" w:color="auto" w:fill="auto"/>
            <w:vAlign w:val="center"/>
          </w:tcPr>
          <w:p w14:paraId="632EFCB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仿宋_GB2312" w:cs="宋体"/>
                <w:i w:val="0"/>
                <w:iCs w:val="0"/>
                <w:color w:val="000000"/>
                <w:kern w:val="0"/>
                <w:sz w:val="18"/>
                <w:szCs w:val="18"/>
                <w:u w:val="none"/>
                <w:lang w:val="en-US" w:eastAsia="zh-CN" w:bidi="ar"/>
              </w:rPr>
              <w:t>部门资产超最低使用年限情况</w:t>
            </w:r>
          </w:p>
        </w:tc>
        <w:tc>
          <w:tcPr>
            <w:tcW w:w="1111" w:type="pct"/>
            <w:shd w:val="clear" w:color="auto" w:fill="auto"/>
            <w:vAlign w:val="center"/>
          </w:tcPr>
          <w:p w14:paraId="089B1E1F">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仿宋_GB2312" w:cs="宋体"/>
                <w:i w:val="0"/>
                <w:iCs w:val="0"/>
                <w:color w:val="000000"/>
                <w:kern w:val="0"/>
                <w:sz w:val="18"/>
                <w:szCs w:val="18"/>
                <w:u w:val="none"/>
                <w:lang w:val="en-US" w:eastAsia="zh-CN" w:bidi="ar"/>
              </w:rPr>
              <w:t>该项指标得分=（超最低使用年限的办公家具账面原值÷办公家具账面原值×100%×1.5）+（超最低使用年限的办公设备账面原值÷办公设备账面原值×100%×1.5）。</w:t>
            </w:r>
          </w:p>
        </w:tc>
        <w:tc>
          <w:tcPr>
            <w:tcW w:w="343" w:type="pct"/>
            <w:shd w:val="clear" w:color="auto" w:fill="auto"/>
            <w:vAlign w:val="center"/>
          </w:tcPr>
          <w:p w14:paraId="13641EA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仿宋_GB2312" w:cs="宋体"/>
                <w:i w:val="0"/>
                <w:iCs w:val="0"/>
                <w:color w:val="000000"/>
                <w:kern w:val="0"/>
                <w:sz w:val="18"/>
                <w:szCs w:val="18"/>
                <w:u w:val="none"/>
                <w:lang w:val="en-US" w:eastAsia="zh-CN" w:bidi="ar"/>
              </w:rPr>
              <w:t xml:space="preserve">0.34 </w:t>
            </w:r>
          </w:p>
        </w:tc>
        <w:tc>
          <w:tcPr>
            <w:tcW w:w="1821" w:type="pct"/>
            <w:shd w:val="clear" w:color="auto" w:fill="auto"/>
            <w:vAlign w:val="center"/>
          </w:tcPr>
          <w:p w14:paraId="23D4746A">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仿宋_GB2312" w:cs="宋体"/>
                <w:i w:val="0"/>
                <w:iCs w:val="0"/>
                <w:color w:val="000000"/>
                <w:kern w:val="0"/>
                <w:sz w:val="18"/>
                <w:szCs w:val="18"/>
                <w:u w:val="none"/>
                <w:lang w:val="en-US" w:eastAsia="zh-CN" w:bidi="ar"/>
              </w:rPr>
              <w:t>2024年我局超最低使用年限的办公家具账面原值78300.00元，办公家具账面原值423996.26元；超最低使用年限的办公设备账面原值160701.00元，办公设备账面原值4134343.47元；根据公式，=78300.00/423996.26*100%*1.5）+（160701.00/4134343.47*100%*1.5）=0.34分。</w:t>
            </w:r>
          </w:p>
        </w:tc>
      </w:tr>
      <w:tr w14:paraId="69266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32" w:hRule="atLeast"/>
        </w:trPr>
        <w:tc>
          <w:tcPr>
            <w:tcW w:w="232" w:type="pct"/>
            <w:vMerge w:val="restart"/>
            <w:shd w:val="clear" w:color="auto" w:fill="auto"/>
            <w:vAlign w:val="center"/>
          </w:tcPr>
          <w:p w14:paraId="66A453E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b/>
                <w:bCs/>
                <w:i w:val="0"/>
                <w:iCs w:val="0"/>
                <w:color w:val="000000"/>
                <w:sz w:val="18"/>
                <w:szCs w:val="18"/>
                <w:u w:val="none"/>
              </w:rPr>
            </w:pPr>
            <w:r>
              <w:rPr>
                <w:rFonts w:hint="eastAsia" w:ascii="宋体" w:hAnsi="宋体" w:eastAsia="仿宋_GB2312" w:cs="宋体"/>
                <w:b/>
                <w:bCs/>
                <w:i w:val="0"/>
                <w:iCs w:val="0"/>
                <w:color w:val="000000"/>
                <w:kern w:val="0"/>
                <w:sz w:val="18"/>
                <w:szCs w:val="18"/>
                <w:u w:val="none"/>
                <w:lang w:val="en-US" w:eastAsia="zh-CN" w:bidi="ar"/>
              </w:rPr>
              <w:t>总体绩效</w:t>
            </w:r>
            <w:r>
              <w:rPr>
                <w:rFonts w:hint="eastAsia" w:ascii="宋体" w:hAnsi="宋体" w:eastAsia="仿宋_GB2312" w:cs="宋体"/>
                <w:b/>
                <w:bCs/>
                <w:i w:val="0"/>
                <w:iCs w:val="0"/>
                <w:color w:val="000000"/>
                <w:kern w:val="0"/>
                <w:sz w:val="18"/>
                <w:szCs w:val="18"/>
                <w:u w:val="none"/>
                <w:lang w:val="en-US" w:eastAsia="zh-CN" w:bidi="ar"/>
              </w:rPr>
              <w:br w:type="textWrapping"/>
            </w:r>
            <w:r>
              <w:rPr>
                <w:rFonts w:hint="eastAsia" w:ascii="宋体" w:hAnsi="宋体" w:eastAsia="仿宋_GB2312" w:cs="宋体"/>
                <w:b/>
                <w:bCs/>
                <w:i w:val="0"/>
                <w:iCs w:val="0"/>
                <w:color w:val="000000"/>
                <w:kern w:val="0"/>
                <w:sz w:val="18"/>
                <w:szCs w:val="18"/>
                <w:u w:val="none"/>
                <w:lang w:val="en-US" w:eastAsia="zh-CN" w:bidi="ar"/>
              </w:rPr>
              <w:t>（65分）</w:t>
            </w:r>
          </w:p>
        </w:tc>
        <w:tc>
          <w:tcPr>
            <w:tcW w:w="234" w:type="pct"/>
            <w:shd w:val="clear" w:color="auto" w:fill="auto"/>
            <w:vAlign w:val="center"/>
          </w:tcPr>
          <w:p w14:paraId="1012734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b/>
                <w:bCs/>
                <w:i w:val="0"/>
                <w:iCs w:val="0"/>
                <w:color w:val="000000"/>
                <w:sz w:val="18"/>
                <w:szCs w:val="18"/>
                <w:u w:val="none"/>
              </w:rPr>
            </w:pPr>
            <w:r>
              <w:rPr>
                <w:rFonts w:hint="eastAsia" w:ascii="宋体" w:hAnsi="宋体" w:eastAsia="仿宋_GB2312" w:cs="宋体"/>
                <w:b/>
                <w:bCs/>
                <w:i w:val="0"/>
                <w:iCs w:val="0"/>
                <w:color w:val="000000"/>
                <w:kern w:val="0"/>
                <w:sz w:val="18"/>
                <w:szCs w:val="18"/>
                <w:u w:val="none"/>
                <w:lang w:val="en-US" w:eastAsia="zh-CN" w:bidi="ar"/>
              </w:rPr>
              <w:t>资产管理</w:t>
            </w:r>
            <w:r>
              <w:rPr>
                <w:rFonts w:hint="eastAsia" w:ascii="宋体" w:hAnsi="宋体" w:eastAsia="仿宋_GB2312" w:cs="宋体"/>
                <w:b/>
                <w:bCs/>
                <w:i w:val="0"/>
                <w:iCs w:val="0"/>
                <w:color w:val="000000"/>
                <w:kern w:val="0"/>
                <w:sz w:val="18"/>
                <w:szCs w:val="18"/>
                <w:u w:val="none"/>
                <w:lang w:val="en-US" w:eastAsia="zh-CN" w:bidi="ar"/>
              </w:rPr>
              <w:br w:type="textWrapping"/>
            </w:r>
            <w:r>
              <w:rPr>
                <w:rFonts w:hint="eastAsia" w:ascii="宋体" w:hAnsi="宋体" w:eastAsia="仿宋_GB2312" w:cs="宋体"/>
                <w:b/>
                <w:bCs/>
                <w:i w:val="0"/>
                <w:iCs w:val="0"/>
                <w:color w:val="000000"/>
                <w:kern w:val="0"/>
                <w:sz w:val="18"/>
                <w:szCs w:val="18"/>
                <w:u w:val="none"/>
                <w:lang w:val="en-US" w:eastAsia="zh-CN" w:bidi="ar"/>
              </w:rPr>
              <w:t>（9分）</w:t>
            </w:r>
          </w:p>
        </w:tc>
        <w:tc>
          <w:tcPr>
            <w:tcW w:w="550" w:type="pct"/>
            <w:shd w:val="clear" w:color="auto" w:fill="auto"/>
            <w:vAlign w:val="center"/>
          </w:tcPr>
          <w:p w14:paraId="6A70033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仿宋_GB2312" w:cs="宋体"/>
                <w:i w:val="0"/>
                <w:iCs w:val="0"/>
                <w:color w:val="000000"/>
                <w:kern w:val="0"/>
                <w:sz w:val="18"/>
                <w:szCs w:val="18"/>
                <w:u w:val="none"/>
                <w:lang w:val="en-US" w:eastAsia="zh-CN" w:bidi="ar"/>
              </w:rPr>
              <w:t>资产盘活率</w:t>
            </w:r>
          </w:p>
        </w:tc>
        <w:tc>
          <w:tcPr>
            <w:tcW w:w="251" w:type="pct"/>
            <w:shd w:val="clear" w:color="auto" w:fill="auto"/>
            <w:vAlign w:val="center"/>
          </w:tcPr>
          <w:p w14:paraId="3529B6D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仿宋_GB2312" w:cs="宋体"/>
                <w:i w:val="0"/>
                <w:iCs w:val="0"/>
                <w:color w:val="000000"/>
                <w:kern w:val="0"/>
                <w:sz w:val="18"/>
                <w:szCs w:val="18"/>
                <w:u w:val="none"/>
                <w:lang w:val="en-US" w:eastAsia="zh-CN" w:bidi="ar"/>
              </w:rPr>
              <w:t>3</w:t>
            </w:r>
          </w:p>
        </w:tc>
        <w:tc>
          <w:tcPr>
            <w:tcW w:w="455" w:type="pct"/>
            <w:shd w:val="clear" w:color="auto" w:fill="auto"/>
            <w:vAlign w:val="center"/>
          </w:tcPr>
          <w:p w14:paraId="4848092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仿宋_GB2312" w:cs="宋体"/>
                <w:i w:val="0"/>
                <w:iCs w:val="0"/>
                <w:color w:val="000000"/>
                <w:kern w:val="0"/>
                <w:sz w:val="18"/>
                <w:szCs w:val="18"/>
                <w:u w:val="none"/>
                <w:lang w:val="en-US" w:eastAsia="zh-CN" w:bidi="ar"/>
              </w:rPr>
              <w:t>部门闲置一年以上的资产盘活情况</w:t>
            </w:r>
          </w:p>
        </w:tc>
        <w:tc>
          <w:tcPr>
            <w:tcW w:w="1111" w:type="pct"/>
            <w:shd w:val="clear" w:color="auto" w:fill="auto"/>
            <w:vAlign w:val="center"/>
          </w:tcPr>
          <w:p w14:paraId="3207023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仿宋_GB2312" w:cs="宋体"/>
                <w:i w:val="0"/>
                <w:iCs w:val="0"/>
                <w:color w:val="000000"/>
                <w:kern w:val="0"/>
                <w:sz w:val="18"/>
                <w:szCs w:val="18"/>
                <w:u w:val="none"/>
                <w:lang w:val="en-US" w:eastAsia="zh-CN" w:bidi="ar"/>
              </w:rPr>
              <w:t>部门闲置资产占比变化率=（本年闲置资产账面价值÷本年总资产账面价值）÷（上一年度闲置资产账面价值÷上一年度总资产账面价值）×100%，变化率在60%以下的得2.4分，60%-80%的得1.8分，80-100%的得1.2分，100%以上的不得分。两年均无闲置资产或上年度有闲置资产评价年度无闲置资产的，该项指标得3分。</w:t>
            </w:r>
          </w:p>
        </w:tc>
        <w:tc>
          <w:tcPr>
            <w:tcW w:w="343" w:type="pct"/>
            <w:shd w:val="clear" w:color="auto" w:fill="auto"/>
            <w:vAlign w:val="center"/>
          </w:tcPr>
          <w:p w14:paraId="0BC617F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仿宋_GB2312" w:cs="宋体"/>
                <w:i w:val="0"/>
                <w:iCs w:val="0"/>
                <w:color w:val="000000"/>
                <w:kern w:val="0"/>
                <w:sz w:val="18"/>
                <w:szCs w:val="18"/>
                <w:u w:val="none"/>
                <w:lang w:val="en-US" w:eastAsia="zh-CN" w:bidi="ar"/>
              </w:rPr>
              <w:t xml:space="preserve">3.00 </w:t>
            </w:r>
          </w:p>
        </w:tc>
        <w:tc>
          <w:tcPr>
            <w:tcW w:w="1821" w:type="pct"/>
            <w:shd w:val="clear" w:color="auto" w:fill="auto"/>
            <w:vAlign w:val="center"/>
          </w:tcPr>
          <w:p w14:paraId="526BDFB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仿宋_GB2312" w:cs="宋体"/>
                <w:i w:val="0"/>
                <w:iCs w:val="0"/>
                <w:color w:val="000000"/>
                <w:kern w:val="0"/>
                <w:sz w:val="18"/>
                <w:szCs w:val="18"/>
                <w:u w:val="none"/>
                <w:lang w:val="en-US" w:eastAsia="zh-CN" w:bidi="ar"/>
              </w:rPr>
              <w:t>2024年度，我部门/单位无闲置资产，2023年度无闲置资产，自评得3分。</w:t>
            </w:r>
          </w:p>
        </w:tc>
      </w:tr>
      <w:tr w14:paraId="217E0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4" w:hRule="atLeast"/>
        </w:trPr>
        <w:tc>
          <w:tcPr>
            <w:tcW w:w="232" w:type="pct"/>
            <w:vMerge w:val="continue"/>
            <w:shd w:val="clear" w:color="auto" w:fill="auto"/>
            <w:vAlign w:val="center"/>
          </w:tcPr>
          <w:p w14:paraId="0A028048">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b/>
                <w:bCs/>
                <w:i w:val="0"/>
                <w:iCs w:val="0"/>
                <w:color w:val="000000"/>
                <w:sz w:val="18"/>
                <w:szCs w:val="18"/>
                <w:u w:val="none"/>
              </w:rPr>
            </w:pPr>
          </w:p>
        </w:tc>
        <w:tc>
          <w:tcPr>
            <w:tcW w:w="234" w:type="pct"/>
            <w:vMerge w:val="restart"/>
            <w:shd w:val="clear" w:color="auto" w:fill="auto"/>
            <w:vAlign w:val="center"/>
          </w:tcPr>
          <w:p w14:paraId="7AB8E6F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b/>
                <w:bCs/>
                <w:i w:val="0"/>
                <w:iCs w:val="0"/>
                <w:color w:val="000000"/>
                <w:sz w:val="18"/>
                <w:szCs w:val="18"/>
                <w:u w:val="none"/>
              </w:rPr>
            </w:pPr>
            <w:r>
              <w:rPr>
                <w:rFonts w:hint="eastAsia" w:ascii="宋体" w:hAnsi="宋体" w:eastAsia="仿宋_GB2312" w:cs="宋体"/>
                <w:b/>
                <w:bCs/>
                <w:i w:val="0"/>
                <w:iCs w:val="0"/>
                <w:color w:val="000000"/>
                <w:kern w:val="0"/>
                <w:sz w:val="18"/>
                <w:szCs w:val="18"/>
                <w:u w:val="none"/>
                <w:lang w:val="en-US" w:eastAsia="zh-CN" w:bidi="ar"/>
              </w:rPr>
              <w:t>采购管理</w:t>
            </w:r>
            <w:r>
              <w:rPr>
                <w:rFonts w:hint="eastAsia" w:ascii="宋体" w:hAnsi="宋体" w:eastAsia="仿宋_GB2312" w:cs="宋体"/>
                <w:b/>
                <w:bCs/>
                <w:i w:val="0"/>
                <w:iCs w:val="0"/>
                <w:color w:val="000000"/>
                <w:kern w:val="0"/>
                <w:sz w:val="18"/>
                <w:szCs w:val="18"/>
                <w:u w:val="none"/>
                <w:lang w:val="en-US" w:eastAsia="zh-CN" w:bidi="ar"/>
              </w:rPr>
              <w:br w:type="textWrapping"/>
            </w:r>
            <w:r>
              <w:rPr>
                <w:rFonts w:hint="eastAsia" w:ascii="宋体" w:hAnsi="宋体" w:eastAsia="仿宋_GB2312" w:cs="宋体"/>
                <w:b/>
                <w:bCs/>
                <w:i w:val="0"/>
                <w:iCs w:val="0"/>
                <w:color w:val="000000"/>
                <w:kern w:val="0"/>
                <w:sz w:val="18"/>
                <w:szCs w:val="18"/>
                <w:u w:val="none"/>
                <w:lang w:val="en-US" w:eastAsia="zh-CN" w:bidi="ar"/>
              </w:rPr>
              <w:t>（6分）</w:t>
            </w:r>
          </w:p>
        </w:tc>
        <w:tc>
          <w:tcPr>
            <w:tcW w:w="550" w:type="pct"/>
            <w:shd w:val="clear" w:color="auto" w:fill="auto"/>
            <w:vAlign w:val="center"/>
          </w:tcPr>
          <w:p w14:paraId="0AF68712">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仿宋_GB2312" w:cs="宋体"/>
                <w:i w:val="0"/>
                <w:iCs w:val="0"/>
                <w:color w:val="000000"/>
                <w:kern w:val="0"/>
                <w:sz w:val="18"/>
                <w:szCs w:val="18"/>
                <w:u w:val="none"/>
                <w:lang w:val="en-US" w:eastAsia="zh-CN" w:bidi="ar"/>
              </w:rPr>
              <w:t>支持中小企业发展</w:t>
            </w:r>
          </w:p>
        </w:tc>
        <w:tc>
          <w:tcPr>
            <w:tcW w:w="251" w:type="pct"/>
            <w:shd w:val="clear" w:color="auto" w:fill="auto"/>
            <w:vAlign w:val="center"/>
          </w:tcPr>
          <w:p w14:paraId="2CBF372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仿宋_GB2312" w:cs="宋体"/>
                <w:i w:val="0"/>
                <w:iCs w:val="0"/>
                <w:color w:val="000000"/>
                <w:kern w:val="0"/>
                <w:sz w:val="18"/>
                <w:szCs w:val="18"/>
                <w:u w:val="none"/>
                <w:lang w:val="en-US" w:eastAsia="zh-CN" w:bidi="ar"/>
              </w:rPr>
              <w:t>3</w:t>
            </w:r>
          </w:p>
        </w:tc>
        <w:tc>
          <w:tcPr>
            <w:tcW w:w="455" w:type="pct"/>
            <w:shd w:val="clear" w:color="auto" w:fill="auto"/>
            <w:vAlign w:val="center"/>
          </w:tcPr>
          <w:p w14:paraId="4B3BBB9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仿宋_GB2312" w:cs="宋体"/>
                <w:i w:val="0"/>
                <w:iCs w:val="0"/>
                <w:color w:val="000000"/>
                <w:kern w:val="0"/>
                <w:sz w:val="18"/>
                <w:szCs w:val="18"/>
                <w:u w:val="none"/>
                <w:lang w:val="en-US" w:eastAsia="zh-CN" w:bidi="ar"/>
              </w:rPr>
              <w:t>部门是否严格执行政府采购促进中小企业发展相关管理办法</w:t>
            </w:r>
          </w:p>
        </w:tc>
        <w:tc>
          <w:tcPr>
            <w:tcW w:w="1111" w:type="pct"/>
            <w:shd w:val="clear" w:color="auto" w:fill="auto"/>
            <w:vAlign w:val="center"/>
          </w:tcPr>
          <w:p w14:paraId="45EEDB52">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仿宋_GB2312" w:cs="宋体"/>
                <w:i w:val="0"/>
                <w:iCs w:val="0"/>
                <w:color w:val="000000"/>
                <w:kern w:val="0"/>
                <w:sz w:val="18"/>
                <w:szCs w:val="18"/>
                <w:u w:val="none"/>
                <w:lang w:val="en-US" w:eastAsia="zh-CN" w:bidi="ar"/>
              </w:rPr>
              <w:t>对适宜由中小企业提供的采购项目和采购包，预留采购份额专门面向中小企业采购，并在采购预算中单独列示，不符合要求的扣3分。</w:t>
            </w:r>
          </w:p>
        </w:tc>
        <w:tc>
          <w:tcPr>
            <w:tcW w:w="343" w:type="pct"/>
            <w:shd w:val="clear" w:color="auto" w:fill="auto"/>
            <w:vAlign w:val="center"/>
          </w:tcPr>
          <w:p w14:paraId="3C4BA35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仿宋_GB2312" w:cs="宋体"/>
                <w:i w:val="0"/>
                <w:iCs w:val="0"/>
                <w:color w:val="000000"/>
                <w:kern w:val="0"/>
                <w:sz w:val="18"/>
                <w:szCs w:val="18"/>
                <w:u w:val="none"/>
                <w:lang w:val="en-US" w:eastAsia="zh-CN" w:bidi="ar"/>
              </w:rPr>
              <w:t xml:space="preserve">3.00 </w:t>
            </w:r>
          </w:p>
        </w:tc>
        <w:tc>
          <w:tcPr>
            <w:tcW w:w="1821" w:type="pct"/>
            <w:vMerge w:val="restart"/>
            <w:shd w:val="clear" w:color="auto" w:fill="auto"/>
            <w:vAlign w:val="center"/>
          </w:tcPr>
          <w:p w14:paraId="566C17D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仿宋_GB2312" w:cs="宋体"/>
                <w:i w:val="0"/>
                <w:iCs w:val="0"/>
                <w:color w:val="000000"/>
                <w:kern w:val="0"/>
                <w:sz w:val="18"/>
                <w:szCs w:val="18"/>
                <w:u w:val="none"/>
                <w:lang w:val="en-US" w:eastAsia="zh-CN" w:bidi="ar"/>
              </w:rPr>
              <w:t>我局政府采购计划支出63525元、实际完成支出63525元，采购执行率100%，主要为采购办公设备资产，支持中小企业发展。在政府采购管理方面的表现优秀，政府采购程序合规，严格按照法律法规进行操作；采购需求制定合理，符合部门业务需求；采购过程公开透明，保证了公平竞争。政府采购管理有效地降低了采购成本，提高了采购效率；自评得6分。</w:t>
            </w:r>
          </w:p>
        </w:tc>
      </w:tr>
      <w:tr w14:paraId="0C071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4" w:hRule="atLeast"/>
        </w:trPr>
        <w:tc>
          <w:tcPr>
            <w:tcW w:w="232" w:type="pct"/>
            <w:vMerge w:val="continue"/>
            <w:shd w:val="clear" w:color="auto" w:fill="auto"/>
            <w:vAlign w:val="center"/>
          </w:tcPr>
          <w:p w14:paraId="41432F55">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b/>
                <w:bCs/>
                <w:i w:val="0"/>
                <w:iCs w:val="0"/>
                <w:color w:val="000000"/>
                <w:sz w:val="18"/>
                <w:szCs w:val="18"/>
                <w:u w:val="none"/>
              </w:rPr>
            </w:pPr>
          </w:p>
        </w:tc>
        <w:tc>
          <w:tcPr>
            <w:tcW w:w="234" w:type="pct"/>
            <w:vMerge w:val="continue"/>
            <w:shd w:val="clear" w:color="auto" w:fill="auto"/>
            <w:vAlign w:val="center"/>
          </w:tcPr>
          <w:p w14:paraId="42A8CF59">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b/>
                <w:bCs/>
                <w:i w:val="0"/>
                <w:iCs w:val="0"/>
                <w:color w:val="000000"/>
                <w:sz w:val="18"/>
                <w:szCs w:val="18"/>
                <w:u w:val="none"/>
              </w:rPr>
            </w:pPr>
          </w:p>
        </w:tc>
        <w:tc>
          <w:tcPr>
            <w:tcW w:w="550" w:type="pct"/>
            <w:shd w:val="clear" w:color="auto" w:fill="auto"/>
            <w:vAlign w:val="center"/>
          </w:tcPr>
          <w:p w14:paraId="51F98D6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仿宋_GB2312" w:cs="宋体"/>
                <w:i w:val="0"/>
                <w:iCs w:val="0"/>
                <w:color w:val="000000"/>
                <w:kern w:val="0"/>
                <w:sz w:val="18"/>
                <w:szCs w:val="18"/>
                <w:u w:val="none"/>
                <w:lang w:val="en-US" w:eastAsia="zh-CN" w:bidi="ar"/>
              </w:rPr>
              <w:t>采购执行率</w:t>
            </w:r>
          </w:p>
        </w:tc>
        <w:tc>
          <w:tcPr>
            <w:tcW w:w="251" w:type="pct"/>
            <w:shd w:val="clear" w:color="auto" w:fill="auto"/>
            <w:vAlign w:val="center"/>
          </w:tcPr>
          <w:p w14:paraId="1FFFB40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仿宋_GB2312" w:cs="宋体"/>
                <w:i w:val="0"/>
                <w:iCs w:val="0"/>
                <w:color w:val="000000"/>
                <w:kern w:val="0"/>
                <w:sz w:val="18"/>
                <w:szCs w:val="18"/>
                <w:u w:val="none"/>
                <w:lang w:val="en-US" w:eastAsia="zh-CN" w:bidi="ar"/>
              </w:rPr>
              <w:t>3</w:t>
            </w:r>
          </w:p>
        </w:tc>
        <w:tc>
          <w:tcPr>
            <w:tcW w:w="455" w:type="pct"/>
            <w:shd w:val="clear" w:color="auto" w:fill="auto"/>
            <w:vAlign w:val="center"/>
          </w:tcPr>
          <w:p w14:paraId="7DFF844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仿宋_GB2312" w:cs="宋体"/>
                <w:i w:val="0"/>
                <w:iCs w:val="0"/>
                <w:color w:val="000000"/>
                <w:kern w:val="0"/>
                <w:sz w:val="18"/>
                <w:szCs w:val="18"/>
                <w:u w:val="none"/>
                <w:lang w:val="en-US" w:eastAsia="zh-CN" w:bidi="ar"/>
              </w:rPr>
              <w:t>部门政府采购项目资金支付比例情况</w:t>
            </w:r>
          </w:p>
        </w:tc>
        <w:tc>
          <w:tcPr>
            <w:tcW w:w="1111" w:type="pct"/>
            <w:shd w:val="clear" w:color="auto" w:fill="auto"/>
            <w:vAlign w:val="center"/>
          </w:tcPr>
          <w:p w14:paraId="5433447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仿宋_GB2312" w:cs="宋体"/>
                <w:i w:val="0"/>
                <w:iCs w:val="0"/>
                <w:color w:val="000000"/>
                <w:kern w:val="0"/>
                <w:sz w:val="18"/>
                <w:szCs w:val="18"/>
                <w:u w:val="none"/>
                <w:lang w:val="en-US" w:eastAsia="zh-CN" w:bidi="ar"/>
              </w:rPr>
              <w:t>该项指标得分=当年政府采购实际支付总金额÷（当年政府采购总预算数-当年已完成采购项目节约金额）×100%×3。</w:t>
            </w:r>
          </w:p>
        </w:tc>
        <w:tc>
          <w:tcPr>
            <w:tcW w:w="343" w:type="pct"/>
            <w:shd w:val="clear" w:color="auto" w:fill="auto"/>
            <w:vAlign w:val="center"/>
          </w:tcPr>
          <w:p w14:paraId="586407E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仿宋_GB2312" w:cs="宋体"/>
                <w:i w:val="0"/>
                <w:iCs w:val="0"/>
                <w:color w:val="000000"/>
                <w:kern w:val="0"/>
                <w:sz w:val="18"/>
                <w:szCs w:val="18"/>
                <w:u w:val="none"/>
                <w:lang w:val="en-US" w:eastAsia="zh-CN" w:bidi="ar"/>
              </w:rPr>
              <w:t xml:space="preserve">3.00 </w:t>
            </w:r>
          </w:p>
        </w:tc>
        <w:tc>
          <w:tcPr>
            <w:tcW w:w="1821" w:type="pct"/>
            <w:vMerge w:val="continue"/>
            <w:shd w:val="clear" w:color="auto" w:fill="auto"/>
            <w:vAlign w:val="center"/>
          </w:tcPr>
          <w:p w14:paraId="2CB91B51">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r>
      <w:tr w14:paraId="61E90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79" w:hRule="atLeast"/>
        </w:trPr>
        <w:tc>
          <w:tcPr>
            <w:tcW w:w="232" w:type="pct"/>
            <w:vMerge w:val="restart"/>
            <w:shd w:val="clear" w:color="auto" w:fill="auto"/>
            <w:vAlign w:val="center"/>
          </w:tcPr>
          <w:p w14:paraId="45094122">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b/>
                <w:bCs/>
                <w:i w:val="0"/>
                <w:iCs w:val="0"/>
                <w:color w:val="000000"/>
                <w:sz w:val="18"/>
                <w:szCs w:val="18"/>
                <w:u w:val="none"/>
              </w:rPr>
            </w:pPr>
            <w:r>
              <w:rPr>
                <w:rFonts w:hint="eastAsia" w:ascii="宋体" w:hAnsi="宋体" w:eastAsia="仿宋_GB2312" w:cs="宋体"/>
                <w:b/>
                <w:bCs/>
                <w:i w:val="0"/>
                <w:iCs w:val="0"/>
                <w:color w:val="000000"/>
                <w:kern w:val="0"/>
                <w:sz w:val="18"/>
                <w:szCs w:val="18"/>
                <w:u w:val="none"/>
                <w:lang w:val="en-US" w:eastAsia="zh-CN" w:bidi="ar"/>
              </w:rPr>
              <w:t>项目绩效</w:t>
            </w:r>
            <w:r>
              <w:rPr>
                <w:rFonts w:hint="eastAsia" w:ascii="宋体" w:hAnsi="宋体" w:eastAsia="仿宋_GB2312" w:cs="宋体"/>
                <w:b/>
                <w:bCs/>
                <w:i w:val="0"/>
                <w:iCs w:val="0"/>
                <w:color w:val="000000"/>
                <w:kern w:val="0"/>
                <w:sz w:val="18"/>
                <w:szCs w:val="18"/>
                <w:u w:val="none"/>
                <w:lang w:val="en-US" w:eastAsia="zh-CN" w:bidi="ar"/>
              </w:rPr>
              <w:br w:type="textWrapping"/>
            </w:r>
            <w:r>
              <w:rPr>
                <w:rFonts w:hint="eastAsia" w:ascii="宋体" w:hAnsi="宋体" w:eastAsia="仿宋_GB2312" w:cs="宋体"/>
                <w:b/>
                <w:bCs/>
                <w:i w:val="0"/>
                <w:iCs w:val="0"/>
                <w:color w:val="000000"/>
                <w:kern w:val="0"/>
                <w:sz w:val="18"/>
                <w:szCs w:val="18"/>
                <w:u w:val="none"/>
                <w:lang w:val="en-US" w:eastAsia="zh-CN" w:bidi="ar"/>
              </w:rPr>
              <w:t>（35分）</w:t>
            </w:r>
          </w:p>
        </w:tc>
        <w:tc>
          <w:tcPr>
            <w:tcW w:w="234" w:type="pct"/>
            <w:vMerge w:val="restart"/>
            <w:shd w:val="clear" w:color="auto" w:fill="auto"/>
            <w:vAlign w:val="center"/>
          </w:tcPr>
          <w:p w14:paraId="678B19E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b/>
                <w:bCs/>
                <w:i w:val="0"/>
                <w:iCs w:val="0"/>
                <w:color w:val="000000"/>
                <w:sz w:val="18"/>
                <w:szCs w:val="18"/>
                <w:u w:val="none"/>
              </w:rPr>
            </w:pPr>
            <w:r>
              <w:rPr>
                <w:rFonts w:hint="eastAsia" w:ascii="宋体" w:hAnsi="宋体" w:eastAsia="仿宋_GB2312" w:cs="宋体"/>
                <w:b/>
                <w:bCs/>
                <w:i w:val="0"/>
                <w:iCs w:val="0"/>
                <w:color w:val="000000"/>
                <w:kern w:val="0"/>
                <w:sz w:val="18"/>
                <w:szCs w:val="18"/>
                <w:u w:val="none"/>
                <w:lang w:val="en-US" w:eastAsia="zh-CN" w:bidi="ar"/>
              </w:rPr>
              <w:t>项目决策</w:t>
            </w:r>
            <w:r>
              <w:rPr>
                <w:rFonts w:hint="eastAsia" w:ascii="宋体" w:hAnsi="宋体" w:eastAsia="仿宋_GB2312" w:cs="宋体"/>
                <w:b/>
                <w:bCs/>
                <w:i w:val="0"/>
                <w:iCs w:val="0"/>
                <w:color w:val="000000"/>
                <w:kern w:val="0"/>
                <w:sz w:val="18"/>
                <w:szCs w:val="18"/>
                <w:u w:val="none"/>
                <w:lang w:val="en-US" w:eastAsia="zh-CN" w:bidi="ar"/>
              </w:rPr>
              <w:br w:type="textWrapping"/>
            </w:r>
            <w:r>
              <w:rPr>
                <w:rFonts w:hint="eastAsia" w:ascii="宋体" w:hAnsi="宋体" w:eastAsia="仿宋_GB2312" w:cs="宋体"/>
                <w:b/>
                <w:bCs/>
                <w:i w:val="0"/>
                <w:iCs w:val="0"/>
                <w:color w:val="000000"/>
                <w:kern w:val="0"/>
                <w:sz w:val="18"/>
                <w:szCs w:val="18"/>
                <w:u w:val="none"/>
                <w:lang w:val="en-US" w:eastAsia="zh-CN" w:bidi="ar"/>
              </w:rPr>
              <w:t>（12分）</w:t>
            </w:r>
          </w:p>
        </w:tc>
        <w:tc>
          <w:tcPr>
            <w:tcW w:w="550" w:type="pct"/>
            <w:shd w:val="clear" w:color="auto" w:fill="auto"/>
            <w:vAlign w:val="center"/>
          </w:tcPr>
          <w:p w14:paraId="3D0184C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仿宋_GB2312" w:cs="宋体"/>
                <w:i w:val="0"/>
                <w:iCs w:val="0"/>
                <w:color w:val="000000"/>
                <w:kern w:val="0"/>
                <w:sz w:val="18"/>
                <w:szCs w:val="18"/>
                <w:u w:val="none"/>
                <w:lang w:val="en-US" w:eastAsia="zh-CN" w:bidi="ar"/>
              </w:rPr>
              <w:t>决策程序</w:t>
            </w:r>
          </w:p>
        </w:tc>
        <w:tc>
          <w:tcPr>
            <w:tcW w:w="251" w:type="pct"/>
            <w:shd w:val="clear" w:color="auto" w:fill="auto"/>
            <w:vAlign w:val="center"/>
          </w:tcPr>
          <w:p w14:paraId="36CB781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仿宋_GB2312" w:cs="宋体"/>
                <w:i w:val="0"/>
                <w:iCs w:val="0"/>
                <w:color w:val="000000"/>
                <w:kern w:val="0"/>
                <w:sz w:val="18"/>
                <w:szCs w:val="18"/>
                <w:u w:val="none"/>
                <w:lang w:val="en-US" w:eastAsia="zh-CN" w:bidi="ar"/>
              </w:rPr>
              <w:t>4</w:t>
            </w:r>
          </w:p>
        </w:tc>
        <w:tc>
          <w:tcPr>
            <w:tcW w:w="455" w:type="pct"/>
            <w:shd w:val="clear" w:color="auto" w:fill="auto"/>
            <w:vAlign w:val="center"/>
          </w:tcPr>
          <w:p w14:paraId="5586F48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仿宋_GB2312" w:cs="宋体"/>
                <w:i w:val="0"/>
                <w:iCs w:val="0"/>
                <w:color w:val="000000"/>
                <w:kern w:val="0"/>
                <w:sz w:val="18"/>
                <w:szCs w:val="18"/>
                <w:u w:val="none"/>
                <w:lang w:val="en-US" w:eastAsia="zh-CN" w:bidi="ar"/>
              </w:rPr>
              <w:t>部门预算项目设立是否按规定履行评估论证、申报程序</w:t>
            </w:r>
          </w:p>
        </w:tc>
        <w:tc>
          <w:tcPr>
            <w:tcW w:w="1111" w:type="pct"/>
            <w:shd w:val="clear" w:color="auto" w:fill="auto"/>
            <w:vAlign w:val="center"/>
          </w:tcPr>
          <w:p w14:paraId="61F4C9A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仿宋_GB2312" w:cs="宋体"/>
                <w:i w:val="0"/>
                <w:iCs w:val="0"/>
                <w:color w:val="000000"/>
                <w:kern w:val="0"/>
                <w:sz w:val="18"/>
                <w:szCs w:val="18"/>
                <w:u w:val="none"/>
                <w:lang w:val="en-US" w:eastAsia="zh-CN" w:bidi="ar"/>
              </w:rPr>
              <w:t>该项指标得分=4-部门未履行事前评估程序的部门预算阶段项目（含一次性项目）数量÷部门预算阶段项目（含一次性项目）总数×100%×4。抽评的部门预算阶段项目（含一次性项目）总数10个以下的全部纳入，每增加5个多纳入1个，最多不超过30个，下同。若无部门预算阶段项目（含一次性项目），则主要查看部门预算项目整体决策程序。</w:t>
            </w:r>
          </w:p>
        </w:tc>
        <w:tc>
          <w:tcPr>
            <w:tcW w:w="343" w:type="pct"/>
            <w:shd w:val="clear" w:color="auto" w:fill="auto"/>
            <w:vAlign w:val="center"/>
          </w:tcPr>
          <w:p w14:paraId="41FC29E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仿宋_GB2312" w:cs="宋体"/>
                <w:i w:val="0"/>
                <w:iCs w:val="0"/>
                <w:color w:val="000000"/>
                <w:kern w:val="0"/>
                <w:sz w:val="18"/>
                <w:szCs w:val="18"/>
                <w:u w:val="none"/>
                <w:lang w:val="en-US" w:eastAsia="zh-CN" w:bidi="ar"/>
              </w:rPr>
              <w:t xml:space="preserve">4.00 </w:t>
            </w:r>
          </w:p>
        </w:tc>
        <w:tc>
          <w:tcPr>
            <w:tcW w:w="1821" w:type="pct"/>
            <w:shd w:val="clear" w:color="auto" w:fill="auto"/>
            <w:vAlign w:val="center"/>
          </w:tcPr>
          <w:p w14:paraId="18A939E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仿宋_GB2312" w:cs="宋体"/>
                <w:i w:val="0"/>
                <w:iCs w:val="0"/>
                <w:color w:val="000000"/>
                <w:kern w:val="0"/>
                <w:sz w:val="18"/>
                <w:szCs w:val="18"/>
                <w:u w:val="none"/>
                <w:lang w:val="en-US" w:eastAsia="zh-CN" w:bidi="ar"/>
              </w:rPr>
              <w:t>2024年我局85个项目，包括47个县区级资金项目12730.82万元，28个中省资金项目24527.71万元，除延续性项目和上年结转项目外，我局均已开展事前绩效评估，自评得4分。</w:t>
            </w:r>
          </w:p>
        </w:tc>
      </w:tr>
      <w:tr w14:paraId="080F6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1" w:hRule="atLeast"/>
        </w:trPr>
        <w:tc>
          <w:tcPr>
            <w:tcW w:w="232" w:type="pct"/>
            <w:vMerge w:val="continue"/>
            <w:shd w:val="clear" w:color="auto" w:fill="auto"/>
            <w:vAlign w:val="center"/>
          </w:tcPr>
          <w:p w14:paraId="67EE13ED">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b/>
                <w:bCs/>
                <w:i w:val="0"/>
                <w:iCs w:val="0"/>
                <w:color w:val="000000"/>
                <w:sz w:val="18"/>
                <w:szCs w:val="18"/>
                <w:u w:val="none"/>
              </w:rPr>
            </w:pPr>
          </w:p>
        </w:tc>
        <w:tc>
          <w:tcPr>
            <w:tcW w:w="234" w:type="pct"/>
            <w:vMerge w:val="continue"/>
            <w:shd w:val="clear" w:color="auto" w:fill="auto"/>
            <w:vAlign w:val="center"/>
          </w:tcPr>
          <w:p w14:paraId="0592578E">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b/>
                <w:bCs/>
                <w:i w:val="0"/>
                <w:iCs w:val="0"/>
                <w:color w:val="000000"/>
                <w:sz w:val="18"/>
                <w:szCs w:val="18"/>
                <w:u w:val="none"/>
              </w:rPr>
            </w:pPr>
          </w:p>
        </w:tc>
        <w:tc>
          <w:tcPr>
            <w:tcW w:w="550" w:type="pct"/>
            <w:shd w:val="clear" w:color="auto" w:fill="auto"/>
            <w:vAlign w:val="center"/>
          </w:tcPr>
          <w:p w14:paraId="1315DED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仿宋_GB2312" w:cs="宋体"/>
                <w:i w:val="0"/>
                <w:iCs w:val="0"/>
                <w:color w:val="000000"/>
                <w:kern w:val="0"/>
                <w:sz w:val="18"/>
                <w:szCs w:val="18"/>
                <w:u w:val="none"/>
                <w:lang w:val="en-US" w:eastAsia="zh-CN" w:bidi="ar"/>
              </w:rPr>
              <w:t>目标设置</w:t>
            </w:r>
          </w:p>
        </w:tc>
        <w:tc>
          <w:tcPr>
            <w:tcW w:w="251" w:type="pct"/>
            <w:shd w:val="clear" w:color="auto" w:fill="auto"/>
            <w:vAlign w:val="center"/>
          </w:tcPr>
          <w:p w14:paraId="55009F7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仿宋_GB2312" w:cs="宋体"/>
                <w:i w:val="0"/>
                <w:iCs w:val="0"/>
                <w:color w:val="000000"/>
                <w:kern w:val="0"/>
                <w:sz w:val="18"/>
                <w:szCs w:val="18"/>
                <w:u w:val="none"/>
                <w:lang w:val="en-US" w:eastAsia="zh-CN" w:bidi="ar"/>
              </w:rPr>
              <w:t>4</w:t>
            </w:r>
          </w:p>
        </w:tc>
        <w:tc>
          <w:tcPr>
            <w:tcW w:w="455" w:type="pct"/>
            <w:shd w:val="clear" w:color="auto" w:fill="auto"/>
            <w:vAlign w:val="center"/>
          </w:tcPr>
          <w:p w14:paraId="2F95680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仿宋_GB2312" w:cs="宋体"/>
                <w:i w:val="0"/>
                <w:iCs w:val="0"/>
                <w:color w:val="000000"/>
                <w:kern w:val="0"/>
                <w:sz w:val="18"/>
                <w:szCs w:val="18"/>
                <w:u w:val="none"/>
                <w:lang w:val="en-US" w:eastAsia="zh-CN" w:bidi="ar"/>
              </w:rPr>
              <w:t>部门预算项目绩效目标与计划期内的任务量、预算安排的资金量匹配情况，绩效目标设置是否科学合理、规范完整、量化细化、预算匹配</w:t>
            </w:r>
          </w:p>
        </w:tc>
        <w:tc>
          <w:tcPr>
            <w:tcW w:w="1111" w:type="pct"/>
            <w:shd w:val="clear" w:color="auto" w:fill="auto"/>
            <w:vAlign w:val="center"/>
          </w:tcPr>
          <w:p w14:paraId="5DA5BF5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仿宋_GB2312" w:cs="宋体"/>
                <w:i w:val="0"/>
                <w:iCs w:val="0"/>
                <w:color w:val="000000"/>
                <w:kern w:val="0"/>
                <w:sz w:val="18"/>
                <w:szCs w:val="18"/>
                <w:u w:val="none"/>
                <w:lang w:val="en-US" w:eastAsia="zh-CN" w:bidi="ar"/>
              </w:rPr>
              <w:t>该项指标得分=4-绩效目标与计划期内的任务量、预算安排不相匹配的部门预算阶段项目（含一次性项目）数量÷部门预算阶段项目（含一次性项目）总数×100%×4。若无部门预算阶段项目（含一次性项目），则抽评涉及核心业务、资金量大的其他部门预算项目，下同。</w:t>
            </w:r>
          </w:p>
        </w:tc>
        <w:tc>
          <w:tcPr>
            <w:tcW w:w="343" w:type="pct"/>
            <w:shd w:val="clear" w:color="auto" w:fill="auto"/>
            <w:vAlign w:val="center"/>
          </w:tcPr>
          <w:p w14:paraId="6EC80F3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仿宋_GB2312" w:cs="宋体"/>
                <w:i w:val="0"/>
                <w:iCs w:val="0"/>
                <w:color w:val="000000"/>
                <w:kern w:val="0"/>
                <w:sz w:val="18"/>
                <w:szCs w:val="18"/>
                <w:u w:val="none"/>
                <w:lang w:val="en-US" w:eastAsia="zh-CN" w:bidi="ar"/>
              </w:rPr>
              <w:t xml:space="preserve">4.00 </w:t>
            </w:r>
          </w:p>
        </w:tc>
        <w:tc>
          <w:tcPr>
            <w:tcW w:w="1821" w:type="pct"/>
            <w:shd w:val="clear" w:color="auto" w:fill="auto"/>
            <w:vAlign w:val="center"/>
          </w:tcPr>
          <w:p w14:paraId="5BDCFB7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仿宋_GB2312" w:cs="宋体"/>
                <w:i w:val="0"/>
                <w:iCs w:val="0"/>
                <w:color w:val="000000"/>
                <w:kern w:val="0"/>
                <w:sz w:val="18"/>
                <w:szCs w:val="18"/>
                <w:u w:val="none"/>
                <w:lang w:val="en-US" w:eastAsia="zh-CN" w:bidi="ar"/>
              </w:rPr>
              <w:t>根据“该项指标得分=4-绩效目标与计划期内的任务量、预算安排不相匹配的部门预算阶段项目（含一次性项目）数量÷部门预算阶段项目（含一次性项目）总数×100%×4。若无部门预算阶段项目（含一次性项目），则抽评涉及核心业务、资金量大的其他部门预算项目，下同”评分标准，2024年我局85个项目（47个县区级资金项目12730.82万元，28个中省资金项目24527.71万元）绩效目标与计划期内的任务量、预算安排均相匹配，自评得4分。</w:t>
            </w:r>
          </w:p>
        </w:tc>
      </w:tr>
      <w:tr w14:paraId="5CEBF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8" w:hRule="atLeast"/>
        </w:trPr>
        <w:tc>
          <w:tcPr>
            <w:tcW w:w="232" w:type="pct"/>
            <w:vMerge w:val="continue"/>
            <w:shd w:val="clear" w:color="auto" w:fill="auto"/>
            <w:vAlign w:val="center"/>
          </w:tcPr>
          <w:p w14:paraId="1F8538FE">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b/>
                <w:bCs/>
                <w:i w:val="0"/>
                <w:iCs w:val="0"/>
                <w:color w:val="000000"/>
                <w:sz w:val="18"/>
                <w:szCs w:val="18"/>
                <w:u w:val="none"/>
              </w:rPr>
            </w:pPr>
          </w:p>
        </w:tc>
        <w:tc>
          <w:tcPr>
            <w:tcW w:w="234" w:type="pct"/>
            <w:vMerge w:val="continue"/>
            <w:shd w:val="clear" w:color="auto" w:fill="auto"/>
            <w:vAlign w:val="center"/>
          </w:tcPr>
          <w:p w14:paraId="07CB784D">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b/>
                <w:bCs/>
                <w:i w:val="0"/>
                <w:iCs w:val="0"/>
                <w:color w:val="000000"/>
                <w:sz w:val="18"/>
                <w:szCs w:val="18"/>
                <w:u w:val="none"/>
              </w:rPr>
            </w:pPr>
          </w:p>
        </w:tc>
        <w:tc>
          <w:tcPr>
            <w:tcW w:w="550" w:type="pct"/>
            <w:shd w:val="clear" w:color="auto" w:fill="auto"/>
            <w:vAlign w:val="center"/>
          </w:tcPr>
          <w:p w14:paraId="57DCF81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仿宋_GB2312" w:cs="宋体"/>
                <w:i w:val="0"/>
                <w:iCs w:val="0"/>
                <w:color w:val="000000"/>
                <w:kern w:val="0"/>
                <w:sz w:val="18"/>
                <w:szCs w:val="18"/>
                <w:u w:val="none"/>
                <w:lang w:val="en-US" w:eastAsia="zh-CN" w:bidi="ar"/>
              </w:rPr>
              <w:t>项目入库</w:t>
            </w:r>
          </w:p>
        </w:tc>
        <w:tc>
          <w:tcPr>
            <w:tcW w:w="251" w:type="pct"/>
            <w:shd w:val="clear" w:color="auto" w:fill="auto"/>
            <w:vAlign w:val="center"/>
          </w:tcPr>
          <w:p w14:paraId="1243E67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仿宋_GB2312" w:cs="宋体"/>
                <w:i w:val="0"/>
                <w:iCs w:val="0"/>
                <w:color w:val="000000"/>
                <w:kern w:val="0"/>
                <w:sz w:val="18"/>
                <w:szCs w:val="18"/>
                <w:u w:val="none"/>
                <w:lang w:val="en-US" w:eastAsia="zh-CN" w:bidi="ar"/>
              </w:rPr>
              <w:t>4</w:t>
            </w:r>
          </w:p>
        </w:tc>
        <w:tc>
          <w:tcPr>
            <w:tcW w:w="455" w:type="pct"/>
            <w:shd w:val="clear" w:color="auto" w:fill="auto"/>
            <w:vAlign w:val="center"/>
          </w:tcPr>
          <w:p w14:paraId="245620F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仿宋_GB2312" w:cs="宋体"/>
                <w:i w:val="0"/>
                <w:iCs w:val="0"/>
                <w:color w:val="000000"/>
                <w:kern w:val="0"/>
                <w:sz w:val="18"/>
                <w:szCs w:val="18"/>
                <w:u w:val="none"/>
                <w:lang w:val="en-US" w:eastAsia="zh-CN" w:bidi="ar"/>
              </w:rPr>
              <w:t>部门预算项目是否在规定时间完成项目入库</w:t>
            </w:r>
          </w:p>
        </w:tc>
        <w:tc>
          <w:tcPr>
            <w:tcW w:w="1111" w:type="pct"/>
            <w:shd w:val="clear" w:color="auto" w:fill="auto"/>
            <w:vAlign w:val="center"/>
          </w:tcPr>
          <w:p w14:paraId="38F0144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仿宋_GB2312" w:cs="宋体"/>
                <w:i w:val="0"/>
                <w:iCs w:val="0"/>
                <w:color w:val="000000"/>
                <w:kern w:val="0"/>
                <w:sz w:val="18"/>
                <w:szCs w:val="18"/>
                <w:u w:val="none"/>
                <w:lang w:val="en-US" w:eastAsia="zh-CN" w:bidi="ar"/>
              </w:rPr>
              <w:t>该项指标得分=4-规定时间未入财政库部门预算阶段项目（含一次性项目）数量÷最终安排部门预算阶段项目（含一次性项目）总数×100%×4。（默认满分）</w:t>
            </w:r>
          </w:p>
        </w:tc>
        <w:tc>
          <w:tcPr>
            <w:tcW w:w="343" w:type="pct"/>
            <w:shd w:val="clear" w:color="auto" w:fill="auto"/>
            <w:vAlign w:val="center"/>
          </w:tcPr>
          <w:p w14:paraId="573DD022">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仿宋_GB2312" w:cs="宋体"/>
                <w:i w:val="0"/>
                <w:iCs w:val="0"/>
                <w:color w:val="000000"/>
                <w:kern w:val="0"/>
                <w:sz w:val="18"/>
                <w:szCs w:val="18"/>
                <w:u w:val="none"/>
                <w:lang w:val="en-US" w:eastAsia="zh-CN" w:bidi="ar"/>
              </w:rPr>
              <w:t xml:space="preserve">4.00 </w:t>
            </w:r>
          </w:p>
        </w:tc>
        <w:tc>
          <w:tcPr>
            <w:tcW w:w="1821" w:type="pct"/>
            <w:shd w:val="clear" w:color="auto" w:fill="auto"/>
            <w:vAlign w:val="center"/>
          </w:tcPr>
          <w:p w14:paraId="212DD78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仿宋_GB2312" w:cs="宋体"/>
                <w:i w:val="0"/>
                <w:iCs w:val="0"/>
                <w:color w:val="000000"/>
                <w:kern w:val="0"/>
                <w:sz w:val="18"/>
                <w:szCs w:val="18"/>
                <w:u w:val="none"/>
                <w:lang w:val="en-US" w:eastAsia="zh-CN" w:bidi="ar"/>
              </w:rPr>
              <w:t>2024年我局85个项目（47个县区级资金项目12730.82万元，28个中省资金项目24527.71万元）均以预算指标形式下达，县区级资金已入区财政局库，中省资金项目已入省资金项目库，自评得4分。</w:t>
            </w:r>
          </w:p>
        </w:tc>
      </w:tr>
      <w:tr w14:paraId="4BD71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8" w:hRule="atLeast"/>
        </w:trPr>
        <w:tc>
          <w:tcPr>
            <w:tcW w:w="232" w:type="pct"/>
            <w:vMerge w:val="continue"/>
            <w:shd w:val="clear" w:color="auto" w:fill="auto"/>
            <w:vAlign w:val="center"/>
          </w:tcPr>
          <w:p w14:paraId="34D75474">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b/>
                <w:bCs/>
                <w:i w:val="0"/>
                <w:iCs w:val="0"/>
                <w:color w:val="000000"/>
                <w:sz w:val="18"/>
                <w:szCs w:val="18"/>
                <w:u w:val="none"/>
              </w:rPr>
            </w:pPr>
          </w:p>
        </w:tc>
        <w:tc>
          <w:tcPr>
            <w:tcW w:w="234" w:type="pct"/>
            <w:vMerge w:val="restart"/>
            <w:shd w:val="clear" w:color="auto" w:fill="auto"/>
            <w:vAlign w:val="center"/>
          </w:tcPr>
          <w:p w14:paraId="6AD185D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b/>
                <w:bCs/>
                <w:i w:val="0"/>
                <w:iCs w:val="0"/>
                <w:color w:val="000000"/>
                <w:sz w:val="18"/>
                <w:szCs w:val="18"/>
                <w:u w:val="none"/>
              </w:rPr>
            </w:pPr>
            <w:r>
              <w:rPr>
                <w:rFonts w:hint="eastAsia" w:ascii="宋体" w:hAnsi="宋体" w:eastAsia="仿宋_GB2312" w:cs="宋体"/>
                <w:b/>
                <w:bCs/>
                <w:i w:val="0"/>
                <w:iCs w:val="0"/>
                <w:color w:val="000000"/>
                <w:kern w:val="0"/>
                <w:sz w:val="18"/>
                <w:szCs w:val="18"/>
                <w:u w:val="none"/>
                <w:lang w:val="en-US" w:eastAsia="zh-CN" w:bidi="ar"/>
              </w:rPr>
              <w:t>项目执行</w:t>
            </w:r>
            <w:r>
              <w:rPr>
                <w:rFonts w:hint="eastAsia" w:ascii="宋体" w:hAnsi="宋体" w:eastAsia="仿宋_GB2312" w:cs="宋体"/>
                <w:b/>
                <w:bCs/>
                <w:i w:val="0"/>
                <w:iCs w:val="0"/>
                <w:color w:val="000000"/>
                <w:kern w:val="0"/>
                <w:sz w:val="18"/>
                <w:szCs w:val="18"/>
                <w:u w:val="none"/>
                <w:lang w:val="en-US" w:eastAsia="zh-CN" w:bidi="ar"/>
              </w:rPr>
              <w:br w:type="textWrapping"/>
            </w:r>
            <w:r>
              <w:rPr>
                <w:rFonts w:hint="eastAsia" w:ascii="宋体" w:hAnsi="宋体" w:eastAsia="仿宋_GB2312" w:cs="宋体"/>
                <w:b/>
                <w:bCs/>
                <w:i w:val="0"/>
                <w:iCs w:val="0"/>
                <w:color w:val="000000"/>
                <w:kern w:val="0"/>
                <w:sz w:val="18"/>
                <w:szCs w:val="18"/>
                <w:u w:val="none"/>
                <w:lang w:val="en-US" w:eastAsia="zh-CN" w:bidi="ar"/>
              </w:rPr>
              <w:t>（12分）</w:t>
            </w:r>
          </w:p>
        </w:tc>
        <w:tc>
          <w:tcPr>
            <w:tcW w:w="550" w:type="pct"/>
            <w:shd w:val="clear" w:color="auto" w:fill="auto"/>
            <w:vAlign w:val="center"/>
          </w:tcPr>
          <w:p w14:paraId="0704EC2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仿宋_GB2312" w:cs="宋体"/>
                <w:i w:val="0"/>
                <w:iCs w:val="0"/>
                <w:color w:val="000000"/>
                <w:kern w:val="0"/>
                <w:sz w:val="18"/>
                <w:szCs w:val="18"/>
                <w:u w:val="none"/>
                <w:lang w:val="en-US" w:eastAsia="zh-CN" w:bidi="ar"/>
              </w:rPr>
              <w:t>执行同向</w:t>
            </w:r>
          </w:p>
        </w:tc>
        <w:tc>
          <w:tcPr>
            <w:tcW w:w="251" w:type="pct"/>
            <w:shd w:val="clear" w:color="auto" w:fill="auto"/>
            <w:vAlign w:val="center"/>
          </w:tcPr>
          <w:p w14:paraId="2BD0EE92">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仿宋_GB2312" w:cs="宋体"/>
                <w:i w:val="0"/>
                <w:iCs w:val="0"/>
                <w:color w:val="000000"/>
                <w:kern w:val="0"/>
                <w:sz w:val="18"/>
                <w:szCs w:val="18"/>
                <w:u w:val="none"/>
                <w:lang w:val="en-US" w:eastAsia="zh-CN" w:bidi="ar"/>
              </w:rPr>
              <w:t>5</w:t>
            </w:r>
          </w:p>
        </w:tc>
        <w:tc>
          <w:tcPr>
            <w:tcW w:w="455" w:type="pct"/>
            <w:shd w:val="clear" w:color="auto" w:fill="auto"/>
            <w:vAlign w:val="center"/>
          </w:tcPr>
          <w:p w14:paraId="6088BC2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仿宋_GB2312" w:cs="宋体"/>
                <w:i w:val="0"/>
                <w:iCs w:val="0"/>
                <w:color w:val="000000"/>
                <w:kern w:val="0"/>
                <w:sz w:val="18"/>
                <w:szCs w:val="18"/>
                <w:u w:val="none"/>
                <w:lang w:val="en-US" w:eastAsia="zh-CN" w:bidi="ar"/>
              </w:rPr>
              <w:t>部门预算项目实际列支内容是否与绩效目标设置方向相符</w:t>
            </w:r>
          </w:p>
        </w:tc>
        <w:tc>
          <w:tcPr>
            <w:tcW w:w="1111" w:type="pct"/>
            <w:shd w:val="clear" w:color="auto" w:fill="auto"/>
            <w:vAlign w:val="center"/>
          </w:tcPr>
          <w:p w14:paraId="6850325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仿宋_GB2312" w:cs="宋体"/>
                <w:i w:val="0"/>
                <w:iCs w:val="0"/>
                <w:color w:val="000000"/>
                <w:kern w:val="0"/>
                <w:sz w:val="18"/>
                <w:szCs w:val="18"/>
                <w:u w:val="none"/>
                <w:lang w:val="en-US" w:eastAsia="zh-CN" w:bidi="ar"/>
              </w:rPr>
              <w:t>该项指标得分=4-实际列支内容与绩效目标设置方向不相符的部门预算阶段项目（含一次性项目）数量÷部门预算阶段项目（含一次性项目）总数×100%×5。</w:t>
            </w:r>
          </w:p>
        </w:tc>
        <w:tc>
          <w:tcPr>
            <w:tcW w:w="343" w:type="pct"/>
            <w:shd w:val="clear" w:color="auto" w:fill="auto"/>
            <w:vAlign w:val="center"/>
          </w:tcPr>
          <w:p w14:paraId="0FB40DF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仿宋_GB2312" w:cs="宋体"/>
                <w:i w:val="0"/>
                <w:iCs w:val="0"/>
                <w:color w:val="000000"/>
                <w:kern w:val="0"/>
                <w:sz w:val="18"/>
                <w:szCs w:val="18"/>
                <w:u w:val="none"/>
                <w:lang w:val="en-US" w:eastAsia="zh-CN" w:bidi="ar"/>
              </w:rPr>
              <w:t xml:space="preserve">4.00 </w:t>
            </w:r>
          </w:p>
        </w:tc>
        <w:tc>
          <w:tcPr>
            <w:tcW w:w="1821" w:type="pct"/>
            <w:shd w:val="clear" w:color="auto" w:fill="auto"/>
            <w:vAlign w:val="center"/>
          </w:tcPr>
          <w:p w14:paraId="0CE4DB0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仿宋_GB2312" w:cs="宋体"/>
                <w:i w:val="0"/>
                <w:iCs w:val="0"/>
                <w:color w:val="000000"/>
                <w:kern w:val="0"/>
                <w:sz w:val="18"/>
                <w:szCs w:val="18"/>
                <w:u w:val="none"/>
                <w:lang w:val="en-US" w:eastAsia="zh-CN" w:bidi="ar"/>
              </w:rPr>
              <w:t>2024年我局85个项目（47个县区级资金项目12730.82万元，28个中省资金项目24527.71万元）实际列支内容与85个项目绩效目标设置方向均相符，无不不相符项目，自评得4分。。</w:t>
            </w:r>
          </w:p>
        </w:tc>
      </w:tr>
      <w:tr w14:paraId="35F64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 w:hRule="atLeast"/>
        </w:trPr>
        <w:tc>
          <w:tcPr>
            <w:tcW w:w="232" w:type="pct"/>
            <w:vMerge w:val="continue"/>
            <w:shd w:val="clear" w:color="auto" w:fill="auto"/>
            <w:vAlign w:val="center"/>
          </w:tcPr>
          <w:p w14:paraId="3901E7A7">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b/>
                <w:bCs/>
                <w:i w:val="0"/>
                <w:iCs w:val="0"/>
                <w:color w:val="000000"/>
                <w:sz w:val="18"/>
                <w:szCs w:val="18"/>
                <w:u w:val="none"/>
              </w:rPr>
            </w:pPr>
          </w:p>
        </w:tc>
        <w:tc>
          <w:tcPr>
            <w:tcW w:w="234" w:type="pct"/>
            <w:vMerge w:val="continue"/>
            <w:shd w:val="clear" w:color="auto" w:fill="auto"/>
            <w:vAlign w:val="center"/>
          </w:tcPr>
          <w:p w14:paraId="4C508692">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b/>
                <w:bCs/>
                <w:i w:val="0"/>
                <w:iCs w:val="0"/>
                <w:color w:val="000000"/>
                <w:sz w:val="18"/>
                <w:szCs w:val="18"/>
                <w:u w:val="none"/>
              </w:rPr>
            </w:pPr>
          </w:p>
        </w:tc>
        <w:tc>
          <w:tcPr>
            <w:tcW w:w="550" w:type="pct"/>
            <w:shd w:val="clear" w:color="auto" w:fill="auto"/>
            <w:vAlign w:val="center"/>
          </w:tcPr>
          <w:p w14:paraId="33E0242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仿宋_GB2312" w:cs="宋体"/>
                <w:i w:val="0"/>
                <w:iCs w:val="0"/>
                <w:color w:val="000000"/>
                <w:kern w:val="0"/>
                <w:sz w:val="18"/>
                <w:szCs w:val="18"/>
                <w:u w:val="none"/>
                <w:lang w:val="en-US" w:eastAsia="zh-CN" w:bidi="ar"/>
              </w:rPr>
              <w:t>项目调整</w:t>
            </w:r>
          </w:p>
        </w:tc>
        <w:tc>
          <w:tcPr>
            <w:tcW w:w="251" w:type="pct"/>
            <w:shd w:val="clear" w:color="auto" w:fill="auto"/>
            <w:vAlign w:val="center"/>
          </w:tcPr>
          <w:p w14:paraId="70CBA7D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仿宋_GB2312" w:cs="宋体"/>
                <w:i w:val="0"/>
                <w:iCs w:val="0"/>
                <w:color w:val="000000"/>
                <w:kern w:val="0"/>
                <w:sz w:val="18"/>
                <w:szCs w:val="18"/>
                <w:u w:val="none"/>
                <w:lang w:val="en-US" w:eastAsia="zh-CN" w:bidi="ar"/>
              </w:rPr>
              <w:t>6</w:t>
            </w:r>
          </w:p>
        </w:tc>
        <w:tc>
          <w:tcPr>
            <w:tcW w:w="455" w:type="pct"/>
            <w:shd w:val="clear" w:color="auto" w:fill="auto"/>
            <w:vAlign w:val="center"/>
          </w:tcPr>
          <w:p w14:paraId="2A6C500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仿宋_GB2312" w:cs="宋体"/>
                <w:i w:val="0"/>
                <w:iCs w:val="0"/>
                <w:color w:val="000000"/>
                <w:kern w:val="0"/>
                <w:sz w:val="18"/>
                <w:szCs w:val="18"/>
                <w:u w:val="none"/>
                <w:lang w:val="en-US" w:eastAsia="zh-CN" w:bidi="ar"/>
              </w:rPr>
              <w:t>部门预算项目是否采取对应调整措施</w:t>
            </w:r>
          </w:p>
        </w:tc>
        <w:tc>
          <w:tcPr>
            <w:tcW w:w="1111" w:type="pct"/>
            <w:shd w:val="clear" w:color="auto" w:fill="auto"/>
            <w:vAlign w:val="center"/>
          </w:tcPr>
          <w:p w14:paraId="0969BDC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仿宋_GB2312" w:cs="宋体"/>
                <w:i w:val="0"/>
                <w:iCs w:val="0"/>
                <w:color w:val="000000"/>
                <w:kern w:val="0"/>
                <w:sz w:val="18"/>
                <w:szCs w:val="18"/>
                <w:u w:val="none"/>
                <w:lang w:val="en-US" w:eastAsia="zh-CN" w:bidi="ar"/>
              </w:rPr>
              <w:t>该项指标得分=4-应采取未采取收回预算、调整目标等处置措施的部门预算阶段项目（含一次性项目）数量÷应采取收回预算、调整目标等处置措施的部门预算阶段项目（含一次性项目）总数×100%×6。</w:t>
            </w:r>
          </w:p>
        </w:tc>
        <w:tc>
          <w:tcPr>
            <w:tcW w:w="343" w:type="pct"/>
            <w:shd w:val="clear" w:color="auto" w:fill="auto"/>
            <w:vAlign w:val="center"/>
          </w:tcPr>
          <w:p w14:paraId="69541DE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仿宋_GB2312" w:cs="宋体"/>
                <w:i w:val="0"/>
                <w:iCs w:val="0"/>
                <w:color w:val="000000"/>
                <w:kern w:val="0"/>
                <w:sz w:val="18"/>
                <w:szCs w:val="18"/>
                <w:u w:val="none"/>
                <w:lang w:val="en-US" w:eastAsia="zh-CN" w:bidi="ar"/>
              </w:rPr>
              <w:t xml:space="preserve">6.00 </w:t>
            </w:r>
          </w:p>
        </w:tc>
        <w:tc>
          <w:tcPr>
            <w:tcW w:w="1821" w:type="pct"/>
            <w:shd w:val="clear" w:color="auto" w:fill="auto"/>
            <w:vAlign w:val="center"/>
          </w:tcPr>
          <w:p w14:paraId="6AD429A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仿宋_GB2312" w:cs="宋体"/>
                <w:i w:val="0"/>
                <w:iCs w:val="0"/>
                <w:color w:val="000000"/>
                <w:kern w:val="0"/>
                <w:sz w:val="18"/>
                <w:szCs w:val="18"/>
                <w:u w:val="none"/>
                <w:lang w:val="en-US" w:eastAsia="zh-CN" w:bidi="ar"/>
              </w:rPr>
              <w:t>2024年我局无预算调整项目，只有预算调剂项目。</w:t>
            </w:r>
          </w:p>
        </w:tc>
      </w:tr>
      <w:tr w14:paraId="774DC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4" w:hRule="atLeast"/>
        </w:trPr>
        <w:tc>
          <w:tcPr>
            <w:tcW w:w="232" w:type="pct"/>
            <w:vMerge w:val="continue"/>
            <w:shd w:val="clear" w:color="auto" w:fill="auto"/>
            <w:vAlign w:val="center"/>
          </w:tcPr>
          <w:p w14:paraId="45038583">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b/>
                <w:bCs/>
                <w:i w:val="0"/>
                <w:iCs w:val="0"/>
                <w:color w:val="000000"/>
                <w:sz w:val="18"/>
                <w:szCs w:val="18"/>
                <w:u w:val="none"/>
              </w:rPr>
            </w:pPr>
          </w:p>
        </w:tc>
        <w:tc>
          <w:tcPr>
            <w:tcW w:w="234" w:type="pct"/>
            <w:vMerge w:val="continue"/>
            <w:shd w:val="clear" w:color="auto" w:fill="auto"/>
            <w:vAlign w:val="center"/>
          </w:tcPr>
          <w:p w14:paraId="0F90382B">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b/>
                <w:bCs/>
                <w:i w:val="0"/>
                <w:iCs w:val="0"/>
                <w:color w:val="000000"/>
                <w:sz w:val="18"/>
                <w:szCs w:val="18"/>
                <w:u w:val="none"/>
              </w:rPr>
            </w:pPr>
          </w:p>
        </w:tc>
        <w:tc>
          <w:tcPr>
            <w:tcW w:w="550" w:type="pct"/>
            <w:shd w:val="clear" w:color="auto" w:fill="auto"/>
            <w:vAlign w:val="center"/>
          </w:tcPr>
          <w:p w14:paraId="45B0FCA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仿宋_GB2312" w:cs="宋体"/>
                <w:i w:val="0"/>
                <w:iCs w:val="0"/>
                <w:color w:val="000000"/>
                <w:kern w:val="0"/>
                <w:sz w:val="18"/>
                <w:szCs w:val="18"/>
                <w:u w:val="none"/>
                <w:lang w:val="en-US" w:eastAsia="zh-CN" w:bidi="ar"/>
              </w:rPr>
              <w:t>执行结果</w:t>
            </w:r>
          </w:p>
        </w:tc>
        <w:tc>
          <w:tcPr>
            <w:tcW w:w="251" w:type="pct"/>
            <w:shd w:val="clear" w:color="auto" w:fill="auto"/>
            <w:vAlign w:val="center"/>
          </w:tcPr>
          <w:p w14:paraId="48BB3A92">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仿宋_GB2312" w:cs="宋体"/>
                <w:i w:val="0"/>
                <w:iCs w:val="0"/>
                <w:color w:val="000000"/>
                <w:kern w:val="0"/>
                <w:sz w:val="18"/>
                <w:szCs w:val="18"/>
                <w:u w:val="none"/>
                <w:lang w:val="en-US" w:eastAsia="zh-CN" w:bidi="ar"/>
              </w:rPr>
              <w:t>4</w:t>
            </w:r>
          </w:p>
        </w:tc>
        <w:tc>
          <w:tcPr>
            <w:tcW w:w="455" w:type="pct"/>
            <w:shd w:val="clear" w:color="auto" w:fill="auto"/>
            <w:vAlign w:val="center"/>
          </w:tcPr>
          <w:p w14:paraId="2C0D2DA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仿宋_GB2312" w:cs="宋体"/>
                <w:i w:val="0"/>
                <w:iCs w:val="0"/>
                <w:color w:val="000000"/>
                <w:kern w:val="0"/>
                <w:sz w:val="18"/>
                <w:szCs w:val="18"/>
                <w:u w:val="none"/>
                <w:lang w:val="en-US" w:eastAsia="zh-CN" w:bidi="ar"/>
              </w:rPr>
              <w:t>部门预算项目预算执行情况</w:t>
            </w:r>
          </w:p>
        </w:tc>
        <w:tc>
          <w:tcPr>
            <w:tcW w:w="1111" w:type="pct"/>
            <w:shd w:val="clear" w:color="auto" w:fill="auto"/>
            <w:vAlign w:val="center"/>
          </w:tcPr>
          <w:p w14:paraId="62A9950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仿宋_GB2312" w:cs="宋体"/>
                <w:i w:val="0"/>
                <w:iCs w:val="0"/>
                <w:color w:val="000000"/>
                <w:kern w:val="0"/>
                <w:sz w:val="18"/>
                <w:szCs w:val="18"/>
                <w:u w:val="none"/>
                <w:lang w:val="en-US" w:eastAsia="zh-CN" w:bidi="ar"/>
              </w:rPr>
              <w:t>该项指标得分=预算结余率小于10%的常年项目数量÷部门预算常年项目总数×100%×2+预算结余率小于10%的一次性项目和阶段项目数量÷部门预算一次性项目和阶段项目总数×100%×2。</w:t>
            </w:r>
          </w:p>
        </w:tc>
        <w:tc>
          <w:tcPr>
            <w:tcW w:w="343" w:type="pct"/>
            <w:shd w:val="clear" w:color="auto" w:fill="auto"/>
            <w:vAlign w:val="center"/>
          </w:tcPr>
          <w:p w14:paraId="7D516A6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仿宋_GB2312" w:cs="宋体"/>
                <w:i w:val="0"/>
                <w:iCs w:val="0"/>
                <w:color w:val="000000"/>
                <w:kern w:val="0"/>
                <w:sz w:val="18"/>
                <w:szCs w:val="18"/>
                <w:u w:val="none"/>
                <w:lang w:val="en-US" w:eastAsia="zh-CN" w:bidi="ar"/>
              </w:rPr>
              <w:t xml:space="preserve">4.00 </w:t>
            </w:r>
          </w:p>
        </w:tc>
        <w:tc>
          <w:tcPr>
            <w:tcW w:w="1821" w:type="pct"/>
            <w:shd w:val="clear" w:color="auto" w:fill="auto"/>
            <w:vAlign w:val="center"/>
          </w:tcPr>
          <w:p w14:paraId="03F4FD8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仿宋_GB2312" w:cs="宋体"/>
                <w:i w:val="0"/>
                <w:iCs w:val="0"/>
                <w:color w:val="000000"/>
                <w:kern w:val="0"/>
                <w:sz w:val="18"/>
                <w:szCs w:val="18"/>
                <w:u w:val="none"/>
                <w:lang w:val="en-US" w:eastAsia="zh-CN" w:bidi="ar"/>
              </w:rPr>
              <w:t>整体上，2024年度我局项目执行良好，在资金及指标下达后严格按照财政部门批复执行相关项目；2024年度我结转结余项目，自评得4分。</w:t>
            </w:r>
          </w:p>
        </w:tc>
      </w:tr>
      <w:tr w14:paraId="39B6F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06" w:hRule="atLeast"/>
        </w:trPr>
        <w:tc>
          <w:tcPr>
            <w:tcW w:w="232" w:type="pct"/>
            <w:vMerge w:val="continue"/>
            <w:shd w:val="clear" w:color="auto" w:fill="auto"/>
            <w:vAlign w:val="center"/>
          </w:tcPr>
          <w:p w14:paraId="0167C924">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b/>
                <w:bCs/>
                <w:i w:val="0"/>
                <w:iCs w:val="0"/>
                <w:color w:val="000000"/>
                <w:sz w:val="18"/>
                <w:szCs w:val="18"/>
                <w:u w:val="none"/>
              </w:rPr>
            </w:pPr>
          </w:p>
        </w:tc>
        <w:tc>
          <w:tcPr>
            <w:tcW w:w="234" w:type="pct"/>
            <w:vMerge w:val="restart"/>
            <w:shd w:val="clear" w:color="auto" w:fill="auto"/>
            <w:vAlign w:val="center"/>
          </w:tcPr>
          <w:p w14:paraId="1C3983A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b/>
                <w:bCs/>
                <w:i w:val="0"/>
                <w:iCs w:val="0"/>
                <w:color w:val="000000"/>
                <w:sz w:val="18"/>
                <w:szCs w:val="18"/>
                <w:u w:val="none"/>
              </w:rPr>
            </w:pPr>
            <w:r>
              <w:rPr>
                <w:rFonts w:hint="eastAsia" w:ascii="宋体" w:hAnsi="宋体" w:eastAsia="仿宋_GB2312" w:cs="宋体"/>
                <w:b/>
                <w:bCs/>
                <w:i w:val="0"/>
                <w:iCs w:val="0"/>
                <w:color w:val="000000"/>
                <w:kern w:val="0"/>
                <w:sz w:val="18"/>
                <w:szCs w:val="18"/>
                <w:u w:val="none"/>
                <w:lang w:val="en-US" w:eastAsia="zh-CN" w:bidi="ar"/>
              </w:rPr>
              <w:t>目标实现</w:t>
            </w:r>
            <w:r>
              <w:rPr>
                <w:rFonts w:hint="eastAsia" w:ascii="宋体" w:hAnsi="宋体" w:eastAsia="仿宋_GB2312" w:cs="宋体"/>
                <w:b/>
                <w:bCs/>
                <w:i w:val="0"/>
                <w:iCs w:val="0"/>
                <w:color w:val="000000"/>
                <w:kern w:val="0"/>
                <w:sz w:val="18"/>
                <w:szCs w:val="18"/>
                <w:u w:val="none"/>
                <w:lang w:val="en-US" w:eastAsia="zh-CN" w:bidi="ar"/>
              </w:rPr>
              <w:br w:type="textWrapping"/>
            </w:r>
            <w:r>
              <w:rPr>
                <w:rFonts w:hint="eastAsia" w:ascii="宋体" w:hAnsi="宋体" w:eastAsia="仿宋_GB2312" w:cs="宋体"/>
                <w:b/>
                <w:bCs/>
                <w:i w:val="0"/>
                <w:iCs w:val="0"/>
                <w:color w:val="000000"/>
                <w:kern w:val="0"/>
                <w:sz w:val="18"/>
                <w:szCs w:val="18"/>
                <w:u w:val="none"/>
                <w:lang w:val="en-US" w:eastAsia="zh-CN" w:bidi="ar"/>
              </w:rPr>
              <w:t>（11分）</w:t>
            </w:r>
          </w:p>
        </w:tc>
        <w:tc>
          <w:tcPr>
            <w:tcW w:w="550" w:type="pct"/>
            <w:shd w:val="clear" w:color="auto" w:fill="auto"/>
            <w:vAlign w:val="center"/>
          </w:tcPr>
          <w:p w14:paraId="57B159F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仿宋_GB2312" w:cs="宋体"/>
                <w:i w:val="0"/>
                <w:iCs w:val="0"/>
                <w:color w:val="000000"/>
                <w:kern w:val="0"/>
                <w:sz w:val="18"/>
                <w:szCs w:val="18"/>
                <w:u w:val="none"/>
                <w:lang w:val="en-US" w:eastAsia="zh-CN" w:bidi="ar"/>
              </w:rPr>
              <w:t>目标完成</w:t>
            </w:r>
          </w:p>
        </w:tc>
        <w:tc>
          <w:tcPr>
            <w:tcW w:w="251" w:type="pct"/>
            <w:shd w:val="clear" w:color="auto" w:fill="auto"/>
            <w:vAlign w:val="center"/>
          </w:tcPr>
          <w:p w14:paraId="1FF23E9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仿宋_GB2312" w:cs="宋体"/>
                <w:i w:val="0"/>
                <w:iCs w:val="0"/>
                <w:color w:val="000000"/>
                <w:kern w:val="0"/>
                <w:sz w:val="18"/>
                <w:szCs w:val="18"/>
                <w:u w:val="none"/>
                <w:lang w:val="en-US" w:eastAsia="zh-CN" w:bidi="ar"/>
              </w:rPr>
              <w:t>6</w:t>
            </w:r>
          </w:p>
        </w:tc>
        <w:tc>
          <w:tcPr>
            <w:tcW w:w="455" w:type="pct"/>
            <w:shd w:val="clear" w:color="auto" w:fill="auto"/>
            <w:vAlign w:val="center"/>
          </w:tcPr>
          <w:p w14:paraId="3C0854B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仿宋_GB2312" w:cs="宋体"/>
                <w:i w:val="0"/>
                <w:iCs w:val="0"/>
                <w:color w:val="000000"/>
                <w:kern w:val="0"/>
                <w:sz w:val="18"/>
                <w:szCs w:val="18"/>
                <w:u w:val="none"/>
                <w:lang w:val="en-US" w:eastAsia="zh-CN" w:bidi="ar"/>
              </w:rPr>
              <w:t>部门预算项目绩效目标数量指标完成情况</w:t>
            </w:r>
          </w:p>
        </w:tc>
        <w:tc>
          <w:tcPr>
            <w:tcW w:w="1111" w:type="pct"/>
            <w:shd w:val="clear" w:color="auto" w:fill="auto"/>
            <w:vAlign w:val="center"/>
          </w:tcPr>
          <w:p w14:paraId="61867B1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仿宋_GB2312" w:cs="宋体"/>
                <w:i w:val="0"/>
                <w:iCs w:val="0"/>
                <w:color w:val="000000"/>
                <w:kern w:val="0"/>
                <w:sz w:val="18"/>
                <w:szCs w:val="18"/>
                <w:u w:val="none"/>
                <w:lang w:val="en-US" w:eastAsia="zh-CN" w:bidi="ar"/>
              </w:rPr>
              <w:t>该项指标得分=完成绩效目标数量指标的部门预算阶段项目（含一次性项目）数量÷部门预算阶段项目（含一次性项目）总数×100%×6。</w:t>
            </w:r>
          </w:p>
        </w:tc>
        <w:tc>
          <w:tcPr>
            <w:tcW w:w="343" w:type="pct"/>
            <w:shd w:val="clear" w:color="auto" w:fill="auto"/>
            <w:vAlign w:val="center"/>
          </w:tcPr>
          <w:p w14:paraId="6A609DD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仿宋_GB2312" w:cs="宋体"/>
                <w:i w:val="0"/>
                <w:iCs w:val="0"/>
                <w:color w:val="000000"/>
                <w:kern w:val="0"/>
                <w:sz w:val="18"/>
                <w:szCs w:val="18"/>
                <w:u w:val="none"/>
                <w:lang w:val="en-US" w:eastAsia="zh-CN" w:bidi="ar"/>
              </w:rPr>
              <w:t xml:space="preserve">4.59 </w:t>
            </w:r>
          </w:p>
        </w:tc>
        <w:tc>
          <w:tcPr>
            <w:tcW w:w="1821" w:type="pct"/>
            <w:shd w:val="clear" w:color="auto" w:fill="auto"/>
            <w:vAlign w:val="center"/>
          </w:tcPr>
          <w:p w14:paraId="3C456D6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仿宋_GB2312" w:cs="宋体"/>
                <w:i w:val="0"/>
                <w:iCs w:val="0"/>
                <w:color w:val="000000"/>
                <w:kern w:val="0"/>
                <w:sz w:val="18"/>
                <w:szCs w:val="18"/>
                <w:u w:val="none"/>
                <w:lang w:val="en-US" w:eastAsia="zh-CN" w:bidi="ar"/>
              </w:rPr>
              <w:t>全区在建水利建设项目14个（按总项目），总投资4.52亿元，其中：国债项目7个，总投资2.37亿元，各项工程稳步推进。其中，跑马滩水库除险加固项目已全面完工，跑马滩水库增设防空洞工程已完成总工程量的85%，麻子滩水库除险加固项目已完成总工程量的95%，2024年中央水利发展资金小型水库设施维修养护项目和安居城镇全域供水基础设施建设项目续建工程已完工，2024水利发展资金安居区狮姚河姚河小流域综合治理提质增效项目已完成总工程量90%，蟠龙河安居中学段防洪治理工程和琼江两中心五馆段防洪治理工程完成85%，白家河磨溪镇防洪治理工程已完工，遂宁市安居区蟠龙河东禅镇场镇段防洪治理工程完成总工程量的90%，白家河磨溪镇莲池乡板仓段防洪治理工程、白家河西眉镇和赤乡段防洪治理工程、白家河磨溪镇永灵段防洪治理工程均已完成总工程量80%，12座病险小型水库除险加固建设项目已完工。</w:t>
            </w:r>
            <w:r>
              <w:rPr>
                <w:rFonts w:hint="eastAsia" w:ascii="宋体" w:hAnsi="宋体" w:eastAsia="仿宋_GB2312" w:cs="宋体"/>
                <w:i w:val="0"/>
                <w:iCs w:val="0"/>
                <w:color w:val="000000"/>
                <w:kern w:val="0"/>
                <w:sz w:val="18"/>
                <w:szCs w:val="18"/>
                <w:u w:val="none"/>
                <w:lang w:val="en-US" w:eastAsia="zh-CN" w:bidi="ar"/>
              </w:rPr>
              <w:br w:type="textWrapping"/>
            </w:r>
            <w:r>
              <w:rPr>
                <w:rFonts w:hint="eastAsia" w:ascii="宋体" w:hAnsi="宋体" w:eastAsia="仿宋_GB2312" w:cs="宋体"/>
                <w:i w:val="0"/>
                <w:iCs w:val="0"/>
                <w:color w:val="000000"/>
                <w:kern w:val="0"/>
                <w:sz w:val="18"/>
                <w:szCs w:val="18"/>
                <w:u w:val="none"/>
                <w:lang w:val="en-US" w:eastAsia="zh-CN" w:bidi="ar"/>
              </w:rPr>
              <w:t>2024年我局85个预算项目（47个县区级资金项目12730.82万元，28个中省资金项目24527.71万元），实际完成绩效目标数量指标的部门预算阶段项目（含一次性项目）数量为：47个县区级资金项目12730.82万元全部完成，28个中省资金项目24527.71万元20个项目未完成。根据指标，自评得4.59分。</w:t>
            </w:r>
          </w:p>
        </w:tc>
      </w:tr>
      <w:tr w14:paraId="280C6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885" w:hRule="atLeast"/>
        </w:trPr>
        <w:tc>
          <w:tcPr>
            <w:tcW w:w="232" w:type="pct"/>
            <w:vMerge w:val="continue"/>
            <w:shd w:val="clear" w:color="auto" w:fill="auto"/>
            <w:vAlign w:val="center"/>
          </w:tcPr>
          <w:p w14:paraId="570F5407">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b/>
                <w:bCs/>
                <w:i w:val="0"/>
                <w:iCs w:val="0"/>
                <w:color w:val="000000"/>
                <w:sz w:val="18"/>
                <w:szCs w:val="18"/>
                <w:u w:val="none"/>
              </w:rPr>
            </w:pPr>
          </w:p>
        </w:tc>
        <w:tc>
          <w:tcPr>
            <w:tcW w:w="234" w:type="pct"/>
            <w:vMerge w:val="continue"/>
            <w:shd w:val="clear" w:color="auto" w:fill="auto"/>
            <w:vAlign w:val="center"/>
          </w:tcPr>
          <w:p w14:paraId="073A88A4">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b/>
                <w:bCs/>
                <w:i w:val="0"/>
                <w:iCs w:val="0"/>
                <w:color w:val="000000"/>
                <w:sz w:val="18"/>
                <w:szCs w:val="18"/>
                <w:u w:val="none"/>
              </w:rPr>
            </w:pPr>
          </w:p>
        </w:tc>
        <w:tc>
          <w:tcPr>
            <w:tcW w:w="550" w:type="pct"/>
            <w:shd w:val="clear" w:color="auto" w:fill="auto"/>
            <w:vAlign w:val="center"/>
          </w:tcPr>
          <w:p w14:paraId="6C6A0B9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仿宋_GB2312" w:cs="宋体"/>
                <w:i w:val="0"/>
                <w:iCs w:val="0"/>
                <w:color w:val="000000"/>
                <w:kern w:val="0"/>
                <w:sz w:val="18"/>
                <w:szCs w:val="18"/>
                <w:u w:val="none"/>
                <w:lang w:val="en-US" w:eastAsia="zh-CN" w:bidi="ar"/>
              </w:rPr>
              <w:t>目标偏离</w:t>
            </w:r>
          </w:p>
        </w:tc>
        <w:tc>
          <w:tcPr>
            <w:tcW w:w="251" w:type="pct"/>
            <w:shd w:val="clear" w:color="auto" w:fill="auto"/>
            <w:vAlign w:val="center"/>
          </w:tcPr>
          <w:p w14:paraId="502CBE7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仿宋_GB2312" w:cs="宋体"/>
                <w:i w:val="0"/>
                <w:iCs w:val="0"/>
                <w:color w:val="000000"/>
                <w:kern w:val="0"/>
                <w:sz w:val="18"/>
                <w:szCs w:val="18"/>
                <w:u w:val="none"/>
                <w:lang w:val="en-US" w:eastAsia="zh-CN" w:bidi="ar"/>
              </w:rPr>
              <w:t>6</w:t>
            </w:r>
          </w:p>
        </w:tc>
        <w:tc>
          <w:tcPr>
            <w:tcW w:w="455" w:type="pct"/>
            <w:shd w:val="clear" w:color="auto" w:fill="auto"/>
            <w:vAlign w:val="center"/>
          </w:tcPr>
          <w:p w14:paraId="6789967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仿宋_GB2312" w:cs="宋体"/>
                <w:i w:val="0"/>
                <w:iCs w:val="0"/>
                <w:color w:val="000000"/>
                <w:kern w:val="0"/>
                <w:sz w:val="18"/>
                <w:szCs w:val="18"/>
                <w:u w:val="none"/>
                <w:lang w:val="en-US" w:eastAsia="zh-CN" w:bidi="ar"/>
              </w:rPr>
              <w:t>部门预算项目绩效目标数量指标实现程度与预期目标的偏离情况</w:t>
            </w:r>
          </w:p>
        </w:tc>
        <w:tc>
          <w:tcPr>
            <w:tcW w:w="1111" w:type="pct"/>
            <w:shd w:val="clear" w:color="auto" w:fill="auto"/>
            <w:vAlign w:val="center"/>
          </w:tcPr>
          <w:p w14:paraId="0A78B51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仿宋_GB2312" w:cs="宋体"/>
                <w:i w:val="0"/>
                <w:iCs w:val="0"/>
                <w:color w:val="000000"/>
                <w:kern w:val="0"/>
                <w:sz w:val="18"/>
                <w:szCs w:val="18"/>
                <w:u w:val="none"/>
                <w:lang w:val="en-US" w:eastAsia="zh-CN" w:bidi="ar"/>
              </w:rPr>
              <w:t>该项指标得分=已完成预期指标值的数量指标中偏离度在30%内的指标个数÷已完成预期指标值的数量指标个数×100%×6。偏离度=|（绩效指标实际完成值-设定预期指标值）÷设定预期指标值|。部门预算阶段项目（含一次性项目）绩效目标实际完成值偏离预期指标30%以上（含30%）的，不计分。</w:t>
            </w:r>
          </w:p>
        </w:tc>
        <w:tc>
          <w:tcPr>
            <w:tcW w:w="343" w:type="pct"/>
            <w:shd w:val="clear" w:color="auto" w:fill="auto"/>
            <w:vAlign w:val="center"/>
          </w:tcPr>
          <w:p w14:paraId="7A1CD8B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仿宋_GB2312" w:cs="宋体"/>
                <w:i w:val="0"/>
                <w:iCs w:val="0"/>
                <w:color w:val="000000"/>
                <w:kern w:val="0"/>
                <w:sz w:val="18"/>
                <w:szCs w:val="18"/>
                <w:u w:val="none"/>
                <w:lang w:val="en-US" w:eastAsia="zh-CN" w:bidi="ar"/>
              </w:rPr>
              <w:t xml:space="preserve">4.59 </w:t>
            </w:r>
          </w:p>
        </w:tc>
        <w:tc>
          <w:tcPr>
            <w:tcW w:w="1821" w:type="pct"/>
            <w:shd w:val="clear" w:color="auto" w:fill="auto"/>
            <w:vAlign w:val="center"/>
          </w:tcPr>
          <w:p w14:paraId="579C8652">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仿宋_GB2312" w:cs="宋体"/>
                <w:i w:val="0"/>
                <w:iCs w:val="0"/>
                <w:color w:val="000000"/>
                <w:kern w:val="0"/>
                <w:sz w:val="18"/>
                <w:szCs w:val="18"/>
                <w:u w:val="none"/>
                <w:lang w:val="en-US" w:eastAsia="zh-CN" w:bidi="ar"/>
              </w:rPr>
              <w:t>2024年我局85个预算项目（47个县区级资金项目12730.82万元，28个中省资金项目24527.71万元），实际完成绩效目标数量指标的部门预算阶段项目（含一次性项目）数量为：47个县区级资金项目12730.82万元全部完成，28个中省资金项目24527.71万元20个项目未完成，65个项目数量指标均已完成预期指标值，无偏离度超过30%内的指标；自评得4.59分。</w:t>
            </w:r>
          </w:p>
        </w:tc>
      </w:tr>
      <w:tr w14:paraId="404B2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4" w:hRule="atLeast"/>
        </w:trPr>
        <w:tc>
          <w:tcPr>
            <w:tcW w:w="232" w:type="pct"/>
            <w:vMerge w:val="continue"/>
            <w:shd w:val="clear" w:color="auto" w:fill="auto"/>
            <w:vAlign w:val="center"/>
          </w:tcPr>
          <w:p w14:paraId="189B03B6">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b/>
                <w:bCs/>
                <w:i w:val="0"/>
                <w:iCs w:val="0"/>
                <w:color w:val="000000"/>
                <w:sz w:val="18"/>
                <w:szCs w:val="18"/>
                <w:u w:val="none"/>
              </w:rPr>
            </w:pPr>
          </w:p>
        </w:tc>
        <w:tc>
          <w:tcPr>
            <w:tcW w:w="234" w:type="pct"/>
            <w:vMerge w:val="continue"/>
            <w:shd w:val="clear" w:color="auto" w:fill="auto"/>
            <w:vAlign w:val="center"/>
          </w:tcPr>
          <w:p w14:paraId="766D5A19">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b/>
                <w:bCs/>
                <w:i w:val="0"/>
                <w:iCs w:val="0"/>
                <w:color w:val="000000"/>
                <w:sz w:val="18"/>
                <w:szCs w:val="18"/>
                <w:u w:val="none"/>
              </w:rPr>
            </w:pPr>
          </w:p>
        </w:tc>
        <w:tc>
          <w:tcPr>
            <w:tcW w:w="550" w:type="pct"/>
            <w:shd w:val="clear" w:color="auto" w:fill="auto"/>
            <w:vAlign w:val="center"/>
          </w:tcPr>
          <w:p w14:paraId="7EDAD28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仿宋_GB2312" w:cs="宋体"/>
                <w:i w:val="0"/>
                <w:iCs w:val="0"/>
                <w:color w:val="000000"/>
                <w:kern w:val="0"/>
                <w:sz w:val="18"/>
                <w:szCs w:val="18"/>
                <w:u w:val="none"/>
                <w:lang w:val="en-US" w:eastAsia="zh-CN" w:bidi="ar"/>
              </w:rPr>
              <w:t>实现效果</w:t>
            </w:r>
          </w:p>
        </w:tc>
        <w:tc>
          <w:tcPr>
            <w:tcW w:w="251" w:type="pct"/>
            <w:shd w:val="clear" w:color="auto" w:fill="auto"/>
            <w:vAlign w:val="center"/>
          </w:tcPr>
          <w:p w14:paraId="2927900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仿宋_GB2312" w:cs="宋体"/>
                <w:i w:val="0"/>
                <w:iCs w:val="0"/>
                <w:color w:val="000000"/>
                <w:kern w:val="0"/>
                <w:sz w:val="18"/>
                <w:szCs w:val="18"/>
                <w:u w:val="none"/>
                <w:lang w:val="en-US" w:eastAsia="zh-CN" w:bidi="ar"/>
              </w:rPr>
              <w:t>5</w:t>
            </w:r>
          </w:p>
        </w:tc>
        <w:tc>
          <w:tcPr>
            <w:tcW w:w="455" w:type="pct"/>
            <w:shd w:val="clear" w:color="auto" w:fill="auto"/>
            <w:vAlign w:val="center"/>
          </w:tcPr>
          <w:p w14:paraId="6BAB0CA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仿宋_GB2312" w:cs="宋体"/>
                <w:i w:val="0"/>
                <w:iCs w:val="0"/>
                <w:color w:val="000000"/>
                <w:kern w:val="0"/>
                <w:sz w:val="18"/>
                <w:szCs w:val="18"/>
                <w:u w:val="none"/>
                <w:lang w:val="en-US" w:eastAsia="zh-CN" w:bidi="ar"/>
              </w:rPr>
              <w:t>部门预算项目绩效目标效益指标实施效果</w:t>
            </w:r>
          </w:p>
        </w:tc>
        <w:tc>
          <w:tcPr>
            <w:tcW w:w="1111" w:type="pct"/>
            <w:shd w:val="clear" w:color="auto" w:fill="auto"/>
            <w:vAlign w:val="center"/>
          </w:tcPr>
          <w:p w14:paraId="44D67D4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仿宋_GB2312" w:cs="宋体"/>
                <w:i w:val="0"/>
                <w:iCs w:val="0"/>
                <w:color w:val="000000"/>
                <w:kern w:val="0"/>
                <w:sz w:val="18"/>
                <w:szCs w:val="18"/>
                <w:u w:val="none"/>
                <w:lang w:val="en-US" w:eastAsia="zh-CN" w:bidi="ar"/>
              </w:rPr>
              <w:t>该项指标得分=完成绩效目标效益指标的部门预算阶段项目（含一次性项目）数量÷部门预算阶段项目（含一次性项目）总数×100%×5。</w:t>
            </w:r>
          </w:p>
        </w:tc>
        <w:tc>
          <w:tcPr>
            <w:tcW w:w="343" w:type="pct"/>
            <w:shd w:val="clear" w:color="auto" w:fill="auto"/>
            <w:vAlign w:val="center"/>
          </w:tcPr>
          <w:p w14:paraId="6F2DEE7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仿宋_GB2312" w:cs="宋体"/>
                <w:i w:val="0"/>
                <w:iCs w:val="0"/>
                <w:color w:val="000000"/>
                <w:kern w:val="0"/>
                <w:sz w:val="18"/>
                <w:szCs w:val="18"/>
                <w:u w:val="none"/>
                <w:lang w:val="en-US" w:eastAsia="zh-CN" w:bidi="ar"/>
              </w:rPr>
              <w:t xml:space="preserve">4.33 </w:t>
            </w:r>
          </w:p>
        </w:tc>
        <w:tc>
          <w:tcPr>
            <w:tcW w:w="1821" w:type="pct"/>
            <w:shd w:val="clear" w:color="auto" w:fill="auto"/>
            <w:vAlign w:val="center"/>
          </w:tcPr>
          <w:p w14:paraId="6586D54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仿宋_GB2312" w:cs="宋体"/>
                <w:i w:val="0"/>
                <w:iCs w:val="0"/>
                <w:color w:val="000000"/>
                <w:kern w:val="0"/>
                <w:sz w:val="18"/>
                <w:szCs w:val="18"/>
                <w:u w:val="none"/>
                <w:lang w:val="en-US" w:eastAsia="zh-CN" w:bidi="ar"/>
              </w:rPr>
              <w:t>根据指标该项指标得分=完成绩效目标数量指标的部门预算阶段项目（含一次性项目）数量÷部门预算阶段项目（含一次性项目）总数×100%×6。；自评得4.33分。</w:t>
            </w:r>
          </w:p>
        </w:tc>
      </w:tr>
      <w:tr w14:paraId="34BBD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1" w:hRule="atLeast"/>
        </w:trPr>
        <w:tc>
          <w:tcPr>
            <w:tcW w:w="232" w:type="pct"/>
            <w:vMerge w:val="restart"/>
            <w:shd w:val="clear" w:color="auto" w:fill="auto"/>
            <w:vAlign w:val="center"/>
          </w:tcPr>
          <w:p w14:paraId="25C3153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b/>
                <w:bCs/>
                <w:i w:val="0"/>
                <w:iCs w:val="0"/>
                <w:color w:val="000000"/>
                <w:sz w:val="18"/>
                <w:szCs w:val="18"/>
                <w:u w:val="none"/>
              </w:rPr>
            </w:pPr>
            <w:r>
              <w:rPr>
                <w:rFonts w:hint="eastAsia" w:ascii="宋体" w:hAnsi="宋体" w:eastAsia="仿宋_GB2312" w:cs="宋体"/>
                <w:b/>
                <w:bCs/>
                <w:i w:val="0"/>
                <w:iCs w:val="0"/>
                <w:color w:val="000000"/>
                <w:kern w:val="0"/>
                <w:sz w:val="18"/>
                <w:szCs w:val="18"/>
                <w:u w:val="none"/>
                <w:lang w:val="en-US" w:eastAsia="zh-CN" w:bidi="ar"/>
              </w:rPr>
              <w:t>扣分项</w:t>
            </w:r>
          </w:p>
        </w:tc>
        <w:tc>
          <w:tcPr>
            <w:tcW w:w="234" w:type="pct"/>
            <w:vMerge w:val="restart"/>
            <w:shd w:val="clear" w:color="auto" w:fill="auto"/>
            <w:vAlign w:val="center"/>
          </w:tcPr>
          <w:p w14:paraId="5A22161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b/>
                <w:bCs/>
                <w:i w:val="0"/>
                <w:iCs w:val="0"/>
                <w:color w:val="000000"/>
                <w:sz w:val="18"/>
                <w:szCs w:val="18"/>
                <w:u w:val="none"/>
              </w:rPr>
            </w:pPr>
            <w:r>
              <w:rPr>
                <w:rFonts w:hint="eastAsia" w:ascii="宋体" w:hAnsi="宋体" w:eastAsia="仿宋_GB2312" w:cs="宋体"/>
                <w:b/>
                <w:bCs/>
                <w:i w:val="0"/>
                <w:iCs w:val="0"/>
                <w:color w:val="000000"/>
                <w:kern w:val="0"/>
                <w:sz w:val="18"/>
                <w:szCs w:val="18"/>
                <w:u w:val="none"/>
                <w:lang w:val="en-US" w:eastAsia="zh-CN" w:bidi="ar"/>
              </w:rPr>
              <w:t>财务管理</w:t>
            </w:r>
          </w:p>
        </w:tc>
        <w:tc>
          <w:tcPr>
            <w:tcW w:w="550" w:type="pct"/>
            <w:shd w:val="clear" w:color="auto" w:fill="auto"/>
            <w:vAlign w:val="center"/>
          </w:tcPr>
          <w:p w14:paraId="053DD94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仿宋_GB2312" w:cs="宋体"/>
                <w:i w:val="0"/>
                <w:iCs w:val="0"/>
                <w:color w:val="000000"/>
                <w:kern w:val="0"/>
                <w:sz w:val="18"/>
                <w:szCs w:val="18"/>
                <w:u w:val="none"/>
                <w:lang w:val="en-US" w:eastAsia="zh-CN" w:bidi="ar"/>
              </w:rPr>
              <w:t>财务管理制度</w:t>
            </w:r>
          </w:p>
        </w:tc>
        <w:tc>
          <w:tcPr>
            <w:tcW w:w="251" w:type="pct"/>
            <w:shd w:val="clear" w:color="auto" w:fill="auto"/>
            <w:vAlign w:val="center"/>
          </w:tcPr>
          <w:p w14:paraId="4C75CFB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仿宋_GB2312" w:cs="宋体"/>
                <w:i w:val="0"/>
                <w:iCs w:val="0"/>
                <w:color w:val="000000"/>
                <w:kern w:val="0"/>
                <w:sz w:val="18"/>
                <w:szCs w:val="18"/>
                <w:u w:val="none"/>
                <w:lang w:val="en-US" w:eastAsia="zh-CN" w:bidi="ar"/>
              </w:rPr>
              <w:t>-</w:t>
            </w:r>
          </w:p>
        </w:tc>
        <w:tc>
          <w:tcPr>
            <w:tcW w:w="455" w:type="pct"/>
            <w:shd w:val="clear" w:color="auto" w:fill="auto"/>
            <w:vAlign w:val="center"/>
          </w:tcPr>
          <w:p w14:paraId="472E3A8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仿宋_GB2312" w:cs="宋体"/>
                <w:i w:val="0"/>
                <w:iCs w:val="0"/>
                <w:color w:val="000000"/>
                <w:kern w:val="0"/>
                <w:sz w:val="18"/>
                <w:szCs w:val="18"/>
                <w:u w:val="none"/>
                <w:lang w:val="en-US" w:eastAsia="zh-CN" w:bidi="ar"/>
              </w:rPr>
              <w:t>部门财务管理制度建立情况</w:t>
            </w:r>
          </w:p>
        </w:tc>
        <w:tc>
          <w:tcPr>
            <w:tcW w:w="1111" w:type="pct"/>
            <w:shd w:val="clear" w:color="auto" w:fill="auto"/>
            <w:vAlign w:val="center"/>
          </w:tcPr>
          <w:p w14:paraId="104930F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仿宋_GB2312" w:cs="宋体"/>
                <w:i w:val="0"/>
                <w:iCs w:val="0"/>
                <w:color w:val="000000"/>
                <w:kern w:val="0"/>
                <w:sz w:val="18"/>
                <w:szCs w:val="18"/>
                <w:u w:val="none"/>
                <w:lang w:val="en-US" w:eastAsia="zh-CN" w:bidi="ar"/>
              </w:rPr>
              <w:t>部门未制定内部财务管理制度等制度机制的,财务管理制度未得到落实，发现一处扣1分，扣完为止。</w:t>
            </w:r>
          </w:p>
        </w:tc>
        <w:tc>
          <w:tcPr>
            <w:tcW w:w="343" w:type="pct"/>
            <w:shd w:val="clear" w:color="auto" w:fill="auto"/>
            <w:vAlign w:val="center"/>
          </w:tcPr>
          <w:p w14:paraId="6E1CFD7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仿宋_GB2312" w:cs="宋体"/>
                <w:i w:val="0"/>
                <w:iCs w:val="0"/>
                <w:color w:val="000000"/>
                <w:kern w:val="0"/>
                <w:sz w:val="18"/>
                <w:szCs w:val="18"/>
                <w:u w:val="none"/>
                <w:lang w:val="en-US" w:eastAsia="zh-CN" w:bidi="ar"/>
              </w:rPr>
              <w:t>0</w:t>
            </w:r>
          </w:p>
        </w:tc>
        <w:tc>
          <w:tcPr>
            <w:tcW w:w="1821" w:type="pct"/>
            <w:shd w:val="clear" w:color="auto" w:fill="auto"/>
            <w:vAlign w:val="center"/>
          </w:tcPr>
          <w:p w14:paraId="25A243A4">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r>
      <w:tr w14:paraId="7B326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1" w:hRule="atLeast"/>
        </w:trPr>
        <w:tc>
          <w:tcPr>
            <w:tcW w:w="232" w:type="pct"/>
            <w:vMerge w:val="continue"/>
            <w:shd w:val="clear" w:color="auto" w:fill="auto"/>
            <w:vAlign w:val="center"/>
          </w:tcPr>
          <w:p w14:paraId="4B85A7C3">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b/>
                <w:bCs/>
                <w:i w:val="0"/>
                <w:iCs w:val="0"/>
                <w:color w:val="000000"/>
                <w:sz w:val="18"/>
                <w:szCs w:val="18"/>
                <w:u w:val="none"/>
              </w:rPr>
            </w:pPr>
          </w:p>
        </w:tc>
        <w:tc>
          <w:tcPr>
            <w:tcW w:w="234" w:type="pct"/>
            <w:vMerge w:val="continue"/>
            <w:shd w:val="clear" w:color="auto" w:fill="auto"/>
            <w:vAlign w:val="center"/>
          </w:tcPr>
          <w:p w14:paraId="207C2579">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b/>
                <w:bCs/>
                <w:i w:val="0"/>
                <w:iCs w:val="0"/>
                <w:color w:val="000000"/>
                <w:sz w:val="18"/>
                <w:szCs w:val="18"/>
                <w:u w:val="none"/>
              </w:rPr>
            </w:pPr>
          </w:p>
        </w:tc>
        <w:tc>
          <w:tcPr>
            <w:tcW w:w="550" w:type="pct"/>
            <w:shd w:val="clear" w:color="auto" w:fill="auto"/>
            <w:vAlign w:val="center"/>
          </w:tcPr>
          <w:p w14:paraId="0FBCB68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仿宋_GB2312" w:cs="宋体"/>
                <w:i w:val="0"/>
                <w:iCs w:val="0"/>
                <w:color w:val="000000"/>
                <w:kern w:val="0"/>
                <w:sz w:val="18"/>
                <w:szCs w:val="18"/>
                <w:u w:val="none"/>
                <w:lang w:val="en-US" w:eastAsia="zh-CN" w:bidi="ar"/>
              </w:rPr>
              <w:t>财务岗位设置</w:t>
            </w:r>
          </w:p>
        </w:tc>
        <w:tc>
          <w:tcPr>
            <w:tcW w:w="251" w:type="pct"/>
            <w:shd w:val="clear" w:color="auto" w:fill="auto"/>
            <w:vAlign w:val="center"/>
          </w:tcPr>
          <w:p w14:paraId="73AA144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仿宋_GB2312" w:cs="宋体"/>
                <w:i w:val="0"/>
                <w:iCs w:val="0"/>
                <w:color w:val="000000"/>
                <w:kern w:val="0"/>
                <w:sz w:val="18"/>
                <w:szCs w:val="18"/>
                <w:u w:val="none"/>
                <w:lang w:val="en-US" w:eastAsia="zh-CN" w:bidi="ar"/>
              </w:rPr>
              <w:t>-</w:t>
            </w:r>
          </w:p>
        </w:tc>
        <w:tc>
          <w:tcPr>
            <w:tcW w:w="455" w:type="pct"/>
            <w:shd w:val="clear" w:color="auto" w:fill="auto"/>
            <w:vAlign w:val="center"/>
          </w:tcPr>
          <w:p w14:paraId="7876E8A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仿宋_GB2312" w:cs="宋体"/>
                <w:i w:val="0"/>
                <w:iCs w:val="0"/>
                <w:color w:val="000000"/>
                <w:kern w:val="0"/>
                <w:sz w:val="18"/>
                <w:szCs w:val="18"/>
                <w:u w:val="none"/>
                <w:lang w:val="en-US" w:eastAsia="zh-CN" w:bidi="ar"/>
              </w:rPr>
              <w:t>部门财务岗位设置是否符合相关财务管理制度要求</w:t>
            </w:r>
          </w:p>
        </w:tc>
        <w:tc>
          <w:tcPr>
            <w:tcW w:w="1111" w:type="pct"/>
            <w:shd w:val="clear" w:color="auto" w:fill="auto"/>
            <w:vAlign w:val="center"/>
          </w:tcPr>
          <w:p w14:paraId="4A1A36A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仿宋_GB2312" w:cs="宋体"/>
                <w:i w:val="0"/>
                <w:iCs w:val="0"/>
                <w:color w:val="000000"/>
                <w:kern w:val="0"/>
                <w:sz w:val="18"/>
                <w:szCs w:val="18"/>
                <w:u w:val="none"/>
                <w:lang w:val="en-US" w:eastAsia="zh-CN" w:bidi="ar"/>
              </w:rPr>
              <w:t>部门未合理设置财务工作岗位，职责权限不明确，未严格实行不相容岗位分离，发现一处扣1分，扣完为止。</w:t>
            </w:r>
          </w:p>
        </w:tc>
        <w:tc>
          <w:tcPr>
            <w:tcW w:w="343" w:type="pct"/>
            <w:shd w:val="clear" w:color="auto" w:fill="auto"/>
            <w:vAlign w:val="center"/>
          </w:tcPr>
          <w:p w14:paraId="6231AE8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仿宋_GB2312" w:cs="宋体"/>
                <w:i w:val="0"/>
                <w:iCs w:val="0"/>
                <w:color w:val="000000"/>
                <w:kern w:val="0"/>
                <w:sz w:val="18"/>
                <w:szCs w:val="18"/>
                <w:u w:val="none"/>
                <w:lang w:val="en-US" w:eastAsia="zh-CN" w:bidi="ar"/>
              </w:rPr>
              <w:t>0</w:t>
            </w:r>
          </w:p>
        </w:tc>
        <w:tc>
          <w:tcPr>
            <w:tcW w:w="1821" w:type="pct"/>
            <w:shd w:val="clear" w:color="auto" w:fill="auto"/>
            <w:vAlign w:val="center"/>
          </w:tcPr>
          <w:p w14:paraId="572F8DF3">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r>
      <w:tr w14:paraId="5C041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7" w:hRule="atLeast"/>
        </w:trPr>
        <w:tc>
          <w:tcPr>
            <w:tcW w:w="232" w:type="pct"/>
            <w:vMerge w:val="continue"/>
            <w:shd w:val="clear" w:color="auto" w:fill="auto"/>
            <w:vAlign w:val="center"/>
          </w:tcPr>
          <w:p w14:paraId="60526857">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b/>
                <w:bCs/>
                <w:i w:val="0"/>
                <w:iCs w:val="0"/>
                <w:color w:val="000000"/>
                <w:sz w:val="18"/>
                <w:szCs w:val="18"/>
                <w:u w:val="none"/>
              </w:rPr>
            </w:pPr>
          </w:p>
        </w:tc>
        <w:tc>
          <w:tcPr>
            <w:tcW w:w="234" w:type="pct"/>
            <w:vMerge w:val="continue"/>
            <w:shd w:val="clear" w:color="auto" w:fill="auto"/>
            <w:vAlign w:val="center"/>
          </w:tcPr>
          <w:p w14:paraId="04E0EDC5">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b/>
                <w:bCs/>
                <w:i w:val="0"/>
                <w:iCs w:val="0"/>
                <w:color w:val="000000"/>
                <w:sz w:val="18"/>
                <w:szCs w:val="18"/>
                <w:u w:val="none"/>
              </w:rPr>
            </w:pPr>
          </w:p>
        </w:tc>
        <w:tc>
          <w:tcPr>
            <w:tcW w:w="550" w:type="pct"/>
            <w:shd w:val="clear" w:color="auto" w:fill="auto"/>
            <w:vAlign w:val="center"/>
          </w:tcPr>
          <w:p w14:paraId="51E8ABC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仿宋_GB2312" w:cs="宋体"/>
                <w:i w:val="0"/>
                <w:iCs w:val="0"/>
                <w:color w:val="000000"/>
                <w:kern w:val="0"/>
                <w:sz w:val="18"/>
                <w:szCs w:val="18"/>
                <w:u w:val="none"/>
                <w:lang w:val="en-US" w:eastAsia="zh-CN" w:bidi="ar"/>
              </w:rPr>
              <w:t>资金使用规范</w:t>
            </w:r>
          </w:p>
        </w:tc>
        <w:tc>
          <w:tcPr>
            <w:tcW w:w="251" w:type="pct"/>
            <w:shd w:val="clear" w:color="auto" w:fill="auto"/>
            <w:vAlign w:val="center"/>
          </w:tcPr>
          <w:p w14:paraId="1396CE0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仿宋_GB2312" w:cs="宋体"/>
                <w:i w:val="0"/>
                <w:iCs w:val="0"/>
                <w:color w:val="000000"/>
                <w:kern w:val="0"/>
                <w:sz w:val="18"/>
                <w:szCs w:val="18"/>
                <w:u w:val="none"/>
                <w:lang w:val="en-US" w:eastAsia="zh-CN" w:bidi="ar"/>
              </w:rPr>
              <w:t>-</w:t>
            </w:r>
          </w:p>
        </w:tc>
        <w:tc>
          <w:tcPr>
            <w:tcW w:w="455" w:type="pct"/>
            <w:shd w:val="clear" w:color="auto" w:fill="auto"/>
            <w:vAlign w:val="center"/>
          </w:tcPr>
          <w:p w14:paraId="012F162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仿宋_GB2312" w:cs="宋体"/>
                <w:i w:val="0"/>
                <w:iCs w:val="0"/>
                <w:color w:val="000000"/>
                <w:kern w:val="0"/>
                <w:sz w:val="18"/>
                <w:szCs w:val="18"/>
                <w:u w:val="none"/>
                <w:lang w:val="en-US" w:eastAsia="zh-CN" w:bidi="ar"/>
              </w:rPr>
              <w:t>部门资金使用是否符合相关财务管理制度规定</w:t>
            </w:r>
          </w:p>
        </w:tc>
        <w:tc>
          <w:tcPr>
            <w:tcW w:w="1111" w:type="pct"/>
            <w:shd w:val="clear" w:color="auto" w:fill="auto"/>
            <w:vAlign w:val="center"/>
          </w:tcPr>
          <w:p w14:paraId="6811A71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仿宋_GB2312" w:cs="宋体"/>
                <w:i w:val="0"/>
                <w:iCs w:val="0"/>
                <w:color w:val="000000"/>
                <w:kern w:val="0"/>
                <w:sz w:val="18"/>
                <w:szCs w:val="18"/>
                <w:u w:val="none"/>
                <w:lang w:val="en-US" w:eastAsia="zh-CN" w:bidi="ar"/>
              </w:rPr>
              <w:t>部门资金使用不符合相关财务管理制度规定的，发现一处扣1分，扣完为止。</w:t>
            </w:r>
          </w:p>
        </w:tc>
        <w:tc>
          <w:tcPr>
            <w:tcW w:w="343" w:type="pct"/>
            <w:shd w:val="clear" w:color="auto" w:fill="auto"/>
            <w:vAlign w:val="center"/>
          </w:tcPr>
          <w:p w14:paraId="06D610F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仿宋_GB2312" w:cs="宋体"/>
                <w:i w:val="0"/>
                <w:iCs w:val="0"/>
                <w:color w:val="000000"/>
                <w:kern w:val="0"/>
                <w:sz w:val="18"/>
                <w:szCs w:val="18"/>
                <w:u w:val="none"/>
                <w:lang w:val="en-US" w:eastAsia="zh-CN" w:bidi="ar"/>
              </w:rPr>
              <w:t>0</w:t>
            </w:r>
          </w:p>
        </w:tc>
        <w:tc>
          <w:tcPr>
            <w:tcW w:w="1821" w:type="pct"/>
            <w:shd w:val="clear" w:color="auto" w:fill="auto"/>
            <w:vAlign w:val="center"/>
          </w:tcPr>
          <w:p w14:paraId="5FCD7273">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r>
      <w:tr w14:paraId="68017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8" w:hRule="atLeast"/>
        </w:trPr>
        <w:tc>
          <w:tcPr>
            <w:tcW w:w="232" w:type="pct"/>
            <w:vMerge w:val="continue"/>
            <w:shd w:val="clear" w:color="auto" w:fill="auto"/>
            <w:vAlign w:val="center"/>
          </w:tcPr>
          <w:p w14:paraId="37EFB5A6">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b/>
                <w:bCs/>
                <w:i w:val="0"/>
                <w:iCs w:val="0"/>
                <w:color w:val="000000"/>
                <w:sz w:val="18"/>
                <w:szCs w:val="18"/>
                <w:u w:val="none"/>
              </w:rPr>
            </w:pPr>
          </w:p>
        </w:tc>
        <w:tc>
          <w:tcPr>
            <w:tcW w:w="784" w:type="pct"/>
            <w:gridSpan w:val="2"/>
            <w:shd w:val="clear" w:color="auto" w:fill="auto"/>
            <w:vAlign w:val="center"/>
          </w:tcPr>
          <w:p w14:paraId="295D636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仿宋_GB2312" w:cs="宋体"/>
                <w:i w:val="0"/>
                <w:iCs w:val="0"/>
                <w:color w:val="000000"/>
                <w:kern w:val="0"/>
                <w:sz w:val="18"/>
                <w:szCs w:val="18"/>
                <w:u w:val="none"/>
                <w:lang w:val="en-US" w:eastAsia="zh-CN" w:bidi="ar"/>
              </w:rPr>
              <w:t>预算绩效存在问题</w:t>
            </w:r>
          </w:p>
        </w:tc>
        <w:tc>
          <w:tcPr>
            <w:tcW w:w="251" w:type="pct"/>
            <w:shd w:val="clear" w:color="auto" w:fill="auto"/>
            <w:vAlign w:val="center"/>
          </w:tcPr>
          <w:p w14:paraId="168E8AD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仿宋_GB2312" w:cs="宋体"/>
                <w:i w:val="0"/>
                <w:iCs w:val="0"/>
                <w:color w:val="000000"/>
                <w:kern w:val="0"/>
                <w:sz w:val="18"/>
                <w:szCs w:val="18"/>
                <w:u w:val="none"/>
                <w:lang w:val="en-US" w:eastAsia="zh-CN" w:bidi="ar"/>
              </w:rPr>
              <w:t>-</w:t>
            </w:r>
          </w:p>
        </w:tc>
        <w:tc>
          <w:tcPr>
            <w:tcW w:w="455" w:type="pct"/>
            <w:shd w:val="clear" w:color="auto" w:fill="auto"/>
            <w:vAlign w:val="center"/>
          </w:tcPr>
          <w:p w14:paraId="0C88FC2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仿宋_GB2312" w:cs="宋体"/>
                <w:i w:val="0"/>
                <w:iCs w:val="0"/>
                <w:color w:val="000000"/>
                <w:kern w:val="0"/>
                <w:sz w:val="18"/>
                <w:szCs w:val="18"/>
                <w:u w:val="none"/>
                <w:lang w:val="en-US" w:eastAsia="zh-CN" w:bidi="ar"/>
              </w:rPr>
              <w:t>预算管理和绩效管理工作存在问题</w:t>
            </w:r>
          </w:p>
        </w:tc>
        <w:tc>
          <w:tcPr>
            <w:tcW w:w="1111" w:type="pct"/>
            <w:shd w:val="clear" w:color="auto" w:fill="auto"/>
            <w:vAlign w:val="center"/>
          </w:tcPr>
          <w:p w14:paraId="0C4F20C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仿宋_GB2312" w:cs="宋体"/>
                <w:i w:val="0"/>
                <w:iCs w:val="0"/>
                <w:color w:val="000000"/>
                <w:kern w:val="0"/>
                <w:sz w:val="18"/>
                <w:szCs w:val="18"/>
                <w:u w:val="none"/>
                <w:lang w:val="en-US" w:eastAsia="zh-CN" w:bidi="ar"/>
              </w:rPr>
              <w:t>依据评价年度人大监督、巡视巡察、审计监督、财会监督等结果以及评价指标体系涉及的履职效果、预算管理、财务管理、资产管理、采购管理、项目绩效等方面出现的问题，每有一个问题点扣1分，扣完为止。</w:t>
            </w:r>
          </w:p>
        </w:tc>
        <w:tc>
          <w:tcPr>
            <w:tcW w:w="343" w:type="pct"/>
            <w:shd w:val="clear" w:color="auto" w:fill="auto"/>
            <w:vAlign w:val="center"/>
          </w:tcPr>
          <w:p w14:paraId="3C8A1F1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仿宋_GB2312" w:cs="宋体"/>
                <w:i w:val="0"/>
                <w:iCs w:val="0"/>
                <w:color w:val="000000"/>
                <w:kern w:val="0"/>
                <w:sz w:val="18"/>
                <w:szCs w:val="18"/>
                <w:u w:val="none"/>
                <w:lang w:val="en-US" w:eastAsia="zh-CN" w:bidi="ar"/>
              </w:rPr>
              <w:t>0</w:t>
            </w:r>
          </w:p>
        </w:tc>
        <w:tc>
          <w:tcPr>
            <w:tcW w:w="1821" w:type="pct"/>
            <w:shd w:val="clear" w:color="auto" w:fill="auto"/>
            <w:vAlign w:val="center"/>
          </w:tcPr>
          <w:p w14:paraId="7511C34A">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r>
      <w:tr w14:paraId="4DD72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4" w:hRule="atLeast"/>
        </w:trPr>
        <w:tc>
          <w:tcPr>
            <w:tcW w:w="232" w:type="pct"/>
            <w:vMerge w:val="continue"/>
            <w:shd w:val="clear" w:color="auto" w:fill="auto"/>
            <w:vAlign w:val="center"/>
          </w:tcPr>
          <w:p w14:paraId="6192FA60">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b/>
                <w:bCs/>
                <w:i w:val="0"/>
                <w:iCs w:val="0"/>
                <w:color w:val="000000"/>
                <w:sz w:val="18"/>
                <w:szCs w:val="18"/>
                <w:u w:val="none"/>
              </w:rPr>
            </w:pPr>
          </w:p>
        </w:tc>
        <w:tc>
          <w:tcPr>
            <w:tcW w:w="784" w:type="pct"/>
            <w:gridSpan w:val="2"/>
            <w:shd w:val="clear" w:color="auto" w:fill="auto"/>
            <w:vAlign w:val="center"/>
          </w:tcPr>
          <w:p w14:paraId="5DCBB07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仿宋_GB2312" w:cs="宋体"/>
                <w:i w:val="0"/>
                <w:iCs w:val="0"/>
                <w:color w:val="000000"/>
                <w:kern w:val="0"/>
                <w:sz w:val="18"/>
                <w:szCs w:val="18"/>
                <w:u w:val="none"/>
                <w:lang w:val="en-US" w:eastAsia="zh-CN" w:bidi="ar"/>
              </w:rPr>
              <w:t>被评价部门配合度</w:t>
            </w:r>
          </w:p>
        </w:tc>
        <w:tc>
          <w:tcPr>
            <w:tcW w:w="251" w:type="pct"/>
            <w:shd w:val="clear" w:color="auto" w:fill="auto"/>
            <w:vAlign w:val="center"/>
          </w:tcPr>
          <w:p w14:paraId="5FC05E3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仿宋_GB2312" w:cs="宋体"/>
                <w:i w:val="0"/>
                <w:iCs w:val="0"/>
                <w:color w:val="000000"/>
                <w:kern w:val="0"/>
                <w:sz w:val="18"/>
                <w:szCs w:val="18"/>
                <w:u w:val="none"/>
                <w:lang w:val="en-US" w:eastAsia="zh-CN" w:bidi="ar"/>
              </w:rPr>
              <w:t>-</w:t>
            </w:r>
          </w:p>
        </w:tc>
        <w:tc>
          <w:tcPr>
            <w:tcW w:w="455" w:type="pct"/>
            <w:shd w:val="clear" w:color="auto" w:fill="auto"/>
            <w:vAlign w:val="center"/>
          </w:tcPr>
          <w:p w14:paraId="5C7202B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仿宋_GB2312" w:cs="宋体"/>
                <w:i w:val="0"/>
                <w:iCs w:val="0"/>
                <w:color w:val="000000"/>
                <w:kern w:val="0"/>
                <w:sz w:val="18"/>
                <w:szCs w:val="18"/>
                <w:u w:val="none"/>
                <w:lang w:val="en-US" w:eastAsia="zh-CN" w:bidi="ar"/>
              </w:rPr>
              <w:t>被评价对象工作配合情况</w:t>
            </w:r>
          </w:p>
        </w:tc>
        <w:tc>
          <w:tcPr>
            <w:tcW w:w="1111" w:type="pct"/>
            <w:shd w:val="clear" w:color="auto" w:fill="auto"/>
            <w:vAlign w:val="center"/>
          </w:tcPr>
          <w:p w14:paraId="5E9AF56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仿宋_GB2312" w:cs="宋体"/>
                <w:i w:val="0"/>
                <w:iCs w:val="0"/>
                <w:color w:val="000000"/>
                <w:kern w:val="0"/>
                <w:sz w:val="18"/>
                <w:szCs w:val="18"/>
                <w:u w:val="none"/>
                <w:lang w:val="en-US" w:eastAsia="zh-CN" w:bidi="ar"/>
              </w:rPr>
              <w:t>评价工作开展过程中，被评价对象拖延推诿、提交资料不及时等拒不配合评价工作的，每发现一次扣1分，扣完为止。</w:t>
            </w:r>
          </w:p>
        </w:tc>
        <w:tc>
          <w:tcPr>
            <w:tcW w:w="343" w:type="pct"/>
            <w:shd w:val="clear" w:color="auto" w:fill="auto"/>
            <w:vAlign w:val="center"/>
          </w:tcPr>
          <w:p w14:paraId="5DC7CEC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仿宋_GB2312" w:cs="宋体"/>
                <w:i w:val="0"/>
                <w:iCs w:val="0"/>
                <w:color w:val="000000"/>
                <w:kern w:val="0"/>
                <w:sz w:val="18"/>
                <w:szCs w:val="18"/>
                <w:u w:val="none"/>
                <w:lang w:val="en-US" w:eastAsia="zh-CN" w:bidi="ar"/>
              </w:rPr>
              <w:t>0</w:t>
            </w:r>
          </w:p>
        </w:tc>
        <w:tc>
          <w:tcPr>
            <w:tcW w:w="1821" w:type="pct"/>
            <w:shd w:val="clear" w:color="auto" w:fill="auto"/>
            <w:vAlign w:val="center"/>
          </w:tcPr>
          <w:p w14:paraId="6A5DEDEB">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r>
      <w:tr w14:paraId="52EFA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016" w:type="pct"/>
            <w:gridSpan w:val="3"/>
            <w:shd w:val="clear" w:color="auto" w:fill="auto"/>
            <w:noWrap/>
            <w:vAlign w:val="center"/>
          </w:tcPr>
          <w:p w14:paraId="676C0EC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仿宋_GB2312" w:cs="宋体"/>
                <w:i w:val="0"/>
                <w:iCs w:val="0"/>
                <w:color w:val="000000"/>
                <w:kern w:val="0"/>
                <w:sz w:val="18"/>
                <w:szCs w:val="18"/>
                <w:u w:val="none"/>
                <w:lang w:val="en-US" w:eastAsia="zh-CN" w:bidi="ar"/>
              </w:rPr>
              <w:t>分值</w:t>
            </w:r>
          </w:p>
        </w:tc>
        <w:tc>
          <w:tcPr>
            <w:tcW w:w="251" w:type="pct"/>
            <w:shd w:val="clear" w:color="auto" w:fill="auto"/>
            <w:noWrap/>
            <w:vAlign w:val="center"/>
          </w:tcPr>
          <w:p w14:paraId="41AEA833">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c>
          <w:tcPr>
            <w:tcW w:w="455" w:type="pct"/>
            <w:shd w:val="clear" w:color="auto" w:fill="auto"/>
            <w:noWrap/>
            <w:vAlign w:val="center"/>
          </w:tcPr>
          <w:p w14:paraId="20F40D4C">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c>
          <w:tcPr>
            <w:tcW w:w="1111" w:type="pct"/>
            <w:shd w:val="clear" w:color="auto" w:fill="auto"/>
            <w:noWrap/>
            <w:vAlign w:val="center"/>
          </w:tcPr>
          <w:p w14:paraId="74FB8FC8">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c>
          <w:tcPr>
            <w:tcW w:w="343" w:type="pct"/>
            <w:shd w:val="clear" w:color="auto" w:fill="auto"/>
            <w:noWrap/>
            <w:vAlign w:val="center"/>
          </w:tcPr>
          <w:p w14:paraId="01670F9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仿宋_GB2312" w:cs="宋体"/>
                <w:i w:val="0"/>
                <w:iCs w:val="0"/>
                <w:color w:val="000000"/>
                <w:kern w:val="0"/>
                <w:sz w:val="18"/>
                <w:szCs w:val="18"/>
                <w:u w:val="none"/>
                <w:lang w:val="en-US" w:eastAsia="zh-CN" w:bidi="ar"/>
              </w:rPr>
              <w:t xml:space="preserve">87.83 </w:t>
            </w:r>
          </w:p>
        </w:tc>
        <w:tc>
          <w:tcPr>
            <w:tcW w:w="1821" w:type="pct"/>
            <w:shd w:val="clear" w:color="auto" w:fill="auto"/>
            <w:noWrap/>
            <w:vAlign w:val="center"/>
          </w:tcPr>
          <w:p w14:paraId="4FACF57B">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r>
    </w:tbl>
    <w:p w14:paraId="1A709408">
      <w:pPr>
        <w:rPr>
          <w:rFonts w:hint="default" w:ascii="Times New Roman" w:hAnsi="Times New Roman" w:eastAsia="黑体" w:cs="Times New Roman"/>
          <w:b w:val="0"/>
          <w:bCs w:val="0"/>
          <w:i w:val="0"/>
          <w:iCs w:val="0"/>
          <w:color w:val="auto"/>
          <w:kern w:val="0"/>
          <w:sz w:val="32"/>
          <w:szCs w:val="32"/>
          <w:highlight w:val="none"/>
          <w:shd w:val="clear" w:color="auto" w:fill="FFFFFF"/>
          <w:lang w:val="zh-CN"/>
        </w:rPr>
      </w:pPr>
      <w:r>
        <w:rPr>
          <w:rFonts w:hint="default" w:ascii="Times New Roman" w:hAnsi="Times New Roman" w:eastAsia="黑体" w:cs="Times New Roman"/>
          <w:b w:val="0"/>
          <w:bCs w:val="0"/>
          <w:i w:val="0"/>
          <w:iCs w:val="0"/>
          <w:color w:val="auto"/>
          <w:kern w:val="0"/>
          <w:sz w:val="32"/>
          <w:szCs w:val="32"/>
          <w:highlight w:val="none"/>
          <w:shd w:val="clear" w:color="auto" w:fill="FFFFFF"/>
          <w:lang w:val="zh-CN"/>
        </w:rPr>
        <w:br w:type="page"/>
      </w:r>
    </w:p>
    <w:p w14:paraId="04453EB0">
      <w:pPr>
        <w:pStyle w:val="44"/>
        <w:keepNext w:val="0"/>
        <w:keepLines w:val="0"/>
        <w:pageBreakBefore w:val="0"/>
        <w:widowControl w:val="0"/>
        <w:kinsoku/>
        <w:wordWrap/>
        <w:overflowPunct/>
        <w:topLinePunct w:val="0"/>
        <w:autoSpaceDE/>
        <w:autoSpaceDN/>
        <w:bidi w:val="0"/>
        <w:spacing w:line="578" w:lineRule="exact"/>
        <w:ind w:left="0" w:leftChars="0"/>
        <w:jc w:val="center"/>
        <w:textAlignment w:val="auto"/>
        <w:rPr>
          <w:rFonts w:hint="eastAsia" w:ascii="方正小标宋简体" w:hAnsi="方正小标宋简体" w:eastAsia="方正小标宋简体" w:cs="方正小标宋简体"/>
          <w:color w:val="auto"/>
          <w:kern w:val="2"/>
          <w:sz w:val="44"/>
          <w:szCs w:val="44"/>
          <w:highlight w:val="none"/>
          <w:lang w:val="en-US" w:eastAsia="zh-CN"/>
        </w:rPr>
      </w:pPr>
    </w:p>
    <w:tbl>
      <w:tblPr>
        <w:tblStyle w:val="2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18"/>
        <w:gridCol w:w="818"/>
        <w:gridCol w:w="818"/>
        <w:gridCol w:w="818"/>
        <w:gridCol w:w="820"/>
        <w:gridCol w:w="818"/>
        <w:gridCol w:w="821"/>
        <w:gridCol w:w="846"/>
        <w:gridCol w:w="819"/>
        <w:gridCol w:w="819"/>
        <w:gridCol w:w="846"/>
      </w:tblGrid>
      <w:tr w14:paraId="3A33A1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0" w:hRule="atLeast"/>
        </w:trPr>
        <w:tc>
          <w:tcPr>
            <w:tcW w:w="5000"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4643696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黑体" w:hAnsi="宋体" w:eastAsia="黑体" w:cs="黑体"/>
                <w:b/>
                <w:bCs/>
                <w:i w:val="0"/>
                <w:iCs w:val="0"/>
                <w:color w:val="000000"/>
                <w:sz w:val="18"/>
                <w:szCs w:val="18"/>
                <w:u w:val="none"/>
              </w:rPr>
            </w:pPr>
            <w:r>
              <w:rPr>
                <w:rFonts w:hint="eastAsia" w:ascii="黑体" w:hAnsi="宋体" w:eastAsia="黑体" w:cs="黑体"/>
                <w:b/>
                <w:bCs/>
                <w:i w:val="0"/>
                <w:iCs w:val="0"/>
                <w:color w:val="000000"/>
                <w:kern w:val="0"/>
                <w:sz w:val="18"/>
                <w:szCs w:val="18"/>
                <w:u w:val="none"/>
                <w:lang w:val="en-US" w:eastAsia="zh-CN" w:bidi="ar"/>
              </w:rPr>
              <w:t>部门预算项目支出绩效自评表（2024年度）</w:t>
            </w:r>
          </w:p>
        </w:tc>
      </w:tr>
      <w:tr w14:paraId="27D150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90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95989D">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项目名称</w:t>
            </w:r>
          </w:p>
        </w:tc>
        <w:tc>
          <w:tcPr>
            <w:tcW w:w="4091"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D066581">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51090424T000011119872-2024年萝卜园水库运行维护费</w:t>
            </w:r>
          </w:p>
        </w:tc>
      </w:tr>
      <w:tr w14:paraId="7425EB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0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E54A108">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主管部门</w:t>
            </w:r>
          </w:p>
        </w:tc>
        <w:tc>
          <w:tcPr>
            <w:tcW w:w="2272"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B2F29AC">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遂宁市安居区水利局部门</w:t>
            </w:r>
          </w:p>
        </w:tc>
        <w:tc>
          <w:tcPr>
            <w:tcW w:w="454" w:type="pct"/>
            <w:tcBorders>
              <w:top w:val="nil"/>
              <w:left w:val="nil"/>
              <w:bottom w:val="nil"/>
              <w:right w:val="nil"/>
            </w:tcBorders>
            <w:shd w:val="clear" w:color="auto" w:fill="auto"/>
            <w:vAlign w:val="center"/>
          </w:tcPr>
          <w:p w14:paraId="7EE45C86">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1364"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138CC7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遂宁市安居区水利局</w:t>
            </w:r>
          </w:p>
        </w:tc>
      </w:tr>
      <w:tr w14:paraId="7CD17B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5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6CE000">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项目基本情况</w:t>
            </w:r>
          </w:p>
        </w:tc>
        <w:tc>
          <w:tcPr>
            <w:tcW w:w="45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90096A">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1.项目年度目标完成情况</w:t>
            </w:r>
          </w:p>
        </w:tc>
        <w:tc>
          <w:tcPr>
            <w:tcW w:w="2272"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E37758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项目年度目标</w:t>
            </w:r>
          </w:p>
        </w:tc>
        <w:tc>
          <w:tcPr>
            <w:tcW w:w="1818"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C482CB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064D4C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ECD2C2">
            <w:pPr>
              <w:keepNext w:val="0"/>
              <w:keepLines w:val="0"/>
              <w:pageBreakBefore w:val="0"/>
              <w:kinsoku/>
              <w:wordWrap/>
              <w:overflowPunct/>
              <w:topLinePunct w:val="0"/>
              <w:autoSpaceDE/>
              <w:autoSpaceDN/>
              <w:bidi w:val="0"/>
              <w:adjustRightInd/>
              <w:snapToGrid/>
              <w:spacing w:line="240" w:lineRule="exact"/>
              <w:rPr>
                <w:rFonts w:hint="eastAsia" w:ascii="宋体" w:hAnsi="宋体" w:eastAsia="宋体" w:cs="宋体"/>
                <w:i w:val="0"/>
                <w:iCs w:val="0"/>
                <w:color w:val="000000"/>
                <w:sz w:val="18"/>
                <w:szCs w:val="18"/>
                <w:u w:val="none"/>
              </w:rPr>
            </w:pPr>
          </w:p>
        </w:tc>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2DF381">
            <w:pPr>
              <w:keepNext w:val="0"/>
              <w:keepLines w:val="0"/>
              <w:pageBreakBefore w:val="0"/>
              <w:kinsoku/>
              <w:wordWrap/>
              <w:overflowPunct/>
              <w:topLinePunct w:val="0"/>
              <w:autoSpaceDE/>
              <w:autoSpaceDN/>
              <w:bidi w:val="0"/>
              <w:adjustRightInd/>
              <w:snapToGrid/>
              <w:spacing w:line="240" w:lineRule="exact"/>
              <w:rPr>
                <w:rFonts w:hint="eastAsia" w:ascii="宋体" w:hAnsi="宋体" w:eastAsia="宋体" w:cs="宋体"/>
                <w:i w:val="0"/>
                <w:iCs w:val="0"/>
                <w:color w:val="000000"/>
                <w:sz w:val="18"/>
                <w:szCs w:val="18"/>
                <w:u w:val="none"/>
              </w:rPr>
            </w:pPr>
          </w:p>
        </w:tc>
        <w:tc>
          <w:tcPr>
            <w:tcW w:w="2272"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2763EF0">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51090424T000011119872-2024年萝卜园水库运行维护费</w:t>
            </w:r>
          </w:p>
        </w:tc>
        <w:tc>
          <w:tcPr>
            <w:tcW w:w="1818"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B664EEC">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该项目已全部完工，完成了项目实施方案内容，资金使用率100%，基本达到预期目标。</w:t>
            </w:r>
          </w:p>
        </w:tc>
      </w:tr>
      <w:tr w14:paraId="701CE7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A99C6C">
            <w:pPr>
              <w:keepNext w:val="0"/>
              <w:keepLines w:val="0"/>
              <w:pageBreakBefore w:val="0"/>
              <w:kinsoku/>
              <w:wordWrap/>
              <w:overflowPunct/>
              <w:topLinePunct w:val="0"/>
              <w:autoSpaceDE/>
              <w:autoSpaceDN/>
              <w:bidi w:val="0"/>
              <w:adjustRightInd/>
              <w:snapToGrid/>
              <w:spacing w:line="240" w:lineRule="exact"/>
              <w:rPr>
                <w:rFonts w:hint="eastAsia" w:ascii="宋体" w:hAnsi="宋体" w:eastAsia="宋体" w:cs="宋体"/>
                <w:i w:val="0"/>
                <w:iCs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EDCCE2">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2.项目实施内容及过程概述</w:t>
            </w:r>
          </w:p>
        </w:tc>
        <w:tc>
          <w:tcPr>
            <w:tcW w:w="4091"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51EF186">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2024年萝卜园水库运行维护费</w:t>
            </w:r>
          </w:p>
        </w:tc>
      </w:tr>
      <w:tr w14:paraId="71811D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5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8009E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预算执行情况（10分）</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8F0E6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年度预算数（万元）</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3A845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年初预算</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A44D5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调整后预算数</w:t>
            </w:r>
          </w:p>
        </w:tc>
        <w:tc>
          <w:tcPr>
            <w:tcW w:w="136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989E75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预算执行数</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6E190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预算执行率</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E2267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权重</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82427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得分</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C3629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原因</w:t>
            </w:r>
          </w:p>
        </w:tc>
      </w:tr>
      <w:tr w14:paraId="3B688B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E32AEA">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1A1EF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总额</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A981B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20.00</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2C765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19.98</w:t>
            </w:r>
          </w:p>
        </w:tc>
        <w:tc>
          <w:tcPr>
            <w:tcW w:w="136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40F1B8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19.98</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3E121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100.00%</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75B1D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10</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F572E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10</w:t>
            </w:r>
          </w:p>
        </w:tc>
        <w:tc>
          <w:tcPr>
            <w:tcW w:w="45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880994">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14:paraId="4F8A53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DD3A81">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E478A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其中：财政资金</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C0A6E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20.00</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B2C7B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19.98</w:t>
            </w:r>
          </w:p>
        </w:tc>
        <w:tc>
          <w:tcPr>
            <w:tcW w:w="136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57A8C6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19.98</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1426D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100.00%</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D61882">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86CCF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w:t>
            </w:r>
          </w:p>
        </w:tc>
        <w:tc>
          <w:tcPr>
            <w:tcW w:w="45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4F6412">
            <w:pPr>
              <w:keepNext w:val="0"/>
              <w:keepLines w:val="0"/>
              <w:pageBreakBefore w:val="0"/>
              <w:kinsoku/>
              <w:wordWrap/>
              <w:overflowPunct/>
              <w:topLinePunct w:val="0"/>
              <w:autoSpaceDE/>
              <w:autoSpaceDN/>
              <w:bidi w:val="0"/>
              <w:adjustRightInd/>
              <w:snapToGrid/>
              <w:spacing w:line="240" w:lineRule="exact"/>
              <w:rPr>
                <w:rFonts w:hint="eastAsia" w:ascii="黑体" w:hAnsi="黑体" w:eastAsia="黑体" w:cs="黑体"/>
                <w:i/>
                <w:iCs/>
                <w:color w:val="000000"/>
                <w:sz w:val="18"/>
                <w:szCs w:val="18"/>
                <w:u w:val="none"/>
              </w:rPr>
            </w:pPr>
          </w:p>
        </w:tc>
      </w:tr>
      <w:tr w14:paraId="5EBCB8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435848">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A3423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财政专户管理资金</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1DE5E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30B40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0.00</w:t>
            </w:r>
          </w:p>
        </w:tc>
        <w:tc>
          <w:tcPr>
            <w:tcW w:w="136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FE2A43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A25D2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26E4B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01DF8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w:t>
            </w:r>
          </w:p>
        </w:tc>
        <w:tc>
          <w:tcPr>
            <w:tcW w:w="45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AB42D6">
            <w:pPr>
              <w:keepNext w:val="0"/>
              <w:keepLines w:val="0"/>
              <w:pageBreakBefore w:val="0"/>
              <w:kinsoku/>
              <w:wordWrap/>
              <w:overflowPunct/>
              <w:topLinePunct w:val="0"/>
              <w:autoSpaceDE/>
              <w:autoSpaceDN/>
              <w:bidi w:val="0"/>
              <w:adjustRightInd/>
              <w:snapToGrid/>
              <w:spacing w:line="240" w:lineRule="exact"/>
              <w:rPr>
                <w:rFonts w:hint="eastAsia" w:ascii="黑体" w:hAnsi="黑体" w:eastAsia="黑体" w:cs="黑体"/>
                <w:i/>
                <w:iCs/>
                <w:color w:val="000000"/>
                <w:sz w:val="18"/>
                <w:szCs w:val="18"/>
                <w:u w:val="none"/>
              </w:rPr>
            </w:pPr>
          </w:p>
        </w:tc>
      </w:tr>
      <w:tr w14:paraId="1400EC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FCCD9A">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08C23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单位资金</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FD45A2">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1FD88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0.00</w:t>
            </w:r>
          </w:p>
        </w:tc>
        <w:tc>
          <w:tcPr>
            <w:tcW w:w="136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D6706E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D1E03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69BF7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D09EC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w:t>
            </w:r>
          </w:p>
        </w:tc>
        <w:tc>
          <w:tcPr>
            <w:tcW w:w="45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854314">
            <w:pPr>
              <w:keepNext w:val="0"/>
              <w:keepLines w:val="0"/>
              <w:pageBreakBefore w:val="0"/>
              <w:kinsoku/>
              <w:wordWrap/>
              <w:overflowPunct/>
              <w:topLinePunct w:val="0"/>
              <w:autoSpaceDE/>
              <w:autoSpaceDN/>
              <w:bidi w:val="0"/>
              <w:adjustRightInd/>
              <w:snapToGrid/>
              <w:spacing w:line="240" w:lineRule="exact"/>
              <w:rPr>
                <w:rFonts w:hint="eastAsia" w:ascii="黑体" w:hAnsi="黑体" w:eastAsia="黑体" w:cs="黑体"/>
                <w:i/>
                <w:iCs/>
                <w:color w:val="000000"/>
                <w:sz w:val="18"/>
                <w:szCs w:val="18"/>
                <w:u w:val="none"/>
              </w:rPr>
            </w:pPr>
          </w:p>
        </w:tc>
      </w:tr>
      <w:tr w14:paraId="58ADBA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02F956">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62343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其他资金</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C14192">
            <w:pPr>
              <w:keepNext w:val="0"/>
              <w:keepLines w:val="0"/>
              <w:pageBreakBefore w:val="0"/>
              <w:kinsoku/>
              <w:wordWrap/>
              <w:overflowPunct/>
              <w:topLinePunct w:val="0"/>
              <w:autoSpaceDE/>
              <w:autoSpaceDN/>
              <w:bidi w:val="0"/>
              <w:adjustRightInd/>
              <w:snapToGrid/>
              <w:spacing w:line="240" w:lineRule="exact"/>
              <w:jc w:val="center"/>
              <w:rPr>
                <w:rFonts w:hint="eastAsia" w:ascii="微软雅黑" w:hAnsi="微软雅黑" w:eastAsia="微软雅黑" w:cs="微软雅黑"/>
                <w:i/>
                <w:iCs/>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C54EE9">
            <w:pPr>
              <w:keepNext w:val="0"/>
              <w:keepLines w:val="0"/>
              <w:pageBreakBefore w:val="0"/>
              <w:kinsoku/>
              <w:wordWrap/>
              <w:overflowPunct/>
              <w:topLinePunct w:val="0"/>
              <w:autoSpaceDE/>
              <w:autoSpaceDN/>
              <w:bidi w:val="0"/>
              <w:adjustRightInd/>
              <w:snapToGrid/>
              <w:spacing w:line="240" w:lineRule="exact"/>
              <w:jc w:val="center"/>
              <w:rPr>
                <w:rFonts w:hint="eastAsia" w:ascii="微软雅黑" w:hAnsi="微软雅黑" w:eastAsia="微软雅黑" w:cs="微软雅黑"/>
                <w:i/>
                <w:iCs/>
                <w:color w:val="000000"/>
                <w:sz w:val="18"/>
                <w:szCs w:val="18"/>
                <w:u w:val="none"/>
              </w:rPr>
            </w:pPr>
          </w:p>
        </w:tc>
        <w:tc>
          <w:tcPr>
            <w:tcW w:w="136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0D23F44">
            <w:pPr>
              <w:keepNext w:val="0"/>
              <w:keepLines w:val="0"/>
              <w:pageBreakBefore w:val="0"/>
              <w:kinsoku/>
              <w:wordWrap/>
              <w:overflowPunct/>
              <w:topLinePunct w:val="0"/>
              <w:autoSpaceDE/>
              <w:autoSpaceDN/>
              <w:bidi w:val="0"/>
              <w:adjustRightInd/>
              <w:snapToGrid/>
              <w:spacing w:line="240" w:lineRule="exact"/>
              <w:jc w:val="center"/>
              <w:rPr>
                <w:rFonts w:hint="eastAsia" w:ascii="微软雅黑" w:hAnsi="微软雅黑" w:eastAsia="微软雅黑" w:cs="微软雅黑"/>
                <w:i/>
                <w:iCs/>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F0F89C">
            <w:pPr>
              <w:keepNext w:val="0"/>
              <w:keepLines w:val="0"/>
              <w:pageBreakBefore w:val="0"/>
              <w:kinsoku/>
              <w:wordWrap/>
              <w:overflowPunct/>
              <w:topLinePunct w:val="0"/>
              <w:autoSpaceDE/>
              <w:autoSpaceDN/>
              <w:bidi w:val="0"/>
              <w:adjustRightInd/>
              <w:snapToGrid/>
              <w:spacing w:line="240" w:lineRule="exact"/>
              <w:jc w:val="center"/>
              <w:rPr>
                <w:rFonts w:hint="eastAsia" w:ascii="微软雅黑" w:hAnsi="微软雅黑" w:eastAsia="微软雅黑" w:cs="微软雅黑"/>
                <w:i/>
                <w:iCs/>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49E25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02EDE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w:t>
            </w:r>
          </w:p>
        </w:tc>
        <w:tc>
          <w:tcPr>
            <w:tcW w:w="45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D72DCE">
            <w:pPr>
              <w:keepNext w:val="0"/>
              <w:keepLines w:val="0"/>
              <w:pageBreakBefore w:val="0"/>
              <w:kinsoku/>
              <w:wordWrap/>
              <w:overflowPunct/>
              <w:topLinePunct w:val="0"/>
              <w:autoSpaceDE/>
              <w:autoSpaceDN/>
              <w:bidi w:val="0"/>
              <w:adjustRightInd/>
              <w:snapToGrid/>
              <w:spacing w:line="240" w:lineRule="exact"/>
              <w:rPr>
                <w:rFonts w:hint="eastAsia" w:ascii="黑体" w:hAnsi="黑体" w:eastAsia="黑体" w:cs="黑体"/>
                <w:i/>
                <w:iCs/>
                <w:color w:val="000000"/>
                <w:sz w:val="18"/>
                <w:szCs w:val="18"/>
                <w:u w:val="none"/>
              </w:rPr>
            </w:pPr>
          </w:p>
        </w:tc>
      </w:tr>
      <w:tr w14:paraId="57C960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5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5B704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绩效指标（90分）</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2E9DF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一级指标</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DEE02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二级指标</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9D473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三级指标</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ED3F6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指标性质</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7AFAA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指标值</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32F5F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度量单位</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316A1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完成值</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40D5B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权重</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4A8CE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得分</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4FC83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未完成原因分析</w:t>
            </w:r>
          </w:p>
        </w:tc>
      </w:tr>
      <w:tr w14:paraId="3924CB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C198C8">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c>
          <w:tcPr>
            <w:tcW w:w="45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D5CE8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产出指标</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6A311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数量指标</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941B3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资金使用率</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C43B5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4193F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90</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6D000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121FB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100</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73EAD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10</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04C49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10</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8004E3">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r>
      <w:tr w14:paraId="1596CD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BC0F12">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6B3E84">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FFE3F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质量指标</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E39B0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项目验收合格率</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50EA02">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E3E2A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100</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92FB5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4FEAE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100.00%</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4E712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20</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E2A77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20</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FCA806">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r>
      <w:tr w14:paraId="7DCE47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3E9965">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81B007">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AF3F0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时效指标</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59E7D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2024</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6E1B1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969E6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1</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A3CB5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年</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06F93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2024</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1B073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20</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C4B8D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12.3</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5996AB">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r>
      <w:tr w14:paraId="01448C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7ADE0F">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c>
          <w:tcPr>
            <w:tcW w:w="45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E4CE8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效益指标</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78B4D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社会效益指标</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1DE35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农村增收率</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AEEF0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9C07E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2%</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F9164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D7D00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3.40%</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73E9A2">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10</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77598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10</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5DD255">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r>
      <w:tr w14:paraId="5AC4B7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C6D07C">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2770C7">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C1850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生态效益指标</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6F00C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确保全区安全度汛</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5D1DF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F7453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100</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50A94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9A3EF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100%</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4EF602">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10</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78972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10</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B27B43">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r>
      <w:tr w14:paraId="3D357B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998438">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43E4D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满意度指标</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354AE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满意度指标</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07F89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收益对象满意</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82A22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E4171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95</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55FB5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7667B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60%</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72126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10</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B47AF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6</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8684F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未发现群众存在不满意、投诉等情况</w:t>
            </w:r>
          </w:p>
        </w:tc>
      </w:tr>
      <w:tr w14:paraId="7DE5A8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2FF88E">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ECCC4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成本指标</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B3CA9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经济成本指标</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ECA9C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投资偏差率</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B86C9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0D220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5</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4A106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9FBCB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25510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10</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F68B5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10</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56D634">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18"/>
                <w:szCs w:val="18"/>
                <w:u w:val="none"/>
              </w:rPr>
            </w:pPr>
          </w:p>
        </w:tc>
      </w:tr>
      <w:tr w14:paraId="4C2A52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635"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6F292DD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合计</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BABFD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100</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4CD8E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88.3</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F9C30A">
            <w:pPr>
              <w:keepNext w:val="0"/>
              <w:keepLines w:val="0"/>
              <w:pageBreakBefore w:val="0"/>
              <w:kinsoku/>
              <w:wordWrap/>
              <w:overflowPunct/>
              <w:topLinePunct w:val="0"/>
              <w:autoSpaceDE/>
              <w:autoSpaceDN/>
              <w:bidi w:val="0"/>
              <w:adjustRightInd/>
              <w:snapToGrid/>
              <w:spacing w:line="240" w:lineRule="exact"/>
              <w:rPr>
                <w:rFonts w:hint="eastAsia" w:ascii="宋体" w:hAnsi="宋体" w:eastAsia="宋体" w:cs="宋体"/>
                <w:i w:val="0"/>
                <w:iCs w:val="0"/>
                <w:color w:val="000000"/>
                <w:sz w:val="18"/>
                <w:szCs w:val="18"/>
                <w:u w:val="none"/>
              </w:rPr>
            </w:pPr>
          </w:p>
        </w:tc>
      </w:tr>
      <w:tr w14:paraId="41827F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7FDE0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评价结论</w:t>
            </w:r>
          </w:p>
        </w:tc>
        <w:tc>
          <w:tcPr>
            <w:tcW w:w="4545"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11DC2CA6">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微软雅黑" w:hAnsi="微软雅黑" w:eastAsia="微软雅黑" w:cs="微软雅黑"/>
                <w:i/>
                <w:iCs/>
                <w:color w:val="000000"/>
                <w:sz w:val="18"/>
                <w:szCs w:val="18"/>
                <w:u w:val="none"/>
              </w:rPr>
            </w:pPr>
            <w:r>
              <w:rPr>
                <w:rFonts w:hint="eastAsia" w:ascii="微软雅黑" w:hAnsi="微软雅黑" w:eastAsia="微软雅黑" w:cs="微软雅黑"/>
                <w:i/>
                <w:iCs/>
                <w:color w:val="000000"/>
                <w:kern w:val="0"/>
                <w:sz w:val="18"/>
                <w:szCs w:val="18"/>
                <w:u w:val="none"/>
                <w:lang w:val="en-US" w:eastAsia="zh-CN" w:bidi="ar"/>
              </w:rPr>
              <w:t>通过实施51090424T000011119872-2024年萝卜园水库运行维护费项目，确保全区安全度汛，该项目资金使用率100%,项目实施过程中和实施完成后不存在涉及的区域内群众不满意、投诉等情况,项目自评88.3分。</w:t>
            </w:r>
          </w:p>
        </w:tc>
      </w:tr>
      <w:tr w14:paraId="5F649D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3E004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存在问题</w:t>
            </w:r>
          </w:p>
        </w:tc>
        <w:tc>
          <w:tcPr>
            <w:tcW w:w="4545"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4651640">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微软雅黑" w:hAnsi="微软雅黑" w:eastAsia="微软雅黑" w:cs="微软雅黑"/>
                <w:i/>
                <w:iCs/>
                <w:color w:val="000000"/>
                <w:sz w:val="18"/>
                <w:szCs w:val="18"/>
                <w:u w:val="none"/>
              </w:rPr>
            </w:pPr>
            <w:r>
              <w:rPr>
                <w:rFonts w:hint="eastAsia" w:ascii="微软雅黑" w:hAnsi="微软雅黑" w:eastAsia="微软雅黑" w:cs="微软雅黑"/>
                <w:i/>
                <w:iCs/>
                <w:color w:val="000000"/>
                <w:kern w:val="0"/>
                <w:sz w:val="18"/>
                <w:szCs w:val="18"/>
                <w:u w:val="none"/>
                <w:lang w:val="en-US" w:eastAsia="zh-CN" w:bidi="ar"/>
              </w:rPr>
              <w:t>项目推进过程中用地、环保要素瓶颈制约未能及时有效破解，项目前期论证工作不深；工作认识不到位，发现和解决问题能力不足，工作存在“推着走”的现象，被动整改问题多，主动巡查解决少。</w:t>
            </w:r>
          </w:p>
        </w:tc>
      </w:tr>
      <w:tr w14:paraId="1A62FD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0" w:hRule="atLeast"/>
        </w:trPr>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1A25B2">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改进措施</w:t>
            </w:r>
          </w:p>
        </w:tc>
        <w:tc>
          <w:tcPr>
            <w:tcW w:w="4545"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097BE49">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微软雅黑" w:hAnsi="微软雅黑" w:eastAsia="微软雅黑" w:cs="微软雅黑"/>
                <w:i/>
                <w:iCs/>
                <w:color w:val="000000"/>
                <w:sz w:val="18"/>
                <w:szCs w:val="18"/>
                <w:u w:val="none"/>
              </w:rPr>
            </w:pPr>
            <w:r>
              <w:rPr>
                <w:rFonts w:hint="eastAsia" w:ascii="微软雅黑" w:hAnsi="微软雅黑" w:eastAsia="微软雅黑" w:cs="微软雅黑"/>
                <w:i/>
                <w:iCs/>
                <w:color w:val="000000"/>
                <w:kern w:val="0"/>
                <w:sz w:val="18"/>
                <w:szCs w:val="18"/>
                <w:u w:val="none"/>
                <w:lang w:val="en-US" w:eastAsia="zh-CN" w:bidi="ar"/>
              </w:rPr>
              <w:t>抓紧抓好当前重点水利工程项目建设，高质量、高标准如期完成。积极贯彻落实上级有关水旱灾害防御工作指示精神，进一步压紧压实压水利系统各层级、全链条防御责任，坚决做到守土有责、守土负责、守土尽责，锚定“人员不伤亡、重要堤防不决口、重要基础设施不受冲击目标，贯通雨情汛情险情灾情防御，强化预报预警预演预案措施，紧绷洪水防御“四个链条”，以“时时放心不下”工作责任感，在水旱灾害防御和灾后水利建设一线挑重担，为坚决打赢水旱灾害防御硬仗，提供坚强政治保证。</w:t>
            </w:r>
          </w:p>
        </w:tc>
      </w:tr>
      <w:tr w14:paraId="4B28C5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71"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461634F">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项目负责人：阳振宇等</w:t>
            </w:r>
          </w:p>
        </w:tc>
        <w:tc>
          <w:tcPr>
            <w:tcW w:w="2728"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AF7C53A">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财务负责人：肖静</w:t>
            </w:r>
          </w:p>
        </w:tc>
      </w:tr>
    </w:tbl>
    <w:p w14:paraId="0488B617">
      <w:pPr>
        <w:pStyle w:val="44"/>
        <w:keepNext w:val="0"/>
        <w:keepLines w:val="0"/>
        <w:pageBreakBefore w:val="0"/>
        <w:widowControl w:val="0"/>
        <w:kinsoku/>
        <w:wordWrap/>
        <w:overflowPunct/>
        <w:topLinePunct w:val="0"/>
        <w:autoSpaceDE/>
        <w:autoSpaceDN/>
        <w:bidi w:val="0"/>
        <w:spacing w:line="578" w:lineRule="exact"/>
        <w:ind w:left="0" w:leftChars="0"/>
        <w:jc w:val="center"/>
        <w:textAlignment w:val="auto"/>
        <w:rPr>
          <w:rFonts w:hint="eastAsia" w:ascii="方正小标宋简体" w:hAnsi="方正小标宋简体" w:eastAsia="方正小标宋简体" w:cs="方正小标宋简体"/>
          <w:color w:val="auto"/>
          <w:kern w:val="2"/>
          <w:sz w:val="44"/>
          <w:szCs w:val="44"/>
          <w:highlight w:val="none"/>
          <w:lang w:val="en-US" w:eastAsia="zh-CN"/>
        </w:rPr>
      </w:pPr>
    </w:p>
    <w:p w14:paraId="37B32D08">
      <w:pPr>
        <w:pStyle w:val="44"/>
        <w:keepNext w:val="0"/>
        <w:keepLines w:val="0"/>
        <w:pageBreakBefore w:val="0"/>
        <w:widowControl w:val="0"/>
        <w:kinsoku/>
        <w:wordWrap/>
        <w:overflowPunct/>
        <w:topLinePunct w:val="0"/>
        <w:autoSpaceDE/>
        <w:autoSpaceDN/>
        <w:bidi w:val="0"/>
        <w:spacing w:line="578" w:lineRule="exact"/>
        <w:ind w:left="0" w:leftChars="0"/>
        <w:jc w:val="center"/>
        <w:textAlignment w:val="auto"/>
        <w:rPr>
          <w:rFonts w:hint="eastAsia" w:ascii="方正小标宋简体" w:hAnsi="方正小标宋简体" w:eastAsia="方正小标宋简体" w:cs="方正小标宋简体"/>
          <w:color w:val="auto"/>
          <w:kern w:val="2"/>
          <w:sz w:val="44"/>
          <w:szCs w:val="44"/>
          <w:highlight w:val="none"/>
          <w:lang w:val="en-US" w:eastAsia="zh-CN"/>
        </w:rPr>
      </w:pPr>
    </w:p>
    <w:p w14:paraId="5B659F4C">
      <w:pPr>
        <w:pStyle w:val="44"/>
        <w:keepNext w:val="0"/>
        <w:keepLines w:val="0"/>
        <w:pageBreakBefore w:val="0"/>
        <w:widowControl w:val="0"/>
        <w:kinsoku/>
        <w:wordWrap/>
        <w:overflowPunct/>
        <w:topLinePunct w:val="0"/>
        <w:autoSpaceDE/>
        <w:autoSpaceDN/>
        <w:bidi w:val="0"/>
        <w:spacing w:line="578" w:lineRule="exact"/>
        <w:ind w:left="0" w:leftChars="0"/>
        <w:jc w:val="center"/>
        <w:textAlignment w:val="auto"/>
        <w:rPr>
          <w:rFonts w:hint="eastAsia" w:ascii="方正小标宋简体" w:hAnsi="方正小标宋简体" w:eastAsia="方正小标宋简体" w:cs="方正小标宋简体"/>
          <w:color w:val="auto"/>
          <w:kern w:val="2"/>
          <w:sz w:val="44"/>
          <w:szCs w:val="44"/>
          <w:highlight w:val="none"/>
          <w:lang w:val="en-US" w:eastAsia="zh-CN"/>
        </w:rPr>
      </w:pPr>
    </w:p>
    <w:tbl>
      <w:tblPr>
        <w:tblStyle w:val="2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18"/>
        <w:gridCol w:w="818"/>
        <w:gridCol w:w="818"/>
        <w:gridCol w:w="818"/>
        <w:gridCol w:w="820"/>
        <w:gridCol w:w="818"/>
        <w:gridCol w:w="821"/>
        <w:gridCol w:w="846"/>
        <w:gridCol w:w="819"/>
        <w:gridCol w:w="819"/>
        <w:gridCol w:w="846"/>
      </w:tblGrid>
      <w:tr w14:paraId="37F647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0" w:hRule="atLeast"/>
        </w:trPr>
        <w:tc>
          <w:tcPr>
            <w:tcW w:w="5000"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25EEE58B">
            <w:pPr>
              <w:keepNext w:val="0"/>
              <w:keepLines w:val="0"/>
              <w:widowControl/>
              <w:suppressLineNumbers w:val="0"/>
              <w:jc w:val="center"/>
              <w:textAlignment w:val="center"/>
              <w:rPr>
                <w:rFonts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0D30EC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90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109C52D">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项目名称</w:t>
            </w:r>
          </w:p>
        </w:tc>
        <w:tc>
          <w:tcPr>
            <w:tcW w:w="4091"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CF12FA4">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51090424T000011119817-2024年跑马滩、新生水库编外人员工资及保险</w:t>
            </w:r>
          </w:p>
        </w:tc>
      </w:tr>
      <w:tr w14:paraId="6EFC36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0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C6CF8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主管部门</w:t>
            </w:r>
          </w:p>
        </w:tc>
        <w:tc>
          <w:tcPr>
            <w:tcW w:w="2272"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784F37D">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遂宁市安居区水利局部门</w:t>
            </w:r>
          </w:p>
        </w:tc>
        <w:tc>
          <w:tcPr>
            <w:tcW w:w="454" w:type="pct"/>
            <w:tcBorders>
              <w:top w:val="nil"/>
              <w:left w:val="nil"/>
              <w:bottom w:val="nil"/>
              <w:right w:val="nil"/>
            </w:tcBorders>
            <w:shd w:val="clear" w:color="auto" w:fill="auto"/>
            <w:vAlign w:val="center"/>
          </w:tcPr>
          <w:p w14:paraId="233672C4">
            <w:pPr>
              <w:keepNext w:val="0"/>
              <w:keepLines w:val="0"/>
              <w:widowControl/>
              <w:suppressLineNumbers w:val="0"/>
              <w:jc w:val="left"/>
              <w:textAlignment w:val="center"/>
              <w:rPr>
                <w:rFonts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1364"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8361A6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遂宁市安居区水利局</w:t>
            </w:r>
          </w:p>
        </w:tc>
      </w:tr>
      <w:tr w14:paraId="685ED2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5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2F7D77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项目基本情况</w:t>
            </w:r>
          </w:p>
        </w:tc>
        <w:tc>
          <w:tcPr>
            <w:tcW w:w="45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54448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1.项目年度目标完成情况</w:t>
            </w:r>
          </w:p>
        </w:tc>
        <w:tc>
          <w:tcPr>
            <w:tcW w:w="2272"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BE44EA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项目年度目标</w:t>
            </w:r>
          </w:p>
        </w:tc>
        <w:tc>
          <w:tcPr>
            <w:tcW w:w="1818"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74CD37F">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200015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D1A42B">
            <w:pPr>
              <w:rPr>
                <w:rFonts w:hint="eastAsia" w:ascii="宋体" w:hAnsi="宋体" w:eastAsia="宋体" w:cs="宋体"/>
                <w:i w:val="0"/>
                <w:iCs w:val="0"/>
                <w:color w:val="000000"/>
                <w:sz w:val="18"/>
                <w:szCs w:val="18"/>
                <w:u w:val="none"/>
              </w:rPr>
            </w:pPr>
          </w:p>
        </w:tc>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BE4068">
            <w:pPr>
              <w:rPr>
                <w:rFonts w:hint="eastAsia" w:ascii="宋体" w:hAnsi="宋体" w:eastAsia="宋体" w:cs="宋体"/>
                <w:i w:val="0"/>
                <w:iCs w:val="0"/>
                <w:color w:val="000000"/>
                <w:sz w:val="18"/>
                <w:szCs w:val="18"/>
                <w:u w:val="none"/>
              </w:rPr>
            </w:pPr>
          </w:p>
        </w:tc>
        <w:tc>
          <w:tcPr>
            <w:tcW w:w="2272"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55CF54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51090424T000011119817-2024年跑马滩、新生水库编外人员工资及保险</w:t>
            </w:r>
          </w:p>
        </w:tc>
        <w:tc>
          <w:tcPr>
            <w:tcW w:w="1818"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A72E26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该项目已全部完工，完成了项目实施方案内容，资金使用率100%，基本达到预期目标。</w:t>
            </w:r>
          </w:p>
        </w:tc>
      </w:tr>
      <w:tr w14:paraId="79945B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985C92">
            <w:pPr>
              <w:rPr>
                <w:rFonts w:hint="eastAsia" w:ascii="宋体" w:hAnsi="宋体" w:eastAsia="宋体" w:cs="宋体"/>
                <w:i w:val="0"/>
                <w:iCs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C116A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2.项目实施内容及过程概述</w:t>
            </w:r>
          </w:p>
        </w:tc>
        <w:tc>
          <w:tcPr>
            <w:tcW w:w="4091"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E49A27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2024年跑马滩、新生水库编外人员工资及保险</w:t>
            </w:r>
          </w:p>
        </w:tc>
      </w:tr>
      <w:tr w14:paraId="43C59C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5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E42FE3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预算执行情况（10分）</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9BA0C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年度预算数（万元）</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BB6F5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年初预算</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04EFA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调整后预算数</w:t>
            </w:r>
          </w:p>
        </w:tc>
        <w:tc>
          <w:tcPr>
            <w:tcW w:w="136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25AF15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预算执行数</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08CE4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预算执行率</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0969E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权重</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6BA9B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得分</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66985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原因</w:t>
            </w:r>
          </w:p>
        </w:tc>
      </w:tr>
      <w:tr w14:paraId="1C40A5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FB0777">
            <w:pPr>
              <w:jc w:val="center"/>
              <w:rPr>
                <w:rFonts w:hint="eastAsia" w:ascii="宋体" w:hAnsi="宋体" w:eastAsia="宋体" w:cs="宋体"/>
                <w:i w:val="0"/>
                <w:iCs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CBB1D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总额</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550A1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94.00</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C2629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94.00</w:t>
            </w:r>
          </w:p>
        </w:tc>
        <w:tc>
          <w:tcPr>
            <w:tcW w:w="136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DF935E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94.00</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D6828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100.00%</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9BE27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10</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A50BD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10</w:t>
            </w:r>
          </w:p>
        </w:tc>
        <w:tc>
          <w:tcPr>
            <w:tcW w:w="45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6A70F2">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14:paraId="233051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EADA09">
            <w:pPr>
              <w:jc w:val="center"/>
              <w:rPr>
                <w:rFonts w:hint="eastAsia" w:ascii="宋体" w:hAnsi="宋体" w:eastAsia="宋体" w:cs="宋体"/>
                <w:i w:val="0"/>
                <w:iCs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5CDAD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其中：财政资金</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9E522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94.00</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1CD33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94.00</w:t>
            </w:r>
          </w:p>
        </w:tc>
        <w:tc>
          <w:tcPr>
            <w:tcW w:w="136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9A7F6F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94.00</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EB371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100.00%</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F8D4A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B4BFE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w:t>
            </w:r>
          </w:p>
        </w:tc>
        <w:tc>
          <w:tcPr>
            <w:tcW w:w="45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71A5B3">
            <w:pPr>
              <w:rPr>
                <w:rFonts w:hint="eastAsia" w:ascii="黑体" w:hAnsi="黑体" w:eastAsia="黑体" w:cs="黑体"/>
                <w:i/>
                <w:iCs/>
                <w:color w:val="000000"/>
                <w:sz w:val="18"/>
                <w:szCs w:val="18"/>
                <w:u w:val="none"/>
              </w:rPr>
            </w:pPr>
          </w:p>
        </w:tc>
      </w:tr>
      <w:tr w14:paraId="59D4FB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4403D7">
            <w:pPr>
              <w:jc w:val="center"/>
              <w:rPr>
                <w:rFonts w:hint="eastAsia" w:ascii="宋体" w:hAnsi="宋体" w:eastAsia="宋体" w:cs="宋体"/>
                <w:i w:val="0"/>
                <w:iCs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D47FE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财政专户管理资金</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52321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2365D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0.00</w:t>
            </w:r>
          </w:p>
        </w:tc>
        <w:tc>
          <w:tcPr>
            <w:tcW w:w="136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BAB4F7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0A6BC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8285C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74460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w:t>
            </w:r>
          </w:p>
        </w:tc>
        <w:tc>
          <w:tcPr>
            <w:tcW w:w="45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191434">
            <w:pPr>
              <w:rPr>
                <w:rFonts w:hint="eastAsia" w:ascii="黑体" w:hAnsi="黑体" w:eastAsia="黑体" w:cs="黑体"/>
                <w:i/>
                <w:iCs/>
                <w:color w:val="000000"/>
                <w:sz w:val="18"/>
                <w:szCs w:val="18"/>
                <w:u w:val="none"/>
              </w:rPr>
            </w:pPr>
          </w:p>
        </w:tc>
      </w:tr>
      <w:tr w14:paraId="2F796F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E271A9">
            <w:pPr>
              <w:jc w:val="center"/>
              <w:rPr>
                <w:rFonts w:hint="eastAsia" w:ascii="宋体" w:hAnsi="宋体" w:eastAsia="宋体" w:cs="宋体"/>
                <w:i w:val="0"/>
                <w:iCs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D0CD9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单位资金</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E96F0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7F361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0.00</w:t>
            </w:r>
          </w:p>
        </w:tc>
        <w:tc>
          <w:tcPr>
            <w:tcW w:w="136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DF620A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93C7B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D491D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C5546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w:t>
            </w:r>
          </w:p>
        </w:tc>
        <w:tc>
          <w:tcPr>
            <w:tcW w:w="45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6666EE">
            <w:pPr>
              <w:rPr>
                <w:rFonts w:hint="eastAsia" w:ascii="黑体" w:hAnsi="黑体" w:eastAsia="黑体" w:cs="黑体"/>
                <w:i/>
                <w:iCs/>
                <w:color w:val="000000"/>
                <w:sz w:val="18"/>
                <w:szCs w:val="18"/>
                <w:u w:val="none"/>
              </w:rPr>
            </w:pPr>
          </w:p>
        </w:tc>
      </w:tr>
      <w:tr w14:paraId="7E6C58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6BE9EF">
            <w:pPr>
              <w:jc w:val="center"/>
              <w:rPr>
                <w:rFonts w:hint="eastAsia" w:ascii="宋体" w:hAnsi="宋体" w:eastAsia="宋体" w:cs="宋体"/>
                <w:i w:val="0"/>
                <w:iCs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17A9A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其他资金</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8CB931">
            <w:pPr>
              <w:jc w:val="center"/>
              <w:rPr>
                <w:rFonts w:hint="eastAsia" w:ascii="微软雅黑" w:hAnsi="微软雅黑" w:eastAsia="微软雅黑" w:cs="微软雅黑"/>
                <w:i/>
                <w:iCs/>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BD6025">
            <w:pPr>
              <w:jc w:val="center"/>
              <w:rPr>
                <w:rFonts w:hint="eastAsia" w:ascii="微软雅黑" w:hAnsi="微软雅黑" w:eastAsia="微软雅黑" w:cs="微软雅黑"/>
                <w:i/>
                <w:iCs/>
                <w:color w:val="000000"/>
                <w:sz w:val="16"/>
                <w:szCs w:val="16"/>
                <w:u w:val="none"/>
              </w:rPr>
            </w:pPr>
          </w:p>
        </w:tc>
        <w:tc>
          <w:tcPr>
            <w:tcW w:w="136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4EDC736">
            <w:pPr>
              <w:jc w:val="center"/>
              <w:rPr>
                <w:rFonts w:hint="eastAsia" w:ascii="微软雅黑" w:hAnsi="微软雅黑" w:eastAsia="微软雅黑" w:cs="微软雅黑"/>
                <w:i/>
                <w:iCs/>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475F5F">
            <w:pPr>
              <w:jc w:val="center"/>
              <w:rPr>
                <w:rFonts w:hint="eastAsia" w:ascii="微软雅黑" w:hAnsi="微软雅黑" w:eastAsia="微软雅黑" w:cs="微软雅黑"/>
                <w:i/>
                <w:iCs/>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DF0D1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91B61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w:t>
            </w:r>
          </w:p>
        </w:tc>
        <w:tc>
          <w:tcPr>
            <w:tcW w:w="45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D80893">
            <w:pPr>
              <w:rPr>
                <w:rFonts w:hint="eastAsia" w:ascii="黑体" w:hAnsi="黑体" w:eastAsia="黑体" w:cs="黑体"/>
                <w:i/>
                <w:iCs/>
                <w:color w:val="000000"/>
                <w:sz w:val="18"/>
                <w:szCs w:val="18"/>
                <w:u w:val="none"/>
              </w:rPr>
            </w:pPr>
          </w:p>
        </w:tc>
      </w:tr>
      <w:tr w14:paraId="293E5E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5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5DD70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绩效指标（90分）</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E0059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一级指标</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983DE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二级指标</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C23AB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三级指标</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EAC50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指标性质</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6611B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指标值</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13BF2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度量单位</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4FCB7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完成值</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76688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权重</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CE688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得分</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8DF13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未完成原因分析</w:t>
            </w:r>
          </w:p>
        </w:tc>
      </w:tr>
      <w:tr w14:paraId="15F193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C5C3CB">
            <w:pPr>
              <w:jc w:val="center"/>
              <w:rPr>
                <w:rFonts w:hint="eastAsia" w:ascii="宋体" w:hAnsi="宋体" w:eastAsia="宋体" w:cs="宋体"/>
                <w:i w:val="0"/>
                <w:iCs w:val="0"/>
                <w:color w:val="000000"/>
                <w:sz w:val="18"/>
                <w:szCs w:val="18"/>
                <w:u w:val="none"/>
              </w:rPr>
            </w:pPr>
          </w:p>
        </w:tc>
        <w:tc>
          <w:tcPr>
            <w:tcW w:w="45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9231CA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产出指标</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1B331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数量指标</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5D679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资金使用率</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5D8AC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D0FF9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90</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4DCBE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2B93A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100</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4DF89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10</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2469D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10</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4E3716">
            <w:pPr>
              <w:jc w:val="center"/>
              <w:rPr>
                <w:rFonts w:hint="eastAsia" w:ascii="宋体" w:hAnsi="宋体" w:eastAsia="宋体" w:cs="宋体"/>
                <w:i w:val="0"/>
                <w:iCs w:val="0"/>
                <w:color w:val="000000"/>
                <w:sz w:val="18"/>
                <w:szCs w:val="18"/>
                <w:u w:val="none"/>
              </w:rPr>
            </w:pPr>
          </w:p>
        </w:tc>
      </w:tr>
      <w:tr w14:paraId="554F33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EA270D">
            <w:pPr>
              <w:jc w:val="center"/>
              <w:rPr>
                <w:rFonts w:hint="eastAsia" w:ascii="宋体" w:hAnsi="宋体" w:eastAsia="宋体" w:cs="宋体"/>
                <w:i w:val="0"/>
                <w:iCs w:val="0"/>
                <w:color w:val="000000"/>
                <w:sz w:val="18"/>
                <w:szCs w:val="18"/>
                <w:u w:val="none"/>
              </w:rPr>
            </w:pPr>
          </w:p>
        </w:tc>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BE8242">
            <w:pPr>
              <w:jc w:val="center"/>
              <w:rPr>
                <w:rFonts w:hint="eastAsia" w:ascii="宋体" w:hAnsi="宋体" w:eastAsia="宋体" w:cs="宋体"/>
                <w:i w:val="0"/>
                <w:iCs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67E38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质量指标</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CD8CC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项目验收合格率</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60368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0999D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100</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9D07E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B9CCA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100.00%</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E1E46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20</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74E70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20</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04A28D">
            <w:pPr>
              <w:jc w:val="center"/>
              <w:rPr>
                <w:rFonts w:hint="eastAsia" w:ascii="宋体" w:hAnsi="宋体" w:eastAsia="宋体" w:cs="宋体"/>
                <w:i w:val="0"/>
                <w:iCs w:val="0"/>
                <w:color w:val="000000"/>
                <w:sz w:val="18"/>
                <w:szCs w:val="18"/>
                <w:u w:val="none"/>
              </w:rPr>
            </w:pPr>
          </w:p>
        </w:tc>
      </w:tr>
      <w:tr w14:paraId="6D40D0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EAB329">
            <w:pPr>
              <w:jc w:val="center"/>
              <w:rPr>
                <w:rFonts w:hint="eastAsia" w:ascii="宋体" w:hAnsi="宋体" w:eastAsia="宋体" w:cs="宋体"/>
                <w:i w:val="0"/>
                <w:iCs w:val="0"/>
                <w:color w:val="000000"/>
                <w:sz w:val="18"/>
                <w:szCs w:val="18"/>
                <w:u w:val="none"/>
              </w:rPr>
            </w:pPr>
          </w:p>
        </w:tc>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8B5309">
            <w:pPr>
              <w:jc w:val="center"/>
              <w:rPr>
                <w:rFonts w:hint="eastAsia" w:ascii="宋体" w:hAnsi="宋体" w:eastAsia="宋体" w:cs="宋体"/>
                <w:i w:val="0"/>
                <w:iCs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B2E5B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时效指标</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59E10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2024</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91A20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5B097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1</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F80DE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年</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E2989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2024</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37470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20</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87C1A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10.35</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48C285">
            <w:pPr>
              <w:jc w:val="center"/>
              <w:rPr>
                <w:rFonts w:hint="eastAsia" w:ascii="宋体" w:hAnsi="宋体" w:eastAsia="宋体" w:cs="宋体"/>
                <w:i w:val="0"/>
                <w:iCs w:val="0"/>
                <w:color w:val="000000"/>
                <w:sz w:val="18"/>
                <w:szCs w:val="18"/>
                <w:u w:val="none"/>
              </w:rPr>
            </w:pPr>
          </w:p>
        </w:tc>
      </w:tr>
      <w:tr w14:paraId="02D432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BF7A03">
            <w:pPr>
              <w:jc w:val="center"/>
              <w:rPr>
                <w:rFonts w:hint="eastAsia" w:ascii="宋体" w:hAnsi="宋体" w:eastAsia="宋体" w:cs="宋体"/>
                <w:i w:val="0"/>
                <w:iCs w:val="0"/>
                <w:color w:val="000000"/>
                <w:sz w:val="18"/>
                <w:szCs w:val="18"/>
                <w:u w:val="none"/>
              </w:rPr>
            </w:pPr>
          </w:p>
        </w:tc>
        <w:tc>
          <w:tcPr>
            <w:tcW w:w="45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B439C2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效益指标</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5B51F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社会效益指标</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1CC4F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农村增收率</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D3C43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85ADA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2%</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27695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77E36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3.40%</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A94B4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10</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71E1A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10</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1439C7">
            <w:pPr>
              <w:jc w:val="center"/>
              <w:rPr>
                <w:rFonts w:hint="eastAsia" w:ascii="宋体" w:hAnsi="宋体" w:eastAsia="宋体" w:cs="宋体"/>
                <w:i w:val="0"/>
                <w:iCs w:val="0"/>
                <w:color w:val="000000"/>
                <w:sz w:val="18"/>
                <w:szCs w:val="18"/>
                <w:u w:val="none"/>
              </w:rPr>
            </w:pPr>
          </w:p>
        </w:tc>
      </w:tr>
      <w:tr w14:paraId="5172F3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AA1450">
            <w:pPr>
              <w:jc w:val="center"/>
              <w:rPr>
                <w:rFonts w:hint="eastAsia" w:ascii="宋体" w:hAnsi="宋体" w:eastAsia="宋体" w:cs="宋体"/>
                <w:i w:val="0"/>
                <w:iCs w:val="0"/>
                <w:color w:val="000000"/>
                <w:sz w:val="18"/>
                <w:szCs w:val="18"/>
                <w:u w:val="none"/>
              </w:rPr>
            </w:pPr>
          </w:p>
        </w:tc>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FB6676">
            <w:pPr>
              <w:jc w:val="center"/>
              <w:rPr>
                <w:rFonts w:hint="eastAsia" w:ascii="宋体" w:hAnsi="宋体" w:eastAsia="宋体" w:cs="宋体"/>
                <w:i w:val="0"/>
                <w:iCs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549A7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生态效益指标</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53010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确保全区安全度汛</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E0D42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E93C7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100</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78FA0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0AD28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100%</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A9EA7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10</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68BB3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10</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2BC377">
            <w:pPr>
              <w:jc w:val="center"/>
              <w:rPr>
                <w:rFonts w:hint="eastAsia" w:ascii="宋体" w:hAnsi="宋体" w:eastAsia="宋体" w:cs="宋体"/>
                <w:i w:val="0"/>
                <w:iCs w:val="0"/>
                <w:color w:val="000000"/>
                <w:sz w:val="18"/>
                <w:szCs w:val="18"/>
                <w:u w:val="none"/>
              </w:rPr>
            </w:pPr>
          </w:p>
        </w:tc>
      </w:tr>
      <w:tr w14:paraId="5CF47F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055C43">
            <w:pPr>
              <w:jc w:val="center"/>
              <w:rPr>
                <w:rFonts w:hint="eastAsia" w:ascii="宋体" w:hAnsi="宋体" w:eastAsia="宋体" w:cs="宋体"/>
                <w:i w:val="0"/>
                <w:iCs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E2E0C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满意度指标</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C6C89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满意度指标</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4E752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收益对象满意</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6B22A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B3706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95</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C80C8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A3C9D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60%</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C4608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10</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C62D1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6</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80093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未发现群众存在不满意、投诉等情况</w:t>
            </w:r>
          </w:p>
        </w:tc>
      </w:tr>
      <w:tr w14:paraId="7DD477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8A7765">
            <w:pPr>
              <w:jc w:val="center"/>
              <w:rPr>
                <w:rFonts w:hint="eastAsia" w:ascii="宋体" w:hAnsi="宋体" w:eastAsia="宋体" w:cs="宋体"/>
                <w:i w:val="0"/>
                <w:iCs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BDC95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成本指标</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23DF6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经济成本指标</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B3F65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投资偏差率</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0B0EC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BFA09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5</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EA927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F5059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2B9C2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10</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C2EFB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10</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726053">
            <w:pPr>
              <w:jc w:val="center"/>
              <w:rPr>
                <w:rFonts w:hint="eastAsia" w:ascii="宋体" w:hAnsi="宋体" w:eastAsia="宋体" w:cs="宋体"/>
                <w:i w:val="0"/>
                <w:iCs w:val="0"/>
                <w:color w:val="000000"/>
                <w:sz w:val="18"/>
                <w:szCs w:val="18"/>
                <w:u w:val="none"/>
              </w:rPr>
            </w:pPr>
          </w:p>
        </w:tc>
      </w:tr>
      <w:tr w14:paraId="788E1C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635"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73B109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合计</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6B0EE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100</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35978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86.35</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C3E01B">
            <w:pPr>
              <w:rPr>
                <w:rFonts w:hint="eastAsia" w:ascii="宋体" w:hAnsi="宋体" w:eastAsia="宋体" w:cs="宋体"/>
                <w:i w:val="0"/>
                <w:iCs w:val="0"/>
                <w:color w:val="000000"/>
                <w:sz w:val="18"/>
                <w:szCs w:val="18"/>
                <w:u w:val="none"/>
              </w:rPr>
            </w:pPr>
          </w:p>
        </w:tc>
      </w:tr>
      <w:tr w14:paraId="3E818E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DD2E8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评价结论</w:t>
            </w:r>
          </w:p>
        </w:tc>
        <w:tc>
          <w:tcPr>
            <w:tcW w:w="4545"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2A7F41F">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通过实施51090424T000011119872-2024年萝卜园水库运行维护费项目，确保全区安全度汛，该项目资金使用率100%,项目实施过程中和实施完成后不存在涉及的区域内群众不满意、投诉等情况,项目自评86.35分。</w:t>
            </w:r>
          </w:p>
        </w:tc>
      </w:tr>
      <w:tr w14:paraId="091DA8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FB88B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存在问题</w:t>
            </w:r>
          </w:p>
        </w:tc>
        <w:tc>
          <w:tcPr>
            <w:tcW w:w="4545"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451DCCC">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项目推进过程中用地、环保要素瓶颈制约未能及时有效破解，项目前期论证工作不深；工作认识不到位，发现和解决问题能力不足，工作存在“推着走”的现象，被动整改问题多，主动巡查解决少。</w:t>
            </w:r>
          </w:p>
        </w:tc>
      </w:tr>
      <w:tr w14:paraId="3AF0FA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0" w:hRule="atLeast"/>
        </w:trPr>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97657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改进措施</w:t>
            </w:r>
          </w:p>
        </w:tc>
        <w:tc>
          <w:tcPr>
            <w:tcW w:w="4545"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7B12A0A">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抓紧抓好当前重点水利工程项目建设，高质量、高标准如期完成。积极贯彻落实上级有关水旱灾害防御工作指示精神，进一步压紧压实压水利系统各层级、全链条防御责任，坚决做到守土有责、守土负责、守土尽责，锚定“人员不伤亡、重要堤防不决口、重要基础设施不受冲击目标，贯通雨情汛情险情灾情防御，强化预报预警预演预案措施，紧绷洪水防御“四个链条”，以“时时放心不下”工作责任感，在水旱灾害防御和灾后水利建设一线挑重担，为坚决打赢水旱灾害防御硬仗，提供坚强政治保证。</w:t>
            </w:r>
          </w:p>
        </w:tc>
      </w:tr>
      <w:tr w14:paraId="67D1DE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71"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352A3B7">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项目负责人：阳振宇等</w:t>
            </w:r>
          </w:p>
        </w:tc>
        <w:tc>
          <w:tcPr>
            <w:tcW w:w="2728"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CE21D81">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财务负责人：肖静</w:t>
            </w:r>
          </w:p>
        </w:tc>
      </w:tr>
    </w:tbl>
    <w:p w14:paraId="6B75F81B">
      <w:pPr>
        <w:pStyle w:val="44"/>
        <w:keepNext w:val="0"/>
        <w:keepLines w:val="0"/>
        <w:pageBreakBefore w:val="0"/>
        <w:widowControl w:val="0"/>
        <w:kinsoku/>
        <w:wordWrap/>
        <w:overflowPunct/>
        <w:topLinePunct w:val="0"/>
        <w:autoSpaceDE/>
        <w:autoSpaceDN/>
        <w:bidi w:val="0"/>
        <w:spacing w:line="578" w:lineRule="exact"/>
        <w:ind w:left="0" w:leftChars="0"/>
        <w:jc w:val="center"/>
        <w:textAlignment w:val="auto"/>
        <w:rPr>
          <w:rFonts w:hint="eastAsia" w:ascii="方正小标宋简体" w:hAnsi="方正小标宋简体" w:eastAsia="方正小标宋简体" w:cs="方正小标宋简体"/>
          <w:color w:val="auto"/>
          <w:kern w:val="2"/>
          <w:sz w:val="44"/>
          <w:szCs w:val="44"/>
          <w:highlight w:val="none"/>
          <w:lang w:val="en-US" w:eastAsia="zh-CN"/>
        </w:rPr>
      </w:pPr>
    </w:p>
    <w:tbl>
      <w:tblPr>
        <w:tblStyle w:val="2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18"/>
        <w:gridCol w:w="818"/>
        <w:gridCol w:w="818"/>
        <w:gridCol w:w="818"/>
        <w:gridCol w:w="820"/>
        <w:gridCol w:w="818"/>
        <w:gridCol w:w="821"/>
        <w:gridCol w:w="846"/>
        <w:gridCol w:w="819"/>
        <w:gridCol w:w="819"/>
        <w:gridCol w:w="846"/>
      </w:tblGrid>
      <w:tr w14:paraId="43FFA9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0" w:hRule="atLeast"/>
        </w:trPr>
        <w:tc>
          <w:tcPr>
            <w:tcW w:w="5000"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45340F53">
            <w:pPr>
              <w:keepNext w:val="0"/>
              <w:keepLines w:val="0"/>
              <w:widowControl/>
              <w:suppressLineNumbers w:val="0"/>
              <w:jc w:val="center"/>
              <w:textAlignment w:val="center"/>
              <w:rPr>
                <w:rFonts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部门预算项目支出绩效自评表（2024年度）</w:t>
            </w:r>
          </w:p>
        </w:tc>
      </w:tr>
      <w:tr w14:paraId="7DB2BD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90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143064">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项目名称</w:t>
            </w:r>
          </w:p>
        </w:tc>
        <w:tc>
          <w:tcPr>
            <w:tcW w:w="4091"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D2C439F">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51090424T000011107344-2024年防汛抗旱经费</w:t>
            </w:r>
          </w:p>
        </w:tc>
      </w:tr>
      <w:tr w14:paraId="7A33C5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0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408E85">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主管部门</w:t>
            </w:r>
          </w:p>
        </w:tc>
        <w:tc>
          <w:tcPr>
            <w:tcW w:w="2272"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B1220BD">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遂宁市安居区水利局部门</w:t>
            </w:r>
          </w:p>
        </w:tc>
        <w:tc>
          <w:tcPr>
            <w:tcW w:w="454" w:type="pct"/>
            <w:tcBorders>
              <w:top w:val="nil"/>
              <w:left w:val="nil"/>
              <w:bottom w:val="nil"/>
              <w:right w:val="nil"/>
            </w:tcBorders>
            <w:shd w:val="clear" w:color="auto" w:fill="auto"/>
            <w:vAlign w:val="center"/>
          </w:tcPr>
          <w:p w14:paraId="497F4861">
            <w:pPr>
              <w:keepNext w:val="0"/>
              <w:keepLines w:val="0"/>
              <w:widowControl/>
              <w:suppressLineNumbers w:val="0"/>
              <w:jc w:val="left"/>
              <w:textAlignment w:val="center"/>
              <w:rPr>
                <w:rFonts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1364"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FA4CAB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遂宁市安居区水利局</w:t>
            </w:r>
          </w:p>
        </w:tc>
      </w:tr>
      <w:tr w14:paraId="167DDD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5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77C28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项目基本情况</w:t>
            </w:r>
          </w:p>
        </w:tc>
        <w:tc>
          <w:tcPr>
            <w:tcW w:w="45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3E7D473">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1.项目年度目标完成情况</w:t>
            </w:r>
          </w:p>
        </w:tc>
        <w:tc>
          <w:tcPr>
            <w:tcW w:w="2272"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159253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项目年度目标</w:t>
            </w:r>
          </w:p>
        </w:tc>
        <w:tc>
          <w:tcPr>
            <w:tcW w:w="1818"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6CF39D2">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7EF227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8FF577">
            <w:pPr>
              <w:rPr>
                <w:rFonts w:hint="eastAsia" w:ascii="宋体" w:hAnsi="宋体" w:eastAsia="宋体" w:cs="宋体"/>
                <w:i w:val="0"/>
                <w:iCs w:val="0"/>
                <w:color w:val="000000"/>
                <w:sz w:val="18"/>
                <w:szCs w:val="18"/>
                <w:u w:val="none"/>
              </w:rPr>
            </w:pPr>
          </w:p>
        </w:tc>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E8712B">
            <w:pPr>
              <w:rPr>
                <w:rFonts w:hint="eastAsia" w:ascii="宋体" w:hAnsi="宋体" w:eastAsia="宋体" w:cs="宋体"/>
                <w:i w:val="0"/>
                <w:iCs w:val="0"/>
                <w:color w:val="000000"/>
                <w:sz w:val="18"/>
                <w:szCs w:val="18"/>
                <w:u w:val="none"/>
              </w:rPr>
            </w:pPr>
          </w:p>
        </w:tc>
        <w:tc>
          <w:tcPr>
            <w:tcW w:w="2272"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87F4DE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防汛抗旱</w:t>
            </w:r>
          </w:p>
        </w:tc>
        <w:tc>
          <w:tcPr>
            <w:tcW w:w="1818"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939EC84">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完成防汛抗旱任务</w:t>
            </w:r>
          </w:p>
        </w:tc>
      </w:tr>
      <w:tr w14:paraId="12FCA6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262DA9">
            <w:pPr>
              <w:rPr>
                <w:rFonts w:hint="eastAsia" w:ascii="宋体" w:hAnsi="宋体" w:eastAsia="宋体" w:cs="宋体"/>
                <w:i w:val="0"/>
                <w:iCs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7A4BF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2.项目实施内容及过程概述</w:t>
            </w:r>
          </w:p>
        </w:tc>
        <w:tc>
          <w:tcPr>
            <w:tcW w:w="4091"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CA630A3">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2024年防汛抗旱经费</w:t>
            </w:r>
          </w:p>
        </w:tc>
      </w:tr>
      <w:tr w14:paraId="03D3B6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5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F6467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预算执行情况（10分）</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EA033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年度预算数（万元）</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BE9B3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年初预算</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DEFEF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调整后预算数</w:t>
            </w:r>
          </w:p>
        </w:tc>
        <w:tc>
          <w:tcPr>
            <w:tcW w:w="136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112954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预算执行数</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36523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预算执行率</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0BEE4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权重</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C5FAD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得分</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FFD15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原因</w:t>
            </w:r>
          </w:p>
        </w:tc>
      </w:tr>
      <w:tr w14:paraId="0E86A6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3CD8A7">
            <w:pPr>
              <w:jc w:val="center"/>
              <w:rPr>
                <w:rFonts w:hint="eastAsia" w:ascii="宋体" w:hAnsi="宋体" w:eastAsia="宋体" w:cs="宋体"/>
                <w:i w:val="0"/>
                <w:iCs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AA68A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总额</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65321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15.00</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0AF04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14.97</w:t>
            </w:r>
          </w:p>
        </w:tc>
        <w:tc>
          <w:tcPr>
            <w:tcW w:w="136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CEA6AF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14.97</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D614B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100.00%</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97BAB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10</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3FCAB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10</w:t>
            </w:r>
          </w:p>
        </w:tc>
        <w:tc>
          <w:tcPr>
            <w:tcW w:w="45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4ADDFB">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14:paraId="6F6F43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172CD6">
            <w:pPr>
              <w:jc w:val="center"/>
              <w:rPr>
                <w:rFonts w:hint="eastAsia" w:ascii="宋体" w:hAnsi="宋体" w:eastAsia="宋体" w:cs="宋体"/>
                <w:i w:val="0"/>
                <w:iCs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F2D24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其中：财政资金</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E4F30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15.00</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6E8B9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14.97</w:t>
            </w:r>
          </w:p>
        </w:tc>
        <w:tc>
          <w:tcPr>
            <w:tcW w:w="136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82CD01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14.97</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C5166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100.00%</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05650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57ED7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w:t>
            </w:r>
          </w:p>
        </w:tc>
        <w:tc>
          <w:tcPr>
            <w:tcW w:w="45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A53C8D">
            <w:pPr>
              <w:rPr>
                <w:rFonts w:hint="eastAsia" w:ascii="黑体" w:hAnsi="黑体" w:eastAsia="黑体" w:cs="黑体"/>
                <w:i/>
                <w:iCs/>
                <w:color w:val="000000"/>
                <w:sz w:val="18"/>
                <w:szCs w:val="18"/>
                <w:u w:val="none"/>
              </w:rPr>
            </w:pPr>
          </w:p>
        </w:tc>
      </w:tr>
      <w:tr w14:paraId="0ACF3C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631079">
            <w:pPr>
              <w:jc w:val="center"/>
              <w:rPr>
                <w:rFonts w:hint="eastAsia" w:ascii="宋体" w:hAnsi="宋体" w:eastAsia="宋体" w:cs="宋体"/>
                <w:i w:val="0"/>
                <w:iCs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F551C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财政专户管理资金</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5C3AE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4C540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0.00</w:t>
            </w:r>
          </w:p>
        </w:tc>
        <w:tc>
          <w:tcPr>
            <w:tcW w:w="136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97CB60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778E6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FCEEB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DFA72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w:t>
            </w:r>
          </w:p>
        </w:tc>
        <w:tc>
          <w:tcPr>
            <w:tcW w:w="45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A631F6">
            <w:pPr>
              <w:rPr>
                <w:rFonts w:hint="eastAsia" w:ascii="黑体" w:hAnsi="黑体" w:eastAsia="黑体" w:cs="黑体"/>
                <w:i/>
                <w:iCs/>
                <w:color w:val="000000"/>
                <w:sz w:val="18"/>
                <w:szCs w:val="18"/>
                <w:u w:val="none"/>
              </w:rPr>
            </w:pPr>
          </w:p>
        </w:tc>
      </w:tr>
      <w:tr w14:paraId="46EAB2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089D12">
            <w:pPr>
              <w:jc w:val="center"/>
              <w:rPr>
                <w:rFonts w:hint="eastAsia" w:ascii="宋体" w:hAnsi="宋体" w:eastAsia="宋体" w:cs="宋体"/>
                <w:i w:val="0"/>
                <w:iCs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EE3BD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单位资金</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3A901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6886C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0.00</w:t>
            </w:r>
          </w:p>
        </w:tc>
        <w:tc>
          <w:tcPr>
            <w:tcW w:w="136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C1945E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40D0F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0.00%</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0C8AA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E2A78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w:t>
            </w:r>
          </w:p>
        </w:tc>
        <w:tc>
          <w:tcPr>
            <w:tcW w:w="45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CFF5D1">
            <w:pPr>
              <w:rPr>
                <w:rFonts w:hint="eastAsia" w:ascii="黑体" w:hAnsi="黑体" w:eastAsia="黑体" w:cs="黑体"/>
                <w:i/>
                <w:iCs/>
                <w:color w:val="000000"/>
                <w:sz w:val="18"/>
                <w:szCs w:val="18"/>
                <w:u w:val="none"/>
              </w:rPr>
            </w:pPr>
          </w:p>
        </w:tc>
      </w:tr>
      <w:tr w14:paraId="518F84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D1E42C">
            <w:pPr>
              <w:jc w:val="center"/>
              <w:rPr>
                <w:rFonts w:hint="eastAsia" w:ascii="宋体" w:hAnsi="宋体" w:eastAsia="宋体" w:cs="宋体"/>
                <w:i w:val="0"/>
                <w:iCs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2D4F9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其他资金</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55DF21">
            <w:pPr>
              <w:jc w:val="center"/>
              <w:rPr>
                <w:rFonts w:hint="eastAsia" w:ascii="微软雅黑" w:hAnsi="微软雅黑" w:eastAsia="微软雅黑" w:cs="微软雅黑"/>
                <w:i/>
                <w:iCs/>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1D7630">
            <w:pPr>
              <w:jc w:val="center"/>
              <w:rPr>
                <w:rFonts w:hint="eastAsia" w:ascii="微软雅黑" w:hAnsi="微软雅黑" w:eastAsia="微软雅黑" w:cs="微软雅黑"/>
                <w:i/>
                <w:iCs/>
                <w:color w:val="000000"/>
                <w:sz w:val="16"/>
                <w:szCs w:val="16"/>
                <w:u w:val="none"/>
              </w:rPr>
            </w:pPr>
          </w:p>
        </w:tc>
        <w:tc>
          <w:tcPr>
            <w:tcW w:w="136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9B9CD59">
            <w:pPr>
              <w:jc w:val="center"/>
              <w:rPr>
                <w:rFonts w:hint="eastAsia" w:ascii="微软雅黑" w:hAnsi="微软雅黑" w:eastAsia="微软雅黑" w:cs="微软雅黑"/>
                <w:i/>
                <w:iCs/>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B550FD">
            <w:pPr>
              <w:jc w:val="center"/>
              <w:rPr>
                <w:rFonts w:hint="eastAsia" w:ascii="微软雅黑" w:hAnsi="微软雅黑" w:eastAsia="微软雅黑" w:cs="微软雅黑"/>
                <w:i/>
                <w:iCs/>
                <w:color w:val="000000"/>
                <w:sz w:val="16"/>
                <w:szCs w:val="16"/>
                <w:u w:val="none"/>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19857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ECA73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w:t>
            </w:r>
          </w:p>
        </w:tc>
        <w:tc>
          <w:tcPr>
            <w:tcW w:w="45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7FBEA8">
            <w:pPr>
              <w:rPr>
                <w:rFonts w:hint="eastAsia" w:ascii="黑体" w:hAnsi="黑体" w:eastAsia="黑体" w:cs="黑体"/>
                <w:i/>
                <w:iCs/>
                <w:color w:val="000000"/>
                <w:sz w:val="18"/>
                <w:szCs w:val="18"/>
                <w:u w:val="none"/>
              </w:rPr>
            </w:pPr>
          </w:p>
        </w:tc>
      </w:tr>
      <w:tr w14:paraId="2114E2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5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A2C44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绩效指标（90分）</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78F64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一级指标</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1E3B1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二级指标</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1AC95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三级指标</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F4BFC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指标性质</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ADE9E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指标值</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2E0FA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度量单位</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E3C8D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完成值</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8D304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权重</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0D1D0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得分</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054DD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未完成原因分析</w:t>
            </w:r>
          </w:p>
        </w:tc>
      </w:tr>
      <w:tr w14:paraId="0EEE56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F8DBEF">
            <w:pPr>
              <w:jc w:val="center"/>
              <w:rPr>
                <w:rFonts w:hint="eastAsia" w:ascii="宋体" w:hAnsi="宋体" w:eastAsia="宋体" w:cs="宋体"/>
                <w:i w:val="0"/>
                <w:iCs w:val="0"/>
                <w:color w:val="000000"/>
                <w:sz w:val="18"/>
                <w:szCs w:val="18"/>
                <w:u w:val="none"/>
              </w:rPr>
            </w:pPr>
          </w:p>
        </w:tc>
        <w:tc>
          <w:tcPr>
            <w:tcW w:w="45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41E8C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产出指标</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3BAA1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数量指标</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D9A18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全区河道</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00B9D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1BDC5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50</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8A843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处</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71632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52</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053FA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10</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5E726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10</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6C768E">
            <w:pPr>
              <w:jc w:val="center"/>
              <w:rPr>
                <w:rFonts w:hint="eastAsia" w:ascii="宋体" w:hAnsi="宋体" w:eastAsia="宋体" w:cs="宋体"/>
                <w:i w:val="0"/>
                <w:iCs w:val="0"/>
                <w:color w:val="000000"/>
                <w:sz w:val="18"/>
                <w:szCs w:val="18"/>
                <w:u w:val="none"/>
              </w:rPr>
            </w:pPr>
          </w:p>
        </w:tc>
      </w:tr>
      <w:tr w14:paraId="2ED5EE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9972AF">
            <w:pPr>
              <w:jc w:val="center"/>
              <w:rPr>
                <w:rFonts w:hint="eastAsia" w:ascii="宋体" w:hAnsi="宋体" w:eastAsia="宋体" w:cs="宋体"/>
                <w:i w:val="0"/>
                <w:iCs w:val="0"/>
                <w:color w:val="000000"/>
                <w:sz w:val="18"/>
                <w:szCs w:val="18"/>
                <w:u w:val="none"/>
              </w:rPr>
            </w:pPr>
          </w:p>
        </w:tc>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2DE2F1">
            <w:pPr>
              <w:jc w:val="center"/>
              <w:rPr>
                <w:rFonts w:hint="eastAsia" w:ascii="宋体" w:hAnsi="宋体" w:eastAsia="宋体" w:cs="宋体"/>
                <w:i w:val="0"/>
                <w:iCs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74FD1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质量指标</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65712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确保全区河道安全度汛</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17AF5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52C2E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50</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0C846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处</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279DC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52</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5A5F6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20</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D4783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20</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6EC15C">
            <w:pPr>
              <w:jc w:val="center"/>
              <w:rPr>
                <w:rFonts w:hint="eastAsia" w:ascii="宋体" w:hAnsi="宋体" w:eastAsia="宋体" w:cs="宋体"/>
                <w:i w:val="0"/>
                <w:iCs w:val="0"/>
                <w:color w:val="000000"/>
                <w:sz w:val="18"/>
                <w:szCs w:val="18"/>
                <w:u w:val="none"/>
              </w:rPr>
            </w:pPr>
          </w:p>
        </w:tc>
      </w:tr>
      <w:tr w14:paraId="3FA92C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DFAB99">
            <w:pPr>
              <w:jc w:val="center"/>
              <w:rPr>
                <w:rFonts w:hint="eastAsia" w:ascii="宋体" w:hAnsi="宋体" w:eastAsia="宋体" w:cs="宋体"/>
                <w:i w:val="0"/>
                <w:iCs w:val="0"/>
                <w:color w:val="000000"/>
                <w:sz w:val="18"/>
                <w:szCs w:val="18"/>
                <w:u w:val="none"/>
              </w:rPr>
            </w:pPr>
          </w:p>
        </w:tc>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8BC53C">
            <w:pPr>
              <w:jc w:val="center"/>
              <w:rPr>
                <w:rFonts w:hint="eastAsia" w:ascii="宋体" w:hAnsi="宋体" w:eastAsia="宋体" w:cs="宋体"/>
                <w:i w:val="0"/>
                <w:iCs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6B128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时效指标</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1088E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2024</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C2AC5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D1018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1</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46569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年</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E8400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2024</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6CAF3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20</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6C6D2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20</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6DAFC2">
            <w:pPr>
              <w:jc w:val="center"/>
              <w:rPr>
                <w:rFonts w:hint="eastAsia" w:ascii="宋体" w:hAnsi="宋体" w:eastAsia="宋体" w:cs="宋体"/>
                <w:i w:val="0"/>
                <w:iCs w:val="0"/>
                <w:color w:val="000000"/>
                <w:sz w:val="18"/>
                <w:szCs w:val="18"/>
                <w:u w:val="none"/>
              </w:rPr>
            </w:pPr>
          </w:p>
        </w:tc>
      </w:tr>
      <w:tr w14:paraId="6065B8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5B4196">
            <w:pPr>
              <w:jc w:val="center"/>
              <w:rPr>
                <w:rFonts w:hint="eastAsia" w:ascii="宋体" w:hAnsi="宋体" w:eastAsia="宋体" w:cs="宋体"/>
                <w:i w:val="0"/>
                <w:iCs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BEF6C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效益指标</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6C914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生态效益指标</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2603E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确保全区河道安全度汛</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00B9B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8C4C0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100</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794A2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811AC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100%</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C21D5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20</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3CE8D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20</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F78632">
            <w:pPr>
              <w:jc w:val="center"/>
              <w:rPr>
                <w:rFonts w:hint="eastAsia" w:ascii="宋体" w:hAnsi="宋体" w:eastAsia="宋体" w:cs="宋体"/>
                <w:i w:val="0"/>
                <w:iCs w:val="0"/>
                <w:color w:val="000000"/>
                <w:sz w:val="18"/>
                <w:szCs w:val="18"/>
                <w:u w:val="none"/>
              </w:rPr>
            </w:pPr>
          </w:p>
        </w:tc>
      </w:tr>
      <w:tr w14:paraId="0162EB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84042F">
            <w:pPr>
              <w:jc w:val="center"/>
              <w:rPr>
                <w:rFonts w:hint="eastAsia" w:ascii="宋体" w:hAnsi="宋体" w:eastAsia="宋体" w:cs="宋体"/>
                <w:i w:val="0"/>
                <w:iCs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E7BAB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满意度指标</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C0667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满意度指标</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494D9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服务对象满意</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EC4F8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35FDA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95</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C50D7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17A23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60%</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98E22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10</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A1BAD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6</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9E2D23">
            <w:pPr>
              <w:jc w:val="center"/>
              <w:rPr>
                <w:rFonts w:hint="eastAsia" w:ascii="宋体" w:hAnsi="宋体" w:eastAsia="宋体" w:cs="宋体"/>
                <w:i w:val="0"/>
                <w:iCs w:val="0"/>
                <w:color w:val="000000"/>
                <w:sz w:val="18"/>
                <w:szCs w:val="18"/>
                <w:u w:val="none"/>
              </w:rPr>
            </w:pPr>
          </w:p>
        </w:tc>
      </w:tr>
      <w:tr w14:paraId="0BE608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F50CD2">
            <w:pPr>
              <w:jc w:val="center"/>
              <w:rPr>
                <w:rFonts w:hint="eastAsia" w:ascii="宋体" w:hAnsi="宋体" w:eastAsia="宋体" w:cs="宋体"/>
                <w:i w:val="0"/>
                <w:iCs w:val="0"/>
                <w:color w:val="000000"/>
                <w:sz w:val="18"/>
                <w:szCs w:val="18"/>
                <w:u w:val="none"/>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A5FE1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成本指标</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B5720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经济成本指标</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0C8E9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防汛日常维护</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DBDAA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37755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150000</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D265D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元</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33592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149700</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33324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10</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39AA6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10</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104A36">
            <w:pPr>
              <w:jc w:val="center"/>
              <w:rPr>
                <w:rFonts w:hint="eastAsia" w:ascii="宋体" w:hAnsi="宋体" w:eastAsia="宋体" w:cs="宋体"/>
                <w:i w:val="0"/>
                <w:iCs w:val="0"/>
                <w:color w:val="000000"/>
                <w:sz w:val="18"/>
                <w:szCs w:val="18"/>
                <w:u w:val="none"/>
              </w:rPr>
            </w:pPr>
          </w:p>
        </w:tc>
      </w:tr>
      <w:tr w14:paraId="38964E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635"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D43505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合计</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2964E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100</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F9476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96</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AF75C9">
            <w:pPr>
              <w:rPr>
                <w:rFonts w:hint="eastAsia" w:ascii="宋体" w:hAnsi="宋体" w:eastAsia="宋体" w:cs="宋体"/>
                <w:i w:val="0"/>
                <w:iCs w:val="0"/>
                <w:color w:val="000000"/>
                <w:sz w:val="18"/>
                <w:szCs w:val="18"/>
                <w:u w:val="none"/>
              </w:rPr>
            </w:pPr>
          </w:p>
        </w:tc>
      </w:tr>
      <w:tr w14:paraId="01C556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86A54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评价结论</w:t>
            </w:r>
          </w:p>
        </w:tc>
        <w:tc>
          <w:tcPr>
            <w:tcW w:w="4545"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D270D30">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通过实施51090422T000000393815-遂宁市安居区跑马滩水库除险加固项目项目全区河道50处,确保全区河道安全度汛,项目涉及的区域内不存在不满意、投诉的等情况，项目自评96分。</w:t>
            </w:r>
          </w:p>
        </w:tc>
      </w:tr>
      <w:tr w14:paraId="11DBDA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3F720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存在问题</w:t>
            </w:r>
          </w:p>
        </w:tc>
        <w:tc>
          <w:tcPr>
            <w:tcW w:w="4545"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BA0DB46">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项目推进过程中用地、环保要素瓶颈制约未能及时有效破解，项目前期论证工作不深；工作认识不到位，发现和解决问题能力不足，工作存在“推着走”的现象，被动整改问题多，主动巡查解决少。</w:t>
            </w:r>
          </w:p>
        </w:tc>
      </w:tr>
      <w:tr w14:paraId="73BFB6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0" w:hRule="atLeast"/>
        </w:trPr>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C127C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仿宋_GB2312" w:cs="宋体"/>
                <w:i w:val="0"/>
                <w:iCs w:val="0"/>
                <w:color w:val="000000"/>
                <w:kern w:val="0"/>
                <w:sz w:val="18"/>
                <w:szCs w:val="18"/>
                <w:u w:val="none"/>
                <w:lang w:val="en-US" w:eastAsia="zh-CN" w:bidi="ar"/>
              </w:rPr>
              <w:t>改进措施</w:t>
            </w:r>
          </w:p>
        </w:tc>
        <w:tc>
          <w:tcPr>
            <w:tcW w:w="4545"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E204EC7">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抓紧抓好当前重点水利工程项目建设，高质量、高标准如期完成。积极贯彻落实上级有关水旱灾害防御工作指示精神，进一步压紧压实压水利系统各层级、全链条防御责任，坚决做到守土有责、守土负责、守土尽责，锚定“人员不伤亡、重要堤防不决口、重要基础设施不受冲击目标，贯通雨情汛情险情灾情防御，强化预报预警预演预案措施，紧绷洪水防御“四个链条”，以“时时放心不下”工作责任感，在水旱灾害防御和灾后水利建设一线挑重担，为坚决打赢水旱灾害防御硬仗，提供坚强政治保证。</w:t>
            </w:r>
          </w:p>
        </w:tc>
      </w:tr>
      <w:tr w14:paraId="67BD15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71"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22AD3AC">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项目负责人：阳振宇等</w:t>
            </w:r>
          </w:p>
        </w:tc>
        <w:tc>
          <w:tcPr>
            <w:tcW w:w="2728"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BD56B48">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财务负责人：肖静</w:t>
            </w:r>
          </w:p>
        </w:tc>
      </w:tr>
    </w:tbl>
    <w:p w14:paraId="1BB2BDCD">
      <w:pPr>
        <w:pStyle w:val="44"/>
        <w:keepNext w:val="0"/>
        <w:keepLines w:val="0"/>
        <w:pageBreakBefore w:val="0"/>
        <w:widowControl w:val="0"/>
        <w:kinsoku/>
        <w:wordWrap/>
        <w:overflowPunct/>
        <w:topLinePunct w:val="0"/>
        <w:autoSpaceDE/>
        <w:autoSpaceDN/>
        <w:bidi w:val="0"/>
        <w:spacing w:line="578" w:lineRule="exact"/>
        <w:ind w:left="0" w:leftChars="0"/>
        <w:jc w:val="center"/>
        <w:textAlignment w:val="auto"/>
        <w:rPr>
          <w:rFonts w:hint="eastAsia" w:ascii="方正小标宋简体" w:hAnsi="方正小标宋简体" w:eastAsia="方正小标宋简体" w:cs="方正小标宋简体"/>
          <w:color w:val="auto"/>
          <w:kern w:val="2"/>
          <w:sz w:val="44"/>
          <w:szCs w:val="44"/>
          <w:highlight w:val="none"/>
          <w:lang w:val="en-US" w:eastAsia="zh-CN"/>
        </w:rPr>
      </w:pPr>
    </w:p>
    <w:p w14:paraId="37A5156F">
      <w:pPr>
        <w:pStyle w:val="5"/>
        <w:keepNext/>
        <w:keepLines/>
        <w:pageBreakBefore w:val="0"/>
        <w:widowControl w:val="0"/>
        <w:kinsoku/>
        <w:wordWrap/>
        <w:overflowPunct/>
        <w:topLinePunct w:val="0"/>
        <w:autoSpaceDE/>
        <w:autoSpaceDN/>
        <w:bidi w:val="0"/>
        <w:adjustRightInd/>
        <w:snapToGrid/>
        <w:spacing w:before="0" w:after="0"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176" w:name="_Toc18905"/>
      <w:bookmarkStart w:id="177" w:name="_Toc14358"/>
    </w:p>
    <w:p w14:paraId="66262E0F">
      <w:pPr>
        <w:pStyle w:val="5"/>
        <w:keepNext/>
        <w:keepLines/>
        <w:pageBreakBefore w:val="0"/>
        <w:widowControl w:val="0"/>
        <w:kinsoku/>
        <w:wordWrap/>
        <w:overflowPunct/>
        <w:topLinePunct w:val="0"/>
        <w:autoSpaceDE/>
        <w:autoSpaceDN/>
        <w:bidi w:val="0"/>
        <w:adjustRightInd/>
        <w:snapToGrid/>
        <w:spacing w:before="0" w:after="0" w:line="560" w:lineRule="exact"/>
        <w:jc w:val="center"/>
        <w:textAlignment w:val="auto"/>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t>专项资金绩效自评报告</w:t>
      </w:r>
      <w:bookmarkEnd w:id="176"/>
      <w:bookmarkEnd w:id="177"/>
    </w:p>
    <w:p w14:paraId="34D02860">
      <w:pPr>
        <w:pStyle w:val="5"/>
        <w:keepNext/>
        <w:keepLines/>
        <w:pageBreakBefore w:val="0"/>
        <w:widowControl w:val="0"/>
        <w:kinsoku/>
        <w:wordWrap/>
        <w:overflowPunct/>
        <w:topLinePunct w:val="0"/>
        <w:autoSpaceDE/>
        <w:autoSpaceDN/>
        <w:bidi w:val="0"/>
        <w:adjustRightInd/>
        <w:snapToGrid/>
        <w:spacing w:before="0" w:after="0"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178" w:name="_Toc10107"/>
      <w:bookmarkStart w:id="179" w:name="_Toc30573"/>
      <w:bookmarkStart w:id="180" w:name="_Toc26481"/>
      <w:r>
        <w:rPr>
          <w:rFonts w:hint="eastAsia" w:ascii="方正小标宋简体" w:hAnsi="方正小标宋简体" w:eastAsia="方正小标宋简体" w:cs="方正小标宋简体"/>
          <w:b w:val="0"/>
          <w:bCs w:val="0"/>
          <w:lang w:val="en-US" w:eastAsia="zh-CN"/>
        </w:rPr>
        <w:t>2024年市级财政衔接推进乡村振兴补助资金</w:t>
      </w:r>
      <w:bookmarkEnd w:id="178"/>
      <w:bookmarkEnd w:id="179"/>
      <w:bookmarkEnd w:id="180"/>
    </w:p>
    <w:p w14:paraId="14160DBF">
      <w:pPr>
        <w:pStyle w:val="44"/>
        <w:keepNext w:val="0"/>
        <w:keepLines w:val="0"/>
        <w:pageBreakBefore w:val="0"/>
        <w:widowControl w:val="0"/>
        <w:kinsoku/>
        <w:wordWrap/>
        <w:overflowPunct/>
        <w:topLinePunct w:val="0"/>
        <w:autoSpaceDE/>
        <w:autoSpaceDN/>
        <w:bidi w:val="0"/>
        <w:spacing w:line="578" w:lineRule="exact"/>
        <w:ind w:left="0" w:leftChars="0"/>
        <w:jc w:val="center"/>
        <w:textAlignment w:val="auto"/>
        <w:rPr>
          <w:rFonts w:hint="eastAsia" w:ascii="方正小标宋简体" w:hAnsi="方正小标宋简体" w:eastAsia="方正小标宋简体" w:cs="方正小标宋简体"/>
          <w:color w:val="auto"/>
          <w:kern w:val="2"/>
          <w:sz w:val="44"/>
          <w:szCs w:val="44"/>
          <w:highlight w:val="none"/>
          <w:lang w:val="en-US" w:eastAsia="zh-CN"/>
        </w:rPr>
      </w:pPr>
    </w:p>
    <w:p w14:paraId="0C24310A">
      <w:pPr>
        <w:keepNext w:val="0"/>
        <w:keepLines w:val="0"/>
        <w:pageBreakBefore w:val="0"/>
        <w:widowControl w:val="0"/>
        <w:kinsoku/>
        <w:wordWrap/>
        <w:overflowPunct/>
        <w:topLinePunct w:val="0"/>
        <w:autoSpaceDE/>
        <w:autoSpaceDN/>
        <w:bidi w:val="0"/>
        <w:adjustRightInd/>
        <w:snapToGrid/>
        <w:spacing w:line="590" w:lineRule="exact"/>
        <w:ind w:right="0" w:rightChars="0" w:firstLine="640" w:firstLineChars="200"/>
        <w:textAlignment w:val="auto"/>
        <w:rPr>
          <w:rFonts w:ascii="黑体" w:hAnsi="宋体" w:eastAsia="黑体"/>
          <w:sz w:val="32"/>
          <w:szCs w:val="32"/>
          <w:highlight w:val="none"/>
          <w:lang w:val="zh-CN"/>
        </w:rPr>
      </w:pPr>
      <w:r>
        <w:rPr>
          <w:rFonts w:hint="eastAsia" w:ascii="黑体" w:hAnsi="宋体" w:eastAsia="黑体"/>
          <w:sz w:val="32"/>
          <w:szCs w:val="32"/>
          <w:highlight w:val="none"/>
        </w:rPr>
        <w:t>一、</w:t>
      </w:r>
      <w:r>
        <w:rPr>
          <w:rFonts w:hint="eastAsia" w:ascii="黑体" w:hAnsi="宋体" w:eastAsia="黑体"/>
          <w:sz w:val="32"/>
          <w:szCs w:val="32"/>
          <w:highlight w:val="none"/>
          <w:lang w:val="zh-CN"/>
        </w:rPr>
        <w:t>项目概况</w:t>
      </w:r>
    </w:p>
    <w:p w14:paraId="7718B41E">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3" w:firstLineChars="200"/>
        <w:contextualSpacing/>
        <w:jc w:val="left"/>
        <w:textAlignment w:val="auto"/>
        <w:rPr>
          <w:rFonts w:hint="eastAsia" w:ascii="仿宋_GB2312" w:hAnsi="仿宋_GB2312" w:eastAsia="仿宋_GB2312" w:cs="仿宋_GB2312"/>
          <w:b w:val="0"/>
          <w:bCs w:val="0"/>
          <w:color w:val="auto"/>
          <w:kern w:val="0"/>
          <w:sz w:val="32"/>
          <w:szCs w:val="32"/>
          <w:highlight w:val="none"/>
          <w:u w:val="none"/>
          <w:shd w:val="clear" w:color="auto" w:fill="FFFFFF"/>
          <w:lang w:val="zh-CN" w:eastAsia="zh-CN"/>
        </w:rPr>
      </w:pPr>
      <w:r>
        <w:rPr>
          <w:rFonts w:hint="eastAsia" w:ascii="楷体_GB2312" w:hAnsi="宋体" w:eastAsia="楷体_GB2312"/>
          <w:b/>
          <w:color w:val="auto"/>
          <w:sz w:val="32"/>
          <w:szCs w:val="32"/>
          <w:highlight w:val="none"/>
          <w:u w:val="none"/>
          <w:lang w:val="zh-CN"/>
        </w:rPr>
        <w:t>（一）设立背景及基本情况。</w:t>
      </w:r>
      <w:r>
        <w:rPr>
          <w:rFonts w:hint="eastAsia" w:ascii="仿宋_GB2312" w:hAnsi="仿宋_GB2312" w:eastAsia="仿宋_GB2312" w:cs="仿宋_GB2312"/>
          <w:color w:val="auto"/>
          <w:kern w:val="0"/>
          <w:sz w:val="32"/>
          <w:szCs w:val="32"/>
          <w:highlight w:val="none"/>
          <w:u w:val="none"/>
          <w:shd w:val="clear" w:color="auto" w:fill="FFFFFF"/>
          <w:lang w:val="en-US" w:eastAsia="zh-CN"/>
        </w:rPr>
        <w:t>项目设立原因及背景，</w:t>
      </w:r>
      <w:r>
        <w:rPr>
          <w:rFonts w:hint="eastAsia" w:ascii="仿宋_GB2312" w:hAnsi="仿宋_GB2312" w:eastAsia="仿宋_GB2312" w:cs="仿宋_GB2312"/>
          <w:color w:val="auto"/>
          <w:kern w:val="0"/>
          <w:sz w:val="32"/>
          <w:szCs w:val="32"/>
          <w:highlight w:val="none"/>
          <w:u w:val="none"/>
          <w:shd w:val="clear" w:color="auto" w:fill="FFFFFF"/>
          <w:lang w:val="zh-CN"/>
        </w:rPr>
        <w:t>项目</w:t>
      </w:r>
      <w:r>
        <w:rPr>
          <w:rFonts w:hint="eastAsia" w:ascii="仿宋_GB2312" w:hAnsi="仿宋_GB2312" w:eastAsia="仿宋_GB2312" w:cs="仿宋_GB2312"/>
          <w:b w:val="0"/>
          <w:bCs w:val="0"/>
          <w:color w:val="auto"/>
          <w:kern w:val="0"/>
          <w:sz w:val="32"/>
          <w:szCs w:val="32"/>
          <w:highlight w:val="none"/>
          <w:u w:val="none"/>
          <w:shd w:val="clear" w:color="auto" w:fill="FFFFFF"/>
          <w:lang w:val="zh-CN" w:eastAsia="zh-CN"/>
        </w:rPr>
        <w:t>立项、资金申报的依据，项目主要内容</w:t>
      </w:r>
      <w:r>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t>。</w:t>
      </w:r>
      <w:r>
        <w:rPr>
          <w:rFonts w:hint="eastAsia" w:ascii="仿宋_GB2312" w:hAnsi="仿宋_GB2312" w:eastAsia="仿宋_GB2312" w:cs="仿宋_GB2312"/>
          <w:b w:val="0"/>
          <w:bCs w:val="0"/>
          <w:color w:val="auto"/>
          <w:kern w:val="0"/>
          <w:sz w:val="32"/>
          <w:szCs w:val="32"/>
          <w:highlight w:val="none"/>
          <w:u w:val="none"/>
          <w:shd w:val="clear" w:color="auto" w:fill="FFFFFF"/>
          <w:lang w:val="zh-CN" w:eastAsia="zh-CN"/>
        </w:rPr>
        <w:t>主管部门职能。</w:t>
      </w:r>
    </w:p>
    <w:p w14:paraId="71A9B532">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default"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本项目自评范围为：51090425T000012612394-遂财农【2024】59号2024年市级财政衔接推进乡村振兴补助资金（以下简称该项目）。</w:t>
      </w:r>
    </w:p>
    <w:p w14:paraId="1C7ADF78">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3" w:firstLineChars="200"/>
        <w:contextualSpacing/>
        <w:jc w:val="left"/>
        <w:textAlignment w:val="auto"/>
        <w:rPr>
          <w:rFonts w:hint="default" w:ascii="仿宋_GB2312" w:hAnsi="仿宋_GB2312" w:eastAsia="仿宋_GB2312" w:cs="仿宋_GB2312"/>
          <w:b/>
          <w:bCs/>
          <w:color w:val="auto"/>
          <w:kern w:val="0"/>
          <w:sz w:val="32"/>
          <w:szCs w:val="32"/>
          <w:highlight w:val="none"/>
          <w:u w:val="none"/>
          <w:shd w:val="clear" w:color="auto" w:fill="FFFFFF"/>
          <w:lang w:val="en-US" w:eastAsia="zh-CN"/>
        </w:rPr>
      </w:pPr>
      <w:r>
        <w:rPr>
          <w:rFonts w:hint="eastAsia" w:ascii="仿宋_GB2312" w:hAnsi="仿宋_GB2312" w:eastAsia="仿宋_GB2312" w:cs="仿宋_GB2312"/>
          <w:b/>
          <w:bCs/>
          <w:color w:val="auto"/>
          <w:kern w:val="0"/>
          <w:sz w:val="32"/>
          <w:szCs w:val="32"/>
          <w:highlight w:val="none"/>
          <w:u w:val="none"/>
          <w:shd w:val="clear" w:color="auto" w:fill="FFFFFF"/>
          <w:lang w:val="en-US" w:eastAsia="zh-CN"/>
        </w:rPr>
        <w:t>1.主管部门职能</w:t>
      </w:r>
    </w:p>
    <w:p w14:paraId="0033E572">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1）负责水资源的合理开发利用和保护工作。拟定全区水利发展规划和政策，组织编制全区水资源综合规划、水资源保护规划、重要江河湖泊流域综合规划、防洪规划等重大水利规划。指导饮用水水源保护有关工作。指导地下水开发利用和地下水资源管理保护。</w:t>
      </w:r>
    </w:p>
    <w:p w14:paraId="07C9D1E7">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2）负责生活、生产经营和生态环境用水的统筹和保障。组织实施最严格水资源管理制度，实施水资源的统一监督管理。拟定全区中长期供求规划，水量分配方案并监督实施。负责重要流域、区域以及重要水工程的水资源调度。组织实施取水许可、水资源论证和防洪论证制度，指导实施水资源有偿使用工作。指导水利行业供水和乡镇供水工作。</w:t>
      </w:r>
    </w:p>
    <w:p w14:paraId="06FF3C07">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（3）根据《四川省水利工程管理条例》，受市水利局委托，负责主管全区中型水利工程（包括麻子滩、跑马滩、新生水库和三仙湖水库）;负责管理或委托乡镇政府管理全区的小[一]、[二]型水库。</w:t>
      </w:r>
    </w:p>
    <w:p w14:paraId="0F74CB2A">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4）负责水利工程建设与运行管理，按管理权限制定水利工程建设有关制度并组织实施，负责提出水利固定资产投资规模、方向和区级财政资金安排的建议。提出区级水利建设投资安排建议并负责项目实施的监督管理。组织实施具有控制性的重要水利工程建设与运行管理。</w:t>
      </w:r>
    </w:p>
    <w:p w14:paraId="72D1BB30">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（5）负责节约用水工作。拟定全区节约用水政策，组织、指导和监督节约用水工作。组织编制节约用水规划并监督实施，组织实施用水总量控制等管理制度，指导和推动节水型社会建设工作。</w:t>
      </w:r>
    </w:p>
    <w:p w14:paraId="187E1250">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（6）负责水资源的监督管理。对江河湖泊和地下水实施监测，发布水资源信息、情报预报和全区水资源公报。</w:t>
      </w:r>
    </w:p>
    <w:p w14:paraId="1EF0E3B3">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7）.指导全区水利设施、江河湖泊及其岸线的管理、保护与综合利用。组织指导水利基础设施网络建设。指导重要江河湖泊及滩涂的保护、治理和开发。指导河湖水生态保护与修复、河湖生态流量水量管理以及河湖水系连通工作。</w:t>
      </w:r>
    </w:p>
    <w:p w14:paraId="6980DAA1">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8）负责全区水土保持工作。拟订水土保持规划并监督实施，组织实施全区水土流失的综合防治、监测预报并定期公告。负责建设项目水土保持监督管理工作，指导重点水土保持建设项目的实施，指导水土保持监测站点建设工作。</w:t>
      </w:r>
    </w:p>
    <w:p w14:paraId="57D77277">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9）指导农村水利工作。组织开展灌区灌排工程建设与改造。负责农村饮水安全工程建设管理工作;指导节水灌溉有关工作。负责农村水利改革创新和社会化服务体系建设，组织农村水能资源开发，指导小水电改造工作。</w:t>
      </w:r>
    </w:p>
    <w:p w14:paraId="02FF5F13">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（10）负责辖区内涉水违法事件的查处、协调水事纠纷，指导水政监察和水行政执法。依法负责水利行业安全生产工作。指导水利建设市场的监督检查，组织实施水利工程建设的监督检查。</w:t>
      </w:r>
    </w:p>
    <w:p w14:paraId="566DE29A">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（11）开展水利科技对外合作交流工作。组织开展水利行业质量监督工作。组织水利科学研究、技术推广工作。组织全区水利系统的对外经济联络，技术经济合作。承担全区水利统计工作。</w:t>
      </w:r>
    </w:p>
    <w:p w14:paraId="0D9988B8">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12）负责落实综合防灾减灾规划相关要求，组织编制并实施全区洪水干旱灾害防治规划。承担水情旱情监测预警工作。按管理权限，组织编制全区重要江河湖泊和重要水工程的防御洪水、抗御旱灾调度及应急水量调度方案，按程序报批并组织实施。承担防御洪水应急抢险的技术保障工作。</w:t>
      </w:r>
    </w:p>
    <w:p w14:paraId="623CC5A3">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（13）负责职责范围内的安全生产和职业健康、生态环境保护、审批服务便民化。</w:t>
      </w:r>
    </w:p>
    <w:p w14:paraId="12F3E9EE">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（14）完成区委和区政府交办的其他任务。</w:t>
      </w:r>
    </w:p>
    <w:p w14:paraId="5CB12372">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（15）职能转变。</w:t>
      </w:r>
    </w:p>
    <w:p w14:paraId="6EDD83D1">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区水利局应切实加强水资源合理利用、优化配置和节约保护，加强跨流域跨区域水资源调配。坚持节水优先，从增加供给转向更加重视需求管理，严格控制用水总量和提高用水效率。坚持保护优先，加强水资源、水域和水利工程的管理保护，加强河湖管理，全面推进河湖长制，维护河湖生态健康。坚持统筹兼顾，保障合理用水需求和水资源的可持续利用，为全区经济社会发展提供水安全保障。加强水利政策研究，加强水利政策、决策部署和重点工程贯彻落实情况的监督检查，强化水利信息化工作。</w:t>
      </w:r>
    </w:p>
    <w:p w14:paraId="788D9FDF">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统筹承担行政职能的事业单位改革。区水土保持办公室不再承担水土保持工作监督管理和行政执法职责，上述行政职能交由区水利局承担。</w:t>
      </w:r>
    </w:p>
    <w:p w14:paraId="5F4D5EDE">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（16）有关职责分工。</w:t>
      </w:r>
    </w:p>
    <w:p w14:paraId="62497EB1">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自然灾害防救的职责分工。区水利局负责落实综合防灾减灾规划相关要求，组织编制并实施全区洪水干旱灾害防治规划。承担水情旱情监测预警工作。组织编制全区重要江河湖泊和重要水工程的防御洪水、抗御旱灾调度及应急水量调度方案，按程序报批并组织实施。承担防御洪水应急抢险的技术保障工作。</w:t>
      </w:r>
    </w:p>
    <w:p w14:paraId="21F8E68F">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区住建局负责在建工地、既有楼盘和小区的防洪防内涝工作。区水利局负责城市河道的防洪调度工作。区综合执法局负责城市市政公用设施的防汛防内涝工作。 区应急管理局负责统一组织、统一指挥、统一协调自然灾害类突发事件应急救援，救灾工作。</w:t>
      </w:r>
    </w:p>
    <w:p w14:paraId="12AC49F7">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水资源保护与水污染防治的职责分工。区水利局负责水资源保护，安居生态环境局负责水环境质量和水污染防治，区自然资源和规划局负责对地下水过量开采及引发的地面沉降等地质问题进行监督。三部门进一步加强协调与配合，建立部门协商机制，按要求通报水资源保护与水污染防治有关情况，协商解决有关重大问题。安居生态环境局发布水环境信息，对信息的准确性、及时性负责。区水利局发布的水资源信息中涉及环境质量的内容，应与安居生态环境局协商一致。</w:t>
      </w:r>
    </w:p>
    <w:p w14:paraId="56537836">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节约用水职责的分工。区水利局牵头负责全区节约用水、计划用水工作。区住建局具体负责城市规划区内的节约用水、计划用水、中水回用等行政管理。</w:t>
      </w:r>
    </w:p>
    <w:p w14:paraId="5570EB57">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供水职责的分工。区水利局组织编制城市规划区外的村镇供水规划，指导村镇供水建设和管理，对村镇供水企业实行行业管理。区住建局负责城市规划区内的供水，对城市供水企业实行行业管理;负责城市规划区内由于工程施工、设备维修等原因确需停止供水的审批。对因城市规划区调整形成自来水供区交叉的问题，由两个部门协商解决。</w:t>
      </w:r>
    </w:p>
    <w:p w14:paraId="7B577D6B">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3" w:firstLineChars="200"/>
        <w:contextualSpacing/>
        <w:jc w:val="left"/>
        <w:textAlignment w:val="auto"/>
        <w:rPr>
          <w:rFonts w:hint="eastAsia" w:ascii="仿宋_GB2312" w:hAnsi="仿宋_GB2312" w:eastAsia="仿宋_GB2312" w:cs="仿宋_GB2312"/>
          <w:b/>
          <w:bCs/>
          <w:color w:val="auto"/>
          <w:kern w:val="0"/>
          <w:sz w:val="32"/>
          <w:szCs w:val="32"/>
          <w:highlight w:val="none"/>
          <w:u w:val="none"/>
          <w:shd w:val="clear" w:color="auto" w:fill="FFFFFF"/>
          <w:lang w:val="en-US" w:eastAsia="zh-CN"/>
        </w:rPr>
      </w:pPr>
      <w:r>
        <w:rPr>
          <w:rFonts w:hint="eastAsia" w:ascii="仿宋_GB2312" w:hAnsi="仿宋_GB2312" w:eastAsia="仿宋_GB2312" w:cs="仿宋_GB2312"/>
          <w:b/>
          <w:bCs/>
          <w:color w:val="auto"/>
          <w:kern w:val="0"/>
          <w:sz w:val="32"/>
          <w:szCs w:val="32"/>
          <w:highlight w:val="none"/>
          <w:u w:val="none"/>
          <w:shd w:val="clear" w:color="auto" w:fill="FFFFFF"/>
          <w:lang w:val="en-US" w:eastAsia="zh-CN"/>
        </w:rPr>
        <w:t>2.项目设立原因及背景</w:t>
      </w:r>
    </w:p>
    <w:p w14:paraId="08009B5B">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（1）保障水利工程安全运行</w:t>
      </w:r>
    </w:p>
    <w:p w14:paraId="2CF671FC">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cs="仿宋_GB2312"/>
          <w:color w:val="auto"/>
          <w:kern w:val="0"/>
          <w:sz w:val="32"/>
          <w:szCs w:val="32"/>
          <w:highlight w:val="none"/>
          <w:u w:val="none"/>
          <w:shd w:val="clear" w:color="auto" w:fill="FFFFFF"/>
          <w:lang w:val="en-US" w:eastAsia="zh-CN"/>
        </w:rPr>
        <w:t>‌</w:t>
      </w:r>
      <w:r>
        <w:rPr>
          <w:rFonts w:hint="eastAsia" w:ascii="仿宋_GB2312" w:hAnsi="仿宋_GB2312" w:eastAsia="仿宋_GB2312" w:cs="仿宋_GB2312"/>
          <w:color w:val="auto"/>
          <w:kern w:val="0"/>
          <w:sz w:val="32"/>
          <w:szCs w:val="32"/>
          <w:highlight w:val="none"/>
          <w:u w:val="none"/>
          <w:shd w:val="clear" w:color="auto" w:fill="FFFFFF"/>
          <w:lang w:val="en-US" w:eastAsia="zh-CN"/>
        </w:rPr>
        <w:t>病险水库治理需求迫切‌：区域内多座小型水库存在安全隐患，需通过除险加固消除风险。例如2022年对席家埝、东岳庙等水库实施加固，修复渗漏、结构缺陷等问题；2019年已对擦耳岩、朝天湾等4座水库开展类似工程。</w:t>
      </w:r>
    </w:p>
    <w:p w14:paraId="1F5D65B5">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cs="仿宋_GB2312"/>
          <w:color w:val="auto"/>
          <w:kern w:val="0"/>
          <w:sz w:val="32"/>
          <w:szCs w:val="32"/>
          <w:highlight w:val="none"/>
          <w:u w:val="none"/>
          <w:shd w:val="clear" w:color="auto" w:fill="FFFFFF"/>
          <w:lang w:val="en-US" w:eastAsia="zh-CN"/>
        </w:rPr>
        <w:t>‌</w:t>
      </w:r>
      <w:r>
        <w:rPr>
          <w:rFonts w:hint="eastAsia" w:ascii="仿宋_GB2312" w:hAnsi="仿宋_GB2312" w:eastAsia="仿宋_GB2312" w:cs="仿宋_GB2312"/>
          <w:color w:val="auto"/>
          <w:kern w:val="0"/>
          <w:sz w:val="32"/>
          <w:szCs w:val="32"/>
          <w:highlight w:val="none"/>
          <w:u w:val="none"/>
          <w:shd w:val="clear" w:color="auto" w:fill="FFFFFF"/>
          <w:lang w:val="en-US" w:eastAsia="zh-CN"/>
        </w:rPr>
        <w:t>设施维护常态化‌：2024年计划开展小型水库设施维修养护及白蚁防治项目，因供应商不足终止后仍需持续推进，反映工程后期管护的持续性需求。</w:t>
      </w:r>
    </w:p>
    <w:p w14:paraId="1EC43A3C">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（2）落实国家水利发展政策</w:t>
      </w:r>
    </w:p>
    <w:p w14:paraId="1CB2D066">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cs="仿宋_GB2312"/>
          <w:color w:val="auto"/>
          <w:kern w:val="0"/>
          <w:sz w:val="32"/>
          <w:szCs w:val="32"/>
          <w:highlight w:val="none"/>
          <w:u w:val="none"/>
          <w:shd w:val="clear" w:color="auto" w:fill="FFFFFF"/>
          <w:lang w:val="en-US" w:eastAsia="zh-CN"/>
        </w:rPr>
        <w:t>‌</w:t>
      </w:r>
      <w:r>
        <w:rPr>
          <w:rFonts w:hint="eastAsia" w:ascii="仿宋_GB2312" w:hAnsi="仿宋_GB2312" w:eastAsia="仿宋_GB2312" w:cs="仿宋_GB2312"/>
          <w:color w:val="auto"/>
          <w:kern w:val="0"/>
          <w:sz w:val="32"/>
          <w:szCs w:val="32"/>
          <w:highlight w:val="none"/>
          <w:u w:val="none"/>
          <w:shd w:val="clear" w:color="auto" w:fill="FFFFFF"/>
          <w:lang w:val="en-US" w:eastAsia="zh-CN"/>
        </w:rPr>
        <w:t>贯彻“补短板、强监管”总基调‌：严格遵循水利部“水利工程补短板、水利行业强监管”的部署，2021年出台《安居区水利行业强监管工作实施方案》，强化对工程运行、资金使用、水资源的监管。</w:t>
      </w:r>
    </w:p>
    <w:p w14:paraId="4C995C7E">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cs="仿宋_GB2312"/>
          <w:color w:val="auto"/>
          <w:kern w:val="0"/>
          <w:sz w:val="32"/>
          <w:szCs w:val="32"/>
          <w:highlight w:val="none"/>
          <w:u w:val="none"/>
          <w:shd w:val="clear" w:color="auto" w:fill="FFFFFF"/>
          <w:lang w:val="en-US" w:eastAsia="zh-CN"/>
        </w:rPr>
        <w:t>‌</w:t>
      </w:r>
      <w:r>
        <w:rPr>
          <w:rFonts w:hint="eastAsia" w:ascii="仿宋_GB2312" w:hAnsi="仿宋_GB2312" w:eastAsia="仿宋_GB2312" w:cs="仿宋_GB2312"/>
          <w:color w:val="auto"/>
          <w:kern w:val="0"/>
          <w:sz w:val="32"/>
          <w:szCs w:val="32"/>
          <w:highlight w:val="none"/>
          <w:u w:val="none"/>
          <w:shd w:val="clear" w:color="auto" w:fill="FFFFFF"/>
          <w:lang w:val="en-US" w:eastAsia="zh-CN"/>
        </w:rPr>
        <w:t>响应中央资金投向要求‌：中央预算内投资明确支持水利高质量发展项目，聚焦水资源优化配置、水生态修复及民生保障，安居区项目符合这一政策导向。</w:t>
      </w:r>
    </w:p>
    <w:p w14:paraId="5D4B0182">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（3）促进区域经济与生态协同发展</w:t>
      </w:r>
    </w:p>
    <w:p w14:paraId="77781138">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cs="仿宋_GB2312"/>
          <w:color w:val="auto"/>
          <w:kern w:val="0"/>
          <w:sz w:val="32"/>
          <w:szCs w:val="32"/>
          <w:highlight w:val="none"/>
          <w:u w:val="none"/>
          <w:shd w:val="clear" w:color="auto" w:fill="FFFFFF"/>
          <w:lang w:val="en-US" w:eastAsia="zh-CN"/>
        </w:rPr>
        <w:t>‌</w:t>
      </w:r>
      <w:r>
        <w:rPr>
          <w:rFonts w:hint="eastAsia" w:ascii="仿宋_GB2312" w:hAnsi="仿宋_GB2312" w:eastAsia="仿宋_GB2312" w:cs="仿宋_GB2312"/>
          <w:color w:val="auto"/>
          <w:kern w:val="0"/>
          <w:sz w:val="32"/>
          <w:szCs w:val="32"/>
          <w:highlight w:val="none"/>
          <w:u w:val="none"/>
          <w:shd w:val="clear" w:color="auto" w:fill="FFFFFF"/>
          <w:lang w:val="en-US" w:eastAsia="zh-CN"/>
        </w:rPr>
        <w:t>支撑农业生产‌：水利设施为农业灌溉提供保障，如2025年利用省级财政资金新建及改造提灌站，直接服务粮油产业增产。</w:t>
      </w:r>
    </w:p>
    <w:p w14:paraId="6E00B2DC">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cs="仿宋_GB2312"/>
          <w:color w:val="auto"/>
          <w:kern w:val="0"/>
          <w:sz w:val="32"/>
          <w:szCs w:val="32"/>
          <w:highlight w:val="none"/>
          <w:u w:val="none"/>
          <w:shd w:val="clear" w:color="auto" w:fill="FFFFFF"/>
          <w:lang w:val="en-US" w:eastAsia="zh-CN"/>
        </w:rPr>
        <w:t>‌</w:t>
      </w:r>
      <w:r>
        <w:rPr>
          <w:rFonts w:hint="eastAsia" w:ascii="仿宋_GB2312" w:hAnsi="仿宋_GB2312" w:eastAsia="仿宋_GB2312" w:cs="仿宋_GB2312"/>
          <w:color w:val="auto"/>
          <w:kern w:val="0"/>
          <w:sz w:val="32"/>
          <w:szCs w:val="32"/>
          <w:highlight w:val="none"/>
          <w:u w:val="none"/>
          <w:shd w:val="clear" w:color="auto" w:fill="FFFFFF"/>
          <w:lang w:val="en-US" w:eastAsia="zh-CN"/>
        </w:rPr>
        <w:t>兼顾生态保护‌：项目建设注重生态修复，通过科学设计减少对生态系统破坏，并提升水质保护、生物多样性维护能力。</w:t>
      </w:r>
    </w:p>
    <w:p w14:paraId="4D7F7EF5">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（4）优化资金管理与项目实施机制</w:t>
      </w:r>
    </w:p>
    <w:p w14:paraId="54AE3B6A">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cs="仿宋_GB2312"/>
          <w:color w:val="auto"/>
          <w:kern w:val="0"/>
          <w:sz w:val="32"/>
          <w:szCs w:val="32"/>
          <w:highlight w:val="none"/>
          <w:u w:val="none"/>
          <w:shd w:val="clear" w:color="auto" w:fill="FFFFFF"/>
          <w:lang w:val="en-US" w:eastAsia="zh-CN"/>
        </w:rPr>
        <w:t>‌</w:t>
      </w:r>
      <w:r>
        <w:rPr>
          <w:rFonts w:hint="eastAsia" w:ascii="仿宋_GB2312" w:hAnsi="仿宋_GB2312" w:eastAsia="仿宋_GB2312" w:cs="仿宋_GB2312"/>
          <w:color w:val="auto"/>
          <w:kern w:val="0"/>
          <w:sz w:val="32"/>
          <w:szCs w:val="32"/>
          <w:highlight w:val="none"/>
          <w:u w:val="none"/>
          <w:shd w:val="clear" w:color="auto" w:fill="FFFFFF"/>
          <w:lang w:val="en-US" w:eastAsia="zh-CN"/>
        </w:rPr>
        <w:t>规范招投标流程‌：2024年发布新规强化招标文件公平竞争审查，明确要求消除地方保护壁垒，确保中央和省级资金项目的公开透明。</w:t>
      </w:r>
    </w:p>
    <w:p w14:paraId="74CDC289">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default"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cs="仿宋_GB2312"/>
          <w:color w:val="auto"/>
          <w:kern w:val="0"/>
          <w:sz w:val="32"/>
          <w:szCs w:val="32"/>
          <w:highlight w:val="none"/>
          <w:u w:val="none"/>
          <w:shd w:val="clear" w:color="auto" w:fill="FFFFFF"/>
          <w:lang w:val="en-US" w:eastAsia="zh-CN"/>
        </w:rPr>
        <w:t>‌</w:t>
      </w:r>
      <w:r>
        <w:rPr>
          <w:rFonts w:hint="eastAsia" w:ascii="仿宋_GB2312" w:hAnsi="仿宋_GB2312" w:eastAsia="仿宋_GB2312" w:cs="仿宋_GB2312"/>
          <w:color w:val="auto"/>
          <w:kern w:val="0"/>
          <w:sz w:val="32"/>
          <w:szCs w:val="32"/>
          <w:highlight w:val="none"/>
          <w:u w:val="none"/>
          <w:shd w:val="clear" w:color="auto" w:fill="FFFFFF"/>
          <w:lang w:val="en-US" w:eastAsia="zh-CN"/>
        </w:rPr>
        <w:t>明确主体责任‌：强调项目业主（如三仙湖水库建设开发公司）和水利局的监管职责，保障资金高效合规使用。</w:t>
      </w:r>
    </w:p>
    <w:p w14:paraId="716113B1">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3" w:firstLineChars="200"/>
        <w:contextualSpacing/>
        <w:jc w:val="left"/>
        <w:textAlignment w:val="auto"/>
        <w:rPr>
          <w:rFonts w:hint="eastAsia" w:ascii="仿宋_GB2312" w:hAnsi="仿宋_GB2312" w:eastAsia="仿宋_GB2312" w:cs="仿宋_GB2312"/>
          <w:b/>
          <w:bCs/>
          <w:color w:val="auto"/>
          <w:kern w:val="0"/>
          <w:sz w:val="32"/>
          <w:szCs w:val="32"/>
          <w:highlight w:val="none"/>
          <w:u w:val="none"/>
          <w:shd w:val="clear" w:color="auto" w:fill="FFFFFF"/>
          <w:lang w:val="zh-CN" w:eastAsia="zh-CN"/>
        </w:rPr>
      </w:pPr>
      <w:r>
        <w:rPr>
          <w:rFonts w:hint="eastAsia" w:ascii="仿宋_GB2312" w:hAnsi="仿宋_GB2312" w:eastAsia="仿宋_GB2312" w:cs="仿宋_GB2312"/>
          <w:b/>
          <w:bCs/>
          <w:color w:val="auto"/>
          <w:kern w:val="0"/>
          <w:sz w:val="32"/>
          <w:szCs w:val="32"/>
          <w:highlight w:val="none"/>
          <w:u w:val="none"/>
          <w:shd w:val="clear" w:color="auto" w:fill="FFFFFF"/>
          <w:lang w:val="en-US" w:eastAsia="zh-CN"/>
        </w:rPr>
        <w:t>3.</w:t>
      </w:r>
      <w:r>
        <w:rPr>
          <w:rFonts w:hint="eastAsia" w:ascii="仿宋_GB2312" w:hAnsi="仿宋_GB2312" w:eastAsia="仿宋_GB2312" w:cs="仿宋_GB2312"/>
          <w:b/>
          <w:bCs/>
          <w:color w:val="auto"/>
          <w:kern w:val="0"/>
          <w:sz w:val="32"/>
          <w:szCs w:val="32"/>
          <w:highlight w:val="none"/>
          <w:u w:val="none"/>
          <w:shd w:val="clear" w:color="auto" w:fill="FFFFFF"/>
          <w:lang w:val="zh-CN" w:eastAsia="zh-CN"/>
        </w:rPr>
        <w:t>项目立项、资金申报的依据</w:t>
      </w:r>
    </w:p>
    <w:p w14:paraId="47930440">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default"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项目立项、资金申报文件为：遂财农【2024】59号。</w:t>
      </w:r>
    </w:p>
    <w:p w14:paraId="3C5A17A0">
      <w:pPr>
        <w:keepNext w:val="0"/>
        <w:keepLines w:val="0"/>
        <w:pageBreakBefore w:val="0"/>
        <w:kinsoku/>
        <w:wordWrap/>
        <w:overflowPunct/>
        <w:topLinePunct w:val="0"/>
        <w:autoSpaceDE/>
        <w:autoSpaceDN/>
        <w:bidi w:val="0"/>
        <w:adjustRightInd/>
        <w:snapToGrid/>
        <w:spacing w:line="590" w:lineRule="exact"/>
        <w:ind w:left="0" w:leftChars="0" w:right="0" w:rightChars="0" w:firstLine="643" w:firstLineChars="200"/>
        <w:textAlignment w:val="auto"/>
        <w:rPr>
          <w:rFonts w:hint="eastAsia" w:ascii="仿宋_GB2312" w:hAnsi="仿宋_GB2312" w:eastAsia="仿宋_GB2312" w:cs="仿宋_GB2312"/>
          <w:color w:val="auto"/>
          <w:kern w:val="0"/>
          <w:sz w:val="32"/>
          <w:szCs w:val="32"/>
          <w:highlight w:val="none"/>
          <w:u w:val="none"/>
          <w:shd w:val="clear" w:color="auto" w:fill="FFFFFF"/>
          <w:lang w:val="zh-CN"/>
        </w:rPr>
      </w:pPr>
      <w:r>
        <w:rPr>
          <w:rFonts w:hint="eastAsia" w:ascii="楷体_GB2312" w:hAnsi="宋体" w:eastAsia="楷体_GB2312"/>
          <w:b/>
          <w:color w:val="auto"/>
          <w:sz w:val="32"/>
          <w:szCs w:val="32"/>
          <w:highlight w:val="none"/>
          <w:u w:val="none"/>
          <w:lang w:val="zh-CN"/>
        </w:rPr>
        <w:t>（</w:t>
      </w:r>
      <w:r>
        <w:rPr>
          <w:rFonts w:hint="eastAsia" w:ascii="楷体_GB2312" w:hAnsi="宋体" w:eastAsia="楷体_GB2312" w:cs="Times New Roman"/>
          <w:b/>
          <w:color w:val="auto"/>
          <w:sz w:val="32"/>
          <w:szCs w:val="32"/>
          <w:highlight w:val="none"/>
          <w:u w:val="none"/>
          <w:lang w:val="zh-CN"/>
        </w:rPr>
        <w:t>二）</w:t>
      </w:r>
      <w:r>
        <w:rPr>
          <w:rFonts w:hint="default" w:ascii="楷体_GB2312" w:hAnsi="宋体" w:eastAsia="楷体_GB2312" w:cs="Times New Roman"/>
          <w:b/>
          <w:color w:val="auto"/>
          <w:sz w:val="32"/>
          <w:szCs w:val="32"/>
          <w:highlight w:val="none"/>
          <w:u w:val="none"/>
          <w:lang w:val="en-US" w:eastAsia="zh-CN"/>
        </w:rPr>
        <w:t>实施目的及支持方向</w:t>
      </w:r>
      <w:r>
        <w:rPr>
          <w:rFonts w:hint="eastAsia" w:ascii="楷体_GB2312" w:hAnsi="宋体" w:eastAsia="楷体_GB2312" w:cs="Times New Roman"/>
          <w:b/>
          <w:color w:val="auto"/>
          <w:sz w:val="32"/>
          <w:szCs w:val="32"/>
          <w:highlight w:val="none"/>
          <w:u w:val="none"/>
          <w:lang w:val="en-US" w:eastAsia="zh-CN"/>
        </w:rPr>
        <w:t>。</w:t>
      </w:r>
      <w:r>
        <w:rPr>
          <w:rFonts w:hint="eastAsia" w:ascii="仿宋_GB2312" w:hAnsi="仿宋_GB2312" w:eastAsia="仿宋_GB2312" w:cs="仿宋_GB2312"/>
          <w:color w:val="auto"/>
          <w:kern w:val="0"/>
          <w:sz w:val="32"/>
          <w:szCs w:val="32"/>
          <w:highlight w:val="none"/>
          <w:u w:val="none"/>
          <w:shd w:val="clear" w:color="auto" w:fill="FFFFFF"/>
          <w:lang w:val="en-US" w:eastAsia="zh-CN"/>
        </w:rPr>
        <w:t>项目资金</w:t>
      </w:r>
      <w:r>
        <w:rPr>
          <w:rFonts w:hint="eastAsia" w:ascii="仿宋_GB2312" w:hAnsi="仿宋_GB2312" w:eastAsia="仿宋_GB2312" w:cs="仿宋_GB2312"/>
          <w:color w:val="auto"/>
          <w:kern w:val="0"/>
          <w:sz w:val="32"/>
          <w:szCs w:val="32"/>
          <w:highlight w:val="none"/>
          <w:u w:val="none"/>
          <w:shd w:val="clear" w:color="auto" w:fill="FFFFFF"/>
          <w:lang w:val="zh-CN"/>
        </w:rPr>
        <w:t>管理办法制定情况，项目实施目的和主要工作任务，项目支持方向。</w:t>
      </w:r>
    </w:p>
    <w:p w14:paraId="398BD297">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3" w:firstLineChars="200"/>
        <w:contextualSpacing/>
        <w:jc w:val="left"/>
        <w:textAlignment w:val="auto"/>
        <w:rPr>
          <w:rFonts w:hint="eastAsia" w:ascii="仿宋_GB2312" w:hAnsi="仿宋_GB2312" w:eastAsia="仿宋_GB2312" w:cs="仿宋_GB2312"/>
          <w:b/>
          <w:bCs/>
          <w:color w:val="auto"/>
          <w:kern w:val="0"/>
          <w:sz w:val="32"/>
          <w:szCs w:val="32"/>
          <w:highlight w:val="none"/>
          <w:u w:val="none"/>
          <w:shd w:val="clear" w:color="auto" w:fill="FFFFFF"/>
          <w:lang w:val="zh-CN" w:eastAsia="zh-CN"/>
        </w:rPr>
      </w:pPr>
      <w:r>
        <w:rPr>
          <w:rFonts w:hint="eastAsia" w:ascii="仿宋_GB2312" w:hAnsi="仿宋_GB2312" w:eastAsia="仿宋_GB2312" w:cs="仿宋_GB2312"/>
          <w:b/>
          <w:bCs/>
          <w:color w:val="auto"/>
          <w:kern w:val="0"/>
          <w:sz w:val="32"/>
          <w:szCs w:val="32"/>
          <w:highlight w:val="none"/>
          <w:u w:val="none"/>
          <w:shd w:val="clear" w:color="auto" w:fill="FFFFFF"/>
          <w:lang w:val="en-US" w:eastAsia="zh-CN"/>
        </w:rPr>
        <w:t>1.项目资金</w:t>
      </w:r>
      <w:r>
        <w:rPr>
          <w:rFonts w:hint="eastAsia" w:ascii="仿宋_GB2312" w:hAnsi="仿宋_GB2312" w:eastAsia="仿宋_GB2312" w:cs="仿宋_GB2312"/>
          <w:b/>
          <w:bCs/>
          <w:color w:val="auto"/>
          <w:kern w:val="0"/>
          <w:sz w:val="32"/>
          <w:szCs w:val="32"/>
          <w:highlight w:val="none"/>
          <w:u w:val="none"/>
          <w:shd w:val="clear" w:color="auto" w:fill="FFFFFF"/>
          <w:lang w:val="zh-CN" w:eastAsia="zh-CN"/>
        </w:rPr>
        <w:t>管理办法</w:t>
      </w:r>
    </w:p>
    <w:p w14:paraId="00366953">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default"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2022年中央和省级水利发展资金项目严格按照《四川省财政厅 四川省水利厅关于印发&lt;四川省水利发展资金管理办法&gt;的通知》（川财农〔2023〕29号）《遂宁市水利监督管理实施办法（试行）》开展，并严格按照“遂财农【2024】59号”文件规定执行，我局未单独针对该项目制定专门的项目资金管理办法。</w:t>
      </w:r>
    </w:p>
    <w:p w14:paraId="5B16A9E2">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3" w:firstLineChars="200"/>
        <w:contextualSpacing/>
        <w:jc w:val="left"/>
        <w:textAlignment w:val="auto"/>
        <w:rPr>
          <w:rFonts w:hint="eastAsia" w:ascii="仿宋_GB2312" w:hAnsi="仿宋_GB2312" w:eastAsia="仿宋_GB2312" w:cs="仿宋_GB2312"/>
          <w:b/>
          <w:bCs/>
          <w:color w:val="auto"/>
          <w:kern w:val="0"/>
          <w:sz w:val="32"/>
          <w:szCs w:val="32"/>
          <w:highlight w:val="none"/>
          <w:u w:val="none"/>
          <w:shd w:val="clear" w:color="auto" w:fill="FFFFFF"/>
          <w:lang w:val="zh-CN" w:eastAsia="zh-CN"/>
        </w:rPr>
      </w:pPr>
      <w:r>
        <w:rPr>
          <w:rFonts w:hint="eastAsia" w:ascii="仿宋_GB2312" w:hAnsi="仿宋_GB2312" w:eastAsia="仿宋_GB2312" w:cs="仿宋_GB2312"/>
          <w:b/>
          <w:bCs/>
          <w:color w:val="auto"/>
          <w:kern w:val="0"/>
          <w:sz w:val="32"/>
          <w:szCs w:val="32"/>
          <w:highlight w:val="none"/>
          <w:u w:val="none"/>
          <w:shd w:val="clear" w:color="auto" w:fill="FFFFFF"/>
          <w:lang w:val="en-US" w:eastAsia="zh-CN"/>
        </w:rPr>
        <w:t>2.</w:t>
      </w:r>
      <w:r>
        <w:rPr>
          <w:rFonts w:hint="eastAsia" w:ascii="仿宋_GB2312" w:hAnsi="仿宋_GB2312" w:eastAsia="仿宋_GB2312" w:cs="仿宋_GB2312"/>
          <w:b/>
          <w:bCs/>
          <w:color w:val="auto"/>
          <w:kern w:val="0"/>
          <w:sz w:val="32"/>
          <w:szCs w:val="32"/>
          <w:highlight w:val="none"/>
          <w:u w:val="none"/>
          <w:shd w:val="clear" w:color="auto" w:fill="FFFFFF"/>
          <w:lang w:val="zh-CN" w:eastAsia="zh-CN"/>
        </w:rPr>
        <w:t>项目实施目的和主要工作任务</w:t>
      </w:r>
    </w:p>
    <w:p w14:paraId="2DD058E2">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项目实施主要内容为：通过300000.00元市级衔接资金，重点实施农村水利设施建设、河湖管理保护及水库运行维护等项目，确保资金执行率达100%。</w:t>
      </w:r>
    </w:p>
    <w:p w14:paraId="3F6AE016">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eastAsia" w:eastAsia="仿宋_GB2312"/>
          <w:sz w:val="32"/>
          <w:szCs w:val="32"/>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项目主要工作任务：按照项目申报要求和“遂财农【2024】59号”文件规定通过300000.00元市级衔接资金，重点实施农村水利设施建设、河湖管理保护及水库运行维护等项目，确保资金执行率达100%。</w:t>
      </w:r>
    </w:p>
    <w:p w14:paraId="6065574B">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3" w:firstLineChars="200"/>
        <w:contextualSpacing/>
        <w:jc w:val="left"/>
        <w:textAlignment w:val="auto"/>
        <w:rPr>
          <w:rFonts w:hint="eastAsia" w:ascii="仿宋_GB2312" w:hAnsi="仿宋_GB2312" w:eastAsia="仿宋_GB2312" w:cs="仿宋_GB2312"/>
          <w:b/>
          <w:bCs/>
          <w:color w:val="auto"/>
          <w:kern w:val="0"/>
          <w:sz w:val="32"/>
          <w:szCs w:val="32"/>
          <w:highlight w:val="none"/>
          <w:u w:val="none"/>
          <w:shd w:val="clear" w:color="auto" w:fill="FFFFFF"/>
          <w:lang w:val="en-US" w:eastAsia="zh-CN"/>
        </w:rPr>
      </w:pPr>
      <w:r>
        <w:rPr>
          <w:rFonts w:hint="eastAsia" w:ascii="仿宋_GB2312" w:hAnsi="仿宋_GB2312" w:eastAsia="仿宋_GB2312" w:cs="仿宋_GB2312"/>
          <w:b/>
          <w:bCs/>
          <w:color w:val="auto"/>
          <w:kern w:val="0"/>
          <w:sz w:val="32"/>
          <w:szCs w:val="32"/>
          <w:highlight w:val="none"/>
          <w:u w:val="none"/>
          <w:shd w:val="clear" w:color="auto" w:fill="FFFFFF"/>
          <w:lang w:val="en-US" w:eastAsia="zh-CN"/>
        </w:rPr>
        <w:t>3.项目支持方向</w:t>
      </w:r>
    </w:p>
    <w:p w14:paraId="46359445">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（1）水旱灾害防御：</w:t>
      </w:r>
    </w:p>
    <w:p w14:paraId="597AAC5F">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cs="仿宋_GB2312"/>
          <w:color w:val="auto"/>
          <w:kern w:val="0"/>
          <w:sz w:val="32"/>
          <w:szCs w:val="32"/>
          <w:highlight w:val="none"/>
          <w:u w:val="none"/>
          <w:shd w:val="clear" w:color="auto" w:fill="FFFFFF"/>
          <w:lang w:val="en-US" w:eastAsia="zh-CN"/>
        </w:rPr>
        <w:t>‌</w:t>
      </w:r>
      <w:r>
        <w:rPr>
          <w:rFonts w:hint="eastAsia" w:ascii="仿宋_GB2312" w:hAnsi="仿宋_GB2312" w:eastAsia="仿宋_GB2312" w:cs="仿宋_GB2312"/>
          <w:color w:val="auto"/>
          <w:kern w:val="0"/>
          <w:sz w:val="32"/>
          <w:szCs w:val="32"/>
          <w:highlight w:val="none"/>
          <w:u w:val="none"/>
          <w:shd w:val="clear" w:color="auto" w:fill="FFFFFF"/>
          <w:lang w:val="en-US" w:eastAsia="zh-CN"/>
        </w:rPr>
        <w:t>防汛救灾应急；采购防汛救灾物资，支持洪涝灾害应急抢险及水利工程水毁修复；强化防洪治理工程。</w:t>
      </w:r>
    </w:p>
    <w:p w14:paraId="1A388FF4">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cs="仿宋_GB2312"/>
          <w:color w:val="auto"/>
          <w:kern w:val="0"/>
          <w:sz w:val="32"/>
          <w:szCs w:val="32"/>
          <w:highlight w:val="none"/>
          <w:u w:val="none"/>
          <w:shd w:val="clear" w:color="auto" w:fill="FFFFFF"/>
          <w:lang w:val="en-US" w:eastAsia="zh-CN"/>
        </w:rPr>
        <w:t>‌</w:t>
      </w:r>
      <w:r>
        <w:rPr>
          <w:rFonts w:hint="eastAsia" w:ascii="仿宋_GB2312" w:hAnsi="仿宋_GB2312" w:eastAsia="仿宋_GB2312" w:cs="仿宋_GB2312"/>
          <w:color w:val="auto"/>
          <w:kern w:val="0"/>
          <w:sz w:val="32"/>
          <w:szCs w:val="32"/>
          <w:highlight w:val="none"/>
          <w:u w:val="none"/>
          <w:shd w:val="clear" w:color="auto" w:fill="FFFFFF"/>
          <w:lang w:val="en-US" w:eastAsia="zh-CN"/>
        </w:rPr>
        <w:t>防灾能力提升‌：支持山洪灾害防治、中小河流治理、病险水库除险加固等项目。</w:t>
      </w:r>
    </w:p>
    <w:p w14:paraId="3C05675A">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（2）水资源优化配置与利用</w:t>
      </w:r>
    </w:p>
    <w:p w14:paraId="0B573ADC">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cs="仿宋_GB2312"/>
          <w:color w:val="auto"/>
          <w:kern w:val="0"/>
          <w:sz w:val="32"/>
          <w:szCs w:val="32"/>
          <w:highlight w:val="none"/>
          <w:u w:val="none"/>
          <w:shd w:val="clear" w:color="auto" w:fill="FFFFFF"/>
          <w:lang w:val="en-US" w:eastAsia="zh-CN"/>
        </w:rPr>
        <w:t>‌</w:t>
      </w:r>
      <w:r>
        <w:rPr>
          <w:rFonts w:hint="eastAsia" w:ascii="仿宋_GB2312" w:hAnsi="仿宋_GB2312" w:eastAsia="仿宋_GB2312" w:cs="仿宋_GB2312"/>
          <w:color w:val="auto"/>
          <w:kern w:val="0"/>
          <w:sz w:val="32"/>
          <w:szCs w:val="32"/>
          <w:highlight w:val="none"/>
          <w:u w:val="none"/>
          <w:shd w:val="clear" w:color="auto" w:fill="FFFFFF"/>
          <w:lang w:val="en-US" w:eastAsia="zh-CN"/>
        </w:rPr>
        <w:t>骨干水利工程建设‌：重点支持灌区一期一步、大桥水库灌区等重大工程。</w:t>
      </w:r>
    </w:p>
    <w:p w14:paraId="264C8F79">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cs="仿宋_GB2312"/>
          <w:color w:val="auto"/>
          <w:kern w:val="0"/>
          <w:sz w:val="32"/>
          <w:szCs w:val="32"/>
          <w:highlight w:val="none"/>
          <w:u w:val="none"/>
          <w:shd w:val="clear" w:color="auto" w:fill="FFFFFF"/>
          <w:lang w:val="en-US" w:eastAsia="zh-CN"/>
        </w:rPr>
        <w:t>‌</w:t>
      </w:r>
      <w:r>
        <w:rPr>
          <w:rFonts w:hint="eastAsia" w:ascii="仿宋_GB2312" w:hAnsi="仿宋_GB2312" w:eastAsia="仿宋_GB2312" w:cs="仿宋_GB2312"/>
          <w:color w:val="auto"/>
          <w:kern w:val="0"/>
          <w:sz w:val="32"/>
          <w:szCs w:val="32"/>
          <w:highlight w:val="none"/>
          <w:u w:val="none"/>
          <w:shd w:val="clear" w:color="auto" w:fill="FFFFFF"/>
          <w:lang w:val="en-US" w:eastAsia="zh-CN"/>
        </w:rPr>
        <w:t>节水增效‌：推动灌区节水改造，提高农田灌溉水有效利用系数。</w:t>
      </w:r>
    </w:p>
    <w:p w14:paraId="7A6C7C80">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推广智能灌溉系统及量测水设施。</w:t>
      </w:r>
    </w:p>
    <w:p w14:paraId="2FCA6BDB">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（3）水资源保护与生态修复</w:t>
      </w:r>
    </w:p>
    <w:p w14:paraId="3948F25D">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cs="仿宋_GB2312"/>
          <w:color w:val="auto"/>
          <w:kern w:val="0"/>
          <w:sz w:val="32"/>
          <w:szCs w:val="32"/>
          <w:highlight w:val="none"/>
          <w:u w:val="none"/>
          <w:shd w:val="clear" w:color="auto" w:fill="FFFFFF"/>
          <w:lang w:val="en-US" w:eastAsia="zh-CN"/>
        </w:rPr>
        <w:t>‌</w:t>
      </w:r>
      <w:r>
        <w:rPr>
          <w:rFonts w:hint="eastAsia" w:ascii="仿宋_GB2312" w:hAnsi="仿宋_GB2312" w:eastAsia="仿宋_GB2312" w:cs="仿宋_GB2312"/>
          <w:color w:val="auto"/>
          <w:kern w:val="0"/>
          <w:sz w:val="32"/>
          <w:szCs w:val="32"/>
          <w:highlight w:val="none"/>
          <w:u w:val="none"/>
          <w:shd w:val="clear" w:color="auto" w:fill="FFFFFF"/>
          <w:lang w:val="en-US" w:eastAsia="zh-CN"/>
        </w:rPr>
        <w:t>水生态治理‌：支持水土保持、河湖生态修复及水质提升工程。</w:t>
      </w:r>
    </w:p>
    <w:p w14:paraId="361248EC">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cs="仿宋_GB2312"/>
          <w:color w:val="auto"/>
          <w:kern w:val="0"/>
          <w:sz w:val="32"/>
          <w:szCs w:val="32"/>
          <w:highlight w:val="none"/>
          <w:u w:val="none"/>
          <w:shd w:val="clear" w:color="auto" w:fill="FFFFFF"/>
          <w:lang w:val="en-US" w:eastAsia="zh-CN"/>
        </w:rPr>
        <w:t>‌</w:t>
      </w:r>
      <w:r>
        <w:rPr>
          <w:rFonts w:hint="eastAsia" w:ascii="仿宋_GB2312" w:hAnsi="仿宋_GB2312" w:eastAsia="仿宋_GB2312" w:cs="仿宋_GB2312"/>
          <w:color w:val="auto"/>
          <w:kern w:val="0"/>
          <w:sz w:val="32"/>
          <w:szCs w:val="32"/>
          <w:highlight w:val="none"/>
          <w:u w:val="none"/>
          <w:shd w:val="clear" w:color="auto" w:fill="FFFFFF"/>
          <w:lang w:val="en-US" w:eastAsia="zh-CN"/>
        </w:rPr>
        <w:t>水源保护‌：加强饮用水源地保护，配套水质监测设施。</w:t>
      </w:r>
    </w:p>
    <w:p w14:paraId="44FB4792">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（4）农村水利设施维护</w:t>
      </w:r>
    </w:p>
    <w:p w14:paraId="1E9832D6">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cs="仿宋_GB2312"/>
          <w:color w:val="auto"/>
          <w:kern w:val="0"/>
          <w:sz w:val="32"/>
          <w:szCs w:val="32"/>
          <w:highlight w:val="none"/>
          <w:u w:val="none"/>
          <w:shd w:val="clear" w:color="auto" w:fill="FFFFFF"/>
          <w:lang w:val="en-US" w:eastAsia="zh-CN"/>
        </w:rPr>
        <w:t>‌</w:t>
      </w:r>
      <w:r>
        <w:rPr>
          <w:rFonts w:hint="eastAsia" w:ascii="仿宋_GB2312" w:hAnsi="仿宋_GB2312" w:eastAsia="仿宋_GB2312" w:cs="仿宋_GB2312"/>
          <w:color w:val="auto"/>
          <w:kern w:val="0"/>
          <w:sz w:val="32"/>
          <w:szCs w:val="32"/>
          <w:highlight w:val="none"/>
          <w:u w:val="none"/>
          <w:shd w:val="clear" w:color="auto" w:fill="FFFFFF"/>
          <w:lang w:val="en-US" w:eastAsia="zh-CN"/>
        </w:rPr>
        <w:t>农村饮水安全‌：保障饮水工程维修养护，确保农村供水稳定。</w:t>
      </w:r>
    </w:p>
    <w:p w14:paraId="40AED000">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cs="仿宋_GB2312"/>
          <w:color w:val="auto"/>
          <w:kern w:val="0"/>
          <w:sz w:val="32"/>
          <w:szCs w:val="32"/>
          <w:highlight w:val="none"/>
          <w:u w:val="none"/>
          <w:shd w:val="clear" w:color="auto" w:fill="FFFFFF"/>
          <w:lang w:val="en-US" w:eastAsia="zh-CN"/>
        </w:rPr>
        <w:t>‌</w:t>
      </w:r>
      <w:r>
        <w:rPr>
          <w:rFonts w:hint="eastAsia" w:ascii="仿宋_GB2312" w:hAnsi="仿宋_GB2312" w:eastAsia="仿宋_GB2312" w:cs="仿宋_GB2312"/>
          <w:color w:val="auto"/>
          <w:kern w:val="0"/>
          <w:sz w:val="32"/>
          <w:szCs w:val="32"/>
          <w:highlight w:val="none"/>
          <w:u w:val="none"/>
          <w:shd w:val="clear" w:color="auto" w:fill="FFFFFF"/>
          <w:lang w:val="en-US" w:eastAsia="zh-CN"/>
        </w:rPr>
        <w:t>小型水利工程管护‌：支持小型水库、泵站等设施的日常维护及白蚁防治。</w:t>
      </w:r>
    </w:p>
    <w:p w14:paraId="5FA6EB8D">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3"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zh-CN"/>
        </w:rPr>
      </w:pPr>
      <w:r>
        <w:rPr>
          <w:rFonts w:hint="eastAsia" w:ascii="楷体_GB2312" w:hAnsi="宋体" w:eastAsia="楷体_GB2312" w:cs="Times New Roman"/>
          <w:b/>
          <w:color w:val="auto"/>
          <w:sz w:val="32"/>
          <w:szCs w:val="32"/>
          <w:highlight w:val="none"/>
          <w:u w:val="none"/>
          <w:lang w:val="zh-CN" w:eastAsia="zh-CN"/>
        </w:rPr>
        <w:t>（三）</w:t>
      </w:r>
      <w:r>
        <w:rPr>
          <w:rFonts w:hint="default" w:ascii="楷体_GB2312" w:hAnsi="宋体" w:eastAsia="楷体_GB2312" w:cs="Times New Roman"/>
          <w:b/>
          <w:color w:val="auto"/>
          <w:sz w:val="32"/>
          <w:szCs w:val="32"/>
          <w:highlight w:val="none"/>
          <w:u w:val="none"/>
          <w:lang w:val="en-US" w:eastAsia="zh-CN"/>
        </w:rPr>
        <w:t>预算安排及分配管理</w:t>
      </w:r>
      <w:r>
        <w:rPr>
          <w:rFonts w:hint="eastAsia" w:ascii="楷体_GB2312" w:hAnsi="宋体" w:eastAsia="楷体_GB2312" w:cs="Times New Roman"/>
          <w:b/>
          <w:color w:val="auto"/>
          <w:sz w:val="32"/>
          <w:szCs w:val="32"/>
          <w:highlight w:val="none"/>
          <w:u w:val="none"/>
          <w:lang w:val="zh-CN" w:eastAsia="zh-CN"/>
        </w:rPr>
        <w:t>。</w:t>
      </w:r>
      <w:r>
        <w:rPr>
          <w:rFonts w:hint="eastAsia" w:ascii="仿宋_GB2312" w:hAnsi="仿宋_GB2312" w:eastAsia="仿宋_GB2312" w:cs="仿宋_GB2312"/>
          <w:color w:val="auto"/>
          <w:kern w:val="0"/>
          <w:sz w:val="32"/>
          <w:szCs w:val="32"/>
          <w:highlight w:val="none"/>
          <w:u w:val="none"/>
          <w:shd w:val="clear" w:color="auto" w:fill="FFFFFF"/>
          <w:lang w:val="zh-CN" w:eastAsia="zh-CN"/>
        </w:rPr>
        <w:t>项目预算安排情况，项目</w:t>
      </w:r>
      <w:r>
        <w:rPr>
          <w:rFonts w:hint="eastAsia" w:ascii="仿宋_GB2312" w:hAnsi="仿宋_GB2312" w:eastAsia="仿宋_GB2312" w:cs="仿宋_GB2312"/>
          <w:color w:val="auto"/>
          <w:kern w:val="0"/>
          <w:sz w:val="32"/>
          <w:szCs w:val="32"/>
          <w:highlight w:val="none"/>
          <w:u w:val="none"/>
          <w:shd w:val="clear" w:color="auto" w:fill="FFFFFF"/>
          <w:lang w:val="zh-CN"/>
        </w:rPr>
        <w:t>资金分配原则及考虑因素，项目资金分配情况。</w:t>
      </w:r>
    </w:p>
    <w:p w14:paraId="4A6ACAE4">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eastAsia" w:eastAsia="仿宋_GB2312"/>
          <w:sz w:val="32"/>
          <w:szCs w:val="32"/>
          <w:lang w:val="en-US" w:eastAsia="zh-CN"/>
        </w:rPr>
      </w:pPr>
      <w:r>
        <w:rPr>
          <w:rFonts w:hint="eastAsia" w:eastAsia="仿宋_GB2312"/>
          <w:sz w:val="32"/>
          <w:szCs w:val="32"/>
          <w:lang w:val="zh-CN"/>
        </w:rPr>
        <w:t>51090425T000012612394-遂财农【2024】59号2024年市级财政衔接推进乡村振兴补助资金</w:t>
      </w:r>
      <w:r>
        <w:rPr>
          <w:rFonts w:hint="eastAsia" w:eastAsia="仿宋_GB2312"/>
          <w:sz w:val="32"/>
          <w:szCs w:val="32"/>
          <w:lang w:val="en-US" w:eastAsia="zh-CN"/>
        </w:rPr>
        <w:t>2024年度预算数300000.00元（含预算调剂）；</w:t>
      </w:r>
    </w:p>
    <w:p w14:paraId="08D3A5D3">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zh-CN" w:eastAsia="zh-CN"/>
        </w:rPr>
        <w:t>项目</w:t>
      </w:r>
      <w:r>
        <w:rPr>
          <w:rFonts w:hint="eastAsia" w:ascii="Times New Roman" w:hAnsi="Times New Roman" w:eastAsia="仿宋_GB2312" w:cs="Times New Roman"/>
          <w:sz w:val="32"/>
          <w:szCs w:val="32"/>
          <w:lang w:val="zh-CN"/>
        </w:rPr>
        <w:t>资金分配原则及考虑因素：</w:t>
      </w:r>
      <w:r>
        <w:rPr>
          <w:rFonts w:hint="eastAsia" w:ascii="Times New Roman" w:hAnsi="Times New Roman" w:eastAsia="仿宋_GB2312" w:cs="Times New Roman"/>
          <w:sz w:val="32"/>
          <w:szCs w:val="32"/>
          <w:lang w:val="en-US" w:eastAsia="zh-CN"/>
        </w:rPr>
        <w:t>项目资金分配由遂宁市财政局、</w:t>
      </w:r>
      <w:r>
        <w:rPr>
          <w:rFonts w:hint="eastAsia" w:eastAsia="仿宋_GB2312" w:cs="Times New Roman"/>
          <w:sz w:val="32"/>
          <w:szCs w:val="32"/>
          <w:lang w:val="en-US" w:eastAsia="zh-CN"/>
        </w:rPr>
        <w:t>安居区</w:t>
      </w:r>
      <w:r>
        <w:rPr>
          <w:rFonts w:hint="eastAsia" w:ascii="Times New Roman" w:hAnsi="Times New Roman" w:eastAsia="仿宋_GB2312" w:cs="Times New Roman"/>
          <w:sz w:val="32"/>
          <w:szCs w:val="32"/>
          <w:lang w:val="en-US" w:eastAsia="zh-CN"/>
        </w:rPr>
        <w:t>财政局根据相关规定与要求分配。</w:t>
      </w:r>
    </w:p>
    <w:p w14:paraId="0C2560A8">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项目资金分配：</w:t>
      </w:r>
      <w:r>
        <w:rPr>
          <w:rFonts w:hint="eastAsia" w:eastAsia="仿宋_GB2312"/>
          <w:sz w:val="32"/>
          <w:szCs w:val="32"/>
          <w:lang w:val="en-US" w:eastAsia="zh-CN"/>
        </w:rPr>
        <w:t>2024年度我局该项目资金实际分配300000.00元（含预算调剂）。</w:t>
      </w:r>
    </w:p>
    <w:p w14:paraId="3D838BCB">
      <w:pPr>
        <w:keepNext w:val="0"/>
        <w:keepLines w:val="0"/>
        <w:pageBreakBefore w:val="0"/>
        <w:kinsoku/>
        <w:wordWrap/>
        <w:overflowPunct/>
        <w:topLinePunct w:val="0"/>
        <w:autoSpaceDE/>
        <w:autoSpaceDN/>
        <w:bidi w:val="0"/>
        <w:adjustRightInd/>
        <w:snapToGrid/>
        <w:spacing w:line="590" w:lineRule="exact"/>
        <w:ind w:left="0" w:leftChars="0" w:right="0" w:rightChars="0" w:firstLine="643" w:firstLineChars="200"/>
        <w:textAlignment w:val="auto"/>
        <w:rPr>
          <w:rFonts w:hint="eastAsia" w:ascii="仿宋_GB2312" w:hAnsi="仿宋_GB2312" w:eastAsia="仿宋_GB2312" w:cs="仿宋_GB2312"/>
          <w:color w:val="auto"/>
          <w:kern w:val="0"/>
          <w:sz w:val="32"/>
          <w:szCs w:val="32"/>
          <w:highlight w:val="none"/>
          <w:u w:val="none"/>
          <w:shd w:val="clear" w:color="auto" w:fill="FFFFFF"/>
          <w:lang w:val="zh-CN" w:eastAsia="zh-CN"/>
        </w:rPr>
      </w:pPr>
      <w:r>
        <w:rPr>
          <w:rFonts w:hint="eastAsia" w:ascii="楷体_GB2312" w:hAnsi="宋体" w:eastAsia="楷体_GB2312" w:cs="Times New Roman"/>
          <w:b/>
          <w:color w:val="auto"/>
          <w:sz w:val="32"/>
          <w:szCs w:val="32"/>
          <w:highlight w:val="none"/>
          <w:u w:val="none"/>
          <w:lang w:val="zh-CN" w:eastAsia="zh-CN"/>
        </w:rPr>
        <w:t>（四）项目绩效目标设置。</w:t>
      </w:r>
      <w:r>
        <w:rPr>
          <w:rFonts w:hint="eastAsia" w:ascii="仿宋_GB2312" w:hAnsi="仿宋_GB2312" w:eastAsia="仿宋_GB2312" w:cs="仿宋_GB2312"/>
          <w:color w:val="auto"/>
          <w:kern w:val="0"/>
          <w:sz w:val="32"/>
          <w:szCs w:val="32"/>
          <w:highlight w:val="none"/>
          <w:u w:val="none"/>
          <w:shd w:val="clear" w:color="auto" w:fill="FFFFFF"/>
          <w:lang w:val="zh-CN" w:eastAsia="zh-CN"/>
        </w:rPr>
        <w:t>项目整体、区域和具体绩效目标设置情况，项目自评工作开展情况。</w:t>
      </w:r>
    </w:p>
    <w:p w14:paraId="5699A959">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eastAsia" w:ascii="Times New Roman" w:hAnsi="Times New Roman" w:eastAsia="仿宋_GB2312" w:cs="Times New Roman"/>
          <w:lang w:val="en-US" w:eastAsia="zh-CN"/>
        </w:rPr>
      </w:pPr>
      <w:r>
        <w:rPr>
          <w:rFonts w:hint="eastAsia" w:ascii="Times New Roman" w:hAnsi="Times New Roman" w:eastAsia="仿宋_GB2312" w:cs="Times New Roman"/>
          <w:sz w:val="32"/>
          <w:szCs w:val="32"/>
          <w:lang w:val="en-US" w:eastAsia="zh-CN"/>
        </w:rPr>
        <w:t>2024年度该项目资金下达后，遂宁市财政局设定该项目绩效目标：</w:t>
      </w:r>
    </w:p>
    <w:p w14:paraId="40707707">
      <w:pPr>
        <w:keepNext w:val="0"/>
        <w:keepLines w:val="0"/>
        <w:pageBreakBefore w:val="0"/>
        <w:kinsoku/>
        <w:wordWrap/>
        <w:overflowPunct/>
        <w:topLinePunct w:val="0"/>
        <w:autoSpaceDE/>
        <w:autoSpaceDN/>
        <w:bidi w:val="0"/>
        <w:adjustRightInd/>
        <w:snapToGrid/>
        <w:spacing w:line="590" w:lineRule="exact"/>
        <w:ind w:left="0" w:leftChars="0" w:right="0" w:rightChars="0" w:firstLine="420" w:firstLineChars="200"/>
        <w:textAlignment w:val="auto"/>
        <w:rPr>
          <w:rFonts w:hint="eastAsia" w:ascii="Times New Roman" w:hAnsi="Times New Roman" w:eastAsia="仿宋_GB2312" w:cs="Times New Roman"/>
          <w:lang w:val="en-US" w:eastAsia="zh-CN"/>
        </w:rPr>
      </w:pPr>
      <w:r>
        <w:drawing>
          <wp:anchor distT="0" distB="0" distL="114300" distR="114300" simplePos="0" relativeHeight="251667456" behindDoc="0" locked="0" layoutInCell="1" allowOverlap="1">
            <wp:simplePos x="0" y="0"/>
            <wp:positionH relativeFrom="column">
              <wp:posOffset>6350</wp:posOffset>
            </wp:positionH>
            <wp:positionV relativeFrom="paragraph">
              <wp:posOffset>75565</wp:posOffset>
            </wp:positionV>
            <wp:extent cx="5537200" cy="1707515"/>
            <wp:effectExtent l="0" t="0" r="6350" b="6985"/>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6"/>
                    <a:stretch>
                      <a:fillRect/>
                    </a:stretch>
                  </pic:blipFill>
                  <pic:spPr>
                    <a:xfrm>
                      <a:off x="0" y="0"/>
                      <a:ext cx="5537200" cy="1707515"/>
                    </a:xfrm>
                    <a:prstGeom prst="rect">
                      <a:avLst/>
                    </a:prstGeom>
                    <a:noFill/>
                    <a:ln>
                      <a:noFill/>
                    </a:ln>
                  </pic:spPr>
                </pic:pic>
              </a:graphicData>
            </a:graphic>
          </wp:anchor>
        </w:drawing>
      </w:r>
    </w:p>
    <w:p w14:paraId="33DEB207">
      <w:pPr>
        <w:keepNext w:val="0"/>
        <w:keepLines w:val="0"/>
        <w:pageBreakBefore w:val="0"/>
        <w:kinsoku/>
        <w:wordWrap/>
        <w:overflowPunct/>
        <w:topLinePunct w:val="0"/>
        <w:autoSpaceDE/>
        <w:autoSpaceDN/>
        <w:bidi w:val="0"/>
        <w:adjustRightInd/>
        <w:snapToGrid/>
        <w:spacing w:line="590" w:lineRule="exact"/>
        <w:ind w:left="0" w:leftChars="0" w:right="0" w:rightChars="0" w:firstLine="420" w:firstLineChars="200"/>
        <w:textAlignment w:val="auto"/>
        <w:rPr>
          <w:rFonts w:hint="eastAsia" w:ascii="Times New Roman" w:hAnsi="Times New Roman" w:eastAsia="仿宋_GB2312" w:cs="Times New Roman"/>
          <w:lang w:val="en-US" w:eastAsia="zh-CN"/>
        </w:rPr>
      </w:pPr>
    </w:p>
    <w:p w14:paraId="4273B481">
      <w:pPr>
        <w:keepNext w:val="0"/>
        <w:keepLines w:val="0"/>
        <w:pageBreakBefore w:val="0"/>
        <w:kinsoku/>
        <w:wordWrap/>
        <w:overflowPunct/>
        <w:topLinePunct w:val="0"/>
        <w:autoSpaceDE/>
        <w:autoSpaceDN/>
        <w:bidi w:val="0"/>
        <w:adjustRightInd/>
        <w:snapToGrid/>
        <w:spacing w:line="590" w:lineRule="exact"/>
        <w:ind w:left="0" w:leftChars="0" w:right="0" w:rightChars="0" w:firstLine="420" w:firstLineChars="200"/>
        <w:textAlignment w:val="auto"/>
        <w:rPr>
          <w:rFonts w:hint="eastAsia" w:ascii="Times New Roman" w:hAnsi="Times New Roman" w:eastAsia="仿宋_GB2312" w:cs="Times New Roman"/>
          <w:lang w:val="en-US" w:eastAsia="zh-CN"/>
        </w:rPr>
      </w:pPr>
    </w:p>
    <w:p w14:paraId="3925005C">
      <w:pPr>
        <w:keepNext w:val="0"/>
        <w:keepLines w:val="0"/>
        <w:pageBreakBefore w:val="0"/>
        <w:kinsoku/>
        <w:wordWrap/>
        <w:overflowPunct/>
        <w:topLinePunct w:val="0"/>
        <w:autoSpaceDE/>
        <w:autoSpaceDN/>
        <w:bidi w:val="0"/>
        <w:adjustRightInd/>
        <w:snapToGrid/>
        <w:spacing w:line="590" w:lineRule="exact"/>
        <w:ind w:left="0" w:leftChars="0" w:right="0" w:rightChars="0" w:firstLine="420" w:firstLineChars="200"/>
        <w:textAlignment w:val="auto"/>
        <w:rPr>
          <w:rFonts w:hint="eastAsia" w:ascii="Times New Roman" w:hAnsi="Times New Roman" w:eastAsia="仿宋_GB2312" w:cs="Times New Roman"/>
          <w:lang w:val="en-US" w:eastAsia="zh-CN"/>
        </w:rPr>
      </w:pPr>
      <w:r>
        <w:drawing>
          <wp:anchor distT="0" distB="0" distL="114300" distR="114300" simplePos="0" relativeHeight="251668480" behindDoc="0" locked="0" layoutInCell="1" allowOverlap="1">
            <wp:simplePos x="0" y="0"/>
            <wp:positionH relativeFrom="column">
              <wp:posOffset>-91440</wp:posOffset>
            </wp:positionH>
            <wp:positionV relativeFrom="paragraph">
              <wp:posOffset>215265</wp:posOffset>
            </wp:positionV>
            <wp:extent cx="5645150" cy="7499350"/>
            <wp:effectExtent l="0" t="0" r="12700" b="6350"/>
            <wp:wrapTopAndBottom/>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7"/>
                    <a:stretch>
                      <a:fillRect/>
                    </a:stretch>
                  </pic:blipFill>
                  <pic:spPr>
                    <a:xfrm>
                      <a:off x="0" y="0"/>
                      <a:ext cx="5645150" cy="7499350"/>
                    </a:xfrm>
                    <a:prstGeom prst="rect">
                      <a:avLst/>
                    </a:prstGeom>
                    <a:noFill/>
                    <a:ln>
                      <a:noFill/>
                    </a:ln>
                  </pic:spPr>
                </pic:pic>
              </a:graphicData>
            </a:graphic>
          </wp:anchor>
        </w:drawing>
      </w:r>
    </w:p>
    <w:p w14:paraId="1CA606F8">
      <w:pPr>
        <w:keepNext w:val="0"/>
        <w:keepLines w:val="0"/>
        <w:pageBreakBefore w:val="0"/>
        <w:widowControl w:val="0"/>
        <w:kinsoku/>
        <w:wordWrap/>
        <w:overflowPunct/>
        <w:topLinePunct w:val="0"/>
        <w:autoSpaceDE/>
        <w:autoSpaceDN/>
        <w:bidi w:val="0"/>
        <w:adjustRightInd/>
        <w:snapToGrid/>
        <w:spacing w:line="590" w:lineRule="exact"/>
        <w:ind w:right="0" w:rightChars="0" w:firstLine="640" w:firstLineChars="200"/>
        <w:textAlignment w:val="auto"/>
        <w:outlineLvl w:val="9"/>
        <w:rPr>
          <w:rFonts w:hint="eastAsia" w:ascii="黑体" w:hAnsi="宋体" w:eastAsia="黑体"/>
          <w:sz w:val="32"/>
          <w:szCs w:val="32"/>
          <w:highlight w:val="none"/>
          <w:lang w:eastAsia="zh-CN"/>
        </w:rPr>
      </w:pPr>
      <w:r>
        <w:rPr>
          <w:rFonts w:hint="eastAsia" w:ascii="黑体" w:hAnsi="宋体" w:eastAsia="黑体"/>
          <w:sz w:val="32"/>
          <w:szCs w:val="32"/>
          <w:highlight w:val="none"/>
        </w:rPr>
        <w:t>二、</w:t>
      </w:r>
      <w:r>
        <w:rPr>
          <w:rFonts w:hint="eastAsia" w:ascii="黑体" w:hAnsi="宋体" w:eastAsia="黑体"/>
          <w:sz w:val="32"/>
          <w:szCs w:val="32"/>
          <w:highlight w:val="none"/>
          <w:lang w:eastAsia="zh-CN"/>
        </w:rPr>
        <w:t>评价实施</w:t>
      </w:r>
    </w:p>
    <w:p w14:paraId="3E3515D0">
      <w:pPr>
        <w:keepNext w:val="0"/>
        <w:keepLines w:val="0"/>
        <w:pageBreakBefore w:val="0"/>
        <w:widowControl w:val="0"/>
        <w:kinsoku/>
        <w:wordWrap/>
        <w:overflowPunct/>
        <w:topLinePunct w:val="0"/>
        <w:autoSpaceDE/>
        <w:autoSpaceDN/>
        <w:bidi w:val="0"/>
        <w:adjustRightInd/>
        <w:snapToGrid/>
        <w:spacing w:line="590" w:lineRule="exact"/>
        <w:ind w:right="0" w:rightChars="0" w:firstLine="640"/>
        <w:textAlignment w:val="auto"/>
        <w:outlineLvl w:val="9"/>
        <w:rPr>
          <w:rFonts w:hint="eastAsia" w:eastAsia="仿宋_GB2312" w:cs="Times New Roman"/>
          <w:sz w:val="32"/>
          <w:szCs w:val="32"/>
          <w:lang w:eastAsia="zh-CN"/>
        </w:rPr>
      </w:pPr>
      <w:r>
        <w:rPr>
          <w:rFonts w:hint="eastAsia" w:ascii="楷体_GB2312" w:hAnsi="宋体" w:eastAsia="楷体_GB2312"/>
          <w:b/>
          <w:color w:val="auto"/>
          <w:sz w:val="32"/>
          <w:szCs w:val="32"/>
          <w:highlight w:val="none"/>
          <w:u w:val="none"/>
          <w:lang w:val="zh-CN"/>
        </w:rPr>
        <w:t>（一）评价目的。</w:t>
      </w:r>
      <w:r>
        <w:rPr>
          <w:rFonts w:eastAsia="仿宋_GB2312" w:cs="Times New Roman"/>
          <w:sz w:val="32"/>
          <w:szCs w:val="32"/>
        </w:rPr>
        <w:t>通过</w:t>
      </w:r>
      <w:r>
        <w:rPr>
          <w:rFonts w:hint="eastAsia" w:eastAsia="仿宋_GB2312" w:cs="Times New Roman"/>
          <w:sz w:val="32"/>
          <w:szCs w:val="32"/>
          <w:lang w:eastAsia="zh-CN"/>
        </w:rPr>
        <w:t>项目</w:t>
      </w:r>
      <w:r>
        <w:rPr>
          <w:rFonts w:hint="eastAsia" w:eastAsia="仿宋_GB2312" w:cs="Times New Roman"/>
          <w:sz w:val="32"/>
          <w:szCs w:val="32"/>
        </w:rPr>
        <w:t>绩效</w:t>
      </w:r>
      <w:r>
        <w:rPr>
          <w:rFonts w:hint="eastAsia" w:eastAsia="仿宋_GB2312" w:cs="Times New Roman"/>
          <w:sz w:val="32"/>
          <w:szCs w:val="32"/>
          <w:lang w:eastAsia="zh-CN"/>
        </w:rPr>
        <w:t>自评要实现的目的。</w:t>
      </w:r>
    </w:p>
    <w:p w14:paraId="43B150FC">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该项目开展绩效自评的目的是</w:t>
      </w:r>
      <w:r>
        <w:rPr>
          <w:rFonts w:hint="default" w:ascii="Times New Roman" w:hAnsi="Times New Roman" w:eastAsia="仿宋_GB2312" w:cs="Times New Roman"/>
          <w:sz w:val="32"/>
          <w:szCs w:val="32"/>
          <w:lang w:val="en-US" w:eastAsia="zh-CN"/>
        </w:rPr>
        <w:t>贯彻落实全面实施预算绩效管理，将绩效理念和方法</w:t>
      </w:r>
      <w:r>
        <w:rPr>
          <w:rFonts w:hint="eastAsia" w:ascii="Times New Roman" w:hAnsi="Times New Roman" w:eastAsia="仿宋_GB2312" w:cs="Times New Roman"/>
          <w:sz w:val="32"/>
          <w:szCs w:val="32"/>
          <w:lang w:val="en-US" w:eastAsia="zh-CN"/>
        </w:rPr>
        <w:t>深度融入预算编制、执行、监督全过程，实现预算和绩效管理一体化，不断提高财政资金使用效益。</w:t>
      </w:r>
    </w:p>
    <w:p w14:paraId="633DC4EF">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default" w:eastAsia="仿宋_GB2312"/>
          <w:sz w:val="32"/>
          <w:szCs w:val="32"/>
          <w:lang w:val="en-US" w:eastAsia="zh-CN"/>
        </w:rPr>
      </w:pPr>
      <w:r>
        <w:rPr>
          <w:rFonts w:hint="eastAsia" w:eastAsia="仿宋_GB2312"/>
          <w:sz w:val="32"/>
          <w:szCs w:val="32"/>
          <w:lang w:val="en-US" w:eastAsia="zh-CN"/>
        </w:rPr>
        <w:t>同时，针对该项目开展执行结果、效果分析，剖析单位自身项目实施的管理责任落实情况，不断提高我局项目管理水平。</w:t>
      </w:r>
    </w:p>
    <w:p w14:paraId="2C61CFBB">
      <w:pPr>
        <w:keepNext w:val="0"/>
        <w:keepLines w:val="0"/>
        <w:pageBreakBefore w:val="0"/>
        <w:widowControl w:val="0"/>
        <w:kinsoku/>
        <w:wordWrap/>
        <w:overflowPunct/>
        <w:topLinePunct w:val="0"/>
        <w:autoSpaceDE/>
        <w:autoSpaceDN/>
        <w:bidi w:val="0"/>
        <w:adjustRightInd/>
        <w:snapToGrid/>
        <w:spacing w:line="590" w:lineRule="exact"/>
        <w:ind w:left="0" w:leftChars="0" w:right="0" w:rightChars="0" w:firstLine="643" w:firstLineChars="200"/>
        <w:textAlignment w:val="auto"/>
        <w:outlineLvl w:val="9"/>
        <w:rPr>
          <w:rFonts w:hint="eastAsia" w:eastAsia="仿宋_GB2312" w:cs="Times New Roman"/>
          <w:sz w:val="32"/>
          <w:szCs w:val="32"/>
          <w:lang w:eastAsia="zh-CN"/>
        </w:rPr>
      </w:pPr>
      <w:r>
        <w:rPr>
          <w:rFonts w:hint="eastAsia" w:ascii="楷体_GB2312" w:hAnsi="宋体" w:eastAsia="楷体_GB2312"/>
          <w:b/>
          <w:color w:val="auto"/>
          <w:sz w:val="32"/>
          <w:szCs w:val="32"/>
          <w:highlight w:val="none"/>
          <w:u w:val="none"/>
          <w:lang w:val="zh-CN"/>
        </w:rPr>
        <w:t>（二）预设问题及评价重点。</w:t>
      </w:r>
      <w:r>
        <w:rPr>
          <w:rFonts w:hint="eastAsia" w:eastAsia="仿宋_GB2312" w:cs="Times New Roman"/>
          <w:sz w:val="32"/>
          <w:szCs w:val="32"/>
        </w:rPr>
        <w:t>按照绩效评价指标体系，对资金支出使用全过程及其实施效果进行综合评价和判断</w:t>
      </w:r>
      <w:r>
        <w:rPr>
          <w:rFonts w:hint="eastAsia" w:eastAsia="仿宋_GB2312" w:cs="Times New Roman"/>
          <w:sz w:val="32"/>
          <w:szCs w:val="32"/>
          <w:lang w:eastAsia="zh-CN"/>
        </w:rPr>
        <w:t>。</w:t>
      </w:r>
    </w:p>
    <w:p w14:paraId="71C56491">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预设问题：项目实施效果中目标完成情况；</w:t>
      </w:r>
    </w:p>
    <w:p w14:paraId="68EFA058">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评价重点：项目实施（预算执行、资金使用）、项目效果（目标完成、完成时效）。</w:t>
      </w:r>
    </w:p>
    <w:p w14:paraId="036EEB08">
      <w:pPr>
        <w:keepNext w:val="0"/>
        <w:keepLines w:val="0"/>
        <w:pageBreakBefore w:val="0"/>
        <w:widowControl w:val="0"/>
        <w:kinsoku/>
        <w:wordWrap/>
        <w:overflowPunct/>
        <w:topLinePunct w:val="0"/>
        <w:autoSpaceDE/>
        <w:autoSpaceDN/>
        <w:bidi w:val="0"/>
        <w:adjustRightInd/>
        <w:snapToGrid/>
        <w:spacing w:line="590" w:lineRule="exact"/>
        <w:ind w:left="0" w:leftChars="0" w:right="0" w:rightChars="0" w:firstLine="643" w:firstLineChars="200"/>
        <w:textAlignment w:val="auto"/>
        <w:outlineLvl w:val="9"/>
        <w:rPr>
          <w:rFonts w:hint="eastAsia" w:eastAsia="仿宋_GB2312" w:cs="Times New Roman"/>
          <w:sz w:val="32"/>
          <w:szCs w:val="32"/>
          <w:lang w:val="zh-CN" w:eastAsia="zh-CN"/>
        </w:rPr>
      </w:pPr>
      <w:r>
        <w:rPr>
          <w:rFonts w:hint="eastAsia" w:ascii="楷体_GB2312" w:hAnsi="宋体" w:eastAsia="楷体_GB2312"/>
          <w:b/>
          <w:color w:val="auto"/>
          <w:sz w:val="32"/>
          <w:szCs w:val="32"/>
          <w:highlight w:val="none"/>
          <w:u w:val="none"/>
          <w:lang w:val="zh-CN"/>
        </w:rPr>
        <w:t>（三）评价选点。</w:t>
      </w:r>
      <w:r>
        <w:rPr>
          <w:rFonts w:hint="eastAsia" w:eastAsia="仿宋_GB2312" w:cs="Times New Roman"/>
          <w:sz w:val="32"/>
          <w:szCs w:val="32"/>
          <w:lang w:val="zh-CN" w:eastAsia="zh-CN"/>
        </w:rPr>
        <w:t>项目绩效自评所抽样点位情况。</w:t>
      </w:r>
    </w:p>
    <w:p w14:paraId="172D5425">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default" w:eastAsia="仿宋_GB2312"/>
          <w:sz w:val="32"/>
          <w:szCs w:val="32"/>
          <w:lang w:val="en-US" w:eastAsia="zh-CN"/>
        </w:rPr>
      </w:pPr>
      <w:r>
        <w:rPr>
          <w:rFonts w:hint="eastAsia" w:eastAsia="仿宋_GB2312"/>
          <w:sz w:val="32"/>
          <w:szCs w:val="32"/>
          <w:lang w:val="en-US" w:eastAsia="zh-CN"/>
        </w:rPr>
        <w:t>本次项目绩效自评抽样选择2024年10月29日下达指标300000.00元后的支付情况，包括所支付的所有范围。</w:t>
      </w:r>
    </w:p>
    <w:p w14:paraId="12EAE768">
      <w:pPr>
        <w:keepNext w:val="0"/>
        <w:keepLines w:val="0"/>
        <w:pageBreakBefore w:val="0"/>
        <w:widowControl w:val="0"/>
        <w:kinsoku/>
        <w:wordWrap/>
        <w:overflowPunct/>
        <w:topLinePunct w:val="0"/>
        <w:autoSpaceDE/>
        <w:autoSpaceDN/>
        <w:bidi w:val="0"/>
        <w:adjustRightInd/>
        <w:snapToGrid/>
        <w:spacing w:line="590" w:lineRule="exact"/>
        <w:ind w:right="0" w:rightChars="0" w:firstLine="640"/>
        <w:textAlignment w:val="auto"/>
        <w:outlineLvl w:val="9"/>
        <w:rPr>
          <w:rFonts w:hint="eastAsia" w:eastAsia="仿宋_GB2312" w:cs="Times New Roman"/>
          <w:sz w:val="32"/>
          <w:szCs w:val="32"/>
          <w:lang w:eastAsia="zh-CN"/>
        </w:rPr>
      </w:pPr>
      <w:r>
        <w:rPr>
          <w:rFonts w:hint="eastAsia" w:ascii="楷体_GB2312" w:hAnsi="宋体" w:eastAsia="楷体_GB2312"/>
          <w:b/>
          <w:color w:val="auto"/>
          <w:sz w:val="32"/>
          <w:szCs w:val="32"/>
          <w:highlight w:val="none"/>
          <w:u w:val="none"/>
          <w:lang w:val="zh-CN"/>
        </w:rPr>
        <w:t>（四）评价方法。</w:t>
      </w:r>
      <w:r>
        <w:rPr>
          <w:rFonts w:eastAsia="仿宋_GB2312" w:cs="Times New Roman"/>
          <w:sz w:val="32"/>
          <w:szCs w:val="32"/>
        </w:rPr>
        <w:t>根据项目情况和评价重点，</w:t>
      </w:r>
      <w:r>
        <w:rPr>
          <w:rFonts w:hint="eastAsia" w:eastAsia="仿宋_GB2312" w:cs="Times New Roman"/>
          <w:sz w:val="32"/>
          <w:szCs w:val="32"/>
          <w:lang w:eastAsia="zh-CN"/>
        </w:rPr>
        <w:t>用来</w:t>
      </w:r>
      <w:r>
        <w:rPr>
          <w:rFonts w:eastAsia="仿宋_GB2312" w:cs="Times New Roman"/>
          <w:sz w:val="32"/>
          <w:szCs w:val="32"/>
        </w:rPr>
        <w:t>收集相关材料和开展具体评价</w:t>
      </w:r>
      <w:r>
        <w:rPr>
          <w:rFonts w:hint="eastAsia" w:eastAsia="仿宋_GB2312" w:cs="Times New Roman"/>
          <w:sz w:val="32"/>
          <w:szCs w:val="32"/>
          <w:lang w:eastAsia="zh-CN"/>
        </w:rPr>
        <w:t>的方法</w:t>
      </w:r>
      <w:r>
        <w:rPr>
          <w:rFonts w:eastAsia="仿宋_GB2312" w:cs="Times New Roman"/>
          <w:sz w:val="32"/>
          <w:szCs w:val="32"/>
        </w:rPr>
        <w:t>。</w:t>
      </w:r>
      <w:r>
        <w:rPr>
          <w:rFonts w:hint="eastAsia" w:eastAsia="仿宋_GB2312" w:cs="Times New Roman"/>
          <w:sz w:val="32"/>
          <w:szCs w:val="32"/>
          <w:lang w:eastAsia="zh-CN"/>
        </w:rPr>
        <w:t>包括：</w:t>
      </w:r>
      <w:r>
        <w:rPr>
          <w:rFonts w:eastAsia="仿宋_GB2312" w:cs="Times New Roman"/>
          <w:sz w:val="32"/>
          <w:szCs w:val="32"/>
        </w:rPr>
        <w:t>采用</w:t>
      </w:r>
      <w:r>
        <w:rPr>
          <w:rFonts w:hint="eastAsia" w:eastAsia="仿宋_GB2312" w:cs="Times New Roman"/>
          <w:sz w:val="32"/>
          <w:szCs w:val="32"/>
        </w:rPr>
        <w:t>成本效益分析法、标杆管理法、</w:t>
      </w:r>
      <w:r>
        <w:rPr>
          <w:rFonts w:eastAsia="仿宋_GB2312" w:cs="Times New Roman"/>
          <w:sz w:val="32"/>
          <w:szCs w:val="32"/>
        </w:rPr>
        <w:t>案卷研究法、单位自评法、实地勘察法、问卷调查法、座谈调研法等多种方法</w:t>
      </w:r>
      <w:r>
        <w:rPr>
          <w:rFonts w:hint="eastAsia" w:eastAsia="仿宋_GB2312" w:cs="Times New Roman"/>
          <w:sz w:val="32"/>
          <w:szCs w:val="32"/>
          <w:lang w:eastAsia="zh-CN"/>
        </w:rPr>
        <w:t>。</w:t>
      </w:r>
    </w:p>
    <w:p w14:paraId="2475FA46">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eastAsia" w:eastAsia="仿宋_GB2312"/>
          <w:sz w:val="32"/>
          <w:szCs w:val="32"/>
          <w:lang w:eastAsia="zh-CN"/>
        </w:rPr>
      </w:pPr>
      <w:r>
        <w:rPr>
          <w:rFonts w:hint="default" w:ascii="Times New Roman" w:hAnsi="Times New Roman" w:eastAsia="仿宋_GB2312" w:cs="Times New Roman"/>
          <w:sz w:val="32"/>
          <w:szCs w:val="32"/>
          <w:lang w:val="en-US" w:eastAsia="zh-CN"/>
        </w:rPr>
        <w:t>采用定性描述、定量分析法，客观确定项目预期绩效目</w:t>
      </w:r>
      <w:r>
        <w:rPr>
          <w:rFonts w:hint="eastAsia" w:ascii="Times New Roman" w:hAnsi="Times New Roman" w:eastAsia="仿宋_GB2312" w:cs="Times New Roman"/>
          <w:sz w:val="32"/>
          <w:szCs w:val="32"/>
          <w:lang w:val="en-US" w:eastAsia="zh-CN"/>
        </w:rPr>
        <w:t>标的实现程度。采用比较法，对比实际成效与绩效目标的偏差，进行效益分析。</w:t>
      </w:r>
    </w:p>
    <w:p w14:paraId="4789C084">
      <w:pPr>
        <w:keepNext w:val="0"/>
        <w:keepLines w:val="0"/>
        <w:pageBreakBefore w:val="0"/>
        <w:widowControl w:val="0"/>
        <w:kinsoku/>
        <w:wordWrap/>
        <w:overflowPunct/>
        <w:topLinePunct w:val="0"/>
        <w:autoSpaceDE/>
        <w:autoSpaceDN/>
        <w:bidi w:val="0"/>
        <w:adjustRightInd/>
        <w:snapToGrid/>
        <w:spacing w:line="590" w:lineRule="exact"/>
        <w:ind w:right="0" w:rightChars="0" w:firstLine="640"/>
        <w:textAlignment w:val="auto"/>
        <w:outlineLvl w:val="9"/>
        <w:rPr>
          <w:rFonts w:hint="eastAsia" w:eastAsia="仿宋_GB2312" w:cs="Times New Roman"/>
          <w:sz w:val="32"/>
          <w:szCs w:val="32"/>
          <w:lang w:eastAsia="zh-CN"/>
        </w:rPr>
      </w:pPr>
      <w:r>
        <w:rPr>
          <w:rFonts w:hint="eastAsia" w:ascii="楷体_GB2312" w:hAnsi="宋体" w:eastAsia="楷体_GB2312"/>
          <w:b/>
          <w:color w:val="auto"/>
          <w:sz w:val="32"/>
          <w:szCs w:val="32"/>
          <w:highlight w:val="none"/>
          <w:u w:val="none"/>
          <w:lang w:val="zh-CN"/>
        </w:rPr>
        <w:t>（五）评价组织。</w:t>
      </w:r>
      <w:r>
        <w:rPr>
          <w:rFonts w:eastAsia="仿宋_GB2312" w:cs="Times New Roman"/>
          <w:sz w:val="32"/>
          <w:szCs w:val="32"/>
        </w:rPr>
        <w:t>评价组人员构成</w:t>
      </w:r>
      <w:r>
        <w:rPr>
          <w:rFonts w:hint="eastAsia" w:eastAsia="仿宋_GB2312" w:cs="Times New Roman"/>
          <w:sz w:val="32"/>
          <w:szCs w:val="32"/>
          <w:lang w:eastAsia="zh-CN"/>
        </w:rPr>
        <w:t>和</w:t>
      </w:r>
      <w:r>
        <w:rPr>
          <w:rFonts w:eastAsia="仿宋_GB2312" w:cs="Times New Roman"/>
          <w:sz w:val="32"/>
          <w:szCs w:val="32"/>
        </w:rPr>
        <w:t>职责分工</w:t>
      </w:r>
      <w:r>
        <w:rPr>
          <w:rFonts w:hint="eastAsia" w:eastAsia="仿宋_GB2312" w:cs="Times New Roman"/>
          <w:sz w:val="32"/>
          <w:szCs w:val="32"/>
          <w:lang w:eastAsia="zh-CN"/>
        </w:rPr>
        <w:t>。</w:t>
      </w:r>
    </w:p>
    <w:p w14:paraId="4F5D0A4E">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default" w:eastAsia="仿宋_GB2312"/>
          <w:sz w:val="32"/>
          <w:szCs w:val="32"/>
          <w:lang w:val="en-US" w:eastAsia="zh-CN"/>
        </w:rPr>
      </w:pPr>
      <w:r>
        <w:rPr>
          <w:rFonts w:hint="eastAsia" w:eastAsia="仿宋_GB2312"/>
          <w:sz w:val="32"/>
          <w:szCs w:val="32"/>
          <w:lang w:val="en-US" w:eastAsia="zh-CN"/>
        </w:rPr>
        <w:t>本次绩效自评由</w:t>
      </w:r>
      <w:r>
        <w:rPr>
          <w:rFonts w:hint="eastAsia" w:eastAsia="仿宋_GB2312" w:cs="Times New Roman"/>
          <w:sz w:val="32"/>
          <w:szCs w:val="32"/>
          <w:lang w:val="en-US" w:eastAsia="zh-CN"/>
        </w:rPr>
        <w:t>办公室</w:t>
      </w:r>
      <w:r>
        <w:rPr>
          <w:rFonts w:hint="eastAsia" w:ascii="Times New Roman" w:hAnsi="Times New Roman" w:eastAsia="仿宋_GB2312" w:cs="Times New Roman"/>
          <w:sz w:val="32"/>
          <w:szCs w:val="32"/>
          <w:lang w:val="en-US" w:eastAsia="zh-CN"/>
        </w:rPr>
        <w:t>牵头开展，河湖管理与水旱灾害防御股</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lang w:val="en-US" w:eastAsia="zh-CN"/>
        </w:rPr>
        <w:t>移民股</w:t>
      </w:r>
      <w:r>
        <w:rPr>
          <w:rFonts w:hint="eastAsia" w:eastAsia="仿宋_GB2312" w:cs="Times New Roman"/>
          <w:sz w:val="32"/>
          <w:szCs w:val="32"/>
          <w:lang w:val="en-US" w:eastAsia="zh-CN"/>
        </w:rPr>
        <w:t>、</w:t>
      </w:r>
      <w:r>
        <w:rPr>
          <w:rFonts w:hint="eastAsia" w:ascii="Times New Roman" w:hAnsi="Times New Roman" w:eastAsia="仿宋_GB2312" w:cs="Times New Roman"/>
          <w:sz w:val="32"/>
          <w:szCs w:val="32"/>
          <w:lang w:val="en-US" w:eastAsia="zh-CN"/>
        </w:rPr>
        <w:t>规划建设管理与政策法规监督股</w:t>
      </w:r>
      <w:r>
        <w:rPr>
          <w:rFonts w:hint="eastAsia" w:eastAsia="仿宋_GB2312" w:cs="Times New Roman"/>
          <w:sz w:val="32"/>
          <w:szCs w:val="32"/>
          <w:lang w:val="en-US" w:eastAsia="zh-CN"/>
        </w:rPr>
        <w:t>等股室</w:t>
      </w:r>
      <w:r>
        <w:rPr>
          <w:rFonts w:hint="eastAsia" w:ascii="Times New Roman" w:hAnsi="Times New Roman" w:eastAsia="仿宋_GB2312" w:cs="Times New Roman"/>
          <w:sz w:val="32"/>
          <w:szCs w:val="32"/>
          <w:lang w:val="en-US" w:eastAsia="zh-CN"/>
        </w:rPr>
        <w:t>开展基础资料收集与初步自评打分，</w:t>
      </w:r>
      <w:r>
        <w:rPr>
          <w:rFonts w:hint="eastAsia" w:eastAsia="仿宋_GB2312" w:cs="Times New Roman"/>
          <w:sz w:val="32"/>
          <w:szCs w:val="32"/>
          <w:lang w:val="en-US" w:eastAsia="zh-CN"/>
        </w:rPr>
        <w:t>内控监督小组</w:t>
      </w:r>
      <w:r>
        <w:rPr>
          <w:rFonts w:hint="eastAsia" w:ascii="Times New Roman" w:hAnsi="Times New Roman" w:eastAsia="仿宋_GB2312" w:cs="Times New Roman"/>
          <w:sz w:val="32"/>
          <w:szCs w:val="32"/>
          <w:lang w:val="en-US" w:eastAsia="zh-CN"/>
        </w:rPr>
        <w:t>开展项目绩效自评监督；自评参与人员：</w:t>
      </w:r>
      <w:r>
        <w:rPr>
          <w:rFonts w:hint="eastAsia" w:eastAsia="仿宋_GB2312" w:cs="Times New Roman"/>
          <w:sz w:val="32"/>
          <w:szCs w:val="32"/>
          <w:lang w:val="en-US" w:eastAsia="zh-CN"/>
        </w:rPr>
        <w:t>阳振宇、李发祥、刘皓、肖静、</w:t>
      </w:r>
      <w:r>
        <w:rPr>
          <w:rFonts w:hint="eastAsia" w:ascii="Times New Roman" w:hAnsi="Times New Roman" w:eastAsia="仿宋_GB2312" w:cs="Times New Roman"/>
          <w:sz w:val="32"/>
          <w:szCs w:val="32"/>
          <w:lang w:val="en-US" w:eastAsia="zh-CN"/>
        </w:rPr>
        <w:t>符晓玲</w:t>
      </w:r>
      <w:r>
        <w:rPr>
          <w:rFonts w:hint="eastAsia" w:eastAsia="仿宋_GB2312" w:cs="Times New Roman"/>
          <w:sz w:val="32"/>
          <w:szCs w:val="32"/>
          <w:lang w:val="en-US" w:eastAsia="zh-CN"/>
        </w:rPr>
        <w:t>等</w:t>
      </w:r>
      <w:r>
        <w:rPr>
          <w:rFonts w:hint="eastAsia" w:ascii="Times New Roman" w:hAnsi="Times New Roman" w:eastAsia="仿宋_GB2312" w:cs="Times New Roman"/>
          <w:sz w:val="32"/>
          <w:szCs w:val="32"/>
          <w:lang w:val="en-US" w:eastAsia="zh-CN"/>
        </w:rPr>
        <w:t>。</w:t>
      </w:r>
    </w:p>
    <w:p w14:paraId="4FBB22CB">
      <w:pPr>
        <w:keepNext w:val="0"/>
        <w:keepLines w:val="0"/>
        <w:pageBreakBefore w:val="0"/>
        <w:kinsoku/>
        <w:wordWrap/>
        <w:overflowPunct/>
        <w:topLinePunct w:val="0"/>
        <w:autoSpaceDE/>
        <w:autoSpaceDN/>
        <w:bidi w:val="0"/>
        <w:adjustRightInd/>
        <w:snapToGrid/>
        <w:spacing w:line="590" w:lineRule="exact"/>
        <w:ind w:right="0" w:rightChars="0" w:firstLine="640" w:firstLineChars="200"/>
        <w:textAlignment w:val="auto"/>
        <w:rPr>
          <w:rFonts w:ascii="仿宋_GB2312" w:hAnsi="宋体" w:eastAsia="仿宋_GB2312"/>
          <w:color w:val="auto"/>
          <w:sz w:val="32"/>
          <w:szCs w:val="32"/>
          <w:highlight w:val="none"/>
          <w:u w:val="none"/>
          <w:lang w:val="zh-CN"/>
        </w:rPr>
      </w:pPr>
      <w:r>
        <w:rPr>
          <w:rFonts w:hint="eastAsia" w:ascii="黑体" w:hAnsi="宋体" w:eastAsia="黑体"/>
          <w:color w:val="auto"/>
          <w:sz w:val="32"/>
          <w:szCs w:val="32"/>
          <w:highlight w:val="none"/>
          <w:u w:val="none"/>
        </w:rPr>
        <w:t>三、</w:t>
      </w:r>
      <w:r>
        <w:rPr>
          <w:rFonts w:hint="eastAsia" w:ascii="黑体" w:hAnsi="宋体" w:eastAsia="黑体"/>
          <w:color w:val="auto"/>
          <w:sz w:val="32"/>
          <w:szCs w:val="32"/>
          <w:highlight w:val="none"/>
          <w:u w:val="none"/>
          <w:lang w:eastAsia="zh-CN"/>
        </w:rPr>
        <w:t>绩效分析</w:t>
      </w:r>
      <w:r>
        <w:rPr>
          <w:rFonts w:hint="eastAsia" w:ascii="仿宋_GB2312" w:hAnsi="宋体" w:eastAsia="仿宋_GB2312"/>
          <w:color w:val="auto"/>
          <w:sz w:val="32"/>
          <w:szCs w:val="32"/>
          <w:highlight w:val="none"/>
          <w:u w:val="none"/>
          <w:lang w:val="zh-CN"/>
        </w:rPr>
        <w:tab/>
      </w:r>
    </w:p>
    <w:p w14:paraId="503AA696">
      <w:pPr>
        <w:keepNext w:val="0"/>
        <w:keepLines w:val="0"/>
        <w:pageBreakBefore w:val="0"/>
        <w:widowControl w:val="0"/>
        <w:kinsoku/>
        <w:wordWrap/>
        <w:overflowPunct/>
        <w:topLinePunct w:val="0"/>
        <w:autoSpaceDE/>
        <w:autoSpaceDN/>
        <w:bidi w:val="0"/>
        <w:adjustRightInd/>
        <w:snapToGrid/>
        <w:spacing w:line="590" w:lineRule="exact"/>
        <w:ind w:right="0" w:rightChars="0" w:firstLine="640"/>
        <w:textAlignment w:val="auto"/>
        <w:outlineLvl w:val="9"/>
        <w:rPr>
          <w:rFonts w:hint="eastAsia" w:eastAsia="仿宋_GB2312" w:cs="Times New Roman"/>
          <w:sz w:val="32"/>
          <w:szCs w:val="32"/>
          <w:lang w:val="en-US" w:eastAsia="zh-CN"/>
        </w:rPr>
      </w:pPr>
      <w:r>
        <w:rPr>
          <w:rFonts w:hint="default" w:eastAsia="仿宋_GB2312" w:cs="Times New Roman"/>
          <w:sz w:val="32"/>
          <w:szCs w:val="32"/>
          <w:lang w:val="zh-CN" w:eastAsia="zh-CN"/>
        </w:rPr>
        <w:t>根据</w:t>
      </w:r>
      <w:r>
        <w:rPr>
          <w:rFonts w:hint="eastAsia" w:eastAsia="仿宋_GB2312" w:cs="Times New Roman"/>
          <w:sz w:val="32"/>
          <w:szCs w:val="32"/>
          <w:lang w:val="zh-CN" w:eastAsia="zh-CN"/>
        </w:rPr>
        <w:t>项目</w:t>
      </w:r>
      <w:r>
        <w:rPr>
          <w:rFonts w:hint="default" w:eastAsia="仿宋_GB2312" w:cs="Times New Roman"/>
          <w:sz w:val="32"/>
          <w:szCs w:val="32"/>
          <w:lang w:val="zh-CN" w:eastAsia="zh-CN"/>
        </w:rPr>
        <w:t>预算绩效评价指标体系“</w:t>
      </w:r>
      <w:r>
        <w:rPr>
          <w:rFonts w:hint="eastAsia" w:eastAsia="仿宋_GB2312" w:cs="Times New Roman"/>
          <w:sz w:val="32"/>
          <w:szCs w:val="32"/>
          <w:lang w:val="zh-CN" w:eastAsia="zh-CN"/>
        </w:rPr>
        <w:t>通用指标</w:t>
      </w:r>
      <w:r>
        <w:rPr>
          <w:rFonts w:hint="default" w:eastAsia="仿宋_GB2312" w:cs="Times New Roman"/>
          <w:sz w:val="32"/>
          <w:szCs w:val="32"/>
          <w:lang w:val="zh-CN" w:eastAsia="zh-CN"/>
        </w:rPr>
        <w:t>”</w:t>
      </w:r>
      <w:r>
        <w:rPr>
          <w:rFonts w:hint="eastAsia" w:eastAsia="仿宋_GB2312" w:cs="Times New Roman"/>
          <w:sz w:val="32"/>
          <w:szCs w:val="32"/>
          <w:lang w:val="zh-CN" w:eastAsia="zh-CN"/>
        </w:rPr>
        <w:t>“专用指标”“个性指标”</w:t>
      </w:r>
      <w:r>
        <w:rPr>
          <w:rFonts w:hint="default" w:eastAsia="仿宋_GB2312" w:cs="Times New Roman"/>
          <w:sz w:val="32"/>
          <w:szCs w:val="32"/>
          <w:lang w:val="zh-CN" w:eastAsia="zh-CN"/>
        </w:rPr>
        <w:t>涉及</w:t>
      </w:r>
      <w:r>
        <w:rPr>
          <w:rFonts w:hint="eastAsia" w:eastAsia="仿宋_GB2312" w:cs="Times New Roman"/>
          <w:sz w:val="32"/>
          <w:szCs w:val="32"/>
          <w:lang w:val="zh-CN" w:eastAsia="zh-CN"/>
        </w:rPr>
        <w:t>二、三级</w:t>
      </w:r>
      <w:r>
        <w:rPr>
          <w:rFonts w:hint="default" w:eastAsia="仿宋_GB2312" w:cs="Times New Roman"/>
          <w:sz w:val="32"/>
          <w:szCs w:val="32"/>
          <w:lang w:val="zh-CN" w:eastAsia="zh-CN"/>
        </w:rPr>
        <w:t>指标进行</w:t>
      </w:r>
      <w:r>
        <w:rPr>
          <w:rFonts w:hint="eastAsia" w:eastAsia="仿宋_GB2312" w:cs="Times New Roman"/>
          <w:sz w:val="32"/>
          <w:szCs w:val="32"/>
          <w:lang w:val="zh-CN" w:eastAsia="zh-CN"/>
        </w:rPr>
        <w:t>逐项</w:t>
      </w:r>
      <w:r>
        <w:rPr>
          <w:rFonts w:hint="default" w:eastAsia="仿宋_GB2312" w:cs="Times New Roman"/>
          <w:sz w:val="32"/>
          <w:szCs w:val="32"/>
          <w:lang w:val="zh-CN" w:eastAsia="zh-CN"/>
        </w:rPr>
        <w:t>绩效分析</w:t>
      </w:r>
      <w:r>
        <w:rPr>
          <w:rFonts w:hint="eastAsia" w:eastAsia="仿宋_GB2312" w:cs="Times New Roman"/>
          <w:sz w:val="32"/>
          <w:szCs w:val="32"/>
          <w:lang w:val="zh-CN" w:eastAsia="zh-CN"/>
        </w:rPr>
        <w:t>并评分</w:t>
      </w:r>
      <w:r>
        <w:rPr>
          <w:rFonts w:hint="eastAsia" w:eastAsia="仿宋_GB2312" w:cs="Times New Roman"/>
          <w:sz w:val="32"/>
          <w:szCs w:val="32"/>
          <w:lang w:val="en-US" w:eastAsia="zh-CN"/>
        </w:rPr>
        <w:t>。</w:t>
      </w:r>
    </w:p>
    <w:p w14:paraId="6891229B">
      <w:pPr>
        <w:keepNext w:val="0"/>
        <w:keepLines w:val="0"/>
        <w:pageBreakBefore w:val="0"/>
        <w:widowControl w:val="0"/>
        <w:kinsoku/>
        <w:wordWrap/>
        <w:overflowPunct/>
        <w:topLinePunct w:val="0"/>
        <w:autoSpaceDE/>
        <w:autoSpaceDN/>
        <w:bidi w:val="0"/>
        <w:adjustRightInd/>
        <w:snapToGrid/>
        <w:spacing w:line="590" w:lineRule="exact"/>
        <w:ind w:right="0" w:rightChars="0" w:firstLine="640"/>
        <w:textAlignment w:val="auto"/>
        <w:outlineLvl w:val="9"/>
        <w:rPr>
          <w:rFonts w:hint="eastAsia" w:ascii="楷体_GB2312" w:hAnsi="宋体" w:eastAsia="楷体_GB2312" w:cs="Times New Roman"/>
          <w:b/>
          <w:color w:val="auto"/>
          <w:sz w:val="32"/>
          <w:szCs w:val="32"/>
          <w:highlight w:val="none"/>
          <w:u w:val="none"/>
          <w:lang w:val="en-US" w:eastAsia="zh-CN"/>
        </w:rPr>
      </w:pPr>
      <w:r>
        <w:rPr>
          <w:rFonts w:hint="eastAsia" w:ascii="楷体_GB2312" w:hAnsi="宋体" w:eastAsia="楷体_GB2312" w:cs="Times New Roman"/>
          <w:b/>
          <w:color w:val="auto"/>
          <w:sz w:val="32"/>
          <w:szCs w:val="32"/>
          <w:highlight w:val="none"/>
          <w:u w:val="none"/>
          <w:lang w:val="zh-CN"/>
        </w:rPr>
        <w:t>（一）</w:t>
      </w:r>
      <w:r>
        <w:rPr>
          <w:rFonts w:hint="eastAsia" w:ascii="楷体_GB2312" w:hAnsi="宋体" w:eastAsia="楷体_GB2312" w:cs="Times New Roman"/>
          <w:b/>
          <w:color w:val="auto"/>
          <w:sz w:val="32"/>
          <w:szCs w:val="32"/>
          <w:highlight w:val="none"/>
          <w:u w:val="none"/>
          <w:lang w:val="en-US" w:eastAsia="zh-CN"/>
        </w:rPr>
        <w:t>通用指标</w:t>
      </w:r>
      <w:r>
        <w:rPr>
          <w:rFonts w:hint="default" w:ascii="Times New Roman" w:hAnsi="Times New Roman" w:eastAsia="楷体_GB2312" w:cs="Times New Roman"/>
          <w:b/>
          <w:bCs/>
          <w:color w:val="000000"/>
          <w:kern w:val="0"/>
          <w:sz w:val="32"/>
          <w:szCs w:val="32"/>
          <w:highlight w:val="none"/>
          <w:shd w:val="clear" w:color="auto" w:fill="FFFFFF"/>
          <w:lang w:val="zh-CN"/>
        </w:rPr>
        <w:t>绩效分析。</w:t>
      </w:r>
    </w:p>
    <w:p w14:paraId="4755C942">
      <w:pPr>
        <w:keepNext w:val="0"/>
        <w:keepLines w:val="0"/>
        <w:pageBreakBefore w:val="0"/>
        <w:widowControl w:val="0"/>
        <w:kinsoku/>
        <w:wordWrap/>
        <w:overflowPunct/>
        <w:topLinePunct w:val="0"/>
        <w:autoSpaceDE/>
        <w:autoSpaceDN/>
        <w:bidi w:val="0"/>
        <w:adjustRightInd/>
        <w:snapToGrid/>
        <w:spacing w:line="590" w:lineRule="exact"/>
        <w:ind w:right="0" w:rightChars="0" w:firstLine="640"/>
        <w:textAlignment w:val="auto"/>
        <w:outlineLvl w:val="9"/>
        <w:rPr>
          <w:rFonts w:hint="eastAsia" w:ascii="Times New Roman" w:hAnsi="Times New Roman" w:eastAsia="仿宋_GB2312" w:cs="Times New Roman"/>
          <w:color w:val="auto"/>
          <w:sz w:val="32"/>
          <w:szCs w:val="32"/>
          <w:lang w:eastAsia="zh-CN"/>
        </w:rPr>
      </w:pPr>
      <w:r>
        <w:rPr>
          <w:rFonts w:hint="eastAsia" w:ascii="楷体_GB2312" w:hAnsi="楷体_GB2312" w:eastAsia="楷体_GB2312" w:cs="楷体_GB2312"/>
          <w:color w:val="auto"/>
          <w:sz w:val="32"/>
          <w:szCs w:val="32"/>
          <w:lang w:val="en-US" w:eastAsia="zh-CN"/>
        </w:rPr>
        <w:t xml:space="preserve">1. </w:t>
      </w:r>
      <w:r>
        <w:rPr>
          <w:rFonts w:hint="eastAsia" w:ascii="楷体_GB2312" w:hAnsi="楷体_GB2312" w:eastAsia="楷体_GB2312" w:cs="楷体_GB2312"/>
          <w:color w:val="auto"/>
          <w:sz w:val="32"/>
          <w:szCs w:val="32"/>
          <w:lang w:eastAsia="zh-CN"/>
        </w:rPr>
        <w:t>项目决策。</w:t>
      </w:r>
      <w:r>
        <w:rPr>
          <w:rFonts w:hint="eastAsia" w:ascii="Times New Roman" w:hAnsi="Times New Roman" w:eastAsia="仿宋_GB2312" w:cs="Times New Roman"/>
          <w:color w:val="auto"/>
          <w:sz w:val="32"/>
          <w:szCs w:val="32"/>
          <w:lang w:eastAsia="zh-CN"/>
        </w:rPr>
        <w:t>围绕决策程序、规划论证、资金投向进行绩效分析。</w:t>
      </w:r>
    </w:p>
    <w:p w14:paraId="20B55FA3">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（1）决策程序：</w:t>
      </w:r>
      <w:r>
        <w:rPr>
          <w:rFonts w:hint="eastAsia" w:eastAsia="仿宋_GB2312" w:cs="Times New Roman"/>
          <w:sz w:val="32"/>
          <w:szCs w:val="32"/>
          <w:lang w:val="en-US" w:eastAsia="zh-CN"/>
        </w:rPr>
        <w:t>该项目中央下达资金，根据遂财农【2024】59号文件下达，我局资金支付时已召开党组会议</w:t>
      </w:r>
      <w:r>
        <w:rPr>
          <w:rFonts w:hint="eastAsia" w:ascii="Times New Roman" w:hAnsi="Times New Roman" w:eastAsia="仿宋_GB2312" w:cs="Times New Roman"/>
          <w:sz w:val="32"/>
          <w:szCs w:val="32"/>
          <w:lang w:val="en-US" w:eastAsia="zh-CN"/>
        </w:rPr>
        <w:t>；自评6分。</w:t>
      </w:r>
    </w:p>
    <w:p w14:paraId="0A4F4E2E">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（2）规划论证：该项目设立符合</w:t>
      </w:r>
      <w:r>
        <w:rPr>
          <w:rFonts w:hint="eastAsia" w:eastAsia="仿宋_GB2312" w:cs="Times New Roman"/>
          <w:sz w:val="32"/>
          <w:szCs w:val="32"/>
          <w:lang w:val="en-US" w:eastAsia="zh-CN"/>
        </w:rPr>
        <w:t>中央、省委</w:t>
      </w:r>
      <w:r>
        <w:rPr>
          <w:rFonts w:hint="eastAsia" w:ascii="Times New Roman" w:hAnsi="Times New Roman" w:eastAsia="仿宋_GB2312" w:cs="Times New Roman"/>
          <w:sz w:val="32"/>
          <w:szCs w:val="32"/>
          <w:lang w:val="en-US" w:eastAsia="zh-CN"/>
        </w:rPr>
        <w:t>、市关于</w:t>
      </w:r>
      <w:r>
        <w:rPr>
          <w:rFonts w:hint="eastAsia" w:eastAsia="仿宋_GB2312" w:cs="Times New Roman"/>
          <w:sz w:val="32"/>
          <w:szCs w:val="32"/>
          <w:lang w:val="en-US" w:eastAsia="zh-CN"/>
        </w:rPr>
        <w:t>水利建设</w:t>
      </w:r>
      <w:r>
        <w:rPr>
          <w:rFonts w:hint="eastAsia" w:ascii="Times New Roman" w:hAnsi="Times New Roman" w:eastAsia="仿宋_GB2312" w:cs="Times New Roman"/>
          <w:sz w:val="32"/>
          <w:szCs w:val="32"/>
          <w:lang w:val="en-US" w:eastAsia="zh-CN"/>
        </w:rPr>
        <w:t>决策部署安排，符合</w:t>
      </w:r>
      <w:r>
        <w:rPr>
          <w:rFonts w:hint="eastAsia" w:eastAsia="仿宋_GB2312" w:cs="Times New Roman"/>
          <w:sz w:val="32"/>
          <w:szCs w:val="32"/>
          <w:lang w:val="en-US" w:eastAsia="zh-CN"/>
        </w:rPr>
        <w:t>安居区“推进乡村振兴，实现农业强区跨越式发展”“十四五”规划要求和加快推进水利工程建设筑牢民生“堤坝”任务要求</w:t>
      </w:r>
      <w:r>
        <w:rPr>
          <w:rFonts w:hint="eastAsia" w:ascii="仿宋_GB2312" w:hAnsi="仿宋_GB2312" w:eastAsia="仿宋_GB2312" w:cs="仿宋_GB2312"/>
          <w:color w:val="auto"/>
          <w:kern w:val="0"/>
          <w:sz w:val="32"/>
          <w:szCs w:val="32"/>
          <w:highlight w:val="none"/>
          <w:u w:val="none"/>
          <w:shd w:val="clear" w:color="auto" w:fill="FFFFFF"/>
          <w:lang w:val="en-US" w:eastAsia="zh-CN"/>
        </w:rPr>
        <w:t>。2024年度我局该项目绩效目标由“</w:t>
      </w:r>
      <w:r>
        <w:rPr>
          <w:rFonts w:hint="eastAsia" w:eastAsia="仿宋_GB2312" w:cs="Times New Roman"/>
          <w:sz w:val="32"/>
          <w:szCs w:val="32"/>
          <w:lang w:val="en-US" w:eastAsia="zh-CN"/>
        </w:rPr>
        <w:t>遂财农【2024】59号</w:t>
      </w:r>
      <w:r>
        <w:rPr>
          <w:rFonts w:hint="eastAsia" w:ascii="仿宋_GB2312" w:hAnsi="仿宋_GB2312" w:eastAsia="仿宋_GB2312" w:cs="仿宋_GB2312"/>
          <w:color w:val="auto"/>
          <w:kern w:val="0"/>
          <w:sz w:val="32"/>
          <w:szCs w:val="32"/>
          <w:highlight w:val="none"/>
          <w:u w:val="none"/>
          <w:shd w:val="clear" w:color="auto" w:fill="FFFFFF"/>
          <w:lang w:val="en-US" w:eastAsia="zh-CN"/>
        </w:rPr>
        <w:t>”文件设定，设定的年度绩效目标符合要求；设定的数量、质量、时效、效益、经济成本、满意度等指标基本完整、量化；自评得6分。</w:t>
      </w:r>
    </w:p>
    <w:p w14:paraId="642CA5E9">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（3）资金投向：该项目属于</w:t>
      </w:r>
      <w:r>
        <w:rPr>
          <w:rFonts w:hint="eastAsia" w:eastAsia="仿宋_GB2312" w:cs="Times New Roman"/>
          <w:sz w:val="32"/>
          <w:szCs w:val="32"/>
          <w:lang w:val="en-US" w:eastAsia="zh-CN"/>
        </w:rPr>
        <w:t>安居区“推进乡村振兴，实现农业强区跨越式发展”“十四五”规划</w:t>
      </w:r>
      <w:r>
        <w:rPr>
          <w:rFonts w:hint="eastAsia" w:ascii="Times New Roman" w:hAnsi="Times New Roman" w:eastAsia="仿宋_GB2312" w:cs="Times New Roman"/>
          <w:sz w:val="32"/>
          <w:szCs w:val="32"/>
          <w:lang w:val="en-US" w:eastAsia="zh-CN"/>
        </w:rPr>
        <w:t>内容，属于政府支持范围，且符合财政事权支出责任划分规定；资金投向与项目总体规划、</w:t>
      </w:r>
      <w:r>
        <w:rPr>
          <w:rFonts w:hint="eastAsia" w:eastAsia="仿宋_GB2312" w:cs="Times New Roman"/>
          <w:sz w:val="32"/>
          <w:szCs w:val="32"/>
          <w:lang w:val="en-US" w:eastAsia="zh-CN"/>
        </w:rPr>
        <w:t>水利</w:t>
      </w:r>
      <w:r>
        <w:rPr>
          <w:rFonts w:hint="eastAsia" w:ascii="Times New Roman" w:hAnsi="Times New Roman" w:eastAsia="仿宋_GB2312" w:cs="Times New Roman"/>
          <w:sz w:val="32"/>
          <w:szCs w:val="32"/>
          <w:lang w:val="en-US" w:eastAsia="zh-CN"/>
        </w:rPr>
        <w:t>事业发展相匹配；项目实施聚焦</w:t>
      </w:r>
      <w:r>
        <w:rPr>
          <w:rFonts w:hint="eastAsia" w:eastAsia="仿宋_GB2312" w:cs="Times New Roman"/>
          <w:sz w:val="32"/>
          <w:szCs w:val="32"/>
          <w:lang w:val="en-US" w:eastAsia="zh-CN"/>
        </w:rPr>
        <w:t>加快推进水利工程建设筑牢民生“堤坝”</w:t>
      </w:r>
      <w:r>
        <w:rPr>
          <w:rFonts w:hint="eastAsia" w:ascii="Times New Roman" w:hAnsi="Times New Roman" w:eastAsia="仿宋_GB2312" w:cs="Times New Roman"/>
          <w:sz w:val="32"/>
          <w:szCs w:val="32"/>
          <w:lang w:val="en-US" w:eastAsia="zh-CN"/>
        </w:rPr>
        <w:t>的原则；自评得6分。</w:t>
      </w:r>
    </w:p>
    <w:p w14:paraId="7BBFBC9F">
      <w:pPr>
        <w:keepNext w:val="0"/>
        <w:keepLines w:val="0"/>
        <w:pageBreakBefore w:val="0"/>
        <w:widowControl w:val="0"/>
        <w:kinsoku/>
        <w:wordWrap/>
        <w:overflowPunct/>
        <w:topLinePunct w:val="0"/>
        <w:autoSpaceDE/>
        <w:autoSpaceDN/>
        <w:bidi w:val="0"/>
        <w:adjustRightInd/>
        <w:snapToGrid/>
        <w:spacing w:line="590" w:lineRule="exact"/>
        <w:ind w:right="0" w:rightChars="0" w:firstLine="640"/>
        <w:textAlignment w:val="auto"/>
        <w:outlineLvl w:val="9"/>
        <w:rPr>
          <w:rFonts w:hint="eastAsia" w:ascii="Times New Roman" w:hAnsi="Times New Roman" w:eastAsia="仿宋_GB2312" w:cs="Times New Roman"/>
          <w:color w:val="auto"/>
          <w:sz w:val="32"/>
          <w:szCs w:val="32"/>
          <w:lang w:eastAsia="zh-CN"/>
        </w:rPr>
      </w:pPr>
      <w:r>
        <w:rPr>
          <w:rFonts w:hint="eastAsia" w:ascii="楷体_GB2312" w:hAnsi="楷体_GB2312" w:eastAsia="楷体_GB2312" w:cs="楷体_GB2312"/>
          <w:color w:val="auto"/>
          <w:sz w:val="32"/>
          <w:szCs w:val="32"/>
          <w:lang w:val="en-US" w:eastAsia="zh-CN"/>
        </w:rPr>
        <w:t>2.</w:t>
      </w:r>
      <w:r>
        <w:rPr>
          <w:rFonts w:hint="eastAsia" w:ascii="楷体_GB2312" w:hAnsi="楷体_GB2312" w:eastAsia="楷体_GB2312" w:cs="楷体_GB2312"/>
          <w:color w:val="auto"/>
          <w:sz w:val="32"/>
          <w:szCs w:val="32"/>
          <w:lang w:eastAsia="zh-CN"/>
        </w:rPr>
        <w:t>项目管理。</w:t>
      </w:r>
      <w:r>
        <w:rPr>
          <w:rFonts w:hint="eastAsia" w:ascii="Times New Roman" w:hAnsi="Times New Roman" w:eastAsia="仿宋_GB2312" w:cs="Times New Roman"/>
          <w:color w:val="auto"/>
          <w:sz w:val="32"/>
          <w:szCs w:val="32"/>
          <w:lang w:eastAsia="zh-CN"/>
        </w:rPr>
        <w:t>围绕制度办法、分配管理、绩效监管进行绩效分析。</w:t>
      </w:r>
    </w:p>
    <w:p w14:paraId="3C059132">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（1）制度办法：该项目严格按照</w:t>
      </w:r>
      <w:r>
        <w:rPr>
          <w:rFonts w:hint="eastAsia" w:eastAsia="仿宋_GB2312" w:cs="Times New Roman"/>
          <w:sz w:val="32"/>
          <w:szCs w:val="32"/>
          <w:lang w:val="en-US" w:eastAsia="zh-CN"/>
        </w:rPr>
        <w:t>《四川省财政厅 四川省水利厅关于印发&lt;四川省水利发展资金管理办法&gt;的通知》（川财农〔2023〕29号）《遂宁市水利监督管理实施办法（试行）》</w:t>
      </w:r>
      <w:r>
        <w:rPr>
          <w:rFonts w:hint="eastAsia" w:ascii="Times New Roman" w:hAnsi="Times New Roman" w:eastAsia="仿宋_GB2312" w:cs="Times New Roman"/>
          <w:sz w:val="32"/>
          <w:szCs w:val="32"/>
          <w:lang w:val="en-US" w:eastAsia="zh-CN"/>
        </w:rPr>
        <w:t>专项资金管理办法</w:t>
      </w:r>
      <w:r>
        <w:rPr>
          <w:rFonts w:hint="eastAsia" w:eastAsia="仿宋_GB2312" w:cs="Times New Roman"/>
          <w:sz w:val="32"/>
          <w:szCs w:val="32"/>
          <w:lang w:val="en-US" w:eastAsia="zh-CN"/>
        </w:rPr>
        <w:t>开展</w:t>
      </w:r>
      <w:r>
        <w:rPr>
          <w:rFonts w:hint="eastAsia" w:ascii="Times New Roman" w:hAnsi="Times New Roman" w:eastAsia="仿宋_GB2312" w:cs="Times New Roman"/>
          <w:sz w:val="32"/>
          <w:szCs w:val="32"/>
          <w:lang w:val="en-US" w:eastAsia="zh-CN"/>
        </w:rPr>
        <w:t>，并严格按照“</w:t>
      </w:r>
      <w:r>
        <w:rPr>
          <w:rFonts w:hint="eastAsia" w:eastAsia="仿宋_GB2312" w:cs="Times New Roman"/>
          <w:sz w:val="32"/>
          <w:szCs w:val="32"/>
          <w:lang w:val="en-US" w:eastAsia="zh-CN"/>
        </w:rPr>
        <w:t>遂财农【2024】59号</w:t>
      </w:r>
      <w:r>
        <w:rPr>
          <w:rFonts w:hint="eastAsia" w:ascii="Times New Roman" w:hAnsi="Times New Roman" w:eastAsia="仿宋_GB2312" w:cs="Times New Roman"/>
          <w:sz w:val="32"/>
          <w:szCs w:val="32"/>
          <w:lang w:val="en-US" w:eastAsia="zh-CN"/>
        </w:rPr>
        <w:t>”文件规定执行；项目资金支付严格按照我局财务报销管理</w:t>
      </w:r>
      <w:r>
        <w:rPr>
          <w:rFonts w:hint="eastAsia" w:eastAsia="仿宋_GB2312" w:cs="Times New Roman"/>
          <w:sz w:val="32"/>
          <w:szCs w:val="32"/>
          <w:lang w:val="en-US" w:eastAsia="zh-CN"/>
        </w:rPr>
        <w:t>、收支业务管理</w:t>
      </w:r>
      <w:r>
        <w:rPr>
          <w:rFonts w:hint="eastAsia" w:ascii="Times New Roman" w:hAnsi="Times New Roman" w:eastAsia="仿宋_GB2312" w:cs="Times New Roman"/>
          <w:sz w:val="32"/>
          <w:szCs w:val="32"/>
          <w:lang w:val="en-US" w:eastAsia="zh-CN"/>
        </w:rPr>
        <w:t>制度执行，不存在管理制度缺失、管理办法过期情况；自评得2分。</w:t>
      </w:r>
    </w:p>
    <w:p w14:paraId="02879FC7">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（2）分配管理：</w:t>
      </w:r>
    </w:p>
    <w:p w14:paraId="1D57EE5B">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资金分配因素：该项目由“</w:t>
      </w:r>
      <w:r>
        <w:rPr>
          <w:rFonts w:hint="eastAsia" w:eastAsia="仿宋_GB2312" w:cs="Times New Roman"/>
          <w:sz w:val="32"/>
          <w:szCs w:val="32"/>
          <w:lang w:val="en-US" w:eastAsia="zh-CN"/>
        </w:rPr>
        <w:t>遂财农【2024】59号</w:t>
      </w:r>
      <w:r>
        <w:rPr>
          <w:rFonts w:hint="eastAsia" w:ascii="Times New Roman" w:hAnsi="Times New Roman" w:eastAsia="仿宋_GB2312" w:cs="Times New Roman"/>
          <w:sz w:val="32"/>
          <w:szCs w:val="32"/>
          <w:lang w:val="en-US" w:eastAsia="zh-CN"/>
        </w:rPr>
        <w:t>”文件分配，上级部门及财政部门选取充分考虑相关行业事业发展实际和发展需求，自评得2分；</w:t>
      </w:r>
    </w:p>
    <w:p w14:paraId="1FC394E4">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资金分配因素的权重设置：有效突出了遂宁市各县区实际，自评得2分；</w:t>
      </w:r>
    </w:p>
    <w:p w14:paraId="3A0F0D66">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资金区域分布结果公平合理，不存在仅为1个地区，自评得2分。</w:t>
      </w:r>
    </w:p>
    <w:p w14:paraId="3C95A252">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该项目资金分配严格</w:t>
      </w:r>
      <w:r>
        <w:rPr>
          <w:rFonts w:hint="eastAsia" w:eastAsia="仿宋_GB2312" w:cs="Times New Roman"/>
          <w:sz w:val="32"/>
          <w:szCs w:val="32"/>
          <w:lang w:val="en-US" w:eastAsia="zh-CN"/>
        </w:rPr>
        <w:t>按遂财农【2024】59号</w:t>
      </w:r>
      <w:r>
        <w:rPr>
          <w:rFonts w:hint="eastAsia" w:ascii="Times New Roman" w:hAnsi="Times New Roman" w:eastAsia="仿宋_GB2312" w:cs="Times New Roman"/>
          <w:sz w:val="32"/>
          <w:szCs w:val="32"/>
          <w:lang w:val="en-US" w:eastAsia="zh-CN"/>
        </w:rPr>
        <w:t>执行，决策程序符合管理要求，及时高效，自评得4分。</w:t>
      </w:r>
    </w:p>
    <w:p w14:paraId="65DCF351">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（3）绩效监管：该项目严格按照</w:t>
      </w:r>
      <w:r>
        <w:rPr>
          <w:rFonts w:hint="eastAsia" w:eastAsia="仿宋_GB2312" w:cs="Times New Roman"/>
          <w:sz w:val="32"/>
          <w:szCs w:val="32"/>
          <w:lang w:val="en-US" w:eastAsia="zh-CN"/>
        </w:rPr>
        <w:t>中央、省委</w:t>
      </w:r>
      <w:r>
        <w:rPr>
          <w:rFonts w:hint="eastAsia" w:ascii="Times New Roman" w:hAnsi="Times New Roman" w:eastAsia="仿宋_GB2312" w:cs="Times New Roman"/>
          <w:sz w:val="32"/>
          <w:szCs w:val="32"/>
          <w:lang w:val="en-US" w:eastAsia="zh-CN"/>
        </w:rPr>
        <w:t>、市要求全面完成绩效目标（含事前评估）、绩效评价、以前年度问题整改等预算绩效管理工作要求开展，设定了项目绩效目标（含事前评估），本次进行了绩效自评，自评得4分</w:t>
      </w:r>
    </w:p>
    <w:p w14:paraId="6CE8C5D6">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遂宁市财政局发布了“</w:t>
      </w:r>
      <w:r>
        <w:rPr>
          <w:rFonts w:hint="eastAsia" w:eastAsia="仿宋_GB2312" w:cs="Times New Roman"/>
          <w:sz w:val="32"/>
          <w:szCs w:val="32"/>
          <w:lang w:val="en-US" w:eastAsia="zh-CN"/>
        </w:rPr>
        <w:t>遂财农【2024】59号</w:t>
      </w:r>
      <w:r>
        <w:rPr>
          <w:rFonts w:hint="eastAsia" w:ascii="Times New Roman" w:hAnsi="Times New Roman" w:eastAsia="仿宋_GB2312" w:cs="Times New Roman"/>
          <w:sz w:val="32"/>
          <w:szCs w:val="32"/>
          <w:lang w:val="en-US" w:eastAsia="zh-CN"/>
        </w:rPr>
        <w:t>”文件，对县级主管部门预算绩效管理要求到位，不存在对县级资金分配和项目管理指导力度不够情况，已对县级开展评价、监督、指导等工作，自评得2分。</w:t>
      </w:r>
    </w:p>
    <w:p w14:paraId="4B0287CF">
      <w:pPr>
        <w:keepNext w:val="0"/>
        <w:keepLines w:val="0"/>
        <w:pageBreakBefore w:val="0"/>
        <w:widowControl w:val="0"/>
        <w:kinsoku/>
        <w:wordWrap/>
        <w:overflowPunct/>
        <w:topLinePunct w:val="0"/>
        <w:autoSpaceDE/>
        <w:autoSpaceDN/>
        <w:bidi w:val="0"/>
        <w:adjustRightInd/>
        <w:snapToGrid/>
        <w:spacing w:line="590" w:lineRule="exact"/>
        <w:ind w:left="420" w:leftChars="200" w:right="0" w:rightChars="0" w:firstLine="0" w:firstLineChars="0"/>
        <w:textAlignment w:val="auto"/>
        <w:outlineLvl w:val="9"/>
        <w:rPr>
          <w:rFonts w:hint="eastAsia" w:ascii="Times New Roman" w:hAnsi="Times New Roman" w:eastAsia="仿宋_GB2312" w:cs="Times New Roman"/>
          <w:color w:val="auto"/>
          <w:sz w:val="32"/>
          <w:szCs w:val="32"/>
          <w:lang w:eastAsia="zh-CN"/>
        </w:rPr>
      </w:pPr>
      <w:r>
        <w:rPr>
          <w:rFonts w:hint="eastAsia" w:ascii="楷体_GB2312" w:hAnsi="楷体_GB2312" w:eastAsia="楷体_GB2312" w:cs="楷体_GB2312"/>
          <w:color w:val="auto"/>
          <w:sz w:val="32"/>
          <w:szCs w:val="32"/>
          <w:lang w:val="en-US" w:eastAsia="zh-CN"/>
        </w:rPr>
        <w:t>3.项目实施。</w:t>
      </w:r>
      <w:r>
        <w:rPr>
          <w:rFonts w:hint="eastAsia" w:ascii="Times New Roman" w:hAnsi="Times New Roman" w:eastAsia="仿宋_GB2312" w:cs="Times New Roman"/>
          <w:color w:val="auto"/>
          <w:sz w:val="32"/>
          <w:szCs w:val="32"/>
          <w:lang w:eastAsia="zh-CN"/>
        </w:rPr>
        <w:t>围绕预算</w:t>
      </w:r>
      <w:r>
        <w:rPr>
          <w:rFonts w:hint="eastAsia" w:eastAsia="仿宋_GB2312" w:cs="Times New Roman"/>
          <w:color w:val="auto"/>
          <w:sz w:val="32"/>
          <w:szCs w:val="32"/>
          <w:lang w:val="zh-CN" w:eastAsia="zh-CN"/>
        </w:rPr>
        <w:t>执行</w:t>
      </w:r>
      <w:r>
        <w:rPr>
          <w:rFonts w:hint="eastAsia" w:ascii="Times New Roman" w:hAnsi="Times New Roman" w:eastAsia="仿宋_GB2312" w:cs="Times New Roman"/>
          <w:color w:val="auto"/>
          <w:sz w:val="32"/>
          <w:szCs w:val="32"/>
          <w:lang w:eastAsia="zh-CN"/>
        </w:rPr>
        <w:t>、资金使用进行绩效分析。</w:t>
      </w:r>
    </w:p>
    <w:p w14:paraId="11A1761B">
      <w:pPr>
        <w:keepNext w:val="0"/>
        <w:keepLines w:val="0"/>
        <w:pageBreakBefore w:val="0"/>
        <w:widowControl w:val="0"/>
        <w:kinsoku/>
        <w:wordWrap w:val="0"/>
        <w:overflowPunct/>
        <w:topLinePunct w:val="0"/>
        <w:autoSpaceDE/>
        <w:autoSpaceDN/>
        <w:bidi w:val="0"/>
        <w:adjustRightInd/>
        <w:snapToGrid/>
        <w:spacing w:line="590" w:lineRule="exact"/>
        <w:ind w:left="0" w:leftChars="0" w:right="0" w:rightChars="0" w:firstLine="640" w:firstLineChars="2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（1）预算执行：根据“财政资金拨付率×100%×2+单位资金使用率×100%×2+地方资金到位率×100%×2”自评指标；该项目2024年度预算数</w:t>
      </w:r>
      <w:r>
        <w:rPr>
          <w:rFonts w:hint="eastAsia" w:eastAsia="仿宋_GB2312" w:cs="Times New Roman"/>
          <w:sz w:val="32"/>
          <w:szCs w:val="32"/>
          <w:lang w:val="en-US" w:eastAsia="zh-CN"/>
        </w:rPr>
        <w:t>300000.00</w:t>
      </w:r>
      <w:r>
        <w:rPr>
          <w:rFonts w:hint="eastAsia" w:ascii="Times New Roman" w:hAnsi="Times New Roman" w:eastAsia="仿宋_GB2312" w:cs="Times New Roman"/>
          <w:sz w:val="32"/>
          <w:szCs w:val="32"/>
          <w:lang w:val="en-US" w:eastAsia="zh-CN"/>
        </w:rPr>
        <w:t>元，单位资金使用</w:t>
      </w:r>
      <w:r>
        <w:rPr>
          <w:rFonts w:hint="eastAsia" w:eastAsia="仿宋_GB2312" w:cs="Times New Roman"/>
          <w:sz w:val="32"/>
          <w:szCs w:val="32"/>
          <w:lang w:val="en-US" w:eastAsia="zh-CN"/>
        </w:rPr>
        <w:t>300000.00</w:t>
      </w:r>
      <w:r>
        <w:rPr>
          <w:rFonts w:hint="eastAsia" w:ascii="Times New Roman" w:hAnsi="Times New Roman" w:eastAsia="仿宋_GB2312" w:cs="Times New Roman"/>
          <w:sz w:val="32"/>
          <w:szCs w:val="32"/>
          <w:lang w:val="en-US" w:eastAsia="zh-CN"/>
        </w:rPr>
        <w:t>元，预算执行率=100%*100%*2+</w:t>
      </w:r>
      <w:r>
        <w:rPr>
          <w:rFonts w:hint="eastAsia" w:eastAsia="仿宋_GB2312" w:cs="Times New Roman"/>
          <w:sz w:val="32"/>
          <w:szCs w:val="32"/>
          <w:lang w:val="en-US" w:eastAsia="zh-CN"/>
        </w:rPr>
        <w:t>61000.00</w:t>
      </w:r>
      <w:r>
        <w:rPr>
          <w:rFonts w:hint="eastAsia" w:ascii="Times New Roman" w:hAnsi="Times New Roman" w:eastAsia="仿宋_GB2312" w:cs="Times New Roman"/>
          <w:sz w:val="32"/>
          <w:szCs w:val="32"/>
          <w:lang w:val="en-US" w:eastAsia="zh-CN"/>
        </w:rPr>
        <w:t>/</w:t>
      </w:r>
      <w:r>
        <w:rPr>
          <w:rFonts w:hint="eastAsia" w:eastAsia="仿宋_GB2312"/>
          <w:sz w:val="32"/>
          <w:szCs w:val="32"/>
          <w:lang w:val="en-US" w:eastAsia="zh-CN"/>
        </w:rPr>
        <w:t>300000</w:t>
      </w:r>
      <w:r>
        <w:rPr>
          <w:rFonts w:hint="eastAsia" w:eastAsia="仿宋_GB2312" w:cs="Times New Roman"/>
          <w:sz w:val="32"/>
          <w:szCs w:val="32"/>
          <w:lang w:val="en-US" w:eastAsia="zh-CN"/>
        </w:rPr>
        <w:t>.00</w:t>
      </w:r>
      <w:r>
        <w:rPr>
          <w:rFonts w:hint="eastAsia" w:ascii="Times New Roman" w:hAnsi="Times New Roman" w:eastAsia="仿宋_GB2312" w:cs="Times New Roman"/>
          <w:sz w:val="32"/>
          <w:szCs w:val="32"/>
          <w:lang w:val="en-US" w:eastAsia="zh-CN"/>
        </w:rPr>
        <w:t>*100%*2+2=</w:t>
      </w:r>
      <w:r>
        <w:rPr>
          <w:rFonts w:hint="eastAsia" w:eastAsia="仿宋_GB2312" w:cs="Times New Roman"/>
          <w:sz w:val="32"/>
          <w:szCs w:val="32"/>
          <w:lang w:val="en-US" w:eastAsia="zh-CN"/>
        </w:rPr>
        <w:t>4.41</w:t>
      </w:r>
      <w:r>
        <w:rPr>
          <w:rFonts w:hint="eastAsia" w:ascii="Times New Roman" w:hAnsi="Times New Roman" w:eastAsia="仿宋_GB2312" w:cs="Times New Roman"/>
          <w:sz w:val="32"/>
          <w:szCs w:val="32"/>
          <w:lang w:val="en-US" w:eastAsia="zh-CN"/>
        </w:rPr>
        <w:t>分。</w:t>
      </w:r>
    </w:p>
    <w:p w14:paraId="73A22C10">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（2）资金使用：2024年度，该项目在项目资金使用、拨付中严格按照</w:t>
      </w:r>
      <w:r>
        <w:rPr>
          <w:rFonts w:hint="eastAsia" w:eastAsia="仿宋_GB2312" w:cs="Times New Roman"/>
          <w:sz w:val="32"/>
          <w:szCs w:val="32"/>
          <w:lang w:val="en-US" w:eastAsia="zh-CN"/>
        </w:rPr>
        <w:t>《四川省财政厅 四川省水利厅关于印发&lt;四川省水利发展资金管理办法&gt;的通知》（川财农〔2023〕29号）《遂宁市水利监督管理实施办法（试行）》</w:t>
      </w:r>
      <w:r>
        <w:rPr>
          <w:rFonts w:hint="eastAsia" w:ascii="Times New Roman" w:hAnsi="Times New Roman" w:eastAsia="仿宋_GB2312" w:cs="Times New Roman"/>
          <w:sz w:val="32"/>
          <w:szCs w:val="32"/>
          <w:lang w:val="en-US" w:eastAsia="zh-CN"/>
        </w:rPr>
        <w:t>、“</w:t>
      </w:r>
      <w:r>
        <w:rPr>
          <w:rFonts w:hint="eastAsia" w:eastAsia="仿宋_GB2312" w:cs="Times New Roman"/>
          <w:sz w:val="32"/>
          <w:szCs w:val="32"/>
          <w:lang w:val="en-US" w:eastAsia="zh-CN"/>
        </w:rPr>
        <w:t>遂财农【2024】59号</w:t>
      </w:r>
      <w:r>
        <w:rPr>
          <w:rFonts w:hint="eastAsia" w:ascii="Times New Roman" w:hAnsi="Times New Roman" w:eastAsia="仿宋_GB2312" w:cs="Times New Roman"/>
          <w:sz w:val="32"/>
          <w:szCs w:val="32"/>
          <w:lang w:val="en-US" w:eastAsia="zh-CN"/>
        </w:rPr>
        <w:t>”文件执行，不存在不符合国家财经法规情况；项目资金支付</w:t>
      </w:r>
      <w:r>
        <w:rPr>
          <w:rFonts w:hint="eastAsia" w:eastAsia="仿宋_GB2312" w:cs="Times New Roman"/>
          <w:sz w:val="32"/>
          <w:szCs w:val="32"/>
          <w:lang w:val="en-US" w:eastAsia="zh-CN"/>
        </w:rPr>
        <w:t>61000.00</w:t>
      </w:r>
      <w:r>
        <w:rPr>
          <w:rFonts w:hint="eastAsia" w:ascii="Times New Roman" w:hAnsi="Times New Roman" w:eastAsia="仿宋_GB2312" w:cs="Times New Roman"/>
          <w:sz w:val="32"/>
          <w:szCs w:val="32"/>
          <w:lang w:val="en-US" w:eastAsia="zh-CN"/>
        </w:rPr>
        <w:t>元，共</w:t>
      </w:r>
      <w:r>
        <w:rPr>
          <w:rFonts w:hint="eastAsia" w:eastAsia="仿宋_GB2312" w:cs="Times New Roman"/>
          <w:sz w:val="32"/>
          <w:szCs w:val="32"/>
          <w:lang w:val="en-US" w:eastAsia="zh-CN"/>
        </w:rPr>
        <w:t>1</w:t>
      </w:r>
      <w:r>
        <w:rPr>
          <w:rFonts w:hint="eastAsia" w:ascii="Times New Roman" w:hAnsi="Times New Roman" w:eastAsia="仿宋_GB2312" w:cs="Times New Roman"/>
          <w:sz w:val="32"/>
          <w:szCs w:val="32"/>
          <w:lang w:val="en-US" w:eastAsia="zh-CN"/>
        </w:rPr>
        <w:t>笔，严格按照单位财务报销管理制度执行、严格履行资金支付审批程序，不存在超范围、超标准、超进度使用专项资金情况，不存在资金损失浪费、长期沉淀、截留、挤占、挪用、虚列支出等情况；自评得3分。</w:t>
      </w:r>
    </w:p>
    <w:p w14:paraId="3821EBCE">
      <w:pPr>
        <w:keepNext w:val="0"/>
        <w:keepLines w:val="0"/>
        <w:pageBreakBefore w:val="0"/>
        <w:widowControl w:val="0"/>
        <w:kinsoku/>
        <w:wordWrap/>
        <w:overflowPunct/>
        <w:topLinePunct w:val="0"/>
        <w:autoSpaceDE/>
        <w:autoSpaceDN/>
        <w:bidi w:val="0"/>
        <w:adjustRightInd/>
        <w:snapToGrid/>
        <w:spacing w:line="590" w:lineRule="exact"/>
        <w:ind w:left="420" w:leftChars="200" w:right="0" w:rightChars="0" w:firstLine="0" w:firstLineChars="0"/>
        <w:textAlignment w:val="auto"/>
        <w:outlineLvl w:val="9"/>
        <w:rPr>
          <w:rFonts w:hint="eastAsia" w:ascii="Times New Roman" w:hAnsi="Times New Roman" w:eastAsia="仿宋_GB2312" w:cs="Times New Roman"/>
          <w:color w:val="auto"/>
          <w:sz w:val="32"/>
          <w:szCs w:val="32"/>
          <w:lang w:eastAsia="zh-CN"/>
        </w:rPr>
      </w:pPr>
      <w:r>
        <w:rPr>
          <w:rFonts w:hint="eastAsia" w:ascii="楷体_GB2312" w:hAnsi="楷体_GB2312" w:eastAsia="楷体_GB2312" w:cs="楷体_GB2312"/>
          <w:color w:val="auto"/>
          <w:sz w:val="32"/>
          <w:szCs w:val="32"/>
          <w:lang w:val="en-US" w:eastAsia="zh-CN"/>
        </w:rPr>
        <w:t>4. 项目结果。</w:t>
      </w:r>
      <w:r>
        <w:rPr>
          <w:rFonts w:hint="eastAsia" w:ascii="Times New Roman" w:hAnsi="Times New Roman" w:eastAsia="仿宋_GB2312" w:cs="Times New Roman"/>
          <w:color w:val="auto"/>
          <w:sz w:val="32"/>
          <w:szCs w:val="32"/>
          <w:lang w:val="en-US" w:eastAsia="zh-CN"/>
        </w:rPr>
        <w:t>围绕</w:t>
      </w:r>
      <w:r>
        <w:rPr>
          <w:rFonts w:hint="eastAsia" w:ascii="Times New Roman" w:hAnsi="Times New Roman" w:eastAsia="仿宋_GB2312" w:cs="Times New Roman"/>
          <w:color w:val="auto"/>
          <w:sz w:val="32"/>
          <w:szCs w:val="32"/>
          <w:lang w:eastAsia="zh-CN"/>
        </w:rPr>
        <w:t>目标完成、完成时效进行绩效分析。</w:t>
      </w:r>
    </w:p>
    <w:p w14:paraId="00B18E54">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（1）目标完成：</w:t>
      </w:r>
    </w:p>
    <w:p w14:paraId="53A1A4B8">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eastAsia"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数量指标</w:t>
      </w:r>
      <w:r>
        <w:rPr>
          <w:rFonts w:hint="eastAsia" w:ascii="Times New Roman" w:hAnsi="Times New Roman" w:eastAsia="仿宋_GB2312" w:cs="Times New Roman"/>
          <w:sz w:val="32"/>
          <w:szCs w:val="32"/>
          <w:lang w:val="en-US" w:eastAsia="zh-CN"/>
        </w:rPr>
        <w:t>：</w:t>
      </w:r>
      <w:r>
        <w:rPr>
          <w:rFonts w:hint="eastAsia" w:eastAsia="仿宋_GB2312" w:cs="Times New Roman"/>
          <w:sz w:val="32"/>
          <w:szCs w:val="32"/>
          <w:lang w:val="en-US" w:eastAsia="zh-CN"/>
        </w:rPr>
        <w:t>中型水库标准化管理1座；2024年度我局实际完成中型水库标准化管理</w:t>
      </w:r>
      <w:r>
        <w:rPr>
          <w:rFonts w:hint="eastAsia" w:eastAsia="仿宋_GB2312"/>
          <w:sz w:val="32"/>
          <w:szCs w:val="32"/>
          <w:lang w:val="en-US" w:eastAsia="zh-CN"/>
        </w:rPr>
        <w:t>0</w:t>
      </w:r>
      <w:r>
        <w:rPr>
          <w:rFonts w:eastAsia="仿宋_GB2312"/>
          <w:sz w:val="32"/>
          <w:szCs w:val="32"/>
        </w:rPr>
        <w:t>座</w:t>
      </w:r>
      <w:r>
        <w:rPr>
          <w:rFonts w:hint="eastAsia" w:eastAsia="仿宋_GB2312" w:cs="Times New Roman"/>
          <w:sz w:val="32"/>
          <w:szCs w:val="32"/>
          <w:lang w:val="en-US" w:eastAsia="zh-CN"/>
        </w:rPr>
        <w:t>。</w:t>
      </w:r>
    </w:p>
    <w:p w14:paraId="7630B412">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eastAsia"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数量指标</w:t>
      </w:r>
      <w:r>
        <w:rPr>
          <w:rFonts w:hint="eastAsia" w:ascii="Times New Roman" w:hAnsi="Times New Roman" w:eastAsia="仿宋_GB2312" w:cs="Times New Roman"/>
          <w:sz w:val="32"/>
          <w:szCs w:val="32"/>
          <w:lang w:val="en-US" w:eastAsia="zh-CN"/>
        </w:rPr>
        <w:t>：</w:t>
      </w:r>
      <w:r>
        <w:rPr>
          <w:rFonts w:hint="eastAsia" w:eastAsia="仿宋_GB2312" w:cs="Times New Roman"/>
          <w:sz w:val="32"/>
          <w:szCs w:val="32"/>
          <w:lang w:val="en-US" w:eastAsia="zh-CN"/>
        </w:rPr>
        <w:t>农村供水设施维修养护1处，2024年度我局实际完成农村供水设施维修养护1处。</w:t>
      </w:r>
    </w:p>
    <w:p w14:paraId="3A530400">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eastAsia" w:eastAsia="仿宋_GB2312" w:cs="Times New Roman"/>
          <w:sz w:val="32"/>
          <w:szCs w:val="32"/>
          <w:lang w:val="en-US" w:eastAsia="zh-CN"/>
        </w:rPr>
      </w:pPr>
      <w:r>
        <w:rPr>
          <w:rFonts w:hint="eastAsia" w:eastAsia="仿宋_GB2312" w:cs="Times New Roman"/>
          <w:sz w:val="32"/>
          <w:szCs w:val="32"/>
          <w:lang w:val="en-US" w:eastAsia="zh-CN"/>
        </w:rPr>
        <w:t>质量指标：</w:t>
      </w:r>
      <w:r>
        <w:rPr>
          <w:rFonts w:hint="default" w:ascii="Times New Roman" w:hAnsi="Times New Roman" w:eastAsia="仿宋_GB2312" w:cs="Times New Roman"/>
          <w:sz w:val="32"/>
          <w:szCs w:val="32"/>
          <w:lang w:val="en-US" w:eastAsia="zh-CN"/>
        </w:rPr>
        <w:t>截至2024年12月底,完工项目初步验收率</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100%</w:t>
      </w:r>
      <w:r>
        <w:rPr>
          <w:rFonts w:hint="eastAsia" w:ascii="Times New Roman" w:hAnsi="Times New Roman" w:eastAsia="仿宋_GB2312" w:cs="Times New Roman"/>
          <w:sz w:val="32"/>
          <w:szCs w:val="32"/>
          <w:lang w:val="en-US" w:eastAsia="zh-CN"/>
        </w:rPr>
        <w:t>；</w:t>
      </w:r>
      <w:r>
        <w:rPr>
          <w:rFonts w:hint="eastAsia" w:eastAsia="仿宋_GB2312" w:cs="Times New Roman"/>
          <w:sz w:val="32"/>
          <w:szCs w:val="32"/>
          <w:lang w:val="en-US" w:eastAsia="zh-CN"/>
        </w:rPr>
        <w:t>2024年度实施的该项目</w:t>
      </w:r>
      <w:r>
        <w:rPr>
          <w:rFonts w:hint="default" w:ascii="Times New Roman" w:hAnsi="Times New Roman" w:eastAsia="仿宋_GB2312" w:cs="Times New Roman"/>
          <w:sz w:val="32"/>
          <w:szCs w:val="32"/>
          <w:lang w:val="en-US" w:eastAsia="zh-CN"/>
        </w:rPr>
        <w:t>验收</w:t>
      </w:r>
      <w:r>
        <w:rPr>
          <w:rFonts w:hint="eastAsia" w:eastAsia="仿宋_GB2312" w:cs="Times New Roman"/>
          <w:sz w:val="32"/>
          <w:szCs w:val="32"/>
          <w:lang w:val="en-US" w:eastAsia="zh-CN"/>
        </w:rPr>
        <w:t>完成1个。</w:t>
      </w:r>
    </w:p>
    <w:p w14:paraId="1C3F3473">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default" w:eastAsia="仿宋_GB2312" w:cs="Times New Roman"/>
          <w:sz w:val="32"/>
          <w:szCs w:val="32"/>
          <w:lang w:val="en-US" w:eastAsia="zh-CN"/>
        </w:rPr>
      </w:pPr>
      <w:r>
        <w:rPr>
          <w:rFonts w:hint="default" w:eastAsia="仿宋_GB2312" w:cs="Times New Roman"/>
          <w:sz w:val="32"/>
          <w:szCs w:val="32"/>
          <w:lang w:val="en-US" w:eastAsia="zh-CN"/>
        </w:rPr>
        <w:t>经济成本指标：总投资偏差率≤5%</w:t>
      </w:r>
      <w:r>
        <w:rPr>
          <w:rFonts w:hint="eastAsia" w:eastAsia="仿宋_GB2312" w:cs="Times New Roman"/>
          <w:sz w:val="32"/>
          <w:szCs w:val="32"/>
          <w:lang w:val="en-US" w:eastAsia="zh-CN"/>
        </w:rPr>
        <w:t>；该项目下达资金300000.00元，实际支付完成61000.00元，投资偏差大。</w:t>
      </w:r>
    </w:p>
    <w:p w14:paraId="7A2DB038">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自评得</w:t>
      </w:r>
      <w:r>
        <w:rPr>
          <w:rFonts w:hint="eastAsia" w:eastAsia="仿宋_GB2312" w:cs="Times New Roman"/>
          <w:sz w:val="32"/>
          <w:szCs w:val="32"/>
          <w:lang w:val="en-US" w:eastAsia="zh-CN"/>
        </w:rPr>
        <w:t>1.5</w:t>
      </w:r>
      <w:r>
        <w:rPr>
          <w:rFonts w:hint="eastAsia" w:ascii="Times New Roman" w:hAnsi="Times New Roman" w:eastAsia="仿宋_GB2312" w:cs="Times New Roman"/>
          <w:sz w:val="32"/>
          <w:szCs w:val="32"/>
          <w:lang w:val="en-US" w:eastAsia="zh-CN"/>
        </w:rPr>
        <w:t>分。</w:t>
      </w:r>
    </w:p>
    <w:p w14:paraId="2F921F8D">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default"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color w:val="auto"/>
          <w:sz w:val="32"/>
          <w:szCs w:val="32"/>
          <w:lang w:val="en-US" w:eastAsia="zh-CN"/>
        </w:rPr>
        <w:t>（2）完成时效</w:t>
      </w:r>
    </w:p>
    <w:p w14:paraId="5B8A9B12">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default" w:ascii="Times New Roman" w:hAnsi="Times New Roman" w:eastAsia="仿宋_GB2312" w:cs="Times New Roman"/>
          <w:sz w:val="32"/>
          <w:szCs w:val="32"/>
          <w:lang w:val="en-US" w:eastAsia="zh-CN"/>
        </w:rPr>
      </w:pPr>
      <w:r>
        <w:rPr>
          <w:rFonts w:hint="eastAsia" w:eastAsia="仿宋_GB2312" w:cs="Times New Roman"/>
          <w:sz w:val="32"/>
          <w:szCs w:val="32"/>
          <w:lang w:val="en-US" w:eastAsia="zh-CN"/>
        </w:rPr>
        <w:t>截止2024年12月底投资完成比例100%</w:t>
      </w:r>
      <w:r>
        <w:rPr>
          <w:rFonts w:hint="eastAsia" w:ascii="Times New Roman" w:hAnsi="Times New Roman" w:eastAsia="仿宋_GB2312" w:cs="Times New Roman"/>
          <w:sz w:val="32"/>
          <w:szCs w:val="32"/>
          <w:lang w:val="en-US" w:eastAsia="zh-CN"/>
        </w:rPr>
        <w:t>，</w:t>
      </w:r>
      <w:r>
        <w:rPr>
          <w:rFonts w:hint="eastAsia" w:eastAsia="仿宋_GB2312" w:cs="Times New Roman"/>
          <w:sz w:val="32"/>
          <w:szCs w:val="32"/>
          <w:lang w:val="en-US" w:eastAsia="zh-CN"/>
        </w:rPr>
        <w:t>实际投资完成=61000.00/300000*100%*3=</w:t>
      </w:r>
      <w:r>
        <w:rPr>
          <w:rFonts w:hint="eastAsia" w:ascii="Times New Roman" w:hAnsi="Times New Roman" w:eastAsia="仿宋_GB2312" w:cs="Times New Roman"/>
          <w:sz w:val="32"/>
          <w:szCs w:val="32"/>
          <w:lang w:val="en-US" w:eastAsia="zh-CN"/>
        </w:rPr>
        <w:t>；自评</w:t>
      </w:r>
      <w:r>
        <w:rPr>
          <w:rFonts w:hint="eastAsia" w:eastAsia="仿宋_GB2312" w:cs="Times New Roman"/>
          <w:sz w:val="32"/>
          <w:szCs w:val="32"/>
          <w:lang w:val="en-US" w:eastAsia="zh-CN"/>
        </w:rPr>
        <w:t>0.61</w:t>
      </w:r>
      <w:r>
        <w:rPr>
          <w:rFonts w:hint="eastAsia" w:ascii="Times New Roman" w:hAnsi="Times New Roman" w:eastAsia="仿宋_GB2312" w:cs="Times New Roman"/>
          <w:sz w:val="32"/>
          <w:szCs w:val="32"/>
          <w:lang w:val="en-US" w:eastAsia="zh-CN"/>
        </w:rPr>
        <w:t>分。</w:t>
      </w:r>
    </w:p>
    <w:p w14:paraId="68D45F34">
      <w:pPr>
        <w:keepNext w:val="0"/>
        <w:keepLines w:val="0"/>
        <w:pageBreakBefore w:val="0"/>
        <w:widowControl w:val="0"/>
        <w:kinsoku/>
        <w:wordWrap/>
        <w:overflowPunct/>
        <w:topLinePunct w:val="0"/>
        <w:autoSpaceDE/>
        <w:autoSpaceDN/>
        <w:bidi w:val="0"/>
        <w:adjustRightInd/>
        <w:snapToGrid/>
        <w:spacing w:line="590" w:lineRule="exact"/>
        <w:ind w:right="0" w:rightChars="0" w:firstLine="643" w:firstLineChars="200"/>
        <w:textAlignment w:val="auto"/>
        <w:outlineLvl w:val="9"/>
        <w:rPr>
          <w:rFonts w:hint="eastAsia" w:ascii="楷体_GB2312" w:hAnsi="楷体_GB2312" w:eastAsia="楷体_GB2312" w:cs="楷体_GB2312"/>
          <w:color w:val="auto"/>
          <w:sz w:val="32"/>
          <w:szCs w:val="32"/>
          <w:lang w:val="zh-CN" w:eastAsia="zh-CN"/>
        </w:rPr>
      </w:pPr>
      <w:r>
        <w:rPr>
          <w:rFonts w:hint="eastAsia" w:ascii="楷体_GB2312" w:hAnsi="宋体" w:eastAsia="楷体_GB2312" w:cs="Times New Roman"/>
          <w:b/>
          <w:color w:val="auto"/>
          <w:sz w:val="32"/>
          <w:szCs w:val="32"/>
          <w:highlight w:val="none"/>
          <w:u w:val="none"/>
          <w:lang w:val="zh-CN"/>
        </w:rPr>
        <w:t>（二）</w:t>
      </w:r>
      <w:r>
        <w:rPr>
          <w:rFonts w:hint="eastAsia" w:ascii="楷体_GB2312" w:hAnsi="宋体" w:eastAsia="楷体_GB2312" w:cs="Times New Roman"/>
          <w:b/>
          <w:color w:val="auto"/>
          <w:sz w:val="32"/>
          <w:szCs w:val="32"/>
          <w:highlight w:val="none"/>
          <w:u w:val="none"/>
          <w:lang w:val="en-US" w:eastAsia="zh-CN"/>
        </w:rPr>
        <w:t>专用指标</w:t>
      </w:r>
      <w:r>
        <w:rPr>
          <w:rFonts w:hint="default" w:ascii="Times New Roman" w:hAnsi="Times New Roman" w:eastAsia="楷体_GB2312" w:cs="Times New Roman"/>
          <w:b/>
          <w:bCs/>
          <w:color w:val="000000"/>
          <w:kern w:val="0"/>
          <w:sz w:val="32"/>
          <w:szCs w:val="32"/>
          <w:highlight w:val="none"/>
          <w:shd w:val="clear" w:color="auto" w:fill="FFFFFF"/>
          <w:lang w:val="zh-CN"/>
        </w:rPr>
        <w:t>绩效分析。</w:t>
      </w:r>
      <w:r>
        <w:rPr>
          <w:rFonts w:hint="eastAsia" w:ascii="Times New Roman" w:hAnsi="Times New Roman" w:eastAsia="仿宋_GB2312" w:cs="Times New Roman"/>
          <w:color w:val="auto"/>
          <w:sz w:val="32"/>
          <w:szCs w:val="32"/>
          <w:lang w:val="zh-CN" w:eastAsia="zh-CN"/>
        </w:rPr>
        <w:t>根据</w:t>
      </w:r>
      <w:r>
        <w:rPr>
          <w:rFonts w:hint="eastAsia" w:ascii="Times New Roman" w:hAnsi="Times New Roman" w:eastAsia="仿宋_GB2312" w:cs="Times New Roman"/>
          <w:color w:val="auto"/>
          <w:sz w:val="32"/>
          <w:szCs w:val="32"/>
          <w:lang w:val="en-US" w:eastAsia="zh-CN"/>
        </w:rPr>
        <w:t>专项</w:t>
      </w:r>
      <w:r>
        <w:rPr>
          <w:rFonts w:hint="eastAsia" w:eastAsia="仿宋_GB2312" w:cs="Times New Roman"/>
          <w:color w:val="auto"/>
          <w:sz w:val="32"/>
          <w:szCs w:val="32"/>
          <w:lang w:val="en-US" w:eastAsia="zh-CN"/>
        </w:rPr>
        <w:t>资金资金支持对象</w:t>
      </w:r>
      <w:r>
        <w:rPr>
          <w:rFonts w:hint="eastAsia" w:ascii="Times New Roman" w:hAnsi="Times New Roman" w:eastAsia="仿宋_GB2312" w:cs="Times New Roman"/>
          <w:color w:val="auto"/>
          <w:sz w:val="32"/>
          <w:szCs w:val="32"/>
          <w:lang w:val="en-US" w:eastAsia="zh-CN"/>
        </w:rPr>
        <w:t>选择所属指标进行绩效分析。</w:t>
      </w:r>
      <w:r>
        <w:rPr>
          <w:rFonts w:hint="eastAsia" w:eastAsia="仿宋_GB2312" w:cs="Times New Roman"/>
          <w:color w:val="auto"/>
          <w:sz w:val="32"/>
          <w:szCs w:val="32"/>
          <w:lang w:val="en-US" w:eastAsia="zh-CN"/>
        </w:rPr>
        <w:t>支持对象</w:t>
      </w:r>
      <w:r>
        <w:rPr>
          <w:rFonts w:hint="eastAsia" w:ascii="Times New Roman" w:hAnsi="Times New Roman" w:eastAsia="仿宋_GB2312" w:cs="Times New Roman"/>
          <w:color w:val="auto"/>
          <w:sz w:val="32"/>
          <w:szCs w:val="32"/>
          <w:lang w:val="zh-CN" w:eastAsia="zh-CN"/>
        </w:rPr>
        <w:t>包括产业发展、民生保障、基础设施、行政运转等方面。</w:t>
      </w:r>
    </w:p>
    <w:p w14:paraId="4A7FA2D2">
      <w:pPr>
        <w:keepNext w:val="0"/>
        <w:keepLines w:val="0"/>
        <w:pageBreakBefore w:val="0"/>
        <w:widowControl w:val="0"/>
        <w:kinsoku/>
        <w:wordWrap/>
        <w:overflowPunct/>
        <w:topLinePunct w:val="0"/>
        <w:autoSpaceDE/>
        <w:autoSpaceDN/>
        <w:bidi w:val="0"/>
        <w:adjustRightInd/>
        <w:snapToGrid/>
        <w:spacing w:line="590" w:lineRule="exact"/>
        <w:ind w:left="0" w:leftChars="0" w:right="0" w:rightChars="0" w:firstLine="640" w:firstLineChars="200"/>
        <w:textAlignment w:val="auto"/>
        <w:outlineLvl w:val="9"/>
        <w:rPr>
          <w:rFonts w:hint="eastAsia" w:eastAsia="仿宋_GB2312" w:cs="Times New Roman"/>
          <w:color w:val="auto"/>
          <w:sz w:val="32"/>
          <w:szCs w:val="32"/>
          <w:lang w:eastAsia="zh-CN"/>
        </w:rPr>
      </w:pPr>
      <w:r>
        <w:rPr>
          <w:rFonts w:hint="eastAsia" w:ascii="楷体_GB2312" w:hAnsi="楷体_GB2312" w:eastAsia="楷体_GB2312" w:cs="楷体_GB2312"/>
          <w:color w:val="auto"/>
          <w:sz w:val="32"/>
          <w:szCs w:val="32"/>
          <w:lang w:val="en-US" w:eastAsia="zh-CN"/>
        </w:rPr>
        <w:t>1.产业发展。</w:t>
      </w:r>
      <w:r>
        <w:rPr>
          <w:rFonts w:hint="eastAsia" w:ascii="Times New Roman" w:hAnsi="Times New Roman" w:eastAsia="仿宋_GB2312" w:cs="Times New Roman"/>
          <w:color w:val="auto"/>
          <w:sz w:val="32"/>
          <w:szCs w:val="32"/>
          <w:lang w:eastAsia="zh-CN"/>
        </w:rPr>
        <w:t>围绕</w:t>
      </w:r>
      <w:r>
        <w:rPr>
          <w:rFonts w:hint="eastAsia" w:eastAsia="仿宋_GB2312" w:cs="Times New Roman"/>
          <w:color w:val="auto"/>
          <w:sz w:val="32"/>
          <w:szCs w:val="32"/>
          <w:lang w:eastAsia="zh-CN"/>
        </w:rPr>
        <w:t>符合性、成长性、经济性进行绩效分析。</w:t>
      </w:r>
    </w:p>
    <w:p w14:paraId="37E20A37">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该项目实施属于</w:t>
      </w:r>
      <w:r>
        <w:rPr>
          <w:rFonts w:hint="eastAsia" w:eastAsia="仿宋_GB2312" w:cs="Times New Roman"/>
          <w:sz w:val="32"/>
          <w:szCs w:val="32"/>
          <w:lang w:val="en-US" w:eastAsia="zh-CN"/>
        </w:rPr>
        <w:t>安居区“推进乡村振兴，实现农业强区跨越式发展”“十四五”规划</w:t>
      </w:r>
      <w:r>
        <w:rPr>
          <w:rFonts w:hint="eastAsia" w:ascii="Times New Roman" w:hAnsi="Times New Roman" w:eastAsia="仿宋_GB2312" w:cs="Times New Roman"/>
          <w:sz w:val="32"/>
          <w:szCs w:val="32"/>
          <w:lang w:val="en-US" w:eastAsia="zh-CN"/>
        </w:rPr>
        <w:t>内容，属于政府支持范围，且符合财政事权支出责任划分规定；资金投向与项目总体规划、</w:t>
      </w:r>
      <w:r>
        <w:rPr>
          <w:rFonts w:hint="eastAsia" w:eastAsia="仿宋_GB2312" w:cs="Times New Roman"/>
          <w:sz w:val="32"/>
          <w:szCs w:val="32"/>
          <w:lang w:val="en-US" w:eastAsia="zh-CN"/>
        </w:rPr>
        <w:t>水利建设</w:t>
      </w:r>
      <w:r>
        <w:rPr>
          <w:rFonts w:hint="eastAsia" w:ascii="Times New Roman" w:hAnsi="Times New Roman" w:eastAsia="仿宋_GB2312" w:cs="Times New Roman"/>
          <w:sz w:val="32"/>
          <w:szCs w:val="32"/>
          <w:lang w:val="en-US" w:eastAsia="zh-CN"/>
        </w:rPr>
        <w:t>事业发展相匹配；自评得5分。</w:t>
      </w:r>
    </w:p>
    <w:p w14:paraId="5DE73AED">
      <w:pPr>
        <w:keepNext w:val="0"/>
        <w:keepLines w:val="0"/>
        <w:pageBreakBefore w:val="0"/>
        <w:widowControl w:val="0"/>
        <w:kinsoku/>
        <w:wordWrap/>
        <w:overflowPunct/>
        <w:topLinePunct w:val="0"/>
        <w:autoSpaceDE/>
        <w:autoSpaceDN/>
        <w:bidi w:val="0"/>
        <w:adjustRightInd/>
        <w:snapToGrid/>
        <w:spacing w:line="590" w:lineRule="exact"/>
        <w:ind w:left="0" w:leftChars="0" w:right="0" w:rightChars="0" w:firstLine="640" w:firstLineChars="200"/>
        <w:textAlignment w:val="auto"/>
        <w:outlineLvl w:val="9"/>
        <w:rPr>
          <w:rFonts w:hint="eastAsia" w:eastAsia="仿宋_GB2312" w:cs="Times New Roman"/>
          <w:color w:val="auto"/>
          <w:sz w:val="32"/>
          <w:szCs w:val="32"/>
          <w:lang w:eastAsia="zh-CN"/>
        </w:rPr>
      </w:pPr>
      <w:r>
        <w:rPr>
          <w:rFonts w:hint="eastAsia" w:ascii="楷体_GB2312" w:hAnsi="楷体_GB2312" w:eastAsia="楷体_GB2312" w:cs="楷体_GB2312"/>
          <w:color w:val="auto"/>
          <w:sz w:val="32"/>
          <w:szCs w:val="32"/>
          <w:lang w:val="en-US" w:eastAsia="zh-CN"/>
        </w:rPr>
        <w:t>2.</w:t>
      </w:r>
      <w:r>
        <w:rPr>
          <w:rFonts w:hint="eastAsia" w:ascii="楷体_GB2312" w:hAnsi="楷体_GB2312" w:eastAsia="楷体_GB2312" w:cs="楷体_GB2312"/>
          <w:color w:val="auto"/>
          <w:sz w:val="32"/>
          <w:szCs w:val="32"/>
          <w:lang w:val="zh-CN" w:eastAsia="zh-CN"/>
        </w:rPr>
        <w:t>民生保障。</w:t>
      </w:r>
      <w:r>
        <w:rPr>
          <w:rFonts w:hint="eastAsia" w:ascii="Times New Roman" w:hAnsi="Times New Roman" w:eastAsia="仿宋_GB2312" w:cs="Times New Roman"/>
          <w:color w:val="auto"/>
          <w:sz w:val="32"/>
          <w:szCs w:val="32"/>
          <w:lang w:eastAsia="zh-CN"/>
        </w:rPr>
        <w:t>围绕</w:t>
      </w:r>
      <w:r>
        <w:rPr>
          <w:rFonts w:hint="eastAsia" w:eastAsia="仿宋_GB2312" w:cs="Times New Roman"/>
          <w:color w:val="auto"/>
          <w:sz w:val="32"/>
          <w:szCs w:val="32"/>
          <w:lang w:eastAsia="zh-CN"/>
        </w:rPr>
        <w:t>区域均衡性、对象精准性、标准合理性、群总满意度进行绩效分析。</w:t>
      </w:r>
    </w:p>
    <w:p w14:paraId="0C256D7B">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（1）区域均衡性：该项目由“</w:t>
      </w:r>
      <w:r>
        <w:rPr>
          <w:rFonts w:hint="eastAsia" w:eastAsia="仿宋_GB2312" w:cs="Times New Roman"/>
          <w:sz w:val="32"/>
          <w:szCs w:val="32"/>
          <w:lang w:val="en-US" w:eastAsia="zh-CN"/>
        </w:rPr>
        <w:t>遂财农【2024】59号</w:t>
      </w:r>
      <w:r>
        <w:rPr>
          <w:rFonts w:hint="eastAsia" w:ascii="Times New Roman" w:hAnsi="Times New Roman" w:eastAsia="仿宋_GB2312" w:cs="Times New Roman"/>
          <w:sz w:val="32"/>
          <w:szCs w:val="32"/>
          <w:lang w:val="en-US" w:eastAsia="zh-CN"/>
        </w:rPr>
        <w:t>”文件分配，我局所属地区分配符合实际，自评得5分。</w:t>
      </w:r>
    </w:p>
    <w:p w14:paraId="5B2E18F9">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default" w:eastAsia="仿宋_GB2312"/>
          <w:sz w:val="32"/>
          <w:szCs w:val="32"/>
          <w:lang w:val="en-US" w:eastAsia="zh-CN"/>
        </w:rPr>
      </w:pPr>
      <w:r>
        <w:rPr>
          <w:rFonts w:hint="eastAsia" w:ascii="Times New Roman" w:hAnsi="Times New Roman" w:eastAsia="仿宋_GB2312" w:cs="Times New Roman"/>
          <w:sz w:val="32"/>
          <w:szCs w:val="32"/>
          <w:lang w:val="en-US" w:eastAsia="zh-CN"/>
        </w:rPr>
        <w:t>（2）标准合理性：该项目针对项目实施支付的</w:t>
      </w:r>
      <w:r>
        <w:rPr>
          <w:rFonts w:hint="eastAsia" w:eastAsia="仿宋_GB2312" w:cs="Times New Roman"/>
          <w:sz w:val="32"/>
          <w:szCs w:val="32"/>
          <w:lang w:val="en-US" w:eastAsia="zh-CN"/>
        </w:rPr>
        <w:t>1</w:t>
      </w:r>
      <w:r>
        <w:rPr>
          <w:rFonts w:hint="eastAsia" w:ascii="Times New Roman" w:hAnsi="Times New Roman" w:eastAsia="仿宋_GB2312" w:cs="Times New Roman"/>
          <w:sz w:val="32"/>
          <w:szCs w:val="32"/>
          <w:lang w:val="en-US" w:eastAsia="zh-CN"/>
        </w:rPr>
        <w:t>笔</w:t>
      </w:r>
      <w:r>
        <w:rPr>
          <w:rFonts w:hint="eastAsia" w:eastAsia="仿宋_GB2312" w:cs="Times New Roman"/>
          <w:sz w:val="32"/>
          <w:szCs w:val="32"/>
          <w:lang w:val="en-US" w:eastAsia="zh-CN"/>
        </w:rPr>
        <w:t>61000.00</w:t>
      </w:r>
      <w:r>
        <w:rPr>
          <w:rFonts w:hint="eastAsia" w:ascii="Times New Roman" w:hAnsi="Times New Roman" w:eastAsia="仿宋_GB2312" w:cs="Times New Roman"/>
          <w:sz w:val="32"/>
          <w:szCs w:val="32"/>
          <w:lang w:val="en-US" w:eastAsia="zh-CN"/>
        </w:rPr>
        <w:t>元，进行了抽样调查，未发现</w:t>
      </w:r>
      <w:r>
        <w:rPr>
          <w:rFonts w:hint="eastAsia" w:eastAsia="仿宋_GB2312" w:cs="Times New Roman"/>
          <w:sz w:val="32"/>
          <w:szCs w:val="32"/>
          <w:lang w:val="en-US" w:eastAsia="zh-CN"/>
        </w:rPr>
        <w:t>惠及乡镇水利区域、人群</w:t>
      </w:r>
      <w:r>
        <w:rPr>
          <w:rFonts w:hint="eastAsia" w:ascii="Times New Roman" w:hAnsi="Times New Roman" w:eastAsia="仿宋_GB2312" w:cs="Times New Roman"/>
          <w:sz w:val="32"/>
          <w:szCs w:val="32"/>
          <w:lang w:val="en-US" w:eastAsia="zh-CN"/>
        </w:rPr>
        <w:t>存在异常情况，自评得5分</w:t>
      </w:r>
      <w:r>
        <w:rPr>
          <w:rFonts w:hint="eastAsia" w:eastAsia="仿宋_GB2312" w:cs="Times New Roman"/>
          <w:sz w:val="32"/>
          <w:szCs w:val="32"/>
          <w:lang w:val="en-US" w:eastAsia="zh-CN"/>
        </w:rPr>
        <w:t>。</w:t>
      </w:r>
    </w:p>
    <w:p w14:paraId="537616E8">
      <w:pPr>
        <w:numPr>
          <w:ilvl w:val="0"/>
          <w:numId w:val="0"/>
        </w:numPr>
        <w:autoSpaceDE/>
        <w:adjustRightInd w:val="0"/>
        <w:snapToGrid w:val="0"/>
        <w:spacing w:beforeLines="0" w:afterLines="0" w:line="576" w:lineRule="exact"/>
        <w:ind w:firstLine="640" w:firstLineChars="200"/>
        <w:textAlignment w:val="auto"/>
        <w:outlineLvl w:val="9"/>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（3）群</w:t>
      </w:r>
      <w:r>
        <w:rPr>
          <w:rFonts w:hint="eastAsia" w:eastAsia="仿宋_GB2312" w:cs="Times New Roman"/>
          <w:sz w:val="32"/>
          <w:szCs w:val="32"/>
          <w:lang w:val="en-US" w:eastAsia="zh-CN"/>
        </w:rPr>
        <w:t>众</w:t>
      </w:r>
      <w:r>
        <w:rPr>
          <w:rFonts w:hint="eastAsia" w:ascii="Times New Roman" w:hAnsi="Times New Roman" w:eastAsia="仿宋_GB2312" w:cs="Times New Roman"/>
          <w:sz w:val="32"/>
          <w:szCs w:val="32"/>
          <w:lang w:val="en-US" w:eastAsia="zh-CN"/>
        </w:rPr>
        <w:t>满意度：群众满意度9</w:t>
      </w:r>
      <w:r>
        <w:rPr>
          <w:rFonts w:hint="eastAsia" w:eastAsia="仿宋_GB2312" w:cs="Times New Roman"/>
          <w:sz w:val="32"/>
          <w:szCs w:val="32"/>
          <w:lang w:val="en-US" w:eastAsia="zh-CN"/>
        </w:rPr>
        <w:t>0</w:t>
      </w:r>
      <w:r>
        <w:rPr>
          <w:rFonts w:hint="eastAsia" w:ascii="Times New Roman" w:hAnsi="Times New Roman" w:eastAsia="仿宋_GB2312" w:cs="Times New Roman"/>
          <w:sz w:val="32"/>
          <w:szCs w:val="32"/>
          <w:lang w:val="en-US" w:eastAsia="zh-CN"/>
        </w:rPr>
        <w:t>%，</w:t>
      </w:r>
      <w:r>
        <w:rPr>
          <w:rFonts w:hint="eastAsia" w:eastAsia="仿宋_GB2312" w:cs="Times New Roman"/>
          <w:sz w:val="32"/>
          <w:szCs w:val="32"/>
          <w:lang w:val="en-US" w:eastAsia="zh-CN"/>
        </w:rPr>
        <w:t>项目实施过程中</w:t>
      </w:r>
      <w:r>
        <w:rPr>
          <w:rFonts w:hint="eastAsia" w:ascii="Times New Roman" w:hAnsi="Times New Roman" w:eastAsia="仿宋_GB2312" w:cs="Times New Roman"/>
          <w:sz w:val="32"/>
          <w:szCs w:val="32"/>
          <w:lang w:val="en-US" w:eastAsia="zh-CN"/>
        </w:rPr>
        <w:t>，</w:t>
      </w:r>
      <w:r>
        <w:rPr>
          <w:rFonts w:hint="eastAsia" w:eastAsia="仿宋_GB2312" w:cs="Times New Roman"/>
          <w:sz w:val="32"/>
          <w:szCs w:val="32"/>
          <w:lang w:val="en-US" w:eastAsia="zh-CN"/>
        </w:rPr>
        <w:t>未发现存在群众不满意、投诉等情况，</w:t>
      </w:r>
      <w:r>
        <w:rPr>
          <w:rFonts w:hint="eastAsia" w:ascii="Times New Roman" w:hAnsi="Times New Roman" w:eastAsia="仿宋_GB2312" w:cs="Times New Roman"/>
          <w:sz w:val="32"/>
          <w:szCs w:val="32"/>
          <w:lang w:val="en-US" w:eastAsia="zh-CN"/>
        </w:rPr>
        <w:t>自评得</w:t>
      </w:r>
      <w:r>
        <w:rPr>
          <w:rFonts w:hint="eastAsia" w:eastAsia="仿宋_GB2312" w:cs="Times New Roman"/>
          <w:sz w:val="32"/>
          <w:szCs w:val="32"/>
          <w:lang w:val="en-US" w:eastAsia="zh-CN"/>
        </w:rPr>
        <w:t>2</w:t>
      </w:r>
      <w:r>
        <w:rPr>
          <w:rFonts w:hint="eastAsia" w:ascii="Times New Roman" w:hAnsi="Times New Roman" w:eastAsia="仿宋_GB2312" w:cs="Times New Roman"/>
          <w:sz w:val="32"/>
          <w:szCs w:val="32"/>
          <w:lang w:val="en-US" w:eastAsia="zh-CN"/>
        </w:rPr>
        <w:t>分。</w:t>
      </w:r>
    </w:p>
    <w:p w14:paraId="0682EABE">
      <w:pPr>
        <w:keepNext w:val="0"/>
        <w:keepLines w:val="0"/>
        <w:pageBreakBefore w:val="0"/>
        <w:widowControl w:val="0"/>
        <w:kinsoku/>
        <w:wordWrap/>
        <w:overflowPunct/>
        <w:topLinePunct w:val="0"/>
        <w:autoSpaceDE/>
        <w:autoSpaceDN/>
        <w:bidi w:val="0"/>
        <w:adjustRightInd/>
        <w:snapToGrid/>
        <w:spacing w:line="590" w:lineRule="exact"/>
        <w:ind w:left="0" w:leftChars="0" w:right="0" w:rightChars="0" w:firstLine="640" w:firstLineChars="200"/>
        <w:textAlignment w:val="auto"/>
        <w:outlineLvl w:val="9"/>
        <w:rPr>
          <w:rFonts w:hint="eastAsia" w:eastAsia="仿宋_GB2312" w:cs="Times New Roman"/>
          <w:color w:val="auto"/>
          <w:sz w:val="32"/>
          <w:szCs w:val="32"/>
          <w:lang w:val="zh-CN" w:eastAsia="zh-CN"/>
        </w:rPr>
      </w:pPr>
      <w:r>
        <w:rPr>
          <w:rFonts w:hint="eastAsia" w:ascii="楷体_GB2312" w:hAnsi="楷体_GB2312" w:eastAsia="楷体_GB2312" w:cs="楷体_GB2312"/>
          <w:color w:val="auto"/>
          <w:sz w:val="32"/>
          <w:szCs w:val="32"/>
          <w:lang w:val="en-US" w:eastAsia="zh-CN"/>
        </w:rPr>
        <w:t>4.</w:t>
      </w:r>
      <w:r>
        <w:rPr>
          <w:rFonts w:hint="eastAsia" w:ascii="楷体_GB2312" w:hAnsi="楷体_GB2312" w:eastAsia="楷体_GB2312" w:cs="楷体_GB2312"/>
          <w:color w:val="auto"/>
          <w:sz w:val="32"/>
          <w:szCs w:val="32"/>
          <w:lang w:val="zh-CN" w:eastAsia="zh-CN"/>
        </w:rPr>
        <w:t>行政运转。</w:t>
      </w:r>
      <w:r>
        <w:rPr>
          <w:rFonts w:hint="eastAsia" w:eastAsia="仿宋_GB2312" w:cs="Times New Roman"/>
          <w:color w:val="auto"/>
          <w:sz w:val="32"/>
          <w:szCs w:val="32"/>
          <w:lang w:val="zh-CN" w:eastAsia="zh-CN"/>
        </w:rPr>
        <w:t>围绕用途合规性、程序合规性、标准合规性进行绩效分析。</w:t>
      </w:r>
    </w:p>
    <w:p w14:paraId="605E1AEA">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用途合规：该项目用途符合“</w:t>
      </w:r>
      <w:r>
        <w:rPr>
          <w:rFonts w:hint="eastAsia" w:eastAsia="仿宋_GB2312" w:cs="Times New Roman"/>
          <w:sz w:val="32"/>
          <w:szCs w:val="32"/>
          <w:lang w:val="en-US" w:eastAsia="zh-CN"/>
        </w:rPr>
        <w:t>遂财农【2024】59号</w:t>
      </w:r>
      <w:r>
        <w:rPr>
          <w:rFonts w:hint="eastAsia" w:ascii="Times New Roman" w:hAnsi="Times New Roman" w:eastAsia="仿宋_GB2312" w:cs="Times New Roman"/>
          <w:sz w:val="32"/>
          <w:szCs w:val="32"/>
          <w:lang w:val="en-US" w:eastAsia="zh-CN"/>
        </w:rPr>
        <w:t>”文件规定内容</w:t>
      </w:r>
      <w:r>
        <w:rPr>
          <w:rFonts w:hint="eastAsia" w:eastAsia="仿宋_GB2312" w:cs="Times New Roman"/>
          <w:sz w:val="32"/>
          <w:szCs w:val="32"/>
          <w:lang w:val="en-US" w:eastAsia="zh-CN"/>
        </w:rPr>
        <w:t>，</w:t>
      </w:r>
      <w:r>
        <w:rPr>
          <w:rFonts w:hint="eastAsia" w:ascii="Times New Roman" w:hAnsi="Times New Roman" w:eastAsia="仿宋_GB2312" w:cs="Times New Roman"/>
          <w:sz w:val="32"/>
          <w:szCs w:val="32"/>
          <w:lang w:val="en-US" w:eastAsia="zh-CN"/>
        </w:rPr>
        <w:t>自评得</w:t>
      </w:r>
      <w:r>
        <w:rPr>
          <w:rFonts w:hint="eastAsia" w:eastAsia="仿宋_GB2312" w:cs="Times New Roman"/>
          <w:sz w:val="32"/>
          <w:szCs w:val="32"/>
          <w:lang w:val="en-US" w:eastAsia="zh-CN"/>
        </w:rPr>
        <w:t>3</w:t>
      </w:r>
      <w:r>
        <w:rPr>
          <w:rFonts w:hint="eastAsia" w:ascii="Times New Roman" w:hAnsi="Times New Roman" w:eastAsia="仿宋_GB2312" w:cs="Times New Roman"/>
          <w:sz w:val="32"/>
          <w:szCs w:val="32"/>
          <w:lang w:val="en-US" w:eastAsia="zh-CN"/>
        </w:rPr>
        <w:t>分。</w:t>
      </w:r>
    </w:p>
    <w:p w14:paraId="2B1571A9">
      <w:pPr>
        <w:keepNext w:val="0"/>
        <w:keepLines w:val="0"/>
        <w:pageBreakBefore w:val="0"/>
        <w:widowControl w:val="0"/>
        <w:kinsoku/>
        <w:wordWrap/>
        <w:overflowPunct/>
        <w:topLinePunct w:val="0"/>
        <w:autoSpaceDE/>
        <w:autoSpaceDN/>
        <w:bidi w:val="0"/>
        <w:adjustRightInd/>
        <w:snapToGrid/>
        <w:spacing w:line="590" w:lineRule="exact"/>
        <w:ind w:right="0" w:rightChars="0" w:firstLine="640"/>
        <w:textAlignment w:val="auto"/>
        <w:outlineLvl w:val="9"/>
        <w:rPr>
          <w:rFonts w:hint="eastAsia" w:eastAsia="仿宋_GB2312" w:cs="Times New Roman"/>
          <w:color w:val="auto"/>
          <w:sz w:val="32"/>
          <w:szCs w:val="32"/>
          <w:lang w:val="zh-CN" w:eastAsia="zh-CN"/>
        </w:rPr>
      </w:pPr>
      <w:r>
        <w:rPr>
          <w:rFonts w:hint="eastAsia" w:ascii="楷体_GB2312" w:hAnsi="宋体" w:eastAsia="楷体_GB2312" w:cs="Times New Roman"/>
          <w:b/>
          <w:color w:val="auto"/>
          <w:sz w:val="32"/>
          <w:szCs w:val="32"/>
          <w:highlight w:val="none"/>
          <w:u w:val="none"/>
          <w:lang w:val="zh-CN"/>
        </w:rPr>
        <w:t>（三）</w:t>
      </w:r>
      <w:r>
        <w:rPr>
          <w:rFonts w:hint="eastAsia" w:ascii="楷体_GB2312" w:hAnsi="宋体" w:eastAsia="楷体_GB2312" w:cs="Times New Roman"/>
          <w:b/>
          <w:color w:val="auto"/>
          <w:sz w:val="32"/>
          <w:szCs w:val="32"/>
          <w:highlight w:val="none"/>
          <w:u w:val="none"/>
          <w:lang w:val="en-US" w:eastAsia="zh-CN"/>
        </w:rPr>
        <w:t>个性指标</w:t>
      </w:r>
      <w:r>
        <w:rPr>
          <w:rFonts w:hint="default" w:ascii="Times New Roman" w:hAnsi="Times New Roman" w:eastAsia="楷体_GB2312" w:cs="Times New Roman"/>
          <w:b/>
          <w:bCs/>
          <w:color w:val="000000"/>
          <w:kern w:val="0"/>
          <w:sz w:val="32"/>
          <w:szCs w:val="32"/>
          <w:highlight w:val="none"/>
          <w:shd w:val="clear" w:color="auto" w:fill="FFFFFF"/>
          <w:lang w:val="zh-CN"/>
        </w:rPr>
        <w:t>绩效分析。</w:t>
      </w:r>
      <w:r>
        <w:rPr>
          <w:rFonts w:hint="eastAsia" w:eastAsia="仿宋_GB2312" w:cs="Times New Roman"/>
          <w:color w:val="auto"/>
          <w:sz w:val="32"/>
          <w:szCs w:val="32"/>
          <w:lang w:val="zh-CN" w:eastAsia="zh-CN"/>
        </w:rPr>
        <w:t>根据项目个性自行设定部分指标，反映该项指标执行完成情况。</w:t>
      </w:r>
    </w:p>
    <w:p w14:paraId="2F1EE43F">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1.社会效益指标：农村供水率≥95%</w:t>
      </w:r>
      <w:r>
        <w:rPr>
          <w:rFonts w:hint="eastAsia" w:eastAsia="仿宋_GB2312" w:cs="Times New Roman"/>
          <w:sz w:val="32"/>
          <w:szCs w:val="32"/>
          <w:lang w:val="en-US" w:eastAsia="zh-CN"/>
        </w:rPr>
        <w:t>，2024年度实际完成0座中型水库标准化管理0座，农村供水设施维修养护1处，</w:t>
      </w:r>
      <w:r>
        <w:rPr>
          <w:rFonts w:hint="eastAsia" w:ascii="Times New Roman" w:hAnsi="Times New Roman" w:eastAsia="仿宋_GB2312" w:cs="Times New Roman"/>
          <w:sz w:val="32"/>
          <w:szCs w:val="32"/>
          <w:lang w:val="en-US" w:eastAsia="zh-CN"/>
        </w:rPr>
        <w:t>自评得</w:t>
      </w:r>
      <w:r>
        <w:rPr>
          <w:rFonts w:hint="eastAsia" w:eastAsia="仿宋_GB2312" w:cs="Times New Roman"/>
          <w:sz w:val="32"/>
          <w:szCs w:val="32"/>
          <w:lang w:val="en-US" w:eastAsia="zh-CN"/>
        </w:rPr>
        <w:t>5</w:t>
      </w:r>
      <w:r>
        <w:rPr>
          <w:rFonts w:hint="eastAsia" w:ascii="Times New Roman" w:hAnsi="Times New Roman" w:eastAsia="仿宋_GB2312" w:cs="Times New Roman"/>
          <w:sz w:val="32"/>
          <w:szCs w:val="32"/>
          <w:lang w:val="en-US" w:eastAsia="zh-CN"/>
        </w:rPr>
        <w:t>分。</w:t>
      </w:r>
    </w:p>
    <w:p w14:paraId="5A07A61C">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2.下泄流量监管率≥95%：</w:t>
      </w:r>
      <w:r>
        <w:rPr>
          <w:rFonts w:hint="eastAsia" w:eastAsia="仿宋_GB2312" w:cs="Times New Roman"/>
          <w:sz w:val="32"/>
          <w:szCs w:val="32"/>
          <w:lang w:val="en-US" w:eastAsia="zh-CN"/>
        </w:rPr>
        <w:t>2024年度实际完成0座中型水库标准化管理0座，农村供水设施维修养护1处，</w:t>
      </w:r>
      <w:r>
        <w:rPr>
          <w:rFonts w:hint="eastAsia" w:ascii="Times New Roman" w:hAnsi="Times New Roman" w:eastAsia="仿宋_GB2312" w:cs="Times New Roman"/>
          <w:sz w:val="32"/>
          <w:szCs w:val="32"/>
          <w:lang w:val="en-US" w:eastAsia="zh-CN"/>
        </w:rPr>
        <w:t>自评得</w:t>
      </w:r>
      <w:r>
        <w:rPr>
          <w:rFonts w:hint="eastAsia" w:eastAsia="仿宋_GB2312" w:cs="Times New Roman"/>
          <w:sz w:val="32"/>
          <w:szCs w:val="32"/>
          <w:lang w:val="en-US" w:eastAsia="zh-CN"/>
        </w:rPr>
        <w:t>0</w:t>
      </w:r>
      <w:r>
        <w:rPr>
          <w:rFonts w:hint="eastAsia" w:ascii="Times New Roman" w:hAnsi="Times New Roman" w:eastAsia="仿宋_GB2312" w:cs="Times New Roman"/>
          <w:sz w:val="32"/>
          <w:szCs w:val="32"/>
          <w:lang w:val="en-US" w:eastAsia="zh-CN"/>
        </w:rPr>
        <w:t>分。</w:t>
      </w:r>
    </w:p>
    <w:p w14:paraId="1CC3F5C4">
      <w:pPr>
        <w:pStyle w:val="12"/>
        <w:keepNext w:val="0"/>
        <w:keepLines w:val="0"/>
        <w:pageBreakBefore w:val="0"/>
        <w:numPr>
          <w:ilvl w:val="0"/>
          <w:numId w:val="0"/>
        </w:numPr>
        <w:tabs>
          <w:tab w:val="left" w:pos="2160"/>
        </w:tabs>
        <w:kinsoku/>
        <w:wordWrap/>
        <w:overflowPunct/>
        <w:topLinePunct w:val="0"/>
        <w:autoSpaceDE/>
        <w:autoSpaceDN/>
        <w:bidi w:val="0"/>
        <w:adjustRightInd/>
        <w:snapToGrid/>
        <w:spacing w:line="590" w:lineRule="exact"/>
        <w:ind w:right="0" w:rightChars="0" w:firstLine="640" w:firstLineChars="200"/>
        <w:textAlignment w:val="auto"/>
        <w:rPr>
          <w:rFonts w:hint="eastAsia" w:ascii="黑体" w:hAnsi="宋体" w:eastAsia="黑体"/>
          <w:color w:val="auto"/>
          <w:sz w:val="32"/>
          <w:szCs w:val="32"/>
          <w:highlight w:val="none"/>
          <w:u w:val="none"/>
        </w:rPr>
      </w:pPr>
      <w:r>
        <w:rPr>
          <w:rFonts w:hint="eastAsia" w:ascii="黑体" w:hAnsi="宋体" w:eastAsia="黑体"/>
          <w:color w:val="auto"/>
          <w:sz w:val="32"/>
          <w:szCs w:val="32"/>
          <w:highlight w:val="none"/>
          <w:u w:val="none"/>
          <w:lang w:eastAsia="zh-CN"/>
        </w:rPr>
        <w:t>四</w:t>
      </w:r>
      <w:r>
        <w:rPr>
          <w:rFonts w:hint="eastAsia" w:ascii="黑体" w:hAnsi="宋体" w:eastAsia="黑体"/>
          <w:color w:val="auto"/>
          <w:sz w:val="32"/>
          <w:szCs w:val="32"/>
          <w:highlight w:val="none"/>
          <w:u w:val="none"/>
        </w:rPr>
        <w:t>、评价结论</w:t>
      </w:r>
    </w:p>
    <w:p w14:paraId="79E43BFA">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eastAsia" w:ascii="Times New Roman" w:hAnsi="Times New Roman" w:eastAsia="仿宋_GB2312" w:cs="Times New Roman"/>
          <w:sz w:val="32"/>
          <w:szCs w:val="32"/>
          <w:lang w:val="zh-CN" w:eastAsia="zh-CN"/>
        </w:rPr>
      </w:pPr>
      <w:r>
        <w:rPr>
          <w:rFonts w:hint="eastAsia" w:ascii="Times New Roman" w:hAnsi="Times New Roman" w:eastAsia="仿宋_GB2312" w:cs="Times New Roman"/>
          <w:sz w:val="32"/>
          <w:szCs w:val="32"/>
          <w:lang w:val="en-US" w:eastAsia="zh-CN"/>
        </w:rPr>
        <w:t>我局按照既定的评价指标和评价方法，从决策、过程、产出、效益四方面对</w:t>
      </w:r>
      <w:r>
        <w:rPr>
          <w:rFonts w:hint="eastAsia" w:ascii="仿宋_GB2312" w:hAnsi="仿宋_GB2312" w:eastAsia="仿宋_GB2312" w:cs="仿宋_GB2312"/>
          <w:color w:val="auto"/>
          <w:kern w:val="0"/>
          <w:sz w:val="32"/>
          <w:szCs w:val="32"/>
          <w:highlight w:val="none"/>
          <w:u w:val="none"/>
          <w:shd w:val="clear" w:color="auto" w:fill="FFFFFF"/>
          <w:lang w:val="en-US" w:eastAsia="zh-CN"/>
        </w:rPr>
        <w:t>51090425T000012612394-遂财农【2024】59号2024年市级财政衔接推进乡村振兴补助资金</w:t>
      </w:r>
      <w:r>
        <w:rPr>
          <w:rFonts w:hint="eastAsia" w:ascii="Times New Roman" w:hAnsi="Times New Roman" w:eastAsia="仿宋_GB2312" w:cs="Times New Roman"/>
          <w:sz w:val="32"/>
          <w:szCs w:val="32"/>
          <w:lang w:val="en-US" w:eastAsia="zh-CN"/>
        </w:rPr>
        <w:t>项目进行绩效评价，最终确定绩效评价得分</w:t>
      </w:r>
      <w:r>
        <w:rPr>
          <w:rFonts w:hint="eastAsia" w:eastAsia="仿宋_GB2312" w:cs="Times New Roman"/>
          <w:sz w:val="32"/>
          <w:szCs w:val="32"/>
          <w:lang w:val="en-US" w:eastAsia="zh-CN"/>
        </w:rPr>
        <w:t>72.52</w:t>
      </w:r>
      <w:r>
        <w:rPr>
          <w:rFonts w:hint="eastAsia" w:ascii="Times New Roman" w:hAnsi="Times New Roman" w:eastAsia="仿宋_GB2312" w:cs="Times New Roman"/>
          <w:sz w:val="32"/>
          <w:szCs w:val="32"/>
          <w:lang w:val="en-US" w:eastAsia="zh-CN"/>
        </w:rPr>
        <w:t>分；评价等级为</w:t>
      </w:r>
      <w:r>
        <w:rPr>
          <w:rFonts w:hint="eastAsia" w:eastAsia="仿宋_GB2312" w:cs="Times New Roman"/>
          <w:sz w:val="32"/>
          <w:szCs w:val="32"/>
          <w:lang w:val="en-US" w:eastAsia="zh-CN"/>
        </w:rPr>
        <w:t>中</w:t>
      </w:r>
      <w:r>
        <w:rPr>
          <w:rFonts w:hint="eastAsia" w:ascii="Times New Roman" w:hAnsi="Times New Roman" w:eastAsia="仿宋_GB2312" w:cs="Times New Roman"/>
          <w:sz w:val="32"/>
          <w:szCs w:val="32"/>
          <w:lang w:val="zh-CN" w:eastAsia="zh-CN"/>
        </w:rPr>
        <w:t>。</w:t>
      </w:r>
    </w:p>
    <w:p w14:paraId="552CBCEE">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总体上，</w:t>
      </w:r>
      <w:r>
        <w:rPr>
          <w:rFonts w:hint="eastAsia" w:ascii="仿宋_GB2312" w:hAnsi="仿宋_GB2312" w:eastAsia="仿宋_GB2312" w:cs="仿宋_GB2312"/>
          <w:color w:val="auto"/>
          <w:kern w:val="0"/>
          <w:sz w:val="32"/>
          <w:szCs w:val="32"/>
          <w:highlight w:val="none"/>
          <w:u w:val="none"/>
          <w:shd w:val="clear" w:color="auto" w:fill="FFFFFF"/>
          <w:lang w:val="en-US" w:eastAsia="zh-CN"/>
        </w:rPr>
        <w:t>51090425T000012612394-遂财农【2024】59号2024年市级财政衔接推进乡村振兴补助资金项目</w:t>
      </w:r>
      <w:r>
        <w:rPr>
          <w:rFonts w:hint="eastAsia" w:ascii="Times New Roman" w:hAnsi="Times New Roman" w:eastAsia="仿宋_GB2312" w:cs="Times New Roman"/>
          <w:sz w:val="32"/>
          <w:szCs w:val="32"/>
          <w:lang w:val="en-US" w:eastAsia="zh-CN"/>
        </w:rPr>
        <w:t>申报依据充分，程序规范，预算编制合理，资金到位及时，资金分配合理，管理制度健全，资金支出进度合理，项目计划内容均已按照预期目标基本完成。</w:t>
      </w:r>
    </w:p>
    <w:p w14:paraId="18BCEC61">
      <w:pPr>
        <w:pStyle w:val="12"/>
        <w:keepNext w:val="0"/>
        <w:keepLines w:val="0"/>
        <w:pageBreakBefore w:val="0"/>
        <w:numPr>
          <w:ilvl w:val="0"/>
          <w:numId w:val="0"/>
        </w:numPr>
        <w:tabs>
          <w:tab w:val="left" w:pos="2160"/>
        </w:tabs>
        <w:kinsoku/>
        <w:wordWrap/>
        <w:overflowPunct/>
        <w:topLinePunct w:val="0"/>
        <w:autoSpaceDE/>
        <w:autoSpaceDN/>
        <w:bidi w:val="0"/>
        <w:adjustRightInd/>
        <w:snapToGrid/>
        <w:spacing w:line="590" w:lineRule="exact"/>
        <w:ind w:right="0" w:rightChars="0" w:firstLine="640" w:firstLineChars="200"/>
        <w:textAlignment w:val="auto"/>
        <w:rPr>
          <w:rFonts w:hint="eastAsia" w:ascii="黑体" w:hAnsi="宋体" w:eastAsia="黑体"/>
          <w:color w:val="auto"/>
          <w:sz w:val="32"/>
          <w:szCs w:val="32"/>
          <w:highlight w:val="none"/>
          <w:u w:val="none"/>
          <w:lang w:val="en-US" w:eastAsia="zh-CN"/>
        </w:rPr>
      </w:pPr>
      <w:r>
        <w:rPr>
          <w:rFonts w:hint="eastAsia" w:ascii="黑体" w:hAnsi="宋体" w:eastAsia="黑体"/>
          <w:color w:val="auto"/>
          <w:sz w:val="32"/>
          <w:szCs w:val="32"/>
          <w:highlight w:val="none"/>
          <w:u w:val="none"/>
          <w:lang w:val="en-US" w:eastAsia="zh-CN"/>
        </w:rPr>
        <w:t>五、存在主要问题</w:t>
      </w:r>
    </w:p>
    <w:p w14:paraId="0F92B80D">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default" w:eastAsia="仿宋_GB2312" w:cs="Times New Roman"/>
          <w:sz w:val="32"/>
          <w:szCs w:val="32"/>
          <w:lang w:val="zh-CN" w:eastAsia="zh-CN"/>
        </w:rPr>
      </w:pPr>
      <w:r>
        <w:rPr>
          <w:rFonts w:hint="eastAsia" w:eastAsia="仿宋_GB2312" w:cs="Times New Roman"/>
          <w:sz w:val="32"/>
          <w:szCs w:val="32"/>
          <w:lang w:val="en-US" w:eastAsia="zh-CN"/>
        </w:rPr>
        <w:t>项目进度慢</w:t>
      </w:r>
      <w:r>
        <w:rPr>
          <w:rFonts w:hint="eastAsia" w:eastAsia="仿宋_GB2312" w:cs="Times New Roman"/>
          <w:sz w:val="32"/>
          <w:szCs w:val="32"/>
          <w:lang w:val="zh-CN" w:eastAsia="zh-CN"/>
        </w:rPr>
        <w:t>。</w:t>
      </w:r>
    </w:p>
    <w:p w14:paraId="003A654E">
      <w:pPr>
        <w:pStyle w:val="12"/>
        <w:keepNext w:val="0"/>
        <w:keepLines w:val="0"/>
        <w:pageBreakBefore w:val="0"/>
        <w:numPr>
          <w:ilvl w:val="0"/>
          <w:numId w:val="0"/>
        </w:numPr>
        <w:tabs>
          <w:tab w:val="left" w:pos="2160"/>
        </w:tabs>
        <w:kinsoku/>
        <w:wordWrap/>
        <w:overflowPunct/>
        <w:topLinePunct w:val="0"/>
        <w:autoSpaceDE/>
        <w:autoSpaceDN/>
        <w:bidi w:val="0"/>
        <w:adjustRightInd/>
        <w:snapToGrid/>
        <w:spacing w:line="590" w:lineRule="exact"/>
        <w:ind w:right="0" w:rightChars="0" w:firstLine="640" w:firstLineChars="200"/>
        <w:textAlignment w:val="auto"/>
        <w:rPr>
          <w:rFonts w:hint="eastAsia" w:ascii="黑体" w:hAnsi="宋体" w:eastAsia="黑体"/>
          <w:color w:val="auto"/>
          <w:sz w:val="32"/>
          <w:szCs w:val="32"/>
          <w:highlight w:val="none"/>
          <w:u w:val="none"/>
          <w:lang w:val="zh-CN" w:eastAsia="zh-CN"/>
        </w:rPr>
      </w:pPr>
      <w:r>
        <w:rPr>
          <w:rFonts w:hint="eastAsia" w:ascii="黑体" w:hAnsi="宋体" w:eastAsia="黑体"/>
          <w:color w:val="auto"/>
          <w:sz w:val="32"/>
          <w:szCs w:val="32"/>
          <w:highlight w:val="none"/>
          <w:u w:val="none"/>
          <w:lang w:val="zh-CN" w:eastAsia="zh-CN"/>
        </w:rPr>
        <w:t>六、改进建议</w:t>
      </w:r>
    </w:p>
    <w:p w14:paraId="3B94F684">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outlineLvl w:val="9"/>
        <w:rPr>
          <w:rFonts w:hint="eastAsia" w:eastAsia="仿宋_GB2312" w:cs="Times New Roman"/>
          <w:sz w:val="32"/>
          <w:szCs w:val="32"/>
          <w:lang w:val="en-US" w:eastAsia="zh-CN"/>
        </w:rPr>
      </w:pPr>
      <w:r>
        <w:rPr>
          <w:rFonts w:hint="eastAsia" w:eastAsia="仿宋_GB2312" w:cs="Times New Roman"/>
          <w:sz w:val="32"/>
          <w:szCs w:val="32"/>
          <w:lang w:val="en-US" w:eastAsia="zh-CN"/>
        </w:rPr>
        <w:t>建议项目股室积极推进项目实施。</w:t>
      </w:r>
    </w:p>
    <w:p w14:paraId="3F168362">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outlineLvl w:val="9"/>
        <w:rPr>
          <w:rFonts w:hint="eastAsia" w:ascii="Times New Roman" w:hAnsi="Times New Roman" w:eastAsia="仿宋_GB2312" w:cs="Times New Roman"/>
          <w:color w:val="000000"/>
          <w:kern w:val="0"/>
          <w:sz w:val="32"/>
          <w:szCs w:val="32"/>
          <w:highlight w:val="none"/>
          <w:shd w:val="clear" w:color="auto" w:fill="FFFFFF"/>
          <w:lang w:val="en-US" w:eastAsia="zh-CN"/>
        </w:rPr>
      </w:pPr>
      <w:r>
        <w:rPr>
          <w:rFonts w:hint="eastAsia" w:ascii="Times New Roman" w:hAnsi="Times New Roman" w:eastAsia="仿宋_GB2312" w:cs="Times New Roman"/>
          <w:color w:val="000000"/>
          <w:kern w:val="0"/>
          <w:sz w:val="32"/>
          <w:szCs w:val="32"/>
          <w:highlight w:val="none"/>
          <w:shd w:val="clear" w:color="auto" w:fill="FFFFFF"/>
          <w:lang w:val="en-US" w:eastAsia="zh-CN"/>
        </w:rPr>
        <w:t>附表：1.</w:t>
      </w:r>
      <w:r>
        <w:rPr>
          <w:rFonts w:hint="eastAsia" w:eastAsia="仿宋_GB2312" w:cs="Times New Roman"/>
          <w:color w:val="000000"/>
          <w:kern w:val="0"/>
          <w:sz w:val="32"/>
          <w:szCs w:val="32"/>
          <w:highlight w:val="none"/>
          <w:shd w:val="clear" w:color="auto" w:fill="FFFFFF"/>
          <w:lang w:val="en-US" w:eastAsia="zh-CN"/>
        </w:rPr>
        <w:t xml:space="preserve"> </w:t>
      </w:r>
      <w:r>
        <w:rPr>
          <w:rFonts w:hint="eastAsia" w:ascii="Times New Roman" w:hAnsi="Times New Roman" w:eastAsia="仿宋_GB2312" w:cs="Times New Roman"/>
          <w:color w:val="000000"/>
          <w:kern w:val="0"/>
          <w:sz w:val="32"/>
          <w:szCs w:val="32"/>
          <w:highlight w:val="none"/>
          <w:shd w:val="clear" w:color="auto" w:fill="FFFFFF"/>
          <w:lang w:val="en-US" w:eastAsia="zh-CN"/>
        </w:rPr>
        <w:t>项目资金分配涉及所有点位自评得分情况表</w:t>
      </w:r>
    </w:p>
    <w:p w14:paraId="4D339A7D">
      <w:pPr>
        <w:keepNext w:val="0"/>
        <w:keepLines w:val="0"/>
        <w:pageBreakBefore w:val="0"/>
        <w:kinsoku/>
        <w:wordWrap/>
        <w:overflowPunct/>
        <w:topLinePunct w:val="0"/>
        <w:autoSpaceDE/>
        <w:autoSpaceDN/>
        <w:bidi w:val="0"/>
        <w:adjustRightInd/>
        <w:snapToGrid/>
        <w:spacing w:line="590" w:lineRule="exact"/>
        <w:ind w:left="0" w:leftChars="0" w:right="0" w:rightChars="0" w:firstLine="1600" w:firstLineChars="500"/>
        <w:textAlignment w:val="auto"/>
        <w:outlineLvl w:val="9"/>
        <w:rPr>
          <w:rFonts w:hint="default" w:ascii="Times New Roman" w:hAnsi="Times New Roman" w:eastAsia="仿宋_GB2312" w:cs="Times New Roman"/>
          <w:color w:val="000000"/>
          <w:kern w:val="0"/>
          <w:szCs w:val="32"/>
          <w:highlight w:val="none"/>
          <w:shd w:val="clear" w:color="auto" w:fill="FFFFFF"/>
          <w:lang w:val="en-US" w:eastAsia="zh-CN"/>
        </w:rPr>
      </w:pPr>
      <w:r>
        <w:rPr>
          <w:rFonts w:hint="eastAsia" w:ascii="Times New Roman" w:hAnsi="Times New Roman" w:eastAsia="仿宋_GB2312" w:cs="Times New Roman"/>
          <w:color w:val="000000"/>
          <w:kern w:val="0"/>
          <w:sz w:val="32"/>
          <w:szCs w:val="32"/>
          <w:highlight w:val="none"/>
          <w:shd w:val="clear" w:color="auto" w:fill="FFFFFF"/>
          <w:lang w:val="en-US" w:eastAsia="zh-CN"/>
        </w:rPr>
        <w:t>2.</w:t>
      </w:r>
      <w:r>
        <w:rPr>
          <w:rFonts w:hint="eastAsia" w:eastAsia="仿宋_GB2312" w:cs="Times New Roman"/>
          <w:color w:val="000000"/>
          <w:kern w:val="0"/>
          <w:sz w:val="32"/>
          <w:szCs w:val="32"/>
          <w:highlight w:val="none"/>
          <w:shd w:val="clear" w:color="auto" w:fill="FFFFFF"/>
          <w:lang w:val="en-US" w:eastAsia="zh-CN"/>
        </w:rPr>
        <w:t xml:space="preserve"> </w:t>
      </w:r>
      <w:r>
        <w:rPr>
          <w:rFonts w:hint="eastAsia" w:ascii="Times New Roman" w:hAnsi="Times New Roman" w:eastAsia="仿宋_GB2312" w:cs="Times New Roman"/>
          <w:color w:val="000000"/>
          <w:kern w:val="0"/>
          <w:sz w:val="32"/>
          <w:szCs w:val="32"/>
          <w:highlight w:val="none"/>
          <w:shd w:val="clear" w:color="auto" w:fill="FFFFFF"/>
          <w:lang w:val="en-US" w:eastAsia="zh-CN"/>
        </w:rPr>
        <w:t>专项</w:t>
      </w:r>
      <w:r>
        <w:rPr>
          <w:rFonts w:hint="eastAsia" w:eastAsia="仿宋_GB2312" w:cs="Times New Roman"/>
          <w:color w:val="000000"/>
          <w:kern w:val="0"/>
          <w:sz w:val="32"/>
          <w:szCs w:val="32"/>
          <w:highlight w:val="none"/>
          <w:shd w:val="clear" w:color="auto" w:fill="FFFFFF"/>
          <w:lang w:val="en-US" w:eastAsia="zh-CN"/>
        </w:rPr>
        <w:t>资金</w:t>
      </w:r>
      <w:r>
        <w:rPr>
          <w:rFonts w:hint="eastAsia" w:ascii="Times New Roman" w:hAnsi="Times New Roman" w:eastAsia="仿宋_GB2312" w:cs="Times New Roman"/>
          <w:color w:val="000000"/>
          <w:kern w:val="0"/>
          <w:sz w:val="32"/>
          <w:szCs w:val="32"/>
          <w:highlight w:val="none"/>
          <w:shd w:val="clear" w:color="auto" w:fill="FFFFFF"/>
          <w:lang w:val="en-US" w:eastAsia="zh-CN"/>
        </w:rPr>
        <w:t>绩效目标完成情况自评表</w:t>
      </w:r>
    </w:p>
    <w:p w14:paraId="0805F514">
      <w:pPr>
        <w:keepNext w:val="0"/>
        <w:keepLines w:val="0"/>
        <w:pageBreakBefore w:val="0"/>
        <w:kinsoku/>
        <w:wordWrap/>
        <w:overflowPunct/>
        <w:topLinePunct w:val="0"/>
        <w:autoSpaceDE/>
        <w:autoSpaceDN/>
        <w:bidi w:val="0"/>
        <w:adjustRightInd/>
        <w:snapToGrid/>
        <w:spacing w:line="590" w:lineRule="exact"/>
        <w:ind w:left="0" w:leftChars="0" w:right="0" w:rightChars="0" w:firstLine="420" w:firstLineChars="200"/>
        <w:textAlignment w:val="auto"/>
        <w:outlineLvl w:val="9"/>
        <w:rPr>
          <w:rFonts w:hint="eastAsia" w:ascii="Times New Roman" w:hAnsi="Times New Roman" w:eastAsia="仿宋_GB2312" w:cs="Times New Roman"/>
          <w:color w:val="000000"/>
          <w:kern w:val="0"/>
          <w:szCs w:val="32"/>
          <w:highlight w:val="none"/>
          <w:shd w:val="clear" w:color="auto" w:fill="FFFFFF"/>
          <w:lang w:val="zh-CN" w:eastAsia="zh-CN"/>
        </w:rPr>
      </w:pPr>
      <w:r>
        <w:rPr>
          <w:rFonts w:hint="eastAsia" w:ascii="Times New Roman" w:hAnsi="Times New Roman" w:eastAsia="仿宋_GB2312" w:cs="Times New Roman"/>
          <w:color w:val="000000"/>
          <w:kern w:val="0"/>
          <w:szCs w:val="32"/>
          <w:highlight w:val="none"/>
          <w:shd w:val="clear" w:color="auto" w:fill="FFFFFF"/>
          <w:lang w:val="zh-CN" w:eastAsia="zh-CN"/>
        </w:rPr>
        <w:br w:type="page"/>
      </w:r>
    </w:p>
    <w:p w14:paraId="6F9696FF">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contextualSpacing/>
        <w:jc w:val="left"/>
        <w:textAlignment w:val="auto"/>
        <w:rPr>
          <w:rFonts w:hint="eastAsia" w:ascii="黑体" w:hAnsi="黑体" w:eastAsia="黑体" w:cs="黑体"/>
          <w:b w:val="0"/>
          <w:bCs w:val="0"/>
          <w:color w:val="auto"/>
          <w:kern w:val="0"/>
          <w:sz w:val="32"/>
          <w:szCs w:val="32"/>
          <w:highlight w:val="none"/>
          <w:u w:val="none"/>
          <w:shd w:val="clear" w:color="auto" w:fill="FFFFFF"/>
          <w:lang w:val="zh-CN" w:eastAsia="zh-CN"/>
        </w:rPr>
      </w:pPr>
      <w:r>
        <w:rPr>
          <w:rFonts w:hint="eastAsia" w:ascii="黑体" w:hAnsi="黑体" w:eastAsia="黑体" w:cs="黑体"/>
          <w:b w:val="0"/>
          <w:bCs w:val="0"/>
          <w:color w:val="auto"/>
          <w:kern w:val="0"/>
          <w:sz w:val="32"/>
          <w:szCs w:val="32"/>
          <w:highlight w:val="none"/>
          <w:u w:val="none"/>
          <w:shd w:val="clear" w:color="auto" w:fill="FFFFFF"/>
          <w:lang w:val="zh-CN" w:eastAsia="zh-CN"/>
        </w:rPr>
        <w:t>附表</w:t>
      </w:r>
      <w:r>
        <w:rPr>
          <w:rFonts w:hint="eastAsia" w:ascii="黑体" w:hAnsi="黑体" w:eastAsia="黑体" w:cs="黑体"/>
          <w:b w:val="0"/>
          <w:bCs w:val="0"/>
          <w:color w:val="auto"/>
          <w:kern w:val="0"/>
          <w:sz w:val="32"/>
          <w:szCs w:val="32"/>
          <w:highlight w:val="none"/>
          <w:u w:val="none"/>
          <w:shd w:val="clear" w:color="auto" w:fill="FFFFFF"/>
          <w:lang w:val="en-US" w:eastAsia="zh-CN"/>
        </w:rPr>
        <w:t>1</w:t>
      </w:r>
    </w:p>
    <w:p w14:paraId="53080F9C">
      <w:pPr>
        <w:keepNext w:val="0"/>
        <w:keepLines w:val="0"/>
        <w:pageBreakBefore w:val="0"/>
        <w:kinsoku/>
        <w:wordWrap/>
        <w:overflowPunct/>
        <w:topLinePunct w:val="0"/>
        <w:autoSpaceDE/>
        <w:autoSpaceDN/>
        <w:bidi w:val="0"/>
        <w:spacing w:line="578" w:lineRule="exact"/>
        <w:ind w:left="0" w:leftChars="0"/>
        <w:jc w:val="center"/>
        <w:textAlignment w:val="auto"/>
        <w:rPr>
          <w:rFonts w:hint="eastAsia" w:ascii="方正小标宋_GBK" w:hAnsi="方正小标宋_GBK" w:eastAsia="方正小标宋_GBK" w:cs="方正小标宋_GBK"/>
          <w:b w:val="0"/>
          <w:bCs w:val="0"/>
          <w:color w:val="auto"/>
          <w:sz w:val="40"/>
          <w:szCs w:val="40"/>
          <w:highlight w:val="none"/>
          <w:u w:val="none"/>
          <w:lang w:val="en-US" w:eastAsia="zh-CN"/>
        </w:rPr>
      </w:pPr>
      <w:r>
        <w:rPr>
          <w:rFonts w:hint="eastAsia" w:ascii="方正小标宋_GBK" w:hAnsi="方正小标宋_GBK" w:eastAsia="方正小标宋_GBK" w:cs="方正小标宋_GBK"/>
          <w:b w:val="0"/>
          <w:bCs w:val="0"/>
          <w:color w:val="auto"/>
          <w:sz w:val="40"/>
          <w:szCs w:val="40"/>
          <w:highlight w:val="none"/>
          <w:u w:val="none"/>
          <w:lang w:val="en-US" w:eastAsia="zh-CN"/>
        </w:rPr>
        <w:t>项目资金分配涉及所有点位自评得分情况表</w:t>
      </w:r>
    </w:p>
    <w:tbl>
      <w:tblPr>
        <w:tblStyle w:val="24"/>
        <w:tblW w:w="88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3"/>
        <w:gridCol w:w="3843"/>
        <w:gridCol w:w="2861"/>
        <w:gridCol w:w="993"/>
      </w:tblGrid>
      <w:tr w14:paraId="2B9A2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top"/>
          </w:tcPr>
          <w:p w14:paraId="25BEEC72">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黑体" w:hAnsi="黑体" w:eastAsia="黑体" w:cs="黑体"/>
                <w:b w:val="0"/>
                <w:bCs w:val="0"/>
                <w:color w:val="auto"/>
                <w:sz w:val="24"/>
                <w:szCs w:val="24"/>
                <w:highlight w:val="none"/>
                <w:u w:val="none"/>
                <w:vertAlign w:val="baseline"/>
                <w:lang w:val="en-US" w:eastAsia="zh-CN"/>
              </w:rPr>
            </w:pPr>
            <w:r>
              <w:rPr>
                <w:rFonts w:hint="eastAsia" w:ascii="黑体" w:hAnsi="黑体" w:eastAsia="黑体" w:cs="黑体"/>
                <w:b w:val="0"/>
                <w:bCs w:val="0"/>
                <w:color w:val="auto"/>
                <w:sz w:val="24"/>
                <w:szCs w:val="24"/>
                <w:highlight w:val="none"/>
                <w:u w:val="none"/>
                <w:vertAlign w:val="baseline"/>
                <w:lang w:val="en-US" w:eastAsia="zh-CN"/>
              </w:rPr>
              <w:t>序号</w:t>
            </w:r>
          </w:p>
        </w:tc>
        <w:tc>
          <w:tcPr>
            <w:tcW w:w="3843" w:type="dxa"/>
            <w:vAlign w:val="top"/>
          </w:tcPr>
          <w:p w14:paraId="49A99716">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黑体" w:hAnsi="黑体" w:eastAsia="黑体" w:cs="黑体"/>
                <w:b w:val="0"/>
                <w:bCs w:val="0"/>
                <w:color w:val="auto"/>
                <w:sz w:val="24"/>
                <w:szCs w:val="24"/>
                <w:highlight w:val="none"/>
                <w:u w:val="none"/>
                <w:vertAlign w:val="baseline"/>
                <w:lang w:val="en" w:eastAsia="zh-CN"/>
              </w:rPr>
            </w:pPr>
            <w:r>
              <w:rPr>
                <w:rFonts w:hint="eastAsia" w:ascii="黑体" w:hAnsi="黑体" w:eastAsia="黑体" w:cs="黑体"/>
                <w:b w:val="0"/>
                <w:bCs w:val="0"/>
                <w:color w:val="auto"/>
                <w:sz w:val="24"/>
                <w:szCs w:val="24"/>
                <w:highlight w:val="none"/>
                <w:u w:val="none"/>
                <w:vertAlign w:val="baseline"/>
                <w:lang w:val="en-US" w:eastAsia="zh-CN"/>
              </w:rPr>
              <w:t>项目资金末端分配点位</w:t>
            </w:r>
          </w:p>
        </w:tc>
        <w:tc>
          <w:tcPr>
            <w:tcW w:w="2861" w:type="dxa"/>
            <w:vAlign w:val="top"/>
          </w:tcPr>
          <w:p w14:paraId="660674FD">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黑体" w:hAnsi="黑体" w:eastAsia="黑体" w:cs="黑体"/>
                <w:b w:val="0"/>
                <w:bCs w:val="0"/>
                <w:color w:val="auto"/>
                <w:sz w:val="24"/>
                <w:szCs w:val="24"/>
                <w:highlight w:val="none"/>
                <w:u w:val="none"/>
                <w:vertAlign w:val="baseline"/>
                <w:lang w:val="en-US" w:eastAsia="zh-CN"/>
              </w:rPr>
            </w:pPr>
            <w:r>
              <w:rPr>
                <w:rFonts w:hint="eastAsia" w:ascii="黑体" w:hAnsi="黑体" w:eastAsia="黑体" w:cs="黑体"/>
                <w:b w:val="0"/>
                <w:bCs w:val="0"/>
                <w:color w:val="auto"/>
                <w:sz w:val="24"/>
                <w:szCs w:val="24"/>
                <w:highlight w:val="none"/>
                <w:u w:val="none"/>
                <w:vertAlign w:val="baseline"/>
                <w:lang w:val="en" w:eastAsia="zh-CN"/>
              </w:rPr>
              <w:t>自评得分（百分制）</w:t>
            </w:r>
          </w:p>
        </w:tc>
        <w:tc>
          <w:tcPr>
            <w:tcW w:w="993" w:type="dxa"/>
            <w:vAlign w:val="top"/>
          </w:tcPr>
          <w:p w14:paraId="2E4950DE">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黑体" w:hAnsi="黑体" w:eastAsia="黑体" w:cs="黑体"/>
                <w:b w:val="0"/>
                <w:bCs w:val="0"/>
                <w:color w:val="auto"/>
                <w:sz w:val="24"/>
                <w:szCs w:val="24"/>
                <w:highlight w:val="none"/>
                <w:u w:val="none"/>
                <w:vertAlign w:val="baseline"/>
                <w:lang w:val="en-US" w:eastAsia="zh-CN"/>
              </w:rPr>
            </w:pPr>
            <w:r>
              <w:rPr>
                <w:rFonts w:hint="eastAsia" w:ascii="黑体" w:hAnsi="黑体" w:eastAsia="黑体" w:cs="黑体"/>
                <w:b w:val="0"/>
                <w:bCs w:val="0"/>
                <w:color w:val="auto"/>
                <w:sz w:val="24"/>
                <w:szCs w:val="24"/>
                <w:highlight w:val="none"/>
                <w:u w:val="none"/>
                <w:vertAlign w:val="baseline"/>
                <w:lang w:val="en-US" w:eastAsia="zh-CN"/>
              </w:rPr>
              <w:t>备注</w:t>
            </w:r>
          </w:p>
        </w:tc>
      </w:tr>
      <w:tr w14:paraId="64FCC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exact"/>
          <w:jc w:val="center"/>
        </w:trPr>
        <w:tc>
          <w:tcPr>
            <w:tcW w:w="1123" w:type="dxa"/>
            <w:vAlign w:val="top"/>
          </w:tcPr>
          <w:p w14:paraId="7F5E7D0E">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宋体" w:hAnsi="宋体" w:eastAsia="宋体" w:cs="宋体"/>
                <w:b w:val="0"/>
                <w:bCs w:val="0"/>
                <w:color w:val="auto"/>
                <w:sz w:val="24"/>
                <w:szCs w:val="24"/>
                <w:highlight w:val="none"/>
                <w:u w:val="none"/>
                <w:lang w:val="en-US" w:eastAsia="zh-CN"/>
              </w:rPr>
            </w:pPr>
            <w:r>
              <w:rPr>
                <w:rFonts w:hint="eastAsia" w:ascii="宋体" w:hAnsi="宋体" w:eastAsia="仿宋_GB2312" w:cs="宋体"/>
                <w:b w:val="0"/>
                <w:bCs w:val="0"/>
                <w:color w:val="auto"/>
                <w:sz w:val="24"/>
                <w:szCs w:val="24"/>
                <w:highlight w:val="none"/>
                <w:u w:val="none"/>
                <w:lang w:val="en-US" w:eastAsia="zh-CN"/>
              </w:rPr>
              <w:t>1</w:t>
            </w:r>
          </w:p>
        </w:tc>
        <w:tc>
          <w:tcPr>
            <w:tcW w:w="3843" w:type="dxa"/>
            <w:vAlign w:val="top"/>
          </w:tcPr>
          <w:p w14:paraId="712FEDEA">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default" w:ascii="宋体" w:hAnsi="宋体" w:cs="宋体"/>
                <w:color w:val="auto"/>
                <w:sz w:val="24"/>
                <w:szCs w:val="24"/>
                <w:highlight w:val="none"/>
                <w:u w:val="none"/>
                <w:vertAlign w:val="baseline"/>
                <w:lang w:val="en-US" w:eastAsia="zh-CN"/>
              </w:rPr>
            </w:pPr>
            <w:r>
              <w:rPr>
                <w:rFonts w:hint="eastAsia" w:ascii="宋体" w:hAnsi="宋体" w:eastAsia="仿宋_GB2312" w:cs="宋体"/>
                <w:color w:val="auto"/>
                <w:sz w:val="24"/>
                <w:szCs w:val="24"/>
                <w:highlight w:val="none"/>
                <w:u w:val="none"/>
                <w:vertAlign w:val="baseline"/>
                <w:lang w:val="en-US" w:eastAsia="zh-CN"/>
              </w:rPr>
              <w:t>安居区水利局2024年市级财政衔接推进乡村振兴补助资金</w:t>
            </w:r>
          </w:p>
        </w:tc>
        <w:tc>
          <w:tcPr>
            <w:tcW w:w="2861" w:type="dxa"/>
            <w:vAlign w:val="top"/>
          </w:tcPr>
          <w:p w14:paraId="5C541AC2">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default" w:ascii="宋体" w:hAnsi="宋体" w:cs="宋体"/>
                <w:color w:val="auto"/>
                <w:sz w:val="24"/>
                <w:szCs w:val="24"/>
                <w:highlight w:val="none"/>
                <w:u w:val="none"/>
                <w:vertAlign w:val="baseline"/>
                <w:lang w:val="en-US" w:eastAsia="zh-CN"/>
              </w:rPr>
            </w:pPr>
            <w:r>
              <w:rPr>
                <w:rFonts w:hint="eastAsia" w:ascii="宋体" w:hAnsi="宋体" w:eastAsia="仿宋_GB2312" w:cs="宋体"/>
                <w:color w:val="auto"/>
                <w:sz w:val="24"/>
                <w:szCs w:val="24"/>
                <w:highlight w:val="none"/>
                <w:u w:val="none"/>
                <w:vertAlign w:val="baseline"/>
                <w:lang w:val="en-US" w:eastAsia="zh-CN"/>
              </w:rPr>
              <w:t>72.52</w:t>
            </w:r>
          </w:p>
        </w:tc>
        <w:tc>
          <w:tcPr>
            <w:tcW w:w="993" w:type="dxa"/>
            <w:vAlign w:val="top"/>
          </w:tcPr>
          <w:p w14:paraId="4DE7E880">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US" w:eastAsia="zh-CN"/>
              </w:rPr>
            </w:pPr>
          </w:p>
        </w:tc>
      </w:tr>
      <w:tr w14:paraId="1F680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top"/>
          </w:tcPr>
          <w:p w14:paraId="5CBEAB08">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宋体" w:hAnsi="宋体" w:eastAsia="宋体" w:cs="宋体"/>
                <w:b w:val="0"/>
                <w:bCs w:val="0"/>
                <w:color w:val="auto"/>
                <w:sz w:val="24"/>
                <w:szCs w:val="24"/>
                <w:highlight w:val="none"/>
                <w:u w:val="none"/>
                <w:lang w:val="en-US" w:eastAsia="zh-CN"/>
              </w:rPr>
            </w:pPr>
            <w:r>
              <w:rPr>
                <w:rFonts w:hint="eastAsia" w:ascii="宋体" w:hAnsi="宋体" w:eastAsia="仿宋_GB2312" w:cs="宋体"/>
                <w:b w:val="0"/>
                <w:bCs w:val="0"/>
                <w:color w:val="auto"/>
                <w:sz w:val="24"/>
                <w:szCs w:val="24"/>
                <w:highlight w:val="none"/>
                <w:u w:val="none"/>
                <w:lang w:val="en-US" w:eastAsia="zh-CN"/>
              </w:rPr>
              <w:t>2</w:t>
            </w:r>
          </w:p>
        </w:tc>
        <w:tc>
          <w:tcPr>
            <w:tcW w:w="3843" w:type="dxa"/>
            <w:vAlign w:val="top"/>
          </w:tcPr>
          <w:p w14:paraId="0CB576CB">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 w:eastAsia="zh-CN"/>
              </w:rPr>
            </w:pPr>
          </w:p>
        </w:tc>
        <w:tc>
          <w:tcPr>
            <w:tcW w:w="2861" w:type="dxa"/>
            <w:vAlign w:val="top"/>
          </w:tcPr>
          <w:p w14:paraId="5B3084F5">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 w:eastAsia="zh-CN"/>
              </w:rPr>
            </w:pPr>
          </w:p>
        </w:tc>
        <w:tc>
          <w:tcPr>
            <w:tcW w:w="993" w:type="dxa"/>
            <w:vAlign w:val="top"/>
          </w:tcPr>
          <w:p w14:paraId="1686DDE6">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US" w:eastAsia="zh-CN"/>
              </w:rPr>
            </w:pPr>
          </w:p>
        </w:tc>
      </w:tr>
      <w:tr w14:paraId="1256D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top"/>
          </w:tcPr>
          <w:p w14:paraId="7DAE8DEC">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宋体" w:hAnsi="宋体" w:eastAsia="宋体" w:cs="宋体"/>
                <w:b w:val="0"/>
                <w:bCs w:val="0"/>
                <w:color w:val="auto"/>
                <w:sz w:val="24"/>
                <w:szCs w:val="24"/>
                <w:highlight w:val="none"/>
                <w:u w:val="none"/>
                <w:lang w:val="en-US" w:eastAsia="zh-CN"/>
              </w:rPr>
            </w:pPr>
            <w:r>
              <w:rPr>
                <w:rFonts w:hint="eastAsia" w:ascii="宋体" w:hAnsi="宋体" w:eastAsia="仿宋_GB2312" w:cs="宋体"/>
                <w:b w:val="0"/>
                <w:bCs w:val="0"/>
                <w:color w:val="auto"/>
                <w:sz w:val="24"/>
                <w:szCs w:val="24"/>
                <w:highlight w:val="none"/>
                <w:u w:val="none"/>
                <w:lang w:val="en-US" w:eastAsia="zh-CN"/>
              </w:rPr>
              <w:t>3</w:t>
            </w:r>
          </w:p>
        </w:tc>
        <w:tc>
          <w:tcPr>
            <w:tcW w:w="3843" w:type="dxa"/>
            <w:vAlign w:val="top"/>
          </w:tcPr>
          <w:p w14:paraId="59B12EDF">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 w:eastAsia="zh-CN"/>
              </w:rPr>
            </w:pPr>
          </w:p>
        </w:tc>
        <w:tc>
          <w:tcPr>
            <w:tcW w:w="2861" w:type="dxa"/>
            <w:vAlign w:val="top"/>
          </w:tcPr>
          <w:p w14:paraId="2C57E135">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 w:eastAsia="zh-CN"/>
              </w:rPr>
            </w:pPr>
          </w:p>
        </w:tc>
        <w:tc>
          <w:tcPr>
            <w:tcW w:w="993" w:type="dxa"/>
            <w:vAlign w:val="top"/>
          </w:tcPr>
          <w:p w14:paraId="72682546">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US" w:eastAsia="zh-CN"/>
              </w:rPr>
            </w:pPr>
          </w:p>
        </w:tc>
      </w:tr>
      <w:tr w14:paraId="71974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top"/>
          </w:tcPr>
          <w:p w14:paraId="45C068A8">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宋体" w:hAnsi="宋体" w:eastAsia="宋体" w:cs="宋体"/>
                <w:b w:val="0"/>
                <w:bCs w:val="0"/>
                <w:color w:val="auto"/>
                <w:sz w:val="24"/>
                <w:szCs w:val="24"/>
                <w:highlight w:val="none"/>
                <w:u w:val="none"/>
                <w:lang w:val="en-US" w:eastAsia="zh-CN"/>
              </w:rPr>
            </w:pPr>
            <w:r>
              <w:rPr>
                <w:rFonts w:hint="eastAsia" w:ascii="宋体" w:hAnsi="宋体" w:eastAsia="仿宋_GB2312" w:cs="宋体"/>
                <w:b w:val="0"/>
                <w:bCs w:val="0"/>
                <w:color w:val="auto"/>
                <w:sz w:val="24"/>
                <w:szCs w:val="24"/>
                <w:highlight w:val="none"/>
                <w:u w:val="none"/>
                <w:lang w:val="en-US" w:eastAsia="zh-CN"/>
              </w:rPr>
              <w:t>4</w:t>
            </w:r>
          </w:p>
        </w:tc>
        <w:tc>
          <w:tcPr>
            <w:tcW w:w="3843" w:type="dxa"/>
            <w:vAlign w:val="top"/>
          </w:tcPr>
          <w:p w14:paraId="2B5E8024">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 w:eastAsia="zh-CN"/>
              </w:rPr>
            </w:pPr>
          </w:p>
        </w:tc>
        <w:tc>
          <w:tcPr>
            <w:tcW w:w="2861" w:type="dxa"/>
            <w:vAlign w:val="top"/>
          </w:tcPr>
          <w:p w14:paraId="7D3E3859">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 w:eastAsia="zh-CN"/>
              </w:rPr>
            </w:pPr>
          </w:p>
        </w:tc>
        <w:tc>
          <w:tcPr>
            <w:tcW w:w="993" w:type="dxa"/>
            <w:vAlign w:val="top"/>
          </w:tcPr>
          <w:p w14:paraId="0A2A7C40">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US" w:eastAsia="zh-CN"/>
              </w:rPr>
            </w:pPr>
          </w:p>
        </w:tc>
      </w:tr>
      <w:tr w14:paraId="76E3E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top"/>
          </w:tcPr>
          <w:p w14:paraId="2199252C">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宋体" w:hAnsi="宋体" w:eastAsia="宋体" w:cs="宋体"/>
                <w:b w:val="0"/>
                <w:bCs w:val="0"/>
                <w:color w:val="auto"/>
                <w:sz w:val="24"/>
                <w:szCs w:val="24"/>
                <w:highlight w:val="none"/>
                <w:u w:val="none"/>
                <w:lang w:val="en-US" w:eastAsia="zh-CN"/>
              </w:rPr>
            </w:pPr>
            <w:r>
              <w:rPr>
                <w:rFonts w:hint="eastAsia" w:ascii="宋体" w:hAnsi="宋体" w:eastAsia="仿宋_GB2312" w:cs="宋体"/>
                <w:b w:val="0"/>
                <w:bCs w:val="0"/>
                <w:color w:val="auto"/>
                <w:sz w:val="24"/>
                <w:szCs w:val="24"/>
                <w:highlight w:val="none"/>
                <w:u w:val="none"/>
                <w:lang w:val="en-US" w:eastAsia="zh-CN"/>
              </w:rPr>
              <w:t>5</w:t>
            </w:r>
          </w:p>
        </w:tc>
        <w:tc>
          <w:tcPr>
            <w:tcW w:w="3843" w:type="dxa"/>
            <w:vAlign w:val="top"/>
          </w:tcPr>
          <w:p w14:paraId="4210257A">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 w:eastAsia="zh-CN"/>
              </w:rPr>
            </w:pPr>
          </w:p>
        </w:tc>
        <w:tc>
          <w:tcPr>
            <w:tcW w:w="2861" w:type="dxa"/>
            <w:vAlign w:val="top"/>
          </w:tcPr>
          <w:p w14:paraId="7FBCB7D1">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 w:eastAsia="zh-CN"/>
              </w:rPr>
            </w:pPr>
          </w:p>
        </w:tc>
        <w:tc>
          <w:tcPr>
            <w:tcW w:w="993" w:type="dxa"/>
            <w:vAlign w:val="top"/>
          </w:tcPr>
          <w:p w14:paraId="4C0F0878">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US" w:eastAsia="zh-CN"/>
              </w:rPr>
            </w:pPr>
          </w:p>
        </w:tc>
      </w:tr>
      <w:tr w14:paraId="6ED3F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top"/>
          </w:tcPr>
          <w:p w14:paraId="03A24B82">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宋体" w:hAnsi="宋体" w:eastAsia="宋体" w:cs="宋体"/>
                <w:b w:val="0"/>
                <w:bCs w:val="0"/>
                <w:color w:val="auto"/>
                <w:sz w:val="24"/>
                <w:szCs w:val="24"/>
                <w:highlight w:val="none"/>
                <w:u w:val="none"/>
                <w:lang w:val="en-US" w:eastAsia="zh-CN"/>
              </w:rPr>
            </w:pPr>
            <w:r>
              <w:rPr>
                <w:rFonts w:hint="eastAsia" w:ascii="宋体" w:hAnsi="宋体" w:eastAsia="仿宋_GB2312" w:cs="宋体"/>
                <w:b w:val="0"/>
                <w:bCs w:val="0"/>
                <w:color w:val="auto"/>
                <w:sz w:val="24"/>
                <w:szCs w:val="24"/>
                <w:highlight w:val="none"/>
                <w:u w:val="none"/>
                <w:lang w:val="en-US" w:eastAsia="zh-CN"/>
              </w:rPr>
              <w:t>6</w:t>
            </w:r>
          </w:p>
        </w:tc>
        <w:tc>
          <w:tcPr>
            <w:tcW w:w="3843" w:type="dxa"/>
            <w:vAlign w:val="top"/>
          </w:tcPr>
          <w:p w14:paraId="2DD7886C">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 w:eastAsia="zh-CN"/>
              </w:rPr>
            </w:pPr>
          </w:p>
        </w:tc>
        <w:tc>
          <w:tcPr>
            <w:tcW w:w="2861" w:type="dxa"/>
            <w:vAlign w:val="top"/>
          </w:tcPr>
          <w:p w14:paraId="4EB96BE1">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 w:eastAsia="zh-CN"/>
              </w:rPr>
            </w:pPr>
          </w:p>
        </w:tc>
        <w:tc>
          <w:tcPr>
            <w:tcW w:w="993" w:type="dxa"/>
            <w:vAlign w:val="top"/>
          </w:tcPr>
          <w:p w14:paraId="669628DA">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US" w:eastAsia="zh-CN"/>
              </w:rPr>
            </w:pPr>
          </w:p>
        </w:tc>
      </w:tr>
      <w:tr w14:paraId="67EF7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top"/>
          </w:tcPr>
          <w:p w14:paraId="0CC7248D">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宋体" w:hAnsi="宋体" w:eastAsia="宋体" w:cs="宋体"/>
                <w:b w:val="0"/>
                <w:bCs w:val="0"/>
                <w:color w:val="auto"/>
                <w:sz w:val="24"/>
                <w:szCs w:val="24"/>
                <w:highlight w:val="none"/>
                <w:u w:val="none"/>
                <w:lang w:val="en-US" w:eastAsia="zh-CN"/>
              </w:rPr>
            </w:pPr>
            <w:r>
              <w:rPr>
                <w:rFonts w:hint="eastAsia" w:ascii="宋体" w:hAnsi="宋体" w:eastAsia="仿宋_GB2312" w:cs="宋体"/>
                <w:b w:val="0"/>
                <w:bCs w:val="0"/>
                <w:color w:val="auto"/>
                <w:sz w:val="24"/>
                <w:szCs w:val="24"/>
                <w:highlight w:val="none"/>
                <w:u w:val="none"/>
                <w:lang w:val="en-US" w:eastAsia="zh-CN"/>
              </w:rPr>
              <w:t>7</w:t>
            </w:r>
          </w:p>
        </w:tc>
        <w:tc>
          <w:tcPr>
            <w:tcW w:w="3843" w:type="dxa"/>
            <w:vAlign w:val="top"/>
          </w:tcPr>
          <w:p w14:paraId="7F4FCCDF">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 w:eastAsia="zh-CN"/>
              </w:rPr>
            </w:pPr>
          </w:p>
        </w:tc>
        <w:tc>
          <w:tcPr>
            <w:tcW w:w="2861" w:type="dxa"/>
            <w:vAlign w:val="top"/>
          </w:tcPr>
          <w:p w14:paraId="573895B3">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 w:eastAsia="zh-CN"/>
              </w:rPr>
            </w:pPr>
          </w:p>
        </w:tc>
        <w:tc>
          <w:tcPr>
            <w:tcW w:w="993" w:type="dxa"/>
            <w:vAlign w:val="top"/>
          </w:tcPr>
          <w:p w14:paraId="4E5D49D5">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US" w:eastAsia="zh-CN"/>
              </w:rPr>
            </w:pPr>
          </w:p>
        </w:tc>
      </w:tr>
      <w:tr w14:paraId="3921B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top"/>
          </w:tcPr>
          <w:p w14:paraId="40B01610">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宋体" w:hAnsi="宋体" w:eastAsia="宋体" w:cs="宋体"/>
                <w:b w:val="0"/>
                <w:bCs w:val="0"/>
                <w:color w:val="auto"/>
                <w:sz w:val="24"/>
                <w:szCs w:val="24"/>
                <w:highlight w:val="none"/>
                <w:u w:val="none"/>
                <w:lang w:val="en-US" w:eastAsia="zh-CN"/>
              </w:rPr>
            </w:pPr>
            <w:r>
              <w:rPr>
                <w:rFonts w:hint="eastAsia" w:ascii="宋体" w:hAnsi="宋体" w:eastAsia="仿宋_GB2312" w:cs="宋体"/>
                <w:b w:val="0"/>
                <w:bCs w:val="0"/>
                <w:color w:val="auto"/>
                <w:sz w:val="24"/>
                <w:szCs w:val="24"/>
                <w:highlight w:val="none"/>
                <w:u w:val="none"/>
                <w:lang w:val="en-US" w:eastAsia="zh-CN"/>
              </w:rPr>
              <w:t>8</w:t>
            </w:r>
          </w:p>
        </w:tc>
        <w:tc>
          <w:tcPr>
            <w:tcW w:w="3843" w:type="dxa"/>
            <w:vAlign w:val="top"/>
          </w:tcPr>
          <w:p w14:paraId="20CE8EDC">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 w:eastAsia="zh-CN"/>
              </w:rPr>
            </w:pPr>
          </w:p>
        </w:tc>
        <w:tc>
          <w:tcPr>
            <w:tcW w:w="2861" w:type="dxa"/>
            <w:vAlign w:val="top"/>
          </w:tcPr>
          <w:p w14:paraId="35395F35">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 w:eastAsia="zh-CN"/>
              </w:rPr>
            </w:pPr>
          </w:p>
        </w:tc>
        <w:tc>
          <w:tcPr>
            <w:tcW w:w="993" w:type="dxa"/>
            <w:vAlign w:val="top"/>
          </w:tcPr>
          <w:p w14:paraId="6755DC3B">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US" w:eastAsia="zh-CN"/>
              </w:rPr>
            </w:pPr>
          </w:p>
        </w:tc>
      </w:tr>
      <w:tr w14:paraId="5CD1E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top"/>
          </w:tcPr>
          <w:p w14:paraId="383C49B7">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宋体" w:hAnsi="宋体" w:eastAsia="宋体" w:cs="宋体"/>
                <w:color w:val="auto"/>
                <w:sz w:val="24"/>
                <w:szCs w:val="24"/>
                <w:highlight w:val="none"/>
                <w:u w:val="none"/>
                <w:lang w:val="en-US" w:eastAsia="zh-CN"/>
              </w:rPr>
            </w:pPr>
            <w:r>
              <w:rPr>
                <w:rFonts w:hint="eastAsia" w:ascii="宋体" w:hAnsi="宋体" w:eastAsia="仿宋_GB2312" w:cs="宋体"/>
                <w:color w:val="auto"/>
                <w:sz w:val="24"/>
                <w:szCs w:val="24"/>
                <w:highlight w:val="none"/>
                <w:u w:val="none"/>
                <w:lang w:val="en-US" w:eastAsia="zh-CN"/>
              </w:rPr>
              <w:t>……</w:t>
            </w:r>
          </w:p>
        </w:tc>
        <w:tc>
          <w:tcPr>
            <w:tcW w:w="3843" w:type="dxa"/>
            <w:vAlign w:val="top"/>
          </w:tcPr>
          <w:p w14:paraId="18C8182D">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 w:eastAsia="zh-CN"/>
              </w:rPr>
            </w:pPr>
          </w:p>
        </w:tc>
        <w:tc>
          <w:tcPr>
            <w:tcW w:w="2861" w:type="dxa"/>
            <w:vAlign w:val="top"/>
          </w:tcPr>
          <w:p w14:paraId="567BE2EF">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 w:eastAsia="zh-CN"/>
              </w:rPr>
            </w:pPr>
          </w:p>
        </w:tc>
        <w:tc>
          <w:tcPr>
            <w:tcW w:w="993" w:type="dxa"/>
            <w:vAlign w:val="top"/>
          </w:tcPr>
          <w:p w14:paraId="1B171F9C">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US" w:eastAsia="zh-CN"/>
              </w:rPr>
            </w:pPr>
          </w:p>
        </w:tc>
      </w:tr>
    </w:tbl>
    <w:p w14:paraId="09DCACC9">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宋体" w:hAnsi="宋体" w:eastAsia="仿宋_GB2312" w:cs="宋体"/>
          <w:b w:val="0"/>
          <w:bCs w:val="0"/>
          <w:color w:val="auto"/>
          <w:sz w:val="21"/>
          <w:szCs w:val="21"/>
          <w:highlight w:val="none"/>
          <w:u w:val="none"/>
          <w:vertAlign w:val="baseline"/>
          <w:lang w:val="en-US" w:eastAsia="zh-CN"/>
        </w:rPr>
      </w:pPr>
      <w:r>
        <w:rPr>
          <w:rFonts w:hint="eastAsia" w:ascii="宋体" w:hAnsi="宋体" w:eastAsia="仿宋_GB2312" w:cs="宋体"/>
          <w:b w:val="0"/>
          <w:bCs w:val="0"/>
          <w:color w:val="auto"/>
          <w:sz w:val="21"/>
          <w:szCs w:val="21"/>
          <w:highlight w:val="none"/>
          <w:u w:val="none"/>
          <w:vertAlign w:val="baseline"/>
          <w:lang w:val="en-US" w:eastAsia="zh-CN"/>
        </w:rPr>
        <w:t>备注：1.项目资金末端分配点位包括县（市、区）、市级部门下属单位及一次性单位等。</w:t>
      </w:r>
    </w:p>
    <w:p w14:paraId="4BE86909">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630" w:firstLineChars="300"/>
        <w:jc w:val="left"/>
        <w:textAlignment w:val="auto"/>
        <w:rPr>
          <w:rFonts w:hint="eastAsia" w:ascii="宋体" w:hAnsi="宋体" w:eastAsia="仿宋_GB2312" w:cs="宋体"/>
          <w:b w:val="0"/>
          <w:bCs w:val="0"/>
          <w:color w:val="auto"/>
          <w:sz w:val="21"/>
          <w:szCs w:val="21"/>
          <w:highlight w:val="none"/>
          <w:u w:val="none"/>
          <w:vertAlign w:val="baseline"/>
          <w:lang w:val="en-US" w:eastAsia="zh-CN"/>
        </w:rPr>
      </w:pPr>
      <w:r>
        <w:rPr>
          <w:rFonts w:hint="eastAsia" w:ascii="宋体" w:hAnsi="宋体" w:eastAsia="仿宋_GB2312" w:cs="宋体"/>
          <w:b w:val="0"/>
          <w:bCs w:val="0"/>
          <w:color w:val="auto"/>
          <w:sz w:val="21"/>
          <w:szCs w:val="21"/>
          <w:highlight w:val="none"/>
          <w:u w:val="none"/>
          <w:vertAlign w:val="baseline"/>
          <w:lang w:val="en-US" w:eastAsia="zh-CN"/>
        </w:rPr>
        <w:t>2.自评得分（百分制）从高到低划分为优、良、中、差四个档次，各个档次数量占比分别为20%、20%、55%、5%，且不同档次间得分分值应体现差异化，同档次得分分值相同的比例不超过该档次总数量的10%。</w:t>
      </w:r>
    </w:p>
    <w:p w14:paraId="7B6FA4AB">
      <w:pPr>
        <w:rPr>
          <w:rFonts w:hint="eastAsia" w:ascii="Times New Roman" w:hAnsi="Times New Roman" w:eastAsia="仿宋_GB2312" w:cs="Times New Roman"/>
          <w:kern w:val="2"/>
          <w:sz w:val="32"/>
          <w:szCs w:val="24"/>
          <w:highlight w:val="none"/>
          <w:lang w:val="en-US" w:eastAsia="zh-CN" w:bidi="ar-SA"/>
        </w:rPr>
      </w:pPr>
      <w:r>
        <w:rPr>
          <w:rFonts w:hint="eastAsia" w:ascii="Times New Roman" w:hAnsi="Times New Roman" w:eastAsia="仿宋_GB2312" w:cs="Times New Roman"/>
          <w:kern w:val="2"/>
          <w:sz w:val="32"/>
          <w:szCs w:val="24"/>
          <w:highlight w:val="none"/>
          <w:lang w:val="en-US" w:eastAsia="zh-CN" w:bidi="ar-SA"/>
        </w:rPr>
        <w:br w:type="page"/>
      </w:r>
    </w:p>
    <w:p w14:paraId="2C84CBB4">
      <w:pPr>
        <w:pStyle w:val="3"/>
        <w:keepNext w:val="0"/>
        <w:keepLines w:val="0"/>
        <w:pageBreakBefore w:val="0"/>
        <w:kinsoku/>
        <w:wordWrap/>
        <w:overflowPunct/>
        <w:topLinePunct w:val="0"/>
        <w:autoSpaceDE/>
        <w:autoSpaceDN/>
        <w:bidi w:val="0"/>
        <w:spacing w:after="0" w:line="578" w:lineRule="exact"/>
        <w:ind w:left="0" w:leftChars="0" w:firstLine="0" w:firstLineChars="0"/>
        <w:rPr>
          <w:rFonts w:hint="default" w:ascii="Times New Roman" w:hAnsi="Times New Roman" w:eastAsia="黑体" w:cs="Times New Roman"/>
          <w:kern w:val="2"/>
          <w:sz w:val="32"/>
          <w:szCs w:val="24"/>
          <w:highlight w:val="none"/>
          <w:lang w:val="en-US" w:eastAsia="zh-CN" w:bidi="ar-SA"/>
        </w:rPr>
      </w:pPr>
      <w:r>
        <w:rPr>
          <w:rFonts w:hint="default" w:ascii="Times New Roman" w:hAnsi="Times New Roman" w:eastAsia="黑体" w:cs="Times New Roman"/>
          <w:kern w:val="2"/>
          <w:sz w:val="32"/>
          <w:szCs w:val="24"/>
          <w:highlight w:val="none"/>
          <w:lang w:val="en-US" w:eastAsia="zh-CN" w:bidi="ar-SA"/>
        </w:rPr>
        <w:t>附表2</w:t>
      </w:r>
    </w:p>
    <w:p w14:paraId="567C44E5">
      <w:pPr>
        <w:pStyle w:val="3"/>
        <w:keepNext w:val="0"/>
        <w:keepLines w:val="0"/>
        <w:pageBreakBefore w:val="0"/>
        <w:kinsoku/>
        <w:wordWrap/>
        <w:overflowPunct/>
        <w:topLinePunct w:val="0"/>
        <w:autoSpaceDE/>
        <w:autoSpaceDN/>
        <w:bidi w:val="0"/>
        <w:spacing w:after="0" w:line="578" w:lineRule="exact"/>
        <w:ind w:left="0" w:leftChars="0"/>
        <w:rPr>
          <w:rFonts w:hint="default" w:ascii="黑体" w:hAnsi="黑体" w:eastAsia="黑体" w:cs="黑体"/>
          <w:sz w:val="24"/>
          <w:szCs w:val="24"/>
          <w:highlight w:val="none"/>
          <w:lang w:val="en-US" w:eastAsia="zh-CN"/>
        </w:rPr>
      </w:pPr>
    </w:p>
    <w:tbl>
      <w:tblPr>
        <w:tblStyle w:val="2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06"/>
        <w:gridCol w:w="727"/>
        <w:gridCol w:w="732"/>
        <w:gridCol w:w="1986"/>
        <w:gridCol w:w="1078"/>
        <w:gridCol w:w="1028"/>
        <w:gridCol w:w="854"/>
        <w:gridCol w:w="864"/>
        <w:gridCol w:w="1086"/>
      </w:tblGrid>
      <w:tr w14:paraId="18549A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000"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73511B2">
            <w:pPr>
              <w:keepNext w:val="0"/>
              <w:keepLines w:val="0"/>
              <w:widowControl/>
              <w:suppressLineNumbers w:val="0"/>
              <w:jc w:val="center"/>
              <w:textAlignment w:val="center"/>
              <w:rPr>
                <w:rFonts w:ascii="方正小标宋简体" w:hAnsi="方正小标宋简体" w:eastAsia="方正小标宋简体" w:cs="方正小标宋简体"/>
                <w:i w:val="0"/>
                <w:iCs w:val="0"/>
                <w:color w:val="000000"/>
                <w:sz w:val="40"/>
                <w:szCs w:val="40"/>
                <w:u w:val="none"/>
              </w:rPr>
            </w:pPr>
            <w:r>
              <w:rPr>
                <w:rFonts w:hint="eastAsia" w:ascii="方正小标宋简体" w:hAnsi="方正小标宋简体" w:eastAsia="方正小标宋简体" w:cs="方正小标宋简体"/>
                <w:i w:val="0"/>
                <w:iCs w:val="0"/>
                <w:color w:val="000000"/>
                <w:kern w:val="0"/>
                <w:sz w:val="40"/>
                <w:szCs w:val="40"/>
                <w:u w:val="none"/>
                <w:lang w:val="en-US" w:eastAsia="zh-CN" w:bidi="ar"/>
              </w:rPr>
              <w:t>专项资金绩效目标完成情况自评表</w:t>
            </w:r>
          </w:p>
        </w:tc>
      </w:tr>
      <w:tr w14:paraId="4E716C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2291"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17A614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项目名称</w:t>
            </w:r>
          </w:p>
        </w:tc>
        <w:tc>
          <w:tcPr>
            <w:tcW w:w="270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8E9504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51090425T000012612394-遂财农【2024】59号2024年市级财政衔接推进乡村振兴补助资金</w:t>
            </w:r>
          </w:p>
        </w:tc>
      </w:tr>
      <w:tr w14:paraId="21B8E0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2291"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F737D9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预算单位</w:t>
            </w:r>
          </w:p>
        </w:tc>
        <w:tc>
          <w:tcPr>
            <w:tcW w:w="270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7ADAEBD">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仿宋_GB2312" w:cs="宋体"/>
                <w:i w:val="0"/>
                <w:iCs w:val="0"/>
                <w:color w:val="000000"/>
                <w:kern w:val="0"/>
                <w:sz w:val="24"/>
                <w:szCs w:val="24"/>
                <w:u w:val="none"/>
                <w:lang w:val="en-US" w:eastAsia="zh-CN" w:bidi="ar"/>
              </w:rPr>
              <w:t>遂宁市安居区水利局</w:t>
            </w:r>
          </w:p>
        </w:tc>
      </w:tr>
      <w:tr w14:paraId="1C55B9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2291"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28C897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项目类型</w:t>
            </w:r>
          </w:p>
        </w:tc>
        <w:tc>
          <w:tcPr>
            <w:tcW w:w="270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7DDE17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阶段性项目</w:t>
            </w:r>
          </w:p>
        </w:tc>
      </w:tr>
      <w:tr w14:paraId="4A3046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39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0F61AA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项目 概况</w:t>
            </w:r>
          </w:p>
        </w:tc>
        <w:tc>
          <w:tcPr>
            <w:tcW w:w="1900"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1046C2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中长期规划（名称、文号，仅指常年项目）</w:t>
            </w:r>
          </w:p>
        </w:tc>
        <w:tc>
          <w:tcPr>
            <w:tcW w:w="2708" w:type="pct"/>
            <w:gridSpan w:val="5"/>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33B17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《四川省财政厅 四川省水利厅关于印发&lt;四川省水利发展资金管理办法&gt;的通知》（川财农〔2023〕29号）《遂宁市水利监督管理实施办法（试行）》，遂财农【2024】59号</w:t>
            </w:r>
          </w:p>
        </w:tc>
      </w:tr>
      <w:tr w14:paraId="21474D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38350D">
            <w:pPr>
              <w:jc w:val="center"/>
              <w:rPr>
                <w:rFonts w:hint="eastAsia" w:ascii="宋体" w:hAnsi="宋体" w:eastAsia="宋体" w:cs="宋体"/>
                <w:i w:val="0"/>
                <w:iCs w:val="0"/>
                <w:color w:val="000000"/>
                <w:sz w:val="24"/>
                <w:szCs w:val="24"/>
                <w:u w:val="none"/>
              </w:rPr>
            </w:pPr>
          </w:p>
        </w:tc>
        <w:tc>
          <w:tcPr>
            <w:tcW w:w="1900"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D71628">
            <w:pPr>
              <w:jc w:val="center"/>
              <w:rPr>
                <w:rFonts w:hint="eastAsia" w:ascii="宋体" w:hAnsi="宋体" w:eastAsia="宋体" w:cs="宋体"/>
                <w:i w:val="0"/>
                <w:iCs w:val="0"/>
                <w:color w:val="000000"/>
                <w:sz w:val="24"/>
                <w:szCs w:val="24"/>
                <w:u w:val="none"/>
              </w:rPr>
            </w:pPr>
          </w:p>
        </w:tc>
        <w:tc>
          <w:tcPr>
            <w:tcW w:w="2708" w:type="pct"/>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DC2127">
            <w:pPr>
              <w:jc w:val="center"/>
              <w:rPr>
                <w:rFonts w:hint="eastAsia" w:ascii="宋体" w:hAnsi="宋体" w:eastAsia="宋体" w:cs="宋体"/>
                <w:i w:val="0"/>
                <w:iCs w:val="0"/>
                <w:color w:val="000000"/>
                <w:sz w:val="24"/>
                <w:szCs w:val="24"/>
                <w:u w:val="none"/>
              </w:rPr>
            </w:pPr>
          </w:p>
        </w:tc>
      </w:tr>
      <w:tr w14:paraId="011598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1AA918">
            <w:pPr>
              <w:jc w:val="center"/>
              <w:rPr>
                <w:rFonts w:hint="eastAsia" w:ascii="宋体" w:hAnsi="宋体" w:eastAsia="宋体" w:cs="宋体"/>
                <w:i w:val="0"/>
                <w:iCs w:val="0"/>
                <w:color w:val="000000"/>
                <w:sz w:val="24"/>
                <w:szCs w:val="24"/>
                <w:u w:val="none"/>
              </w:rPr>
            </w:pPr>
          </w:p>
        </w:tc>
        <w:tc>
          <w:tcPr>
            <w:tcW w:w="190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608F1A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资金管理办法（名称、文号）</w:t>
            </w:r>
          </w:p>
        </w:tc>
        <w:tc>
          <w:tcPr>
            <w:tcW w:w="270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097741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遂财农【2024】59号、《单位内部控制管理制度》</w:t>
            </w:r>
          </w:p>
        </w:tc>
      </w:tr>
      <w:tr w14:paraId="32462F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0" w:hRule="atLeast"/>
        </w:trPr>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CCAB96">
            <w:pPr>
              <w:jc w:val="center"/>
              <w:rPr>
                <w:rFonts w:hint="eastAsia" w:ascii="宋体" w:hAnsi="宋体" w:eastAsia="宋体" w:cs="宋体"/>
                <w:i w:val="0"/>
                <w:iCs w:val="0"/>
                <w:color w:val="000000"/>
                <w:sz w:val="24"/>
                <w:szCs w:val="24"/>
                <w:u w:val="none"/>
              </w:rPr>
            </w:pPr>
          </w:p>
        </w:tc>
        <w:tc>
          <w:tcPr>
            <w:tcW w:w="190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4AFC5E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绩效分配方式</w:t>
            </w:r>
          </w:p>
        </w:tc>
        <w:tc>
          <w:tcPr>
            <w:tcW w:w="5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59D72E">
            <w:pPr>
              <w:keepNext w:val="0"/>
              <w:keepLines w:val="0"/>
              <w:widowControl/>
              <w:suppressLineNumbers w:val="0"/>
              <w:jc w:val="center"/>
              <w:textAlignment w:val="center"/>
              <w:rPr>
                <w:rFonts w:ascii="Wingdings 2" w:hAnsi="Wingdings 2" w:eastAsia="Wingdings 2" w:cs="Wingdings 2"/>
                <w:i w:val="0"/>
                <w:iCs w:val="0"/>
                <w:color w:val="000000"/>
                <w:sz w:val="24"/>
                <w:szCs w:val="24"/>
                <w:u w:val="none"/>
              </w:rPr>
            </w:pPr>
            <w:r>
              <w:rPr>
                <w:rStyle w:val="53"/>
                <w:lang w:val="en-US" w:eastAsia="zh-CN" w:bidi="ar"/>
              </w:rPr>
              <w:t>£</w:t>
            </w:r>
            <w:r>
              <w:rPr>
                <w:rStyle w:val="54"/>
                <w:rFonts w:eastAsia="仿宋_GB2312"/>
                <w:lang w:val="en-US" w:eastAsia="zh-CN" w:bidi="ar"/>
              </w:rPr>
              <w:t>因素法</w:t>
            </w:r>
          </w:p>
        </w:tc>
        <w:tc>
          <w:tcPr>
            <w:tcW w:w="103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6A94120">
            <w:pPr>
              <w:keepNext w:val="0"/>
              <w:keepLines w:val="0"/>
              <w:widowControl/>
              <w:suppressLineNumbers w:val="0"/>
              <w:jc w:val="center"/>
              <w:textAlignment w:val="center"/>
              <w:rPr>
                <w:rFonts w:hint="default" w:ascii="Wingdings 2" w:hAnsi="Wingdings 2" w:eastAsia="Wingdings 2" w:cs="Wingdings 2"/>
                <w:i w:val="0"/>
                <w:iCs w:val="0"/>
                <w:color w:val="000000"/>
                <w:sz w:val="24"/>
                <w:szCs w:val="24"/>
                <w:u w:val="none"/>
              </w:rPr>
            </w:pPr>
            <w:r>
              <w:rPr>
                <w:rFonts w:hint="default" w:ascii="Wingdings 2" w:hAnsi="Wingdings 2" w:eastAsia="Wingdings 2" w:cs="Wingdings 2"/>
                <w:i w:val="0"/>
                <w:iCs w:val="0"/>
                <w:color w:val="000000"/>
                <w:kern w:val="0"/>
                <w:sz w:val="24"/>
                <w:szCs w:val="24"/>
                <w:u w:val="none"/>
                <w:lang w:val="en-US" w:eastAsia="zh-CN" w:bidi="ar"/>
              </w:rPr>
              <w:t>£项目法</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7B67F2">
            <w:pPr>
              <w:keepNext w:val="0"/>
              <w:keepLines w:val="0"/>
              <w:widowControl/>
              <w:suppressLineNumbers w:val="0"/>
              <w:jc w:val="center"/>
              <w:textAlignment w:val="center"/>
              <w:rPr>
                <w:rFonts w:hint="default" w:ascii="Wingdings 2" w:hAnsi="Wingdings 2" w:eastAsia="Wingdings 2" w:cs="Wingdings 2"/>
                <w:i w:val="0"/>
                <w:iCs w:val="0"/>
                <w:color w:val="000000"/>
                <w:sz w:val="24"/>
                <w:szCs w:val="24"/>
                <w:u w:val="none"/>
              </w:rPr>
            </w:pPr>
            <w:r>
              <w:rPr>
                <w:rStyle w:val="53"/>
                <w:lang w:val="en-US" w:eastAsia="zh-CN" w:bidi="ar"/>
              </w:rPr>
              <w:t>R</w:t>
            </w:r>
            <w:r>
              <w:rPr>
                <w:rStyle w:val="54"/>
                <w:rFonts w:eastAsia="仿宋_GB2312"/>
                <w:lang w:val="en-US" w:eastAsia="zh-CN" w:bidi="ar"/>
              </w:rPr>
              <w:t>据实据效</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F2B78C">
            <w:pPr>
              <w:keepNext w:val="0"/>
              <w:keepLines w:val="0"/>
              <w:widowControl/>
              <w:suppressLineNumbers w:val="0"/>
              <w:jc w:val="center"/>
              <w:textAlignment w:val="center"/>
              <w:rPr>
                <w:rFonts w:hint="default" w:ascii="Wingdings 2" w:hAnsi="Wingdings 2" w:eastAsia="Wingdings 2" w:cs="Wingdings 2"/>
                <w:i w:val="0"/>
                <w:iCs w:val="0"/>
                <w:color w:val="000000"/>
                <w:sz w:val="24"/>
                <w:szCs w:val="24"/>
                <w:u w:val="none"/>
              </w:rPr>
            </w:pPr>
            <w:r>
              <w:rPr>
                <w:rStyle w:val="53"/>
                <w:lang w:val="en-US" w:eastAsia="zh-CN" w:bidi="ar"/>
              </w:rPr>
              <w:t>£</w:t>
            </w:r>
            <w:r>
              <w:rPr>
                <w:rStyle w:val="54"/>
                <w:rFonts w:eastAsia="仿宋_GB2312"/>
                <w:lang w:val="en-US" w:eastAsia="zh-CN" w:bidi="ar"/>
              </w:rPr>
              <w:t>因素法与项目法相结合</w:t>
            </w:r>
          </w:p>
        </w:tc>
      </w:tr>
      <w:tr w14:paraId="02DB75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B9C980">
            <w:pPr>
              <w:jc w:val="center"/>
              <w:rPr>
                <w:rFonts w:hint="eastAsia" w:ascii="宋体" w:hAnsi="宋体" w:eastAsia="宋体" w:cs="宋体"/>
                <w:i w:val="0"/>
                <w:iCs w:val="0"/>
                <w:color w:val="000000"/>
                <w:sz w:val="24"/>
                <w:szCs w:val="24"/>
                <w:u w:val="none"/>
              </w:rPr>
            </w:pPr>
          </w:p>
        </w:tc>
        <w:tc>
          <w:tcPr>
            <w:tcW w:w="190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7BEF0E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立项依据</w:t>
            </w:r>
          </w:p>
        </w:tc>
        <w:tc>
          <w:tcPr>
            <w:tcW w:w="270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69A12C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遂财农【2024】59号</w:t>
            </w:r>
          </w:p>
        </w:tc>
      </w:tr>
      <w:tr w14:paraId="51CE50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6C7A4B">
            <w:pPr>
              <w:jc w:val="center"/>
              <w:rPr>
                <w:rFonts w:hint="eastAsia" w:ascii="宋体" w:hAnsi="宋体" w:eastAsia="宋体" w:cs="宋体"/>
                <w:i w:val="0"/>
                <w:iCs w:val="0"/>
                <w:color w:val="000000"/>
                <w:sz w:val="24"/>
                <w:szCs w:val="24"/>
                <w:u w:val="none"/>
              </w:rPr>
            </w:pPr>
          </w:p>
        </w:tc>
        <w:tc>
          <w:tcPr>
            <w:tcW w:w="190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6C868A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使用范围</w:t>
            </w:r>
          </w:p>
        </w:tc>
        <w:tc>
          <w:tcPr>
            <w:tcW w:w="270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FEE59C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该项目支持方向主要为灌区续建配套与节水改造</w:t>
            </w:r>
          </w:p>
        </w:tc>
      </w:tr>
      <w:tr w14:paraId="050B96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84E46F">
            <w:pPr>
              <w:jc w:val="center"/>
              <w:rPr>
                <w:rFonts w:hint="eastAsia" w:ascii="宋体" w:hAnsi="宋体" w:eastAsia="宋体" w:cs="宋体"/>
                <w:i w:val="0"/>
                <w:iCs w:val="0"/>
                <w:color w:val="000000"/>
                <w:sz w:val="24"/>
                <w:szCs w:val="24"/>
                <w:u w:val="none"/>
              </w:rPr>
            </w:pPr>
          </w:p>
        </w:tc>
        <w:tc>
          <w:tcPr>
            <w:tcW w:w="190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D95AAF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申报（补助）条件</w:t>
            </w:r>
          </w:p>
        </w:tc>
        <w:tc>
          <w:tcPr>
            <w:tcW w:w="270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CA0FD2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上级安排项目</w:t>
            </w:r>
          </w:p>
        </w:tc>
      </w:tr>
      <w:tr w14:paraId="64FC1C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3DBC5E">
            <w:pPr>
              <w:jc w:val="center"/>
              <w:rPr>
                <w:rFonts w:hint="eastAsia" w:ascii="宋体" w:hAnsi="宋体" w:eastAsia="宋体" w:cs="宋体"/>
                <w:i w:val="0"/>
                <w:iCs w:val="0"/>
                <w:color w:val="000000"/>
                <w:sz w:val="24"/>
                <w:szCs w:val="24"/>
                <w:u w:val="none"/>
              </w:rPr>
            </w:pPr>
          </w:p>
        </w:tc>
        <w:tc>
          <w:tcPr>
            <w:tcW w:w="190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C30319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项目起止年限</w:t>
            </w:r>
          </w:p>
        </w:tc>
        <w:tc>
          <w:tcPr>
            <w:tcW w:w="270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20F13D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2024.01.01-2024.12.31</w:t>
            </w:r>
          </w:p>
        </w:tc>
      </w:tr>
      <w:tr w14:paraId="0B44EE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791"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6C9F5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项目资金</w:t>
            </w:r>
            <w:r>
              <w:rPr>
                <w:rFonts w:hint="eastAsia" w:ascii="宋体" w:hAnsi="宋体" w:eastAsia="仿宋_GB2312" w:cs="宋体"/>
                <w:i w:val="0"/>
                <w:iCs w:val="0"/>
                <w:color w:val="000000"/>
                <w:kern w:val="0"/>
                <w:sz w:val="24"/>
                <w:szCs w:val="24"/>
                <w:u w:val="none"/>
                <w:lang w:val="en-US" w:eastAsia="zh-CN" w:bidi="ar"/>
              </w:rPr>
              <w:br w:type="textWrapping"/>
            </w:r>
            <w:r>
              <w:rPr>
                <w:rFonts w:hint="eastAsia" w:ascii="宋体" w:hAnsi="宋体" w:eastAsia="仿宋_GB2312" w:cs="宋体"/>
                <w:i w:val="0"/>
                <w:iCs w:val="0"/>
                <w:color w:val="000000"/>
                <w:kern w:val="0"/>
                <w:sz w:val="24"/>
                <w:szCs w:val="24"/>
                <w:u w:val="none"/>
                <w:lang w:val="en-US" w:eastAsia="zh-CN" w:bidi="ar"/>
              </w:rPr>
              <w:t>（万元）</w:t>
            </w:r>
          </w:p>
        </w:tc>
        <w:tc>
          <w:tcPr>
            <w:tcW w:w="149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36319F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 xml:space="preserve">  年度资金总额：</w:t>
            </w:r>
          </w:p>
        </w:tc>
        <w:tc>
          <w:tcPr>
            <w:tcW w:w="270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86AEEAB">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仿宋_GB2312" w:cs="宋体"/>
                <w:i w:val="0"/>
                <w:iCs w:val="0"/>
                <w:color w:val="000000"/>
                <w:kern w:val="0"/>
                <w:sz w:val="24"/>
                <w:szCs w:val="24"/>
                <w:u w:val="none"/>
                <w:lang w:val="en-US" w:eastAsia="zh-CN" w:bidi="ar"/>
              </w:rPr>
              <w:t>300000.00</w:t>
            </w:r>
          </w:p>
        </w:tc>
      </w:tr>
      <w:tr w14:paraId="6ACF98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791"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73755C">
            <w:pPr>
              <w:jc w:val="center"/>
              <w:rPr>
                <w:rFonts w:hint="eastAsia" w:ascii="宋体" w:hAnsi="宋体" w:eastAsia="宋体" w:cs="宋体"/>
                <w:i w:val="0"/>
                <w:iCs w:val="0"/>
                <w:color w:val="000000"/>
                <w:sz w:val="24"/>
                <w:szCs w:val="24"/>
                <w:u w:val="none"/>
              </w:rPr>
            </w:pPr>
          </w:p>
        </w:tc>
        <w:tc>
          <w:tcPr>
            <w:tcW w:w="149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9984E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4"/>
                <w:rFonts w:eastAsia="仿宋_GB2312"/>
                <w:lang w:val="en-US" w:eastAsia="zh-CN" w:bidi="ar"/>
              </w:rPr>
              <w:t xml:space="preserve">      其中：财政拨款</w:t>
            </w:r>
          </w:p>
        </w:tc>
        <w:tc>
          <w:tcPr>
            <w:tcW w:w="270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E75E70F">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仿宋_GB2312" w:cs="宋体"/>
                <w:i w:val="0"/>
                <w:iCs w:val="0"/>
                <w:color w:val="000000"/>
                <w:kern w:val="0"/>
                <w:sz w:val="24"/>
                <w:szCs w:val="24"/>
                <w:u w:val="none"/>
                <w:lang w:val="en-US" w:eastAsia="zh-CN" w:bidi="ar"/>
              </w:rPr>
              <w:t>300000.00</w:t>
            </w:r>
          </w:p>
        </w:tc>
      </w:tr>
      <w:tr w14:paraId="19D6A7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791"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B387B8">
            <w:pPr>
              <w:jc w:val="center"/>
              <w:rPr>
                <w:rFonts w:hint="eastAsia" w:ascii="宋体" w:hAnsi="宋体" w:eastAsia="宋体" w:cs="宋体"/>
                <w:i w:val="0"/>
                <w:iCs w:val="0"/>
                <w:color w:val="000000"/>
                <w:sz w:val="24"/>
                <w:szCs w:val="24"/>
                <w:u w:val="none"/>
              </w:rPr>
            </w:pPr>
          </w:p>
        </w:tc>
        <w:tc>
          <w:tcPr>
            <w:tcW w:w="149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CCB18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 xml:space="preserve">            其他资金</w:t>
            </w:r>
          </w:p>
        </w:tc>
        <w:tc>
          <w:tcPr>
            <w:tcW w:w="270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BFE2CDE">
            <w:pPr>
              <w:jc w:val="center"/>
              <w:rPr>
                <w:rFonts w:hint="eastAsia" w:ascii="宋体" w:hAnsi="宋体" w:eastAsia="宋体" w:cs="宋体"/>
                <w:i w:val="0"/>
                <w:iCs w:val="0"/>
                <w:color w:val="000000"/>
                <w:sz w:val="24"/>
                <w:szCs w:val="24"/>
                <w:u w:val="none"/>
              </w:rPr>
            </w:pPr>
          </w:p>
        </w:tc>
      </w:tr>
      <w:tr w14:paraId="69D273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39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3F092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总体目标</w:t>
            </w:r>
          </w:p>
        </w:tc>
        <w:tc>
          <w:tcPr>
            <w:tcW w:w="4609"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6F5836A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年度目标</w:t>
            </w:r>
          </w:p>
        </w:tc>
      </w:tr>
      <w:tr w14:paraId="4B63BD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6" w:hRule="atLeast"/>
        </w:trPr>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6788B2">
            <w:pPr>
              <w:jc w:val="center"/>
              <w:rPr>
                <w:rFonts w:hint="eastAsia" w:ascii="宋体" w:hAnsi="宋体" w:eastAsia="宋体" w:cs="宋体"/>
                <w:i w:val="0"/>
                <w:iCs w:val="0"/>
                <w:color w:val="000000"/>
                <w:sz w:val="24"/>
                <w:szCs w:val="24"/>
                <w:u w:val="none"/>
              </w:rPr>
            </w:pPr>
          </w:p>
        </w:tc>
        <w:tc>
          <w:tcPr>
            <w:tcW w:w="4609"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87EEF9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新生水库灌区续建配套与节水改造</w:t>
            </w:r>
          </w:p>
        </w:tc>
      </w:tr>
      <w:tr w14:paraId="59AFD1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0" w:hRule="atLeast"/>
        </w:trPr>
        <w:tc>
          <w:tcPr>
            <w:tcW w:w="39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EBE02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绩效 指标</w:t>
            </w:r>
          </w:p>
        </w:tc>
        <w:tc>
          <w:tcPr>
            <w:tcW w:w="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A971B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一级指标</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DC5B5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二级指标</w:t>
            </w:r>
          </w:p>
        </w:tc>
        <w:tc>
          <w:tcPr>
            <w:tcW w:w="10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8C36D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三级指标</w:t>
            </w:r>
          </w:p>
        </w:tc>
        <w:tc>
          <w:tcPr>
            <w:tcW w:w="5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7C26D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指标性质</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7096F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指标值</w:t>
            </w: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B49E2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度量单位</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2425E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权重</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64056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实际完成指标值</w:t>
            </w:r>
          </w:p>
        </w:tc>
      </w:tr>
      <w:tr w14:paraId="23B94F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D7B95E">
            <w:pPr>
              <w:jc w:val="center"/>
              <w:rPr>
                <w:rFonts w:hint="eastAsia" w:ascii="宋体" w:hAnsi="宋体" w:eastAsia="宋体" w:cs="宋体"/>
                <w:i w:val="0"/>
                <w:iCs w:val="0"/>
                <w:color w:val="000000"/>
                <w:sz w:val="24"/>
                <w:szCs w:val="24"/>
                <w:u w:val="none"/>
              </w:rPr>
            </w:pPr>
          </w:p>
        </w:tc>
        <w:tc>
          <w:tcPr>
            <w:tcW w:w="40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E628CB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产出指标</w:t>
            </w:r>
          </w:p>
        </w:tc>
        <w:tc>
          <w:tcPr>
            <w:tcW w:w="404" w:type="pct"/>
            <w:tcBorders>
              <w:top w:val="single" w:color="000000" w:sz="4" w:space="0"/>
              <w:left w:val="single" w:color="000000" w:sz="4" w:space="0"/>
              <w:right w:val="single" w:color="000000" w:sz="4" w:space="0"/>
            </w:tcBorders>
            <w:shd w:val="clear" w:color="auto" w:fill="auto"/>
            <w:vAlign w:val="center"/>
          </w:tcPr>
          <w:p w14:paraId="3132ED4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数量指标</w:t>
            </w:r>
          </w:p>
        </w:tc>
        <w:tc>
          <w:tcPr>
            <w:tcW w:w="10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03DD3F">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中型水库标准化管理</w:t>
            </w:r>
          </w:p>
        </w:tc>
        <w:tc>
          <w:tcPr>
            <w:tcW w:w="5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6800D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241E7D">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1</w:t>
            </w: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C31EEA">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座</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76AF21">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10</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EFF90E">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0座</w:t>
            </w:r>
          </w:p>
        </w:tc>
      </w:tr>
      <w:tr w14:paraId="0DA3BB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2C21EC">
            <w:pPr>
              <w:jc w:val="center"/>
              <w:rPr>
                <w:rFonts w:hint="eastAsia" w:ascii="宋体" w:hAnsi="宋体" w:eastAsia="宋体" w:cs="宋体"/>
                <w:i w:val="0"/>
                <w:iCs w:val="0"/>
                <w:color w:val="000000"/>
                <w:sz w:val="24"/>
                <w:szCs w:val="24"/>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653463">
            <w:pPr>
              <w:jc w:val="center"/>
              <w:rPr>
                <w:rFonts w:hint="eastAsia" w:ascii="宋体" w:hAnsi="宋体" w:eastAsia="宋体" w:cs="宋体"/>
                <w:i w:val="0"/>
                <w:iCs w:val="0"/>
                <w:color w:val="000000"/>
                <w:sz w:val="24"/>
                <w:szCs w:val="24"/>
                <w:u w:val="none"/>
              </w:rPr>
            </w:pP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FE587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数量指标</w:t>
            </w:r>
          </w:p>
        </w:tc>
        <w:tc>
          <w:tcPr>
            <w:tcW w:w="10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3E640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农村供水设施维修养护</w:t>
            </w:r>
          </w:p>
        </w:tc>
        <w:tc>
          <w:tcPr>
            <w:tcW w:w="5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CD90B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4E6D11">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1</w:t>
            </w: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A424F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处</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A53CFF">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10</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F25CED">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1处</w:t>
            </w:r>
          </w:p>
        </w:tc>
      </w:tr>
      <w:tr w14:paraId="710BC6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39C916">
            <w:pPr>
              <w:jc w:val="center"/>
              <w:rPr>
                <w:rFonts w:hint="eastAsia" w:ascii="宋体" w:hAnsi="宋体" w:eastAsia="宋体" w:cs="宋体"/>
                <w:i w:val="0"/>
                <w:iCs w:val="0"/>
                <w:color w:val="000000"/>
                <w:sz w:val="24"/>
                <w:szCs w:val="24"/>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97A771">
            <w:pPr>
              <w:jc w:val="center"/>
              <w:rPr>
                <w:rFonts w:hint="eastAsia" w:ascii="宋体" w:hAnsi="宋体" w:eastAsia="宋体" w:cs="宋体"/>
                <w:i w:val="0"/>
                <w:iCs w:val="0"/>
                <w:color w:val="000000"/>
                <w:sz w:val="24"/>
                <w:szCs w:val="24"/>
                <w:u w:val="none"/>
              </w:rPr>
            </w:pP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7097B0">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质量指标</w:t>
            </w:r>
          </w:p>
        </w:tc>
        <w:tc>
          <w:tcPr>
            <w:tcW w:w="10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65AB4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截至2024年12月底,完工项目初步验收率≥100%</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01B89">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2996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100</w:t>
            </w:r>
          </w:p>
        </w:tc>
        <w:tc>
          <w:tcPr>
            <w:tcW w:w="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7DE8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w:t>
            </w:r>
          </w:p>
        </w:tc>
        <w:tc>
          <w:tcPr>
            <w:tcW w:w="8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D654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10</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57C06F">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50%</w:t>
            </w:r>
          </w:p>
        </w:tc>
      </w:tr>
      <w:tr w14:paraId="2C41C5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7" w:hRule="atLeast"/>
        </w:trPr>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2ECFBD">
            <w:pPr>
              <w:jc w:val="center"/>
              <w:rPr>
                <w:rFonts w:hint="eastAsia" w:ascii="宋体" w:hAnsi="宋体" w:eastAsia="宋体" w:cs="宋体"/>
                <w:i w:val="0"/>
                <w:iCs w:val="0"/>
                <w:color w:val="000000"/>
                <w:sz w:val="24"/>
                <w:szCs w:val="24"/>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1A5FC2">
            <w:pPr>
              <w:jc w:val="center"/>
              <w:rPr>
                <w:rFonts w:hint="eastAsia" w:ascii="宋体" w:hAnsi="宋体" w:eastAsia="宋体" w:cs="宋体"/>
                <w:i w:val="0"/>
                <w:iCs w:val="0"/>
                <w:color w:val="000000"/>
                <w:sz w:val="24"/>
                <w:szCs w:val="24"/>
                <w:u w:val="none"/>
              </w:rPr>
            </w:pP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93FFA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时效指标</w:t>
            </w:r>
          </w:p>
        </w:tc>
        <w:tc>
          <w:tcPr>
            <w:tcW w:w="10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84F55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截止2024年12月底投资完成比例100%</w:t>
            </w:r>
          </w:p>
        </w:tc>
        <w:tc>
          <w:tcPr>
            <w:tcW w:w="5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52BA0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ECD3B7">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100</w:t>
            </w: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949FE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089FC6">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10</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9CDD11">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20.33%</w:t>
            </w:r>
          </w:p>
        </w:tc>
      </w:tr>
      <w:tr w14:paraId="232EEC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295DB5">
            <w:pPr>
              <w:jc w:val="center"/>
              <w:rPr>
                <w:rFonts w:hint="eastAsia" w:ascii="宋体" w:hAnsi="宋体" w:eastAsia="宋体" w:cs="宋体"/>
                <w:i w:val="0"/>
                <w:iCs w:val="0"/>
                <w:color w:val="000000"/>
                <w:sz w:val="24"/>
                <w:szCs w:val="24"/>
                <w:u w:val="none"/>
              </w:rPr>
            </w:pPr>
          </w:p>
        </w:tc>
        <w:tc>
          <w:tcPr>
            <w:tcW w:w="40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7C827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效益指标</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54DE0A">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仿宋_GB2312" w:cs="宋体"/>
                <w:i w:val="0"/>
                <w:iCs w:val="0"/>
                <w:color w:val="000000"/>
                <w:kern w:val="0"/>
                <w:sz w:val="24"/>
                <w:szCs w:val="24"/>
                <w:u w:val="none"/>
                <w:lang w:val="en-US" w:eastAsia="zh-CN" w:bidi="ar"/>
              </w:rPr>
              <w:t>社会效益指标</w:t>
            </w:r>
          </w:p>
        </w:tc>
        <w:tc>
          <w:tcPr>
            <w:tcW w:w="1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1924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农村供水率</w:t>
            </w:r>
          </w:p>
        </w:tc>
        <w:tc>
          <w:tcPr>
            <w:tcW w:w="5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F84109">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CF38BA">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95</w:t>
            </w: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029F6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2B9716">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20</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2CC726">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95%</w:t>
            </w:r>
          </w:p>
        </w:tc>
      </w:tr>
      <w:tr w14:paraId="51E034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4" w:hRule="atLeast"/>
        </w:trPr>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B9044D">
            <w:pPr>
              <w:jc w:val="center"/>
              <w:rPr>
                <w:rFonts w:hint="eastAsia" w:ascii="宋体" w:hAnsi="宋体" w:eastAsia="宋体" w:cs="宋体"/>
                <w:i w:val="0"/>
                <w:iCs w:val="0"/>
                <w:color w:val="000000"/>
                <w:sz w:val="24"/>
                <w:szCs w:val="24"/>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0C79E1">
            <w:pPr>
              <w:jc w:val="center"/>
              <w:rPr>
                <w:rFonts w:hint="eastAsia" w:ascii="宋体" w:hAnsi="宋体" w:eastAsia="宋体" w:cs="宋体"/>
                <w:i w:val="0"/>
                <w:iCs w:val="0"/>
                <w:color w:val="000000"/>
                <w:sz w:val="24"/>
                <w:szCs w:val="24"/>
                <w:u w:val="none"/>
              </w:rPr>
            </w:pP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ACF24D">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仿宋_GB2312" w:cs="宋体"/>
                <w:i w:val="0"/>
                <w:iCs w:val="0"/>
                <w:color w:val="000000"/>
                <w:kern w:val="0"/>
                <w:sz w:val="24"/>
                <w:szCs w:val="24"/>
                <w:u w:val="none"/>
                <w:lang w:val="en-US" w:eastAsia="zh-CN" w:bidi="ar"/>
              </w:rPr>
              <w:t>社会效益指标</w:t>
            </w:r>
          </w:p>
        </w:tc>
        <w:tc>
          <w:tcPr>
            <w:tcW w:w="1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58331">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下泄流量监管率</w:t>
            </w:r>
          </w:p>
        </w:tc>
        <w:tc>
          <w:tcPr>
            <w:tcW w:w="5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CAF7D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4D3DFA">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95</w:t>
            </w: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023DD6">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1FA260">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10</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CAAC27">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0%</w:t>
            </w:r>
          </w:p>
        </w:tc>
      </w:tr>
      <w:tr w14:paraId="0326F5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8299D3">
            <w:pPr>
              <w:jc w:val="center"/>
              <w:rPr>
                <w:rFonts w:hint="eastAsia" w:ascii="宋体" w:hAnsi="宋体" w:eastAsia="宋体" w:cs="宋体"/>
                <w:i w:val="0"/>
                <w:iCs w:val="0"/>
                <w:color w:val="000000"/>
                <w:sz w:val="24"/>
                <w:szCs w:val="24"/>
                <w:u w:val="none"/>
              </w:rPr>
            </w:pPr>
          </w:p>
        </w:tc>
        <w:tc>
          <w:tcPr>
            <w:tcW w:w="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EB3C4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满意度指标</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84290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满意度指标</w:t>
            </w:r>
          </w:p>
        </w:tc>
        <w:tc>
          <w:tcPr>
            <w:tcW w:w="10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00B62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受益群众满意度</w:t>
            </w:r>
          </w:p>
        </w:tc>
        <w:tc>
          <w:tcPr>
            <w:tcW w:w="5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7AF5FA">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E55B03">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90</w:t>
            </w: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79CB3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A90049">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10</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CB032C">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100%</w:t>
            </w:r>
          </w:p>
        </w:tc>
      </w:tr>
      <w:tr w14:paraId="1ADBA7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08A228">
            <w:pPr>
              <w:jc w:val="center"/>
              <w:rPr>
                <w:rFonts w:hint="eastAsia" w:ascii="宋体" w:hAnsi="宋体" w:eastAsia="宋体" w:cs="宋体"/>
                <w:i w:val="0"/>
                <w:iCs w:val="0"/>
                <w:color w:val="000000"/>
                <w:sz w:val="24"/>
                <w:szCs w:val="24"/>
                <w:u w:val="none"/>
              </w:rPr>
            </w:pPr>
          </w:p>
        </w:tc>
        <w:tc>
          <w:tcPr>
            <w:tcW w:w="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9887D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成本指标</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11A95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经济成本指标</w:t>
            </w:r>
          </w:p>
        </w:tc>
        <w:tc>
          <w:tcPr>
            <w:tcW w:w="10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A203E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总投资偏差率</w:t>
            </w:r>
          </w:p>
        </w:tc>
        <w:tc>
          <w:tcPr>
            <w:tcW w:w="5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799A1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46641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5</w:t>
            </w: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67A64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C5C1F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10</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92368F">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79.67%</w:t>
            </w:r>
          </w:p>
        </w:tc>
      </w:tr>
    </w:tbl>
    <w:p w14:paraId="378CC0E6">
      <w:pPr>
        <w:pStyle w:val="3"/>
        <w:keepNext w:val="0"/>
        <w:keepLines w:val="0"/>
        <w:pageBreakBefore w:val="0"/>
        <w:kinsoku/>
        <w:wordWrap/>
        <w:overflowPunct/>
        <w:topLinePunct w:val="0"/>
        <w:autoSpaceDE/>
        <w:autoSpaceDN/>
        <w:bidi w:val="0"/>
        <w:spacing w:after="0" w:line="578" w:lineRule="exact"/>
        <w:ind w:left="0" w:leftChars="0" w:firstLine="0" w:firstLineChars="0"/>
        <w:rPr>
          <w:rFonts w:hint="default" w:ascii="黑体" w:hAnsi="黑体" w:eastAsia="黑体" w:cs="黑体"/>
          <w:sz w:val="24"/>
          <w:szCs w:val="24"/>
          <w:highlight w:val="none"/>
          <w:lang w:val="en-US" w:eastAsia="zh-CN"/>
        </w:rPr>
      </w:pPr>
    </w:p>
    <w:p w14:paraId="70E872F3">
      <w:pPr>
        <w:pStyle w:val="44"/>
        <w:keepNext w:val="0"/>
        <w:keepLines w:val="0"/>
        <w:pageBreakBefore w:val="0"/>
        <w:widowControl w:val="0"/>
        <w:kinsoku/>
        <w:wordWrap/>
        <w:overflowPunct/>
        <w:topLinePunct w:val="0"/>
        <w:autoSpaceDE/>
        <w:autoSpaceDN/>
        <w:bidi w:val="0"/>
        <w:spacing w:line="578" w:lineRule="exact"/>
        <w:ind w:left="0" w:leftChars="0"/>
        <w:jc w:val="center"/>
        <w:textAlignment w:val="auto"/>
        <w:rPr>
          <w:rFonts w:hint="eastAsia" w:ascii="方正小标宋简体" w:hAnsi="方正小标宋简体" w:eastAsia="方正小标宋简体" w:cs="方正小标宋简体"/>
          <w:color w:val="auto"/>
          <w:kern w:val="2"/>
          <w:sz w:val="44"/>
          <w:szCs w:val="44"/>
          <w:highlight w:val="none"/>
          <w:lang w:val="en-US" w:eastAsia="zh-CN"/>
        </w:rPr>
      </w:pPr>
    </w:p>
    <w:p w14:paraId="28F4B480">
      <w:pPr>
        <w:pStyle w:val="44"/>
        <w:keepNext w:val="0"/>
        <w:keepLines w:val="0"/>
        <w:pageBreakBefore w:val="0"/>
        <w:widowControl w:val="0"/>
        <w:kinsoku/>
        <w:wordWrap/>
        <w:overflowPunct/>
        <w:topLinePunct w:val="0"/>
        <w:autoSpaceDE/>
        <w:autoSpaceDN/>
        <w:bidi w:val="0"/>
        <w:spacing w:line="578" w:lineRule="exact"/>
        <w:ind w:left="0" w:leftChars="0"/>
        <w:jc w:val="center"/>
        <w:textAlignment w:val="auto"/>
        <w:rPr>
          <w:rFonts w:hint="eastAsia" w:ascii="方正小标宋简体" w:hAnsi="方正小标宋简体" w:eastAsia="方正小标宋简体" w:cs="方正小标宋简体"/>
          <w:color w:val="auto"/>
          <w:kern w:val="2"/>
          <w:sz w:val="44"/>
          <w:szCs w:val="44"/>
          <w:highlight w:val="none"/>
          <w:lang w:val="en-US" w:eastAsia="zh-CN"/>
        </w:rPr>
      </w:pPr>
    </w:p>
    <w:p w14:paraId="2DDA6347">
      <w:pPr>
        <w:pStyle w:val="44"/>
        <w:keepNext w:val="0"/>
        <w:keepLines w:val="0"/>
        <w:pageBreakBefore w:val="0"/>
        <w:widowControl w:val="0"/>
        <w:kinsoku/>
        <w:wordWrap/>
        <w:overflowPunct/>
        <w:topLinePunct w:val="0"/>
        <w:autoSpaceDE/>
        <w:autoSpaceDN/>
        <w:bidi w:val="0"/>
        <w:spacing w:line="578" w:lineRule="exact"/>
        <w:ind w:left="0" w:leftChars="0"/>
        <w:jc w:val="center"/>
        <w:textAlignment w:val="auto"/>
        <w:rPr>
          <w:rFonts w:hint="eastAsia" w:ascii="方正小标宋简体" w:hAnsi="方正小标宋简体" w:eastAsia="方正小标宋简体" w:cs="方正小标宋简体"/>
          <w:color w:val="auto"/>
          <w:kern w:val="2"/>
          <w:sz w:val="44"/>
          <w:szCs w:val="44"/>
          <w:highlight w:val="none"/>
          <w:lang w:val="en-US" w:eastAsia="zh-CN"/>
        </w:rPr>
      </w:pPr>
    </w:p>
    <w:p w14:paraId="7B5EA765">
      <w:pPr>
        <w:pStyle w:val="44"/>
        <w:keepNext w:val="0"/>
        <w:keepLines w:val="0"/>
        <w:pageBreakBefore w:val="0"/>
        <w:widowControl w:val="0"/>
        <w:kinsoku/>
        <w:wordWrap/>
        <w:overflowPunct/>
        <w:topLinePunct w:val="0"/>
        <w:autoSpaceDE/>
        <w:autoSpaceDN/>
        <w:bidi w:val="0"/>
        <w:spacing w:line="578" w:lineRule="exact"/>
        <w:ind w:left="0" w:leftChars="0"/>
        <w:jc w:val="center"/>
        <w:textAlignment w:val="auto"/>
        <w:rPr>
          <w:rFonts w:hint="eastAsia" w:ascii="方正小标宋简体" w:hAnsi="方正小标宋简体" w:eastAsia="方正小标宋简体" w:cs="方正小标宋简体"/>
          <w:color w:val="auto"/>
          <w:kern w:val="2"/>
          <w:sz w:val="44"/>
          <w:szCs w:val="44"/>
          <w:highlight w:val="none"/>
          <w:lang w:val="en-US" w:eastAsia="zh-CN"/>
        </w:rPr>
      </w:pPr>
    </w:p>
    <w:p w14:paraId="6317C0A6">
      <w:pPr>
        <w:pStyle w:val="44"/>
        <w:keepNext w:val="0"/>
        <w:keepLines w:val="0"/>
        <w:pageBreakBefore w:val="0"/>
        <w:widowControl w:val="0"/>
        <w:kinsoku/>
        <w:wordWrap/>
        <w:overflowPunct/>
        <w:topLinePunct w:val="0"/>
        <w:autoSpaceDE/>
        <w:autoSpaceDN/>
        <w:bidi w:val="0"/>
        <w:spacing w:line="578" w:lineRule="exact"/>
        <w:ind w:left="0" w:leftChars="0"/>
        <w:jc w:val="center"/>
        <w:textAlignment w:val="auto"/>
        <w:rPr>
          <w:rFonts w:hint="eastAsia" w:ascii="方正小标宋简体" w:hAnsi="方正小标宋简体" w:eastAsia="方正小标宋简体" w:cs="方正小标宋简体"/>
          <w:color w:val="auto"/>
          <w:kern w:val="2"/>
          <w:sz w:val="44"/>
          <w:szCs w:val="44"/>
          <w:highlight w:val="none"/>
          <w:lang w:val="en-US" w:eastAsia="zh-CN"/>
        </w:rPr>
      </w:pPr>
    </w:p>
    <w:p w14:paraId="57C0ED6F">
      <w:pPr>
        <w:pStyle w:val="5"/>
        <w:keepNext/>
        <w:keepLines/>
        <w:pageBreakBefore w:val="0"/>
        <w:widowControl w:val="0"/>
        <w:kinsoku/>
        <w:wordWrap/>
        <w:overflowPunct/>
        <w:topLinePunct w:val="0"/>
        <w:autoSpaceDE/>
        <w:autoSpaceDN/>
        <w:bidi w:val="0"/>
        <w:adjustRightInd/>
        <w:snapToGrid/>
        <w:spacing w:before="0" w:after="0"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181" w:name="_Toc1702"/>
      <w:bookmarkStart w:id="182" w:name="_Toc18484"/>
      <w:r>
        <w:rPr>
          <w:rFonts w:hint="eastAsia" w:ascii="方正小标宋简体" w:hAnsi="方正小标宋简体" w:eastAsia="方正小标宋简体" w:cs="方正小标宋简体"/>
          <w:b w:val="0"/>
          <w:bCs w:val="0"/>
          <w:lang w:val="en-US" w:eastAsia="zh-CN"/>
        </w:rPr>
        <w:t>专项资金绩效自评报告</w:t>
      </w:r>
      <w:bookmarkEnd w:id="181"/>
      <w:bookmarkEnd w:id="182"/>
    </w:p>
    <w:p w14:paraId="488D4A92">
      <w:pPr>
        <w:pStyle w:val="5"/>
        <w:keepNext/>
        <w:keepLines/>
        <w:pageBreakBefore w:val="0"/>
        <w:widowControl w:val="0"/>
        <w:kinsoku/>
        <w:wordWrap/>
        <w:overflowPunct/>
        <w:topLinePunct w:val="0"/>
        <w:autoSpaceDE/>
        <w:autoSpaceDN/>
        <w:bidi w:val="0"/>
        <w:adjustRightInd/>
        <w:snapToGrid/>
        <w:spacing w:before="0" w:after="0"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183" w:name="_Toc22922"/>
      <w:bookmarkStart w:id="184" w:name="_Toc22949"/>
      <w:bookmarkStart w:id="185" w:name="_Toc30652"/>
      <w:r>
        <w:rPr>
          <w:rFonts w:hint="eastAsia" w:ascii="方正小标宋简体" w:hAnsi="方正小标宋简体" w:eastAsia="方正小标宋简体" w:cs="方正小标宋简体"/>
          <w:b w:val="0"/>
          <w:bCs w:val="0"/>
          <w:lang w:val="en-US" w:eastAsia="zh-CN"/>
        </w:rPr>
        <w:t>2024年中央水利发展资金</w:t>
      </w:r>
      <w:bookmarkEnd w:id="183"/>
      <w:bookmarkEnd w:id="184"/>
      <w:bookmarkEnd w:id="185"/>
    </w:p>
    <w:p w14:paraId="43549560">
      <w:pPr>
        <w:keepNext w:val="0"/>
        <w:keepLines w:val="0"/>
        <w:pageBreakBefore w:val="0"/>
        <w:widowControl w:val="0"/>
        <w:kinsoku/>
        <w:wordWrap/>
        <w:overflowPunct/>
        <w:topLinePunct w:val="0"/>
        <w:autoSpaceDE/>
        <w:autoSpaceDN/>
        <w:bidi w:val="0"/>
        <w:adjustRightInd/>
        <w:snapToGrid/>
        <w:spacing w:line="590" w:lineRule="exact"/>
        <w:ind w:right="0" w:rightChars="0" w:firstLine="640" w:firstLineChars="200"/>
        <w:textAlignment w:val="auto"/>
        <w:rPr>
          <w:rFonts w:hint="eastAsia" w:ascii="黑体" w:hAnsi="宋体" w:eastAsia="黑体"/>
          <w:sz w:val="32"/>
          <w:szCs w:val="40"/>
          <w:highlight w:val="none"/>
        </w:rPr>
      </w:pPr>
    </w:p>
    <w:p w14:paraId="50A68D39">
      <w:pPr>
        <w:keepNext w:val="0"/>
        <w:keepLines w:val="0"/>
        <w:pageBreakBefore w:val="0"/>
        <w:widowControl w:val="0"/>
        <w:kinsoku/>
        <w:wordWrap/>
        <w:overflowPunct/>
        <w:topLinePunct w:val="0"/>
        <w:autoSpaceDE/>
        <w:autoSpaceDN/>
        <w:bidi w:val="0"/>
        <w:adjustRightInd/>
        <w:snapToGrid/>
        <w:spacing w:line="590" w:lineRule="exact"/>
        <w:ind w:right="0" w:rightChars="0" w:firstLine="640" w:firstLineChars="200"/>
        <w:textAlignment w:val="auto"/>
        <w:rPr>
          <w:rFonts w:ascii="黑体" w:hAnsi="宋体" w:eastAsia="黑体"/>
          <w:sz w:val="32"/>
          <w:szCs w:val="40"/>
          <w:highlight w:val="none"/>
          <w:lang w:val="zh-CN"/>
        </w:rPr>
      </w:pPr>
      <w:r>
        <w:rPr>
          <w:rFonts w:hint="eastAsia" w:ascii="黑体" w:hAnsi="宋体" w:eastAsia="黑体"/>
          <w:sz w:val="32"/>
          <w:szCs w:val="40"/>
          <w:highlight w:val="none"/>
        </w:rPr>
        <w:t>一、</w:t>
      </w:r>
      <w:r>
        <w:rPr>
          <w:rFonts w:hint="eastAsia" w:ascii="黑体" w:hAnsi="宋体" w:eastAsia="黑体"/>
          <w:sz w:val="32"/>
          <w:szCs w:val="40"/>
          <w:highlight w:val="none"/>
          <w:lang w:val="zh-CN"/>
        </w:rPr>
        <w:t>项目概况</w:t>
      </w:r>
    </w:p>
    <w:p w14:paraId="1D107B25">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3" w:firstLineChars="200"/>
        <w:contextualSpacing/>
        <w:jc w:val="left"/>
        <w:textAlignment w:val="auto"/>
        <w:rPr>
          <w:rFonts w:hint="eastAsia" w:ascii="仿宋_GB2312" w:hAnsi="仿宋_GB2312" w:eastAsia="仿宋_GB2312" w:cs="仿宋_GB2312"/>
          <w:b w:val="0"/>
          <w:bCs w:val="0"/>
          <w:color w:val="auto"/>
          <w:kern w:val="0"/>
          <w:sz w:val="32"/>
          <w:szCs w:val="32"/>
          <w:highlight w:val="none"/>
          <w:u w:val="none"/>
          <w:shd w:val="clear" w:color="auto" w:fill="FFFFFF"/>
          <w:lang w:val="zh-CN" w:eastAsia="zh-CN"/>
        </w:rPr>
      </w:pPr>
      <w:r>
        <w:rPr>
          <w:rFonts w:hint="eastAsia" w:ascii="楷体_GB2312" w:hAnsi="宋体" w:eastAsia="楷体_GB2312"/>
          <w:b/>
          <w:color w:val="auto"/>
          <w:sz w:val="32"/>
          <w:szCs w:val="32"/>
          <w:highlight w:val="none"/>
          <w:u w:val="none"/>
          <w:lang w:val="zh-CN"/>
        </w:rPr>
        <w:t>（一）设立背景及基本情况。</w:t>
      </w:r>
      <w:r>
        <w:rPr>
          <w:rFonts w:hint="eastAsia" w:ascii="仿宋_GB2312" w:hAnsi="仿宋_GB2312" w:eastAsia="仿宋_GB2312" w:cs="仿宋_GB2312"/>
          <w:color w:val="auto"/>
          <w:kern w:val="0"/>
          <w:sz w:val="32"/>
          <w:szCs w:val="32"/>
          <w:highlight w:val="none"/>
          <w:u w:val="none"/>
          <w:shd w:val="clear" w:color="auto" w:fill="FFFFFF"/>
          <w:lang w:val="en-US" w:eastAsia="zh-CN"/>
        </w:rPr>
        <w:t>项目设立原因及背景，</w:t>
      </w:r>
      <w:r>
        <w:rPr>
          <w:rFonts w:hint="eastAsia" w:ascii="仿宋_GB2312" w:hAnsi="仿宋_GB2312" w:eastAsia="仿宋_GB2312" w:cs="仿宋_GB2312"/>
          <w:color w:val="auto"/>
          <w:kern w:val="0"/>
          <w:sz w:val="32"/>
          <w:szCs w:val="32"/>
          <w:highlight w:val="none"/>
          <w:u w:val="none"/>
          <w:shd w:val="clear" w:color="auto" w:fill="FFFFFF"/>
          <w:lang w:val="zh-CN"/>
        </w:rPr>
        <w:t>项目</w:t>
      </w:r>
      <w:r>
        <w:rPr>
          <w:rFonts w:hint="eastAsia" w:ascii="仿宋_GB2312" w:hAnsi="仿宋_GB2312" w:eastAsia="仿宋_GB2312" w:cs="仿宋_GB2312"/>
          <w:b w:val="0"/>
          <w:bCs w:val="0"/>
          <w:color w:val="auto"/>
          <w:kern w:val="0"/>
          <w:sz w:val="32"/>
          <w:szCs w:val="32"/>
          <w:highlight w:val="none"/>
          <w:u w:val="none"/>
          <w:shd w:val="clear" w:color="auto" w:fill="FFFFFF"/>
          <w:lang w:val="zh-CN" w:eastAsia="zh-CN"/>
        </w:rPr>
        <w:t>立项、资金申报的依据，项目主要内容</w:t>
      </w:r>
      <w:r>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t>。</w:t>
      </w:r>
      <w:r>
        <w:rPr>
          <w:rFonts w:hint="eastAsia" w:ascii="仿宋_GB2312" w:hAnsi="仿宋_GB2312" w:eastAsia="仿宋_GB2312" w:cs="仿宋_GB2312"/>
          <w:b w:val="0"/>
          <w:bCs w:val="0"/>
          <w:color w:val="auto"/>
          <w:kern w:val="0"/>
          <w:sz w:val="32"/>
          <w:szCs w:val="32"/>
          <w:highlight w:val="none"/>
          <w:u w:val="none"/>
          <w:shd w:val="clear" w:color="auto" w:fill="FFFFFF"/>
          <w:lang w:val="zh-CN" w:eastAsia="zh-CN"/>
        </w:rPr>
        <w:t>主管部门职能。</w:t>
      </w:r>
    </w:p>
    <w:p w14:paraId="7DFD8079">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default"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本项目自评范围为：51090424T000011413876-遂财农【2023】101号2024年中央水利发展资金（以下简称该项目）。</w:t>
      </w:r>
    </w:p>
    <w:p w14:paraId="2F365B99">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3" w:firstLineChars="200"/>
        <w:contextualSpacing/>
        <w:jc w:val="left"/>
        <w:textAlignment w:val="auto"/>
        <w:rPr>
          <w:rFonts w:hint="default" w:ascii="仿宋_GB2312" w:hAnsi="仿宋_GB2312" w:eastAsia="仿宋_GB2312" w:cs="仿宋_GB2312"/>
          <w:b/>
          <w:bCs/>
          <w:color w:val="auto"/>
          <w:kern w:val="0"/>
          <w:sz w:val="32"/>
          <w:szCs w:val="32"/>
          <w:highlight w:val="none"/>
          <w:u w:val="none"/>
          <w:shd w:val="clear" w:color="auto" w:fill="FFFFFF"/>
          <w:lang w:val="en-US" w:eastAsia="zh-CN"/>
        </w:rPr>
      </w:pPr>
      <w:r>
        <w:rPr>
          <w:rFonts w:hint="eastAsia" w:ascii="仿宋_GB2312" w:hAnsi="仿宋_GB2312" w:eastAsia="仿宋_GB2312" w:cs="仿宋_GB2312"/>
          <w:b/>
          <w:bCs/>
          <w:color w:val="auto"/>
          <w:kern w:val="0"/>
          <w:sz w:val="32"/>
          <w:szCs w:val="32"/>
          <w:highlight w:val="none"/>
          <w:u w:val="none"/>
          <w:shd w:val="clear" w:color="auto" w:fill="FFFFFF"/>
          <w:lang w:val="en-US" w:eastAsia="zh-CN"/>
        </w:rPr>
        <w:t>1.主管部门职能</w:t>
      </w:r>
    </w:p>
    <w:p w14:paraId="77E0877C">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1）负责水资源的合理开发利用和保护工作。拟定全区水利发展规划和政策，组织编制全区水资源综合规划、水资源保护规划、重要江河湖泊流域综合规划、防洪规划等重大水利规划。指导饮用水水源保护有关工作。指导地下水开发利用和地下水资源管理保护。</w:t>
      </w:r>
    </w:p>
    <w:p w14:paraId="1DBBD95A">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2）负责生活、生产经营和生态环境用水的统筹和保障。组织实施最严格水资源管理制度，实施水资源的统一监督管理。拟定全区中长期供求规划，水量分配方案并监督实施。负责重要流域、区域以及重要水工程的水资源调度。组织实施取水许可、水资源论证和防洪论证制度，指导实施水资源有偿使用工作。指导水利行业供水和乡镇供水工作。</w:t>
      </w:r>
    </w:p>
    <w:p w14:paraId="066998CF">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（3）根据《四川省水利工程管理条例》，受市水利局委托，负责主管全区中型水利工程（包括麻子滩、跑马滩、新生水库和三仙湖水库）;负责管理或委托乡镇政府管理全区的小[一]、[二]型水库。</w:t>
      </w:r>
    </w:p>
    <w:p w14:paraId="01D1611A">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4）负责水利工程建设与运行管理，按管理权限制定水利工程建设有关制度并组织实施，负责提出水利固定资产投资规模、方向和区级财政资金安排的建议。提出区级水利建设投资安排建议并负责项目实施的监督管理。组织实施具有控制性的重要水利工程建设与运行管理。</w:t>
      </w:r>
    </w:p>
    <w:p w14:paraId="19FAC504">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（5）负责节约用水工作。拟定全区节约用水政策，组织、指导和监督节约用水工作。组织编制节约用水规划并监督实施，组织实施用水总量控制等管理制度，指导和推动节水型社会建设工作。</w:t>
      </w:r>
    </w:p>
    <w:p w14:paraId="24DA88C9">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（6）负责水资源的监督管理。对江河湖泊和地下水实施监测，发布水资源信息、情报预报和全区水资源公报。</w:t>
      </w:r>
    </w:p>
    <w:p w14:paraId="637646C3">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7）.指导全区水利设施、江河湖泊及其岸线的管理、保护与综合利用。组织指导水利基础设施网络建设。指导重要江河湖泊及滩涂的保护、治理和开发。指导河湖水生态保护与修复、河湖生态流量水量管理以及河湖水系连通工作。</w:t>
      </w:r>
    </w:p>
    <w:p w14:paraId="56A7E425">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8）负责全区水土保持工作。拟订水土保持规划并监督实施，组织实施全区水土流失的综合防治、监测预报并定期公告。负责建设项目水土保持监督管理工作，指导重点水土保持建设项目的实施，指导水土保持监测站点建设工作。</w:t>
      </w:r>
    </w:p>
    <w:p w14:paraId="7EC6C325">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9）指导农村水利工作。组织开展灌区灌排工程建设与改造。负责农村饮水安全工程建设管理工作;指导节水灌溉有关工作。负责农村水利改革创新和社会化服务体系建设，组织农村水能资源开发，指导小水电改造工作。</w:t>
      </w:r>
    </w:p>
    <w:p w14:paraId="6164DD86">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（10）负责辖区内涉水违法事件的查处、协调水事纠纷，指导水政监察和水行政执法。依法负责水利行业安全生产工作。指导水利建设市场的监督检查，组织实施水利工程建设的监督检查。</w:t>
      </w:r>
    </w:p>
    <w:p w14:paraId="32DDD434">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（11）开展水利科技对外合作交流工作。组织开展水利行业质量监督工作。组织水利科学研究、技术推广工作。组织全区水利系统的对外经济联络，技术经济合作。承担全区水利统计工作。</w:t>
      </w:r>
    </w:p>
    <w:p w14:paraId="7E14B02F">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12）负责落实综合防灾减灾规划相关要求，组织编制并实施全区洪水干旱灾害防治规划。承担水情旱情监测预警工作。按管理权限，组织编制全区重要江河湖泊和重要水工程的防御洪水、抗御旱灾调度及应急水量调度方案，按程序报批并组织实施。承担防御洪水应急抢险的技术保障工作。</w:t>
      </w:r>
    </w:p>
    <w:p w14:paraId="04918435">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（13）负责职责范围内的安全生产和职业健康、生态环境保护、审批服务便民化。</w:t>
      </w:r>
    </w:p>
    <w:p w14:paraId="7B430C99">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（14）完成区委和区政府交办的其他任务。</w:t>
      </w:r>
    </w:p>
    <w:p w14:paraId="3F8CFB5B">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（15）职能转变。</w:t>
      </w:r>
    </w:p>
    <w:p w14:paraId="50ACF33F">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区水利局应切实加强水资源合理利用、优化配置和节约保护，加强跨流域跨区域水资源调配。坚持节水优先，从增加供给转向更加重视需求管理，严格控制用水总量和提高用水效率。坚持保护优先，加强水资源、水域和水利工程的管理保护，加强河湖管理，全面推进河湖长制，维护河湖生态健康。坚持统筹兼顾，保障合理用水需求和水资源的可持续利用，为全区经济社会发展提供水安全保障。加强水利政策研究，加强水利政策、决策部署和重点工程贯彻落实情况的监督检查，强化水利信息化工作。</w:t>
      </w:r>
    </w:p>
    <w:p w14:paraId="2B7FC6C3">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统筹承担行政职能的事业单位改革。区水土保持办公室不再承担水土保持工作监督管理和行政执法职责，上述行政职能交由区水利局承担。</w:t>
      </w:r>
    </w:p>
    <w:p w14:paraId="77A68771">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（16）有关职责分工。</w:t>
      </w:r>
    </w:p>
    <w:p w14:paraId="6DA12615">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自然灾害防救的职责分工。区水利局负责落实综合防灾减灾规划相关要求，组织编制并实施全区洪水干旱灾害防治规划。承担水情旱情监测预警工作。组织编制全区重要江河湖泊和重要水工程的防御洪水、抗御旱灾调度及应急水量调度方案，按程序报批并组织实施。承担防御洪水应急抢险的技术保障工作。</w:t>
      </w:r>
    </w:p>
    <w:p w14:paraId="5D392D05">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区住建局负责在建工地、既有楼盘和小区的防洪防内涝工作。区水利局负责城市河道的防洪调度工作。区综合执法局负责城市市政公用设施的防汛防内涝工作。 区应急管理局负责统一组织、统一指挥、统一协调自然灾害类突发事件应急救援，救灾工作。</w:t>
      </w:r>
    </w:p>
    <w:p w14:paraId="5FD147BD">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水资源保护与水污染防治的职责分工。区水利局负责水资源保护，安居生态环境局负责水环境质量和水污染防治，区自然资源和规划局负责对地下水过量开采及引发的地面沉降等地质问题进行监督。三部门进一步加强协调与配合，建立部门协商机制，按要求通报水资源保护与水污染防治有关情况，协商解决有关重大问题。安居生态环境局发布水环境信息，对信息的准确性、及时性负责。区水利局发布的水资源信息中涉及环境质量的内容，应与安居生态环境局协商一致。</w:t>
      </w:r>
    </w:p>
    <w:p w14:paraId="0FA8142A">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节约用水职责的分工。区水利局牵头负责全区节约用水、计划用水工作。区住建局具体负责城市规划区内的节约用水、计划用水、中水回用等行政管理。</w:t>
      </w:r>
    </w:p>
    <w:p w14:paraId="1F0042E0">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供水职责的分工。区水利局组织编制城市规划区外的村镇供水规划，指导村镇供水建设和管理，对村镇供水企业实行行业管理。区住建局负责城市规划区内的供水，对城市供水企业实行行业管理;负责城市规划区内由于工程施工、设备维修等原因确需停止供水的审批。对因城市规划区调整形成自来水供区交叉的问题，由两个部门协商解决。</w:t>
      </w:r>
    </w:p>
    <w:p w14:paraId="41757216">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3" w:firstLineChars="200"/>
        <w:contextualSpacing/>
        <w:jc w:val="left"/>
        <w:textAlignment w:val="auto"/>
        <w:rPr>
          <w:rFonts w:hint="eastAsia" w:ascii="仿宋_GB2312" w:hAnsi="仿宋_GB2312" w:eastAsia="仿宋_GB2312" w:cs="仿宋_GB2312"/>
          <w:b/>
          <w:bCs/>
          <w:color w:val="auto"/>
          <w:kern w:val="0"/>
          <w:sz w:val="32"/>
          <w:szCs w:val="32"/>
          <w:highlight w:val="none"/>
          <w:u w:val="none"/>
          <w:shd w:val="clear" w:color="auto" w:fill="FFFFFF"/>
          <w:lang w:val="en-US" w:eastAsia="zh-CN"/>
        </w:rPr>
      </w:pPr>
      <w:r>
        <w:rPr>
          <w:rFonts w:hint="eastAsia" w:ascii="仿宋_GB2312" w:hAnsi="仿宋_GB2312" w:eastAsia="仿宋_GB2312" w:cs="仿宋_GB2312"/>
          <w:b/>
          <w:bCs/>
          <w:color w:val="auto"/>
          <w:kern w:val="0"/>
          <w:sz w:val="32"/>
          <w:szCs w:val="32"/>
          <w:highlight w:val="none"/>
          <w:u w:val="none"/>
          <w:shd w:val="clear" w:color="auto" w:fill="FFFFFF"/>
          <w:lang w:val="en-US" w:eastAsia="zh-CN"/>
        </w:rPr>
        <w:t>2.项目设立原因及背景</w:t>
      </w:r>
    </w:p>
    <w:p w14:paraId="6CF9E662">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（1）国家政策支持</w:t>
      </w:r>
    </w:p>
    <w:p w14:paraId="4A9FA770">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水利发展的重要性：水利是国家基础设施的重要组成部分，对于保障国家水安全、粮食安全、防洪抗旱以及生态安全具有不可替代的作用。因此，中央和省级政府一直高度重视水利发展，并通过财政资金的投入来支持相关项目的建设。</w:t>
      </w:r>
    </w:p>
    <w:p w14:paraId="1248B1F1">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政策引导：近年来，国家出台了一系列政策文件，如《水利发展资金管理办法》等，以规范水利发展资金的管理和使用，提高资金使用效益。这些政策为中央和省级水利发展资金的下达提供了政策依据和指导。</w:t>
      </w:r>
    </w:p>
    <w:p w14:paraId="2ADB7729">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（2）经济社会发展需求</w:t>
      </w:r>
    </w:p>
    <w:p w14:paraId="7032B78A">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提升水旱灾害防御能力：随着全球气候变化的加剧，水旱灾害的发生频率和强度都在增加。为了保障人民群众的生命财产安全，提升水旱灾害防御能力成为当务之急。中央和省级水利发展资金的投入，有助于加强中小河流治理、小型水库除险加固、山洪灾害防治等工作，提高水旱灾害的防御水平。</w:t>
      </w:r>
    </w:p>
    <w:p w14:paraId="79131ECE">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保障粮食安全和农村供水安全：水利是农业的命脉，对于保障粮食生产具有重要作用。同时，农村供水安全也是民生工程的重要组成部分。中央和省级水利发展资金的投入，有助于支持农田水利设施建设、农村饮水工程维修养护等工作，保障粮食生产和农村供水安全。</w:t>
      </w:r>
    </w:p>
    <w:p w14:paraId="6CA5CDC2">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（3）资金分配和管理机制</w:t>
      </w:r>
    </w:p>
    <w:p w14:paraId="005C7ABF">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因素法分配：中央对各省分配水利发展资金时，采取因素法分配方式，主要考虑目标任务、政策倾斜和绩效因素等。这种方式有助于确保资金分配的公平性和合理性，使有限的资金能够发挥最大的效益。</w:t>
      </w:r>
    </w:p>
    <w:p w14:paraId="471ECADB">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项目管理：为了加强水利发展资金的管理和使用，各级政府和相关部门加强了项目管理，包括项目审批、资金拨付、工程实施、监督检查等环节。通过严格的项目管理，确保水利发展资金能够按照规划要求及时、足额地投入到相关项目中，并取得预期的效益。</w:t>
      </w:r>
    </w:p>
    <w:p w14:paraId="41C9170D">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3" w:firstLineChars="200"/>
        <w:contextualSpacing/>
        <w:jc w:val="left"/>
        <w:textAlignment w:val="auto"/>
        <w:rPr>
          <w:rFonts w:hint="eastAsia" w:ascii="仿宋_GB2312" w:hAnsi="仿宋_GB2312" w:eastAsia="仿宋_GB2312" w:cs="仿宋_GB2312"/>
          <w:b/>
          <w:bCs/>
          <w:color w:val="auto"/>
          <w:kern w:val="0"/>
          <w:sz w:val="32"/>
          <w:szCs w:val="32"/>
          <w:highlight w:val="none"/>
          <w:u w:val="none"/>
          <w:shd w:val="clear" w:color="auto" w:fill="FFFFFF"/>
          <w:lang w:val="zh-CN" w:eastAsia="zh-CN"/>
        </w:rPr>
      </w:pPr>
      <w:r>
        <w:rPr>
          <w:rFonts w:hint="eastAsia" w:ascii="仿宋_GB2312" w:hAnsi="仿宋_GB2312" w:eastAsia="仿宋_GB2312" w:cs="仿宋_GB2312"/>
          <w:b/>
          <w:bCs/>
          <w:color w:val="auto"/>
          <w:kern w:val="0"/>
          <w:sz w:val="32"/>
          <w:szCs w:val="32"/>
          <w:highlight w:val="none"/>
          <w:u w:val="none"/>
          <w:shd w:val="clear" w:color="auto" w:fill="FFFFFF"/>
          <w:lang w:val="en-US" w:eastAsia="zh-CN"/>
        </w:rPr>
        <w:t>3.</w:t>
      </w:r>
      <w:r>
        <w:rPr>
          <w:rFonts w:hint="eastAsia" w:ascii="仿宋_GB2312" w:hAnsi="仿宋_GB2312" w:eastAsia="仿宋_GB2312" w:cs="仿宋_GB2312"/>
          <w:b/>
          <w:bCs/>
          <w:color w:val="auto"/>
          <w:kern w:val="0"/>
          <w:sz w:val="32"/>
          <w:szCs w:val="32"/>
          <w:highlight w:val="none"/>
          <w:u w:val="none"/>
          <w:shd w:val="clear" w:color="auto" w:fill="FFFFFF"/>
          <w:lang w:val="zh-CN" w:eastAsia="zh-CN"/>
        </w:rPr>
        <w:t>项目立项、资金申报的依据</w:t>
      </w:r>
    </w:p>
    <w:p w14:paraId="0B2D2109">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default"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项目立项、资金申报文件为：遂财农【2023】101号。</w:t>
      </w:r>
    </w:p>
    <w:p w14:paraId="5194ACFD">
      <w:pPr>
        <w:keepNext w:val="0"/>
        <w:keepLines w:val="0"/>
        <w:pageBreakBefore w:val="0"/>
        <w:kinsoku/>
        <w:wordWrap/>
        <w:overflowPunct/>
        <w:topLinePunct w:val="0"/>
        <w:autoSpaceDE/>
        <w:autoSpaceDN/>
        <w:bidi w:val="0"/>
        <w:adjustRightInd/>
        <w:snapToGrid/>
        <w:spacing w:line="590" w:lineRule="exact"/>
        <w:ind w:left="0" w:leftChars="0" w:right="0" w:rightChars="0" w:firstLine="643" w:firstLineChars="200"/>
        <w:textAlignment w:val="auto"/>
        <w:rPr>
          <w:rFonts w:hint="eastAsia" w:ascii="仿宋_GB2312" w:hAnsi="仿宋_GB2312" w:eastAsia="仿宋_GB2312" w:cs="仿宋_GB2312"/>
          <w:color w:val="auto"/>
          <w:kern w:val="0"/>
          <w:sz w:val="32"/>
          <w:szCs w:val="32"/>
          <w:highlight w:val="none"/>
          <w:u w:val="none"/>
          <w:shd w:val="clear" w:color="auto" w:fill="FFFFFF"/>
          <w:lang w:val="zh-CN"/>
        </w:rPr>
      </w:pPr>
      <w:r>
        <w:rPr>
          <w:rFonts w:hint="eastAsia" w:ascii="楷体_GB2312" w:hAnsi="宋体" w:eastAsia="楷体_GB2312"/>
          <w:b/>
          <w:color w:val="auto"/>
          <w:sz w:val="32"/>
          <w:szCs w:val="32"/>
          <w:highlight w:val="none"/>
          <w:u w:val="none"/>
          <w:lang w:val="zh-CN"/>
        </w:rPr>
        <w:t>（</w:t>
      </w:r>
      <w:r>
        <w:rPr>
          <w:rFonts w:hint="eastAsia" w:ascii="楷体_GB2312" w:hAnsi="宋体" w:eastAsia="楷体_GB2312" w:cs="Times New Roman"/>
          <w:b/>
          <w:color w:val="auto"/>
          <w:sz w:val="32"/>
          <w:szCs w:val="32"/>
          <w:highlight w:val="none"/>
          <w:u w:val="none"/>
          <w:lang w:val="zh-CN"/>
        </w:rPr>
        <w:t>二）</w:t>
      </w:r>
      <w:r>
        <w:rPr>
          <w:rFonts w:hint="default" w:ascii="楷体_GB2312" w:hAnsi="宋体" w:eastAsia="楷体_GB2312" w:cs="Times New Roman"/>
          <w:b/>
          <w:color w:val="auto"/>
          <w:sz w:val="32"/>
          <w:szCs w:val="32"/>
          <w:highlight w:val="none"/>
          <w:u w:val="none"/>
          <w:lang w:val="en-US" w:eastAsia="zh-CN"/>
        </w:rPr>
        <w:t>实施目的及支持方向</w:t>
      </w:r>
      <w:r>
        <w:rPr>
          <w:rFonts w:hint="eastAsia" w:ascii="楷体_GB2312" w:hAnsi="宋体" w:eastAsia="楷体_GB2312" w:cs="Times New Roman"/>
          <w:b/>
          <w:color w:val="auto"/>
          <w:sz w:val="32"/>
          <w:szCs w:val="32"/>
          <w:highlight w:val="none"/>
          <w:u w:val="none"/>
          <w:lang w:val="en-US" w:eastAsia="zh-CN"/>
        </w:rPr>
        <w:t>。</w:t>
      </w:r>
      <w:r>
        <w:rPr>
          <w:rFonts w:hint="eastAsia" w:ascii="仿宋_GB2312" w:hAnsi="仿宋_GB2312" w:eastAsia="仿宋_GB2312" w:cs="仿宋_GB2312"/>
          <w:color w:val="auto"/>
          <w:kern w:val="0"/>
          <w:sz w:val="32"/>
          <w:szCs w:val="32"/>
          <w:highlight w:val="none"/>
          <w:u w:val="none"/>
          <w:shd w:val="clear" w:color="auto" w:fill="FFFFFF"/>
          <w:lang w:val="en-US" w:eastAsia="zh-CN"/>
        </w:rPr>
        <w:t>项目资金</w:t>
      </w:r>
      <w:r>
        <w:rPr>
          <w:rFonts w:hint="eastAsia" w:ascii="仿宋_GB2312" w:hAnsi="仿宋_GB2312" w:eastAsia="仿宋_GB2312" w:cs="仿宋_GB2312"/>
          <w:color w:val="auto"/>
          <w:kern w:val="0"/>
          <w:sz w:val="32"/>
          <w:szCs w:val="32"/>
          <w:highlight w:val="none"/>
          <w:u w:val="none"/>
          <w:shd w:val="clear" w:color="auto" w:fill="FFFFFF"/>
          <w:lang w:val="zh-CN"/>
        </w:rPr>
        <w:t>管理办法制定情况，项目实施目的和主要工作任务，项目支持方向。</w:t>
      </w:r>
    </w:p>
    <w:p w14:paraId="733F1F06">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3" w:firstLineChars="200"/>
        <w:contextualSpacing/>
        <w:jc w:val="left"/>
        <w:textAlignment w:val="auto"/>
        <w:rPr>
          <w:rFonts w:hint="eastAsia" w:ascii="仿宋_GB2312" w:hAnsi="仿宋_GB2312" w:eastAsia="仿宋_GB2312" w:cs="仿宋_GB2312"/>
          <w:b/>
          <w:bCs/>
          <w:color w:val="auto"/>
          <w:kern w:val="0"/>
          <w:sz w:val="32"/>
          <w:szCs w:val="32"/>
          <w:highlight w:val="none"/>
          <w:u w:val="none"/>
          <w:shd w:val="clear" w:color="auto" w:fill="FFFFFF"/>
          <w:lang w:val="zh-CN" w:eastAsia="zh-CN"/>
        </w:rPr>
      </w:pPr>
      <w:r>
        <w:rPr>
          <w:rFonts w:hint="eastAsia" w:ascii="仿宋_GB2312" w:hAnsi="仿宋_GB2312" w:eastAsia="仿宋_GB2312" w:cs="仿宋_GB2312"/>
          <w:b/>
          <w:bCs/>
          <w:color w:val="auto"/>
          <w:kern w:val="0"/>
          <w:sz w:val="32"/>
          <w:szCs w:val="32"/>
          <w:highlight w:val="none"/>
          <w:u w:val="none"/>
          <w:shd w:val="clear" w:color="auto" w:fill="FFFFFF"/>
          <w:lang w:val="en-US" w:eastAsia="zh-CN"/>
        </w:rPr>
        <w:t>1.项目资金</w:t>
      </w:r>
      <w:r>
        <w:rPr>
          <w:rFonts w:hint="eastAsia" w:ascii="仿宋_GB2312" w:hAnsi="仿宋_GB2312" w:eastAsia="仿宋_GB2312" w:cs="仿宋_GB2312"/>
          <w:b/>
          <w:bCs/>
          <w:color w:val="auto"/>
          <w:kern w:val="0"/>
          <w:sz w:val="32"/>
          <w:szCs w:val="32"/>
          <w:highlight w:val="none"/>
          <w:u w:val="none"/>
          <w:shd w:val="clear" w:color="auto" w:fill="FFFFFF"/>
          <w:lang w:val="zh-CN" w:eastAsia="zh-CN"/>
        </w:rPr>
        <w:t>管理办法</w:t>
      </w:r>
    </w:p>
    <w:p w14:paraId="05DA886D">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default"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2022年中央和省级水利发展资金项目严格按照《四川省财政厅 四川省水利厅关于印发&lt;四川省水利发展资金管理办法&gt;的通知》（川财农〔2023〕29号）《遂宁市水利监督管理实施办法（试行）》开展，并严格按照“遂财农【2023】101号”文件规定执行，我局未单独针对该项目制定专门的项目资金管理办法。</w:t>
      </w:r>
    </w:p>
    <w:p w14:paraId="44CA5465">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3" w:firstLineChars="200"/>
        <w:contextualSpacing/>
        <w:jc w:val="left"/>
        <w:textAlignment w:val="auto"/>
        <w:rPr>
          <w:rFonts w:hint="eastAsia" w:ascii="仿宋_GB2312" w:hAnsi="仿宋_GB2312" w:eastAsia="仿宋_GB2312" w:cs="仿宋_GB2312"/>
          <w:b/>
          <w:bCs/>
          <w:color w:val="auto"/>
          <w:kern w:val="0"/>
          <w:sz w:val="32"/>
          <w:szCs w:val="32"/>
          <w:highlight w:val="none"/>
          <w:u w:val="none"/>
          <w:shd w:val="clear" w:color="auto" w:fill="FFFFFF"/>
          <w:lang w:val="zh-CN" w:eastAsia="zh-CN"/>
        </w:rPr>
      </w:pPr>
      <w:r>
        <w:rPr>
          <w:rFonts w:hint="eastAsia" w:ascii="仿宋_GB2312" w:hAnsi="仿宋_GB2312" w:eastAsia="仿宋_GB2312" w:cs="仿宋_GB2312"/>
          <w:b/>
          <w:bCs/>
          <w:color w:val="auto"/>
          <w:kern w:val="0"/>
          <w:sz w:val="32"/>
          <w:szCs w:val="32"/>
          <w:highlight w:val="none"/>
          <w:u w:val="none"/>
          <w:shd w:val="clear" w:color="auto" w:fill="FFFFFF"/>
          <w:lang w:val="en-US" w:eastAsia="zh-CN"/>
        </w:rPr>
        <w:t>2.</w:t>
      </w:r>
      <w:r>
        <w:rPr>
          <w:rFonts w:hint="eastAsia" w:ascii="仿宋_GB2312" w:hAnsi="仿宋_GB2312" w:eastAsia="仿宋_GB2312" w:cs="仿宋_GB2312"/>
          <w:b/>
          <w:bCs/>
          <w:color w:val="auto"/>
          <w:kern w:val="0"/>
          <w:sz w:val="32"/>
          <w:szCs w:val="32"/>
          <w:highlight w:val="none"/>
          <w:u w:val="none"/>
          <w:shd w:val="clear" w:color="auto" w:fill="FFFFFF"/>
          <w:lang w:val="zh-CN" w:eastAsia="zh-CN"/>
        </w:rPr>
        <w:t>项目实施目的和主要工作任务</w:t>
      </w:r>
    </w:p>
    <w:p w14:paraId="58DF1BE1">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项目实施主要内容为：实施安居区大中型水库移民后期扶持。</w:t>
      </w:r>
    </w:p>
    <w:p w14:paraId="430200F8">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eastAsia" w:eastAsia="仿宋_GB2312"/>
          <w:sz w:val="32"/>
          <w:szCs w:val="32"/>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项目主要工作任务：按照项目申报要求和“遂财农【2023】101号”文件规定实施安居区大中型水库移民后期扶持。</w:t>
      </w:r>
    </w:p>
    <w:p w14:paraId="3501ED3A">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3" w:firstLineChars="200"/>
        <w:contextualSpacing/>
        <w:jc w:val="left"/>
        <w:textAlignment w:val="auto"/>
        <w:rPr>
          <w:rFonts w:hint="eastAsia" w:ascii="仿宋_GB2312" w:hAnsi="仿宋_GB2312" w:eastAsia="仿宋_GB2312" w:cs="仿宋_GB2312"/>
          <w:b/>
          <w:bCs/>
          <w:color w:val="auto"/>
          <w:kern w:val="0"/>
          <w:sz w:val="32"/>
          <w:szCs w:val="32"/>
          <w:highlight w:val="none"/>
          <w:u w:val="none"/>
          <w:shd w:val="clear" w:color="auto" w:fill="FFFFFF"/>
          <w:lang w:val="en-US" w:eastAsia="zh-CN"/>
        </w:rPr>
      </w:pPr>
      <w:r>
        <w:rPr>
          <w:rFonts w:hint="eastAsia" w:ascii="仿宋_GB2312" w:hAnsi="仿宋_GB2312" w:eastAsia="仿宋_GB2312" w:cs="仿宋_GB2312"/>
          <w:b/>
          <w:bCs/>
          <w:color w:val="auto"/>
          <w:kern w:val="0"/>
          <w:sz w:val="32"/>
          <w:szCs w:val="32"/>
          <w:highlight w:val="none"/>
          <w:u w:val="none"/>
          <w:shd w:val="clear" w:color="auto" w:fill="FFFFFF"/>
          <w:lang w:val="en-US" w:eastAsia="zh-CN"/>
        </w:rPr>
        <w:t>3.项目支持方向</w:t>
      </w:r>
    </w:p>
    <w:p w14:paraId="3662F757">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（1）水旱灾害防御：</w:t>
      </w:r>
    </w:p>
    <w:p w14:paraId="23A2BBE7">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cs="仿宋_GB2312"/>
          <w:color w:val="auto"/>
          <w:kern w:val="0"/>
          <w:sz w:val="32"/>
          <w:szCs w:val="32"/>
          <w:highlight w:val="none"/>
          <w:u w:val="none"/>
          <w:shd w:val="clear" w:color="auto" w:fill="FFFFFF"/>
          <w:lang w:val="en-US" w:eastAsia="zh-CN"/>
        </w:rPr>
        <w:t>‌</w:t>
      </w:r>
      <w:r>
        <w:rPr>
          <w:rFonts w:hint="eastAsia" w:ascii="仿宋_GB2312" w:hAnsi="仿宋_GB2312" w:eastAsia="仿宋_GB2312" w:cs="仿宋_GB2312"/>
          <w:color w:val="auto"/>
          <w:kern w:val="0"/>
          <w:sz w:val="32"/>
          <w:szCs w:val="32"/>
          <w:highlight w:val="none"/>
          <w:u w:val="none"/>
          <w:shd w:val="clear" w:color="auto" w:fill="FFFFFF"/>
          <w:lang w:val="en-US" w:eastAsia="zh-CN"/>
        </w:rPr>
        <w:t>防汛救灾应急；采购防汛救灾物资，支持洪涝灾害应急抢险及水利工程水毁修复；强化防洪治理工程。</w:t>
      </w:r>
    </w:p>
    <w:p w14:paraId="25BFFC7D">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cs="仿宋_GB2312"/>
          <w:color w:val="auto"/>
          <w:kern w:val="0"/>
          <w:sz w:val="32"/>
          <w:szCs w:val="32"/>
          <w:highlight w:val="none"/>
          <w:u w:val="none"/>
          <w:shd w:val="clear" w:color="auto" w:fill="FFFFFF"/>
          <w:lang w:val="en-US" w:eastAsia="zh-CN"/>
        </w:rPr>
        <w:t>‌</w:t>
      </w:r>
      <w:r>
        <w:rPr>
          <w:rFonts w:hint="eastAsia" w:ascii="仿宋_GB2312" w:hAnsi="仿宋_GB2312" w:eastAsia="仿宋_GB2312" w:cs="仿宋_GB2312"/>
          <w:color w:val="auto"/>
          <w:kern w:val="0"/>
          <w:sz w:val="32"/>
          <w:szCs w:val="32"/>
          <w:highlight w:val="none"/>
          <w:u w:val="none"/>
          <w:shd w:val="clear" w:color="auto" w:fill="FFFFFF"/>
          <w:lang w:val="en-US" w:eastAsia="zh-CN"/>
        </w:rPr>
        <w:t>防灾能力提升‌：支持山洪灾害防治、中小河流治理、病险水库除险加固等项目。</w:t>
      </w:r>
    </w:p>
    <w:p w14:paraId="59CB2040">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（2）水资源优化配置与利用</w:t>
      </w:r>
    </w:p>
    <w:p w14:paraId="067C2784">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cs="仿宋_GB2312"/>
          <w:color w:val="auto"/>
          <w:kern w:val="0"/>
          <w:sz w:val="32"/>
          <w:szCs w:val="32"/>
          <w:highlight w:val="none"/>
          <w:u w:val="none"/>
          <w:shd w:val="clear" w:color="auto" w:fill="FFFFFF"/>
          <w:lang w:val="en-US" w:eastAsia="zh-CN"/>
        </w:rPr>
        <w:t>‌</w:t>
      </w:r>
      <w:r>
        <w:rPr>
          <w:rFonts w:hint="eastAsia" w:ascii="仿宋_GB2312" w:hAnsi="仿宋_GB2312" w:eastAsia="仿宋_GB2312" w:cs="仿宋_GB2312"/>
          <w:color w:val="auto"/>
          <w:kern w:val="0"/>
          <w:sz w:val="32"/>
          <w:szCs w:val="32"/>
          <w:highlight w:val="none"/>
          <w:u w:val="none"/>
          <w:shd w:val="clear" w:color="auto" w:fill="FFFFFF"/>
          <w:lang w:val="en-US" w:eastAsia="zh-CN"/>
        </w:rPr>
        <w:t>骨干水利工程建设‌：重点支持灌区一期一步、大桥水库灌区等重大工程。</w:t>
      </w:r>
    </w:p>
    <w:p w14:paraId="7B5313F8">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cs="仿宋_GB2312"/>
          <w:color w:val="auto"/>
          <w:kern w:val="0"/>
          <w:sz w:val="32"/>
          <w:szCs w:val="32"/>
          <w:highlight w:val="none"/>
          <w:u w:val="none"/>
          <w:shd w:val="clear" w:color="auto" w:fill="FFFFFF"/>
          <w:lang w:val="en-US" w:eastAsia="zh-CN"/>
        </w:rPr>
        <w:t>‌</w:t>
      </w:r>
      <w:r>
        <w:rPr>
          <w:rFonts w:hint="eastAsia" w:ascii="仿宋_GB2312" w:hAnsi="仿宋_GB2312" w:eastAsia="仿宋_GB2312" w:cs="仿宋_GB2312"/>
          <w:color w:val="auto"/>
          <w:kern w:val="0"/>
          <w:sz w:val="32"/>
          <w:szCs w:val="32"/>
          <w:highlight w:val="none"/>
          <w:u w:val="none"/>
          <w:shd w:val="clear" w:color="auto" w:fill="FFFFFF"/>
          <w:lang w:val="en-US" w:eastAsia="zh-CN"/>
        </w:rPr>
        <w:t>节水增效‌：推动灌区节水改造，提高农田灌溉水有效利用系数。</w:t>
      </w:r>
    </w:p>
    <w:p w14:paraId="36898009">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推广智能灌溉系统及量测水设施。</w:t>
      </w:r>
    </w:p>
    <w:p w14:paraId="4B11CE17">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（3）水资源保护与生态修复</w:t>
      </w:r>
    </w:p>
    <w:p w14:paraId="21CD5221">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cs="仿宋_GB2312"/>
          <w:color w:val="auto"/>
          <w:kern w:val="0"/>
          <w:sz w:val="32"/>
          <w:szCs w:val="32"/>
          <w:highlight w:val="none"/>
          <w:u w:val="none"/>
          <w:shd w:val="clear" w:color="auto" w:fill="FFFFFF"/>
          <w:lang w:val="en-US" w:eastAsia="zh-CN"/>
        </w:rPr>
        <w:t>‌</w:t>
      </w:r>
      <w:r>
        <w:rPr>
          <w:rFonts w:hint="eastAsia" w:ascii="仿宋_GB2312" w:hAnsi="仿宋_GB2312" w:eastAsia="仿宋_GB2312" w:cs="仿宋_GB2312"/>
          <w:color w:val="auto"/>
          <w:kern w:val="0"/>
          <w:sz w:val="32"/>
          <w:szCs w:val="32"/>
          <w:highlight w:val="none"/>
          <w:u w:val="none"/>
          <w:shd w:val="clear" w:color="auto" w:fill="FFFFFF"/>
          <w:lang w:val="en-US" w:eastAsia="zh-CN"/>
        </w:rPr>
        <w:t>水生态治理‌：支持水土保持、河湖生态修复及水质提升工程。</w:t>
      </w:r>
    </w:p>
    <w:p w14:paraId="0DE5959C">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cs="仿宋_GB2312"/>
          <w:color w:val="auto"/>
          <w:kern w:val="0"/>
          <w:sz w:val="32"/>
          <w:szCs w:val="32"/>
          <w:highlight w:val="none"/>
          <w:u w:val="none"/>
          <w:shd w:val="clear" w:color="auto" w:fill="FFFFFF"/>
          <w:lang w:val="en-US" w:eastAsia="zh-CN"/>
        </w:rPr>
        <w:t>‌</w:t>
      </w:r>
      <w:r>
        <w:rPr>
          <w:rFonts w:hint="eastAsia" w:ascii="仿宋_GB2312" w:hAnsi="仿宋_GB2312" w:eastAsia="仿宋_GB2312" w:cs="仿宋_GB2312"/>
          <w:color w:val="auto"/>
          <w:kern w:val="0"/>
          <w:sz w:val="32"/>
          <w:szCs w:val="32"/>
          <w:highlight w:val="none"/>
          <w:u w:val="none"/>
          <w:shd w:val="clear" w:color="auto" w:fill="FFFFFF"/>
          <w:lang w:val="en-US" w:eastAsia="zh-CN"/>
        </w:rPr>
        <w:t>水源保护‌：加强饮用水源地保护，配套水质监测设施。</w:t>
      </w:r>
    </w:p>
    <w:p w14:paraId="338545B0">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（4）农村水利设施维护</w:t>
      </w:r>
    </w:p>
    <w:p w14:paraId="64EF19A1">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cs="仿宋_GB2312"/>
          <w:color w:val="auto"/>
          <w:kern w:val="0"/>
          <w:sz w:val="32"/>
          <w:szCs w:val="32"/>
          <w:highlight w:val="none"/>
          <w:u w:val="none"/>
          <w:shd w:val="clear" w:color="auto" w:fill="FFFFFF"/>
          <w:lang w:val="en-US" w:eastAsia="zh-CN"/>
        </w:rPr>
        <w:t>‌</w:t>
      </w:r>
      <w:r>
        <w:rPr>
          <w:rFonts w:hint="eastAsia" w:ascii="仿宋_GB2312" w:hAnsi="仿宋_GB2312" w:eastAsia="仿宋_GB2312" w:cs="仿宋_GB2312"/>
          <w:color w:val="auto"/>
          <w:kern w:val="0"/>
          <w:sz w:val="32"/>
          <w:szCs w:val="32"/>
          <w:highlight w:val="none"/>
          <w:u w:val="none"/>
          <w:shd w:val="clear" w:color="auto" w:fill="FFFFFF"/>
          <w:lang w:val="en-US" w:eastAsia="zh-CN"/>
        </w:rPr>
        <w:t>农村饮水安全‌：保障饮水工程维修养护，确保农村供水稳定。</w:t>
      </w:r>
    </w:p>
    <w:p w14:paraId="606B0E85">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cs="仿宋_GB2312"/>
          <w:color w:val="auto"/>
          <w:kern w:val="0"/>
          <w:sz w:val="32"/>
          <w:szCs w:val="32"/>
          <w:highlight w:val="none"/>
          <w:u w:val="none"/>
          <w:shd w:val="clear" w:color="auto" w:fill="FFFFFF"/>
          <w:lang w:val="en-US" w:eastAsia="zh-CN"/>
        </w:rPr>
        <w:t>‌</w:t>
      </w:r>
      <w:r>
        <w:rPr>
          <w:rFonts w:hint="eastAsia" w:ascii="仿宋_GB2312" w:hAnsi="仿宋_GB2312" w:eastAsia="仿宋_GB2312" w:cs="仿宋_GB2312"/>
          <w:color w:val="auto"/>
          <w:kern w:val="0"/>
          <w:sz w:val="32"/>
          <w:szCs w:val="32"/>
          <w:highlight w:val="none"/>
          <w:u w:val="none"/>
          <w:shd w:val="clear" w:color="auto" w:fill="FFFFFF"/>
          <w:lang w:val="en-US" w:eastAsia="zh-CN"/>
        </w:rPr>
        <w:t>小型水利工程管护‌：支持小型水库、泵站等设施的日常维护及白蚁防治。</w:t>
      </w:r>
    </w:p>
    <w:p w14:paraId="21FEE400">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3"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zh-CN"/>
        </w:rPr>
      </w:pPr>
      <w:r>
        <w:rPr>
          <w:rFonts w:hint="eastAsia" w:ascii="楷体_GB2312" w:hAnsi="宋体" w:eastAsia="楷体_GB2312" w:cs="Times New Roman"/>
          <w:b/>
          <w:color w:val="auto"/>
          <w:sz w:val="32"/>
          <w:szCs w:val="32"/>
          <w:highlight w:val="none"/>
          <w:u w:val="none"/>
          <w:lang w:val="zh-CN" w:eastAsia="zh-CN"/>
        </w:rPr>
        <w:t>（三）</w:t>
      </w:r>
      <w:r>
        <w:rPr>
          <w:rFonts w:hint="default" w:ascii="楷体_GB2312" w:hAnsi="宋体" w:eastAsia="楷体_GB2312" w:cs="Times New Roman"/>
          <w:b/>
          <w:color w:val="auto"/>
          <w:sz w:val="32"/>
          <w:szCs w:val="32"/>
          <w:highlight w:val="none"/>
          <w:u w:val="none"/>
          <w:lang w:val="en-US" w:eastAsia="zh-CN"/>
        </w:rPr>
        <w:t>预算安排及分配管理</w:t>
      </w:r>
      <w:r>
        <w:rPr>
          <w:rFonts w:hint="eastAsia" w:ascii="楷体_GB2312" w:hAnsi="宋体" w:eastAsia="楷体_GB2312" w:cs="Times New Roman"/>
          <w:b/>
          <w:color w:val="auto"/>
          <w:sz w:val="32"/>
          <w:szCs w:val="32"/>
          <w:highlight w:val="none"/>
          <w:u w:val="none"/>
          <w:lang w:val="zh-CN" w:eastAsia="zh-CN"/>
        </w:rPr>
        <w:t>。</w:t>
      </w:r>
      <w:r>
        <w:rPr>
          <w:rFonts w:hint="eastAsia" w:ascii="仿宋_GB2312" w:hAnsi="仿宋_GB2312" w:eastAsia="仿宋_GB2312" w:cs="仿宋_GB2312"/>
          <w:color w:val="auto"/>
          <w:kern w:val="0"/>
          <w:sz w:val="32"/>
          <w:szCs w:val="32"/>
          <w:highlight w:val="none"/>
          <w:u w:val="none"/>
          <w:shd w:val="clear" w:color="auto" w:fill="FFFFFF"/>
          <w:lang w:val="zh-CN" w:eastAsia="zh-CN"/>
        </w:rPr>
        <w:t>项目预算安排情况，项目</w:t>
      </w:r>
      <w:r>
        <w:rPr>
          <w:rFonts w:hint="eastAsia" w:ascii="仿宋_GB2312" w:hAnsi="仿宋_GB2312" w:eastAsia="仿宋_GB2312" w:cs="仿宋_GB2312"/>
          <w:color w:val="auto"/>
          <w:kern w:val="0"/>
          <w:sz w:val="32"/>
          <w:szCs w:val="32"/>
          <w:highlight w:val="none"/>
          <w:u w:val="none"/>
          <w:shd w:val="clear" w:color="auto" w:fill="FFFFFF"/>
          <w:lang w:val="zh-CN"/>
        </w:rPr>
        <w:t>资金分配原则及考虑因素，项目资金分配情况。</w:t>
      </w:r>
    </w:p>
    <w:p w14:paraId="5230056E">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eastAsia" w:eastAsia="仿宋_GB2312"/>
          <w:sz w:val="32"/>
          <w:szCs w:val="32"/>
          <w:lang w:val="en-US" w:eastAsia="zh-CN"/>
        </w:rPr>
      </w:pPr>
      <w:r>
        <w:rPr>
          <w:rFonts w:hint="eastAsia" w:eastAsia="仿宋_GB2312"/>
          <w:sz w:val="32"/>
          <w:szCs w:val="32"/>
          <w:lang w:val="zh-CN"/>
        </w:rPr>
        <w:t>51090424T000011413876-遂财农【2023】101号2024年中央水利发展资金</w:t>
      </w:r>
      <w:r>
        <w:rPr>
          <w:rFonts w:hint="eastAsia" w:eastAsia="仿宋_GB2312"/>
          <w:sz w:val="32"/>
          <w:szCs w:val="32"/>
          <w:lang w:val="en-US" w:eastAsia="zh-CN"/>
        </w:rPr>
        <w:t>2024年度预算数18576749.72元（含预算调剂）；</w:t>
      </w:r>
    </w:p>
    <w:p w14:paraId="71120CDD">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zh-CN" w:eastAsia="zh-CN"/>
        </w:rPr>
        <w:t>项目</w:t>
      </w:r>
      <w:r>
        <w:rPr>
          <w:rFonts w:hint="eastAsia" w:ascii="Times New Roman" w:hAnsi="Times New Roman" w:eastAsia="仿宋_GB2312" w:cs="Times New Roman"/>
          <w:sz w:val="32"/>
          <w:szCs w:val="32"/>
          <w:lang w:val="zh-CN"/>
        </w:rPr>
        <w:t>资金分配原则及考虑因素：</w:t>
      </w:r>
      <w:r>
        <w:rPr>
          <w:rFonts w:hint="eastAsia" w:ascii="Times New Roman" w:hAnsi="Times New Roman" w:eastAsia="仿宋_GB2312" w:cs="Times New Roman"/>
          <w:sz w:val="32"/>
          <w:szCs w:val="32"/>
          <w:lang w:val="en-US" w:eastAsia="zh-CN"/>
        </w:rPr>
        <w:t>项目资金分配由遂宁市财政局、</w:t>
      </w:r>
      <w:r>
        <w:rPr>
          <w:rFonts w:hint="eastAsia" w:eastAsia="仿宋_GB2312" w:cs="Times New Roman"/>
          <w:sz w:val="32"/>
          <w:szCs w:val="32"/>
          <w:lang w:val="en-US" w:eastAsia="zh-CN"/>
        </w:rPr>
        <w:t>安居区</w:t>
      </w:r>
      <w:r>
        <w:rPr>
          <w:rFonts w:hint="eastAsia" w:ascii="Times New Roman" w:hAnsi="Times New Roman" w:eastAsia="仿宋_GB2312" w:cs="Times New Roman"/>
          <w:sz w:val="32"/>
          <w:szCs w:val="32"/>
          <w:lang w:val="en-US" w:eastAsia="zh-CN"/>
        </w:rPr>
        <w:t>财政局根据相关规定与要求分配。</w:t>
      </w:r>
    </w:p>
    <w:p w14:paraId="5C55CAE2">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项目资金分配：</w:t>
      </w:r>
      <w:r>
        <w:rPr>
          <w:rFonts w:hint="eastAsia" w:eastAsia="仿宋_GB2312"/>
          <w:sz w:val="32"/>
          <w:szCs w:val="32"/>
          <w:lang w:val="en-US" w:eastAsia="zh-CN"/>
        </w:rPr>
        <w:t>2024年度我局该项目资金实际分配18576749.72元（含预算调剂）。</w:t>
      </w:r>
    </w:p>
    <w:p w14:paraId="47BD1749">
      <w:pPr>
        <w:keepNext w:val="0"/>
        <w:keepLines w:val="0"/>
        <w:pageBreakBefore w:val="0"/>
        <w:kinsoku/>
        <w:wordWrap/>
        <w:overflowPunct/>
        <w:topLinePunct w:val="0"/>
        <w:autoSpaceDE/>
        <w:autoSpaceDN/>
        <w:bidi w:val="0"/>
        <w:adjustRightInd/>
        <w:snapToGrid/>
        <w:spacing w:line="590" w:lineRule="exact"/>
        <w:ind w:left="0" w:leftChars="0" w:right="0" w:rightChars="0" w:firstLine="643" w:firstLineChars="200"/>
        <w:textAlignment w:val="auto"/>
        <w:rPr>
          <w:rFonts w:hint="eastAsia" w:ascii="仿宋_GB2312" w:hAnsi="仿宋_GB2312" w:eastAsia="仿宋_GB2312" w:cs="仿宋_GB2312"/>
          <w:color w:val="auto"/>
          <w:kern w:val="0"/>
          <w:sz w:val="32"/>
          <w:szCs w:val="32"/>
          <w:highlight w:val="none"/>
          <w:u w:val="none"/>
          <w:shd w:val="clear" w:color="auto" w:fill="FFFFFF"/>
          <w:lang w:val="zh-CN" w:eastAsia="zh-CN"/>
        </w:rPr>
      </w:pPr>
      <w:r>
        <w:rPr>
          <w:rFonts w:hint="eastAsia" w:ascii="楷体_GB2312" w:hAnsi="宋体" w:eastAsia="楷体_GB2312" w:cs="Times New Roman"/>
          <w:b/>
          <w:color w:val="auto"/>
          <w:sz w:val="32"/>
          <w:szCs w:val="32"/>
          <w:highlight w:val="none"/>
          <w:u w:val="none"/>
          <w:lang w:val="zh-CN" w:eastAsia="zh-CN"/>
        </w:rPr>
        <w:t>（四）项目绩效目标设置。</w:t>
      </w:r>
      <w:r>
        <w:rPr>
          <w:rFonts w:hint="eastAsia" w:ascii="仿宋_GB2312" w:hAnsi="仿宋_GB2312" w:eastAsia="仿宋_GB2312" w:cs="仿宋_GB2312"/>
          <w:color w:val="auto"/>
          <w:kern w:val="0"/>
          <w:sz w:val="32"/>
          <w:szCs w:val="32"/>
          <w:highlight w:val="none"/>
          <w:u w:val="none"/>
          <w:shd w:val="clear" w:color="auto" w:fill="FFFFFF"/>
          <w:lang w:val="zh-CN" w:eastAsia="zh-CN"/>
        </w:rPr>
        <w:t>项目整体、区域和具体绩效目标设置情况，项目自评工作开展情况。</w:t>
      </w:r>
    </w:p>
    <w:p w14:paraId="24DAD326">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2024年度该项目资金下达后，遂宁市财政局设定该项目绩效目标：</w:t>
      </w:r>
    </w:p>
    <w:p w14:paraId="007E8E91">
      <w:pPr>
        <w:keepNext w:val="0"/>
        <w:keepLines w:val="0"/>
        <w:pageBreakBefore w:val="0"/>
        <w:kinsoku/>
        <w:wordWrap/>
        <w:overflowPunct/>
        <w:topLinePunct w:val="0"/>
        <w:autoSpaceDE/>
        <w:autoSpaceDN/>
        <w:bidi w:val="0"/>
        <w:adjustRightInd/>
        <w:snapToGrid/>
        <w:spacing w:line="590" w:lineRule="exact"/>
        <w:ind w:left="0" w:leftChars="0" w:right="0" w:rightChars="0" w:firstLine="420" w:firstLineChars="200"/>
        <w:textAlignment w:val="auto"/>
        <w:rPr>
          <w:rFonts w:hint="eastAsia" w:ascii="Times New Roman" w:hAnsi="Times New Roman" w:eastAsia="仿宋_GB2312" w:cs="Times New Roman"/>
          <w:lang w:val="en-US" w:eastAsia="zh-CN"/>
        </w:rPr>
      </w:pPr>
    </w:p>
    <w:p w14:paraId="7B58033C">
      <w:pPr>
        <w:keepNext w:val="0"/>
        <w:keepLines w:val="0"/>
        <w:pageBreakBefore w:val="0"/>
        <w:kinsoku/>
        <w:wordWrap/>
        <w:overflowPunct/>
        <w:topLinePunct w:val="0"/>
        <w:autoSpaceDE/>
        <w:autoSpaceDN/>
        <w:bidi w:val="0"/>
        <w:adjustRightInd/>
        <w:snapToGrid/>
        <w:spacing w:line="590" w:lineRule="exact"/>
        <w:ind w:left="0" w:leftChars="0" w:right="0" w:rightChars="0" w:firstLine="420" w:firstLineChars="200"/>
        <w:textAlignment w:val="auto"/>
        <w:rPr>
          <w:rFonts w:hint="eastAsia" w:ascii="Times New Roman" w:hAnsi="Times New Roman" w:eastAsia="仿宋_GB2312" w:cs="Times New Roman"/>
          <w:lang w:val="en-US" w:eastAsia="zh-CN"/>
        </w:rPr>
      </w:pPr>
    </w:p>
    <w:p w14:paraId="1A528433">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黑体" w:hAnsi="宋体" w:eastAsia="黑体"/>
          <w:highlight w:val="none"/>
        </w:rPr>
      </w:pPr>
      <w:r>
        <w:rPr>
          <w:rFonts w:eastAsia="仿宋_GB2312"/>
        </w:rPr>
        <w:drawing>
          <wp:inline distT="0" distB="0" distL="114300" distR="114300">
            <wp:extent cx="5762625" cy="8381365"/>
            <wp:effectExtent l="0" t="0" r="9525" b="63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8"/>
                    <a:stretch>
                      <a:fillRect/>
                    </a:stretch>
                  </pic:blipFill>
                  <pic:spPr>
                    <a:xfrm>
                      <a:off x="0" y="0"/>
                      <a:ext cx="5762625" cy="8381365"/>
                    </a:xfrm>
                    <a:prstGeom prst="rect">
                      <a:avLst/>
                    </a:prstGeom>
                    <a:noFill/>
                    <a:ln>
                      <a:noFill/>
                    </a:ln>
                  </pic:spPr>
                </pic:pic>
              </a:graphicData>
            </a:graphic>
          </wp:inline>
        </w:drawing>
      </w:r>
    </w:p>
    <w:p w14:paraId="0608E083">
      <w:pPr>
        <w:keepNext w:val="0"/>
        <w:keepLines w:val="0"/>
        <w:pageBreakBefore w:val="0"/>
        <w:widowControl w:val="0"/>
        <w:kinsoku/>
        <w:wordWrap/>
        <w:overflowPunct/>
        <w:topLinePunct w:val="0"/>
        <w:autoSpaceDE/>
        <w:autoSpaceDN/>
        <w:bidi w:val="0"/>
        <w:adjustRightInd/>
        <w:snapToGrid/>
        <w:spacing w:line="590" w:lineRule="exact"/>
        <w:ind w:right="0" w:rightChars="0" w:firstLine="640" w:firstLineChars="200"/>
        <w:textAlignment w:val="auto"/>
        <w:outlineLvl w:val="9"/>
        <w:rPr>
          <w:rFonts w:hint="eastAsia" w:ascii="黑体" w:hAnsi="宋体" w:eastAsia="黑体"/>
          <w:sz w:val="32"/>
          <w:szCs w:val="32"/>
          <w:highlight w:val="none"/>
          <w:lang w:eastAsia="zh-CN"/>
        </w:rPr>
      </w:pPr>
      <w:r>
        <w:rPr>
          <w:rFonts w:hint="eastAsia" w:ascii="黑体" w:hAnsi="宋体" w:eastAsia="黑体"/>
          <w:sz w:val="32"/>
          <w:szCs w:val="32"/>
          <w:highlight w:val="none"/>
        </w:rPr>
        <w:t>二、</w:t>
      </w:r>
      <w:r>
        <w:rPr>
          <w:rFonts w:hint="eastAsia" w:ascii="黑体" w:hAnsi="宋体" w:eastAsia="黑体"/>
          <w:sz w:val="32"/>
          <w:szCs w:val="32"/>
          <w:highlight w:val="none"/>
          <w:lang w:eastAsia="zh-CN"/>
        </w:rPr>
        <w:t>评价实施</w:t>
      </w:r>
    </w:p>
    <w:p w14:paraId="13E0A2B0">
      <w:pPr>
        <w:keepNext w:val="0"/>
        <w:keepLines w:val="0"/>
        <w:pageBreakBefore w:val="0"/>
        <w:widowControl w:val="0"/>
        <w:kinsoku/>
        <w:wordWrap/>
        <w:overflowPunct/>
        <w:topLinePunct w:val="0"/>
        <w:autoSpaceDE/>
        <w:autoSpaceDN/>
        <w:bidi w:val="0"/>
        <w:adjustRightInd/>
        <w:snapToGrid/>
        <w:spacing w:line="590" w:lineRule="exact"/>
        <w:ind w:right="0" w:rightChars="0" w:firstLine="640"/>
        <w:textAlignment w:val="auto"/>
        <w:outlineLvl w:val="9"/>
        <w:rPr>
          <w:rFonts w:hint="eastAsia" w:eastAsia="仿宋_GB2312" w:cs="Times New Roman"/>
          <w:sz w:val="32"/>
          <w:szCs w:val="32"/>
          <w:lang w:eastAsia="zh-CN"/>
        </w:rPr>
      </w:pPr>
      <w:r>
        <w:rPr>
          <w:rFonts w:hint="eastAsia" w:ascii="楷体_GB2312" w:hAnsi="宋体" w:eastAsia="楷体_GB2312"/>
          <w:b/>
          <w:color w:val="auto"/>
          <w:sz w:val="32"/>
          <w:szCs w:val="32"/>
          <w:highlight w:val="none"/>
          <w:u w:val="none"/>
          <w:lang w:val="zh-CN"/>
        </w:rPr>
        <w:t>（一）评价目的。</w:t>
      </w:r>
      <w:r>
        <w:rPr>
          <w:rFonts w:eastAsia="仿宋_GB2312" w:cs="Times New Roman"/>
          <w:sz w:val="32"/>
          <w:szCs w:val="32"/>
        </w:rPr>
        <w:t>通过</w:t>
      </w:r>
      <w:r>
        <w:rPr>
          <w:rFonts w:hint="eastAsia" w:eastAsia="仿宋_GB2312" w:cs="Times New Roman"/>
          <w:sz w:val="32"/>
          <w:szCs w:val="32"/>
          <w:lang w:eastAsia="zh-CN"/>
        </w:rPr>
        <w:t>项目</w:t>
      </w:r>
      <w:r>
        <w:rPr>
          <w:rFonts w:hint="eastAsia" w:eastAsia="仿宋_GB2312" w:cs="Times New Roman"/>
          <w:sz w:val="32"/>
          <w:szCs w:val="32"/>
        </w:rPr>
        <w:t>绩效</w:t>
      </w:r>
      <w:r>
        <w:rPr>
          <w:rFonts w:hint="eastAsia" w:eastAsia="仿宋_GB2312" w:cs="Times New Roman"/>
          <w:sz w:val="32"/>
          <w:szCs w:val="32"/>
          <w:lang w:eastAsia="zh-CN"/>
        </w:rPr>
        <w:t>自评要实现的目的。</w:t>
      </w:r>
    </w:p>
    <w:p w14:paraId="1CAA7007">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该项目开展绩效自评的目的是</w:t>
      </w:r>
      <w:r>
        <w:rPr>
          <w:rFonts w:hint="default" w:ascii="Times New Roman" w:hAnsi="Times New Roman" w:eastAsia="仿宋_GB2312" w:cs="Times New Roman"/>
          <w:sz w:val="32"/>
          <w:szCs w:val="32"/>
          <w:lang w:val="en-US" w:eastAsia="zh-CN"/>
        </w:rPr>
        <w:t>贯彻落实全面实施预算绩效管理，将绩效理念和方法</w:t>
      </w:r>
      <w:r>
        <w:rPr>
          <w:rFonts w:hint="eastAsia" w:ascii="Times New Roman" w:hAnsi="Times New Roman" w:eastAsia="仿宋_GB2312" w:cs="Times New Roman"/>
          <w:sz w:val="32"/>
          <w:szCs w:val="32"/>
          <w:lang w:val="en-US" w:eastAsia="zh-CN"/>
        </w:rPr>
        <w:t>深度融入预算编制、执行、监督全过程，实现预算和绩效管理一体化，不断提高财政资金使用效益。</w:t>
      </w:r>
    </w:p>
    <w:p w14:paraId="7CC6169D">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default" w:eastAsia="仿宋_GB2312"/>
          <w:sz w:val="32"/>
          <w:szCs w:val="32"/>
          <w:lang w:val="en-US" w:eastAsia="zh-CN"/>
        </w:rPr>
      </w:pPr>
      <w:r>
        <w:rPr>
          <w:rFonts w:hint="eastAsia" w:eastAsia="仿宋_GB2312"/>
          <w:sz w:val="32"/>
          <w:szCs w:val="32"/>
          <w:lang w:val="en-US" w:eastAsia="zh-CN"/>
        </w:rPr>
        <w:t>同时，针对该项目开展执行结果、效果分析，剖析单位自身项目实施的管理责任落实情况，不断提高我局项目管理水平。</w:t>
      </w:r>
    </w:p>
    <w:p w14:paraId="54B181A6">
      <w:pPr>
        <w:keepNext w:val="0"/>
        <w:keepLines w:val="0"/>
        <w:pageBreakBefore w:val="0"/>
        <w:widowControl w:val="0"/>
        <w:kinsoku/>
        <w:wordWrap/>
        <w:overflowPunct/>
        <w:topLinePunct w:val="0"/>
        <w:autoSpaceDE/>
        <w:autoSpaceDN/>
        <w:bidi w:val="0"/>
        <w:adjustRightInd/>
        <w:snapToGrid/>
        <w:spacing w:line="590" w:lineRule="exact"/>
        <w:ind w:left="0" w:leftChars="0" w:right="0" w:rightChars="0" w:firstLine="643" w:firstLineChars="200"/>
        <w:textAlignment w:val="auto"/>
        <w:outlineLvl w:val="9"/>
        <w:rPr>
          <w:rFonts w:hint="eastAsia" w:eastAsia="仿宋_GB2312" w:cs="Times New Roman"/>
          <w:sz w:val="32"/>
          <w:szCs w:val="32"/>
          <w:lang w:eastAsia="zh-CN"/>
        </w:rPr>
      </w:pPr>
      <w:r>
        <w:rPr>
          <w:rFonts w:hint="eastAsia" w:ascii="楷体_GB2312" w:hAnsi="宋体" w:eastAsia="楷体_GB2312"/>
          <w:b/>
          <w:color w:val="auto"/>
          <w:sz w:val="32"/>
          <w:szCs w:val="32"/>
          <w:highlight w:val="none"/>
          <w:u w:val="none"/>
          <w:lang w:val="zh-CN"/>
        </w:rPr>
        <w:t>（二）预设问题及评价重点。</w:t>
      </w:r>
      <w:r>
        <w:rPr>
          <w:rFonts w:hint="eastAsia" w:eastAsia="仿宋_GB2312" w:cs="Times New Roman"/>
          <w:sz w:val="32"/>
          <w:szCs w:val="32"/>
        </w:rPr>
        <w:t>按照绩效评价指标体系，对资金支出使用全过程及其实施效果进行综合评价和判断</w:t>
      </w:r>
      <w:r>
        <w:rPr>
          <w:rFonts w:hint="eastAsia" w:eastAsia="仿宋_GB2312" w:cs="Times New Roman"/>
          <w:sz w:val="32"/>
          <w:szCs w:val="32"/>
          <w:lang w:eastAsia="zh-CN"/>
        </w:rPr>
        <w:t>。</w:t>
      </w:r>
    </w:p>
    <w:p w14:paraId="2DCE76CC">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预设问题：项目实施效果中目标完成情况；</w:t>
      </w:r>
    </w:p>
    <w:p w14:paraId="38C7ECAC">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评价重点：项目实施（预算执行、资金使用）、项目效果（目标完成、完成时效）。</w:t>
      </w:r>
    </w:p>
    <w:p w14:paraId="724E8F76">
      <w:pPr>
        <w:keepNext w:val="0"/>
        <w:keepLines w:val="0"/>
        <w:pageBreakBefore w:val="0"/>
        <w:widowControl w:val="0"/>
        <w:kinsoku/>
        <w:wordWrap/>
        <w:overflowPunct/>
        <w:topLinePunct w:val="0"/>
        <w:autoSpaceDE/>
        <w:autoSpaceDN/>
        <w:bidi w:val="0"/>
        <w:adjustRightInd/>
        <w:snapToGrid/>
        <w:spacing w:line="590" w:lineRule="exact"/>
        <w:ind w:left="0" w:leftChars="0" w:right="0" w:rightChars="0" w:firstLine="643" w:firstLineChars="200"/>
        <w:textAlignment w:val="auto"/>
        <w:outlineLvl w:val="9"/>
        <w:rPr>
          <w:rFonts w:hint="eastAsia" w:eastAsia="仿宋_GB2312" w:cs="Times New Roman"/>
          <w:sz w:val="32"/>
          <w:szCs w:val="32"/>
          <w:lang w:val="zh-CN" w:eastAsia="zh-CN"/>
        </w:rPr>
      </w:pPr>
      <w:r>
        <w:rPr>
          <w:rFonts w:hint="eastAsia" w:ascii="楷体_GB2312" w:hAnsi="宋体" w:eastAsia="楷体_GB2312"/>
          <w:b/>
          <w:color w:val="auto"/>
          <w:sz w:val="32"/>
          <w:szCs w:val="32"/>
          <w:highlight w:val="none"/>
          <w:u w:val="none"/>
          <w:lang w:val="zh-CN"/>
        </w:rPr>
        <w:t>（三）评价选点。</w:t>
      </w:r>
      <w:r>
        <w:rPr>
          <w:rFonts w:hint="eastAsia" w:eastAsia="仿宋_GB2312" w:cs="Times New Roman"/>
          <w:sz w:val="32"/>
          <w:szCs w:val="32"/>
          <w:lang w:val="zh-CN" w:eastAsia="zh-CN"/>
        </w:rPr>
        <w:t>项目绩效自评所抽样点位情况。</w:t>
      </w:r>
    </w:p>
    <w:p w14:paraId="1EF85618">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default" w:eastAsia="仿宋_GB2312"/>
          <w:sz w:val="32"/>
          <w:szCs w:val="32"/>
          <w:lang w:val="en-US" w:eastAsia="zh-CN"/>
        </w:rPr>
      </w:pPr>
      <w:r>
        <w:rPr>
          <w:rFonts w:hint="eastAsia" w:eastAsia="仿宋_GB2312"/>
          <w:sz w:val="32"/>
          <w:szCs w:val="32"/>
          <w:lang w:val="en-US" w:eastAsia="zh-CN"/>
        </w:rPr>
        <w:t>本次项目绩效自评抽样选择2024年03月07日下达指标9940000.00元后的支付情况，包括所支付的所有范围。</w:t>
      </w:r>
    </w:p>
    <w:p w14:paraId="431C08C5">
      <w:pPr>
        <w:keepNext w:val="0"/>
        <w:keepLines w:val="0"/>
        <w:pageBreakBefore w:val="0"/>
        <w:widowControl w:val="0"/>
        <w:kinsoku/>
        <w:wordWrap/>
        <w:overflowPunct/>
        <w:topLinePunct w:val="0"/>
        <w:autoSpaceDE/>
        <w:autoSpaceDN/>
        <w:bidi w:val="0"/>
        <w:adjustRightInd/>
        <w:snapToGrid/>
        <w:spacing w:line="590" w:lineRule="exact"/>
        <w:ind w:right="0" w:rightChars="0" w:firstLine="640"/>
        <w:textAlignment w:val="auto"/>
        <w:outlineLvl w:val="9"/>
        <w:rPr>
          <w:rFonts w:hint="eastAsia" w:eastAsia="仿宋_GB2312" w:cs="Times New Roman"/>
          <w:sz w:val="32"/>
          <w:szCs w:val="32"/>
          <w:lang w:eastAsia="zh-CN"/>
        </w:rPr>
      </w:pPr>
      <w:r>
        <w:rPr>
          <w:rFonts w:hint="eastAsia" w:ascii="楷体_GB2312" w:hAnsi="宋体" w:eastAsia="楷体_GB2312"/>
          <w:b/>
          <w:color w:val="auto"/>
          <w:sz w:val="32"/>
          <w:szCs w:val="32"/>
          <w:highlight w:val="none"/>
          <w:u w:val="none"/>
          <w:lang w:val="zh-CN"/>
        </w:rPr>
        <w:t>（四）评价方法。</w:t>
      </w:r>
      <w:r>
        <w:rPr>
          <w:rFonts w:eastAsia="仿宋_GB2312" w:cs="Times New Roman"/>
          <w:sz w:val="32"/>
          <w:szCs w:val="32"/>
        </w:rPr>
        <w:t>根据项目情况和评价重点，</w:t>
      </w:r>
      <w:r>
        <w:rPr>
          <w:rFonts w:hint="eastAsia" w:eastAsia="仿宋_GB2312" w:cs="Times New Roman"/>
          <w:sz w:val="32"/>
          <w:szCs w:val="32"/>
          <w:lang w:eastAsia="zh-CN"/>
        </w:rPr>
        <w:t>用来</w:t>
      </w:r>
      <w:r>
        <w:rPr>
          <w:rFonts w:eastAsia="仿宋_GB2312" w:cs="Times New Roman"/>
          <w:sz w:val="32"/>
          <w:szCs w:val="32"/>
        </w:rPr>
        <w:t>收集相关材料和开展具体评价</w:t>
      </w:r>
      <w:r>
        <w:rPr>
          <w:rFonts w:hint="eastAsia" w:eastAsia="仿宋_GB2312" w:cs="Times New Roman"/>
          <w:sz w:val="32"/>
          <w:szCs w:val="32"/>
          <w:lang w:eastAsia="zh-CN"/>
        </w:rPr>
        <w:t>的方法</w:t>
      </w:r>
      <w:r>
        <w:rPr>
          <w:rFonts w:eastAsia="仿宋_GB2312" w:cs="Times New Roman"/>
          <w:sz w:val="32"/>
          <w:szCs w:val="32"/>
        </w:rPr>
        <w:t>。</w:t>
      </w:r>
      <w:r>
        <w:rPr>
          <w:rFonts w:hint="eastAsia" w:eastAsia="仿宋_GB2312" w:cs="Times New Roman"/>
          <w:sz w:val="32"/>
          <w:szCs w:val="32"/>
          <w:lang w:eastAsia="zh-CN"/>
        </w:rPr>
        <w:t>包括：</w:t>
      </w:r>
      <w:r>
        <w:rPr>
          <w:rFonts w:eastAsia="仿宋_GB2312" w:cs="Times New Roman"/>
          <w:sz w:val="32"/>
          <w:szCs w:val="32"/>
        </w:rPr>
        <w:t>采用</w:t>
      </w:r>
      <w:r>
        <w:rPr>
          <w:rFonts w:hint="eastAsia" w:eastAsia="仿宋_GB2312" w:cs="Times New Roman"/>
          <w:sz w:val="32"/>
          <w:szCs w:val="32"/>
        </w:rPr>
        <w:t>成本效益分析法、标杆管理法、</w:t>
      </w:r>
      <w:r>
        <w:rPr>
          <w:rFonts w:eastAsia="仿宋_GB2312" w:cs="Times New Roman"/>
          <w:sz w:val="32"/>
          <w:szCs w:val="32"/>
        </w:rPr>
        <w:t>案卷研究法、单位自评法、实地勘察法、问卷调查法、座谈调研法等多种方法</w:t>
      </w:r>
      <w:r>
        <w:rPr>
          <w:rFonts w:hint="eastAsia" w:eastAsia="仿宋_GB2312" w:cs="Times New Roman"/>
          <w:sz w:val="32"/>
          <w:szCs w:val="32"/>
          <w:lang w:eastAsia="zh-CN"/>
        </w:rPr>
        <w:t>。</w:t>
      </w:r>
    </w:p>
    <w:p w14:paraId="7A359591">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eastAsia" w:eastAsia="仿宋_GB2312"/>
          <w:sz w:val="32"/>
          <w:szCs w:val="32"/>
          <w:lang w:eastAsia="zh-CN"/>
        </w:rPr>
      </w:pPr>
      <w:r>
        <w:rPr>
          <w:rFonts w:hint="default" w:ascii="Times New Roman" w:hAnsi="Times New Roman" w:eastAsia="仿宋_GB2312" w:cs="Times New Roman"/>
          <w:sz w:val="32"/>
          <w:szCs w:val="32"/>
          <w:lang w:val="en-US" w:eastAsia="zh-CN"/>
        </w:rPr>
        <w:t>采用定性描述、定量分析法，客观确定项目预期绩效目</w:t>
      </w:r>
      <w:r>
        <w:rPr>
          <w:rFonts w:hint="eastAsia" w:ascii="Times New Roman" w:hAnsi="Times New Roman" w:eastAsia="仿宋_GB2312" w:cs="Times New Roman"/>
          <w:sz w:val="32"/>
          <w:szCs w:val="32"/>
          <w:lang w:val="en-US" w:eastAsia="zh-CN"/>
        </w:rPr>
        <w:t>标的实现程度。采用比较法，对比实际成效与绩效目标的偏差，进行效益分析。</w:t>
      </w:r>
    </w:p>
    <w:p w14:paraId="6A25C05F">
      <w:pPr>
        <w:keepNext w:val="0"/>
        <w:keepLines w:val="0"/>
        <w:pageBreakBefore w:val="0"/>
        <w:widowControl w:val="0"/>
        <w:kinsoku/>
        <w:wordWrap/>
        <w:overflowPunct/>
        <w:topLinePunct w:val="0"/>
        <w:autoSpaceDE/>
        <w:autoSpaceDN/>
        <w:bidi w:val="0"/>
        <w:adjustRightInd/>
        <w:snapToGrid/>
        <w:spacing w:line="590" w:lineRule="exact"/>
        <w:ind w:right="0" w:rightChars="0" w:firstLine="640"/>
        <w:textAlignment w:val="auto"/>
        <w:outlineLvl w:val="9"/>
        <w:rPr>
          <w:rFonts w:hint="eastAsia" w:eastAsia="仿宋_GB2312" w:cs="Times New Roman"/>
          <w:sz w:val="32"/>
          <w:szCs w:val="32"/>
          <w:lang w:eastAsia="zh-CN"/>
        </w:rPr>
      </w:pPr>
      <w:r>
        <w:rPr>
          <w:rFonts w:hint="eastAsia" w:ascii="楷体_GB2312" w:hAnsi="宋体" w:eastAsia="楷体_GB2312"/>
          <w:b/>
          <w:color w:val="auto"/>
          <w:sz w:val="32"/>
          <w:szCs w:val="32"/>
          <w:highlight w:val="none"/>
          <w:u w:val="none"/>
          <w:lang w:val="zh-CN"/>
        </w:rPr>
        <w:t>（五）评价组织。</w:t>
      </w:r>
      <w:r>
        <w:rPr>
          <w:rFonts w:eastAsia="仿宋_GB2312" w:cs="Times New Roman"/>
          <w:sz w:val="32"/>
          <w:szCs w:val="32"/>
        </w:rPr>
        <w:t>评价组人员构成</w:t>
      </w:r>
      <w:r>
        <w:rPr>
          <w:rFonts w:hint="eastAsia" w:eastAsia="仿宋_GB2312" w:cs="Times New Roman"/>
          <w:sz w:val="32"/>
          <w:szCs w:val="32"/>
          <w:lang w:eastAsia="zh-CN"/>
        </w:rPr>
        <w:t>和</w:t>
      </w:r>
      <w:r>
        <w:rPr>
          <w:rFonts w:eastAsia="仿宋_GB2312" w:cs="Times New Roman"/>
          <w:sz w:val="32"/>
          <w:szCs w:val="32"/>
        </w:rPr>
        <w:t>职责分工</w:t>
      </w:r>
      <w:r>
        <w:rPr>
          <w:rFonts w:hint="eastAsia" w:eastAsia="仿宋_GB2312" w:cs="Times New Roman"/>
          <w:sz w:val="32"/>
          <w:szCs w:val="32"/>
          <w:lang w:eastAsia="zh-CN"/>
        </w:rPr>
        <w:t>。</w:t>
      </w:r>
    </w:p>
    <w:p w14:paraId="22AD21CD">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default" w:eastAsia="仿宋_GB2312"/>
          <w:sz w:val="32"/>
          <w:szCs w:val="32"/>
          <w:lang w:val="en-US" w:eastAsia="zh-CN"/>
        </w:rPr>
      </w:pPr>
      <w:r>
        <w:rPr>
          <w:rFonts w:hint="eastAsia" w:eastAsia="仿宋_GB2312"/>
          <w:sz w:val="32"/>
          <w:szCs w:val="32"/>
          <w:lang w:val="en-US" w:eastAsia="zh-CN"/>
        </w:rPr>
        <w:t>本次绩效自评由</w:t>
      </w:r>
      <w:r>
        <w:rPr>
          <w:rFonts w:hint="eastAsia" w:eastAsia="仿宋_GB2312" w:cs="Times New Roman"/>
          <w:sz w:val="32"/>
          <w:szCs w:val="32"/>
          <w:lang w:val="en-US" w:eastAsia="zh-CN"/>
        </w:rPr>
        <w:t>办公室</w:t>
      </w:r>
      <w:r>
        <w:rPr>
          <w:rFonts w:hint="eastAsia" w:ascii="Times New Roman" w:hAnsi="Times New Roman" w:eastAsia="仿宋_GB2312" w:cs="Times New Roman"/>
          <w:sz w:val="32"/>
          <w:szCs w:val="32"/>
          <w:lang w:val="en-US" w:eastAsia="zh-CN"/>
        </w:rPr>
        <w:t>牵头开展，河湖管理与水旱灾害防御股</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lang w:val="en-US" w:eastAsia="zh-CN"/>
        </w:rPr>
        <w:t>移民股</w:t>
      </w:r>
      <w:r>
        <w:rPr>
          <w:rFonts w:hint="eastAsia" w:eastAsia="仿宋_GB2312" w:cs="Times New Roman"/>
          <w:sz w:val="32"/>
          <w:szCs w:val="32"/>
          <w:lang w:val="en-US" w:eastAsia="zh-CN"/>
        </w:rPr>
        <w:t>、</w:t>
      </w:r>
      <w:r>
        <w:rPr>
          <w:rFonts w:hint="eastAsia" w:ascii="Times New Roman" w:hAnsi="Times New Roman" w:eastAsia="仿宋_GB2312" w:cs="Times New Roman"/>
          <w:sz w:val="32"/>
          <w:szCs w:val="32"/>
          <w:lang w:val="en-US" w:eastAsia="zh-CN"/>
        </w:rPr>
        <w:t>规划建设管理与政策法规监督股</w:t>
      </w:r>
      <w:r>
        <w:rPr>
          <w:rFonts w:hint="eastAsia" w:eastAsia="仿宋_GB2312" w:cs="Times New Roman"/>
          <w:sz w:val="32"/>
          <w:szCs w:val="32"/>
          <w:lang w:val="en-US" w:eastAsia="zh-CN"/>
        </w:rPr>
        <w:t>等股室</w:t>
      </w:r>
      <w:r>
        <w:rPr>
          <w:rFonts w:hint="eastAsia" w:ascii="Times New Roman" w:hAnsi="Times New Roman" w:eastAsia="仿宋_GB2312" w:cs="Times New Roman"/>
          <w:sz w:val="32"/>
          <w:szCs w:val="32"/>
          <w:lang w:val="en-US" w:eastAsia="zh-CN"/>
        </w:rPr>
        <w:t>开展基础资料收集与初步自评打分，</w:t>
      </w:r>
      <w:r>
        <w:rPr>
          <w:rFonts w:hint="eastAsia" w:eastAsia="仿宋_GB2312" w:cs="Times New Roman"/>
          <w:sz w:val="32"/>
          <w:szCs w:val="32"/>
          <w:lang w:val="en-US" w:eastAsia="zh-CN"/>
        </w:rPr>
        <w:t>内控监督小组</w:t>
      </w:r>
      <w:r>
        <w:rPr>
          <w:rFonts w:hint="eastAsia" w:ascii="Times New Roman" w:hAnsi="Times New Roman" w:eastAsia="仿宋_GB2312" w:cs="Times New Roman"/>
          <w:sz w:val="32"/>
          <w:szCs w:val="32"/>
          <w:lang w:val="en-US" w:eastAsia="zh-CN"/>
        </w:rPr>
        <w:t>开展项目绩效自评监督；自评参与人员：</w:t>
      </w:r>
      <w:r>
        <w:rPr>
          <w:rFonts w:hint="eastAsia" w:eastAsia="仿宋_GB2312" w:cs="Times New Roman"/>
          <w:sz w:val="32"/>
          <w:szCs w:val="32"/>
          <w:lang w:val="en-US" w:eastAsia="zh-CN"/>
        </w:rPr>
        <w:t>阳振宇、李发祥、刘皓、肖静、</w:t>
      </w:r>
      <w:r>
        <w:rPr>
          <w:rFonts w:hint="eastAsia" w:ascii="Times New Roman" w:hAnsi="Times New Roman" w:eastAsia="仿宋_GB2312" w:cs="Times New Roman"/>
          <w:sz w:val="32"/>
          <w:szCs w:val="32"/>
          <w:lang w:val="en-US" w:eastAsia="zh-CN"/>
        </w:rPr>
        <w:t>符晓玲</w:t>
      </w:r>
      <w:r>
        <w:rPr>
          <w:rFonts w:hint="eastAsia" w:eastAsia="仿宋_GB2312" w:cs="Times New Roman"/>
          <w:sz w:val="32"/>
          <w:szCs w:val="32"/>
          <w:lang w:val="en-US" w:eastAsia="zh-CN"/>
        </w:rPr>
        <w:t>等</w:t>
      </w:r>
      <w:r>
        <w:rPr>
          <w:rFonts w:hint="eastAsia" w:ascii="Times New Roman" w:hAnsi="Times New Roman" w:eastAsia="仿宋_GB2312" w:cs="Times New Roman"/>
          <w:sz w:val="32"/>
          <w:szCs w:val="32"/>
          <w:lang w:val="en-US" w:eastAsia="zh-CN"/>
        </w:rPr>
        <w:t>。</w:t>
      </w:r>
    </w:p>
    <w:p w14:paraId="7E19E8CD">
      <w:pPr>
        <w:keepNext w:val="0"/>
        <w:keepLines w:val="0"/>
        <w:pageBreakBefore w:val="0"/>
        <w:kinsoku/>
        <w:wordWrap/>
        <w:overflowPunct/>
        <w:topLinePunct w:val="0"/>
        <w:autoSpaceDE/>
        <w:autoSpaceDN/>
        <w:bidi w:val="0"/>
        <w:adjustRightInd/>
        <w:snapToGrid/>
        <w:spacing w:line="590" w:lineRule="exact"/>
        <w:ind w:right="0" w:rightChars="0" w:firstLine="640" w:firstLineChars="200"/>
        <w:textAlignment w:val="auto"/>
        <w:rPr>
          <w:rFonts w:ascii="仿宋_GB2312" w:hAnsi="宋体" w:eastAsia="仿宋_GB2312"/>
          <w:color w:val="auto"/>
          <w:sz w:val="32"/>
          <w:szCs w:val="32"/>
          <w:highlight w:val="none"/>
          <w:u w:val="none"/>
          <w:lang w:val="zh-CN"/>
        </w:rPr>
      </w:pPr>
      <w:r>
        <w:rPr>
          <w:rFonts w:hint="eastAsia" w:ascii="黑体" w:hAnsi="宋体" w:eastAsia="黑体"/>
          <w:color w:val="auto"/>
          <w:sz w:val="32"/>
          <w:szCs w:val="32"/>
          <w:highlight w:val="none"/>
          <w:u w:val="none"/>
        </w:rPr>
        <w:t>三、</w:t>
      </w:r>
      <w:r>
        <w:rPr>
          <w:rFonts w:hint="eastAsia" w:ascii="黑体" w:hAnsi="宋体" w:eastAsia="黑体"/>
          <w:color w:val="auto"/>
          <w:sz w:val="32"/>
          <w:szCs w:val="32"/>
          <w:highlight w:val="none"/>
          <w:u w:val="none"/>
          <w:lang w:eastAsia="zh-CN"/>
        </w:rPr>
        <w:t>绩效分析</w:t>
      </w:r>
      <w:r>
        <w:rPr>
          <w:rFonts w:hint="eastAsia" w:ascii="仿宋_GB2312" w:hAnsi="宋体" w:eastAsia="仿宋_GB2312"/>
          <w:color w:val="auto"/>
          <w:sz w:val="32"/>
          <w:szCs w:val="32"/>
          <w:highlight w:val="none"/>
          <w:u w:val="none"/>
          <w:lang w:val="zh-CN"/>
        </w:rPr>
        <w:tab/>
      </w:r>
    </w:p>
    <w:p w14:paraId="0E8240E2">
      <w:pPr>
        <w:keepNext w:val="0"/>
        <w:keepLines w:val="0"/>
        <w:pageBreakBefore w:val="0"/>
        <w:widowControl w:val="0"/>
        <w:kinsoku/>
        <w:wordWrap/>
        <w:overflowPunct/>
        <w:topLinePunct w:val="0"/>
        <w:autoSpaceDE/>
        <w:autoSpaceDN/>
        <w:bidi w:val="0"/>
        <w:adjustRightInd/>
        <w:snapToGrid/>
        <w:spacing w:line="590" w:lineRule="exact"/>
        <w:ind w:right="0" w:rightChars="0" w:firstLine="640"/>
        <w:textAlignment w:val="auto"/>
        <w:outlineLvl w:val="9"/>
        <w:rPr>
          <w:rFonts w:hint="eastAsia" w:eastAsia="仿宋_GB2312" w:cs="Times New Roman"/>
          <w:sz w:val="32"/>
          <w:szCs w:val="32"/>
          <w:lang w:val="en-US" w:eastAsia="zh-CN"/>
        </w:rPr>
      </w:pPr>
      <w:r>
        <w:rPr>
          <w:rFonts w:hint="default" w:eastAsia="仿宋_GB2312" w:cs="Times New Roman"/>
          <w:sz w:val="32"/>
          <w:szCs w:val="32"/>
          <w:lang w:val="zh-CN" w:eastAsia="zh-CN"/>
        </w:rPr>
        <w:t>根据</w:t>
      </w:r>
      <w:r>
        <w:rPr>
          <w:rFonts w:hint="eastAsia" w:eastAsia="仿宋_GB2312" w:cs="Times New Roman"/>
          <w:sz w:val="32"/>
          <w:szCs w:val="32"/>
          <w:lang w:val="zh-CN" w:eastAsia="zh-CN"/>
        </w:rPr>
        <w:t>项目</w:t>
      </w:r>
      <w:r>
        <w:rPr>
          <w:rFonts w:hint="default" w:eastAsia="仿宋_GB2312" w:cs="Times New Roman"/>
          <w:sz w:val="32"/>
          <w:szCs w:val="32"/>
          <w:lang w:val="zh-CN" w:eastAsia="zh-CN"/>
        </w:rPr>
        <w:t>预算绩效评价指标体系“</w:t>
      </w:r>
      <w:r>
        <w:rPr>
          <w:rFonts w:hint="eastAsia" w:eastAsia="仿宋_GB2312" w:cs="Times New Roman"/>
          <w:sz w:val="32"/>
          <w:szCs w:val="32"/>
          <w:lang w:val="zh-CN" w:eastAsia="zh-CN"/>
        </w:rPr>
        <w:t>通用指标</w:t>
      </w:r>
      <w:r>
        <w:rPr>
          <w:rFonts w:hint="default" w:eastAsia="仿宋_GB2312" w:cs="Times New Roman"/>
          <w:sz w:val="32"/>
          <w:szCs w:val="32"/>
          <w:lang w:val="zh-CN" w:eastAsia="zh-CN"/>
        </w:rPr>
        <w:t>”</w:t>
      </w:r>
      <w:r>
        <w:rPr>
          <w:rFonts w:hint="eastAsia" w:eastAsia="仿宋_GB2312" w:cs="Times New Roman"/>
          <w:sz w:val="32"/>
          <w:szCs w:val="32"/>
          <w:lang w:val="zh-CN" w:eastAsia="zh-CN"/>
        </w:rPr>
        <w:t>“专用指标”“个性指标”</w:t>
      </w:r>
      <w:r>
        <w:rPr>
          <w:rFonts w:hint="default" w:eastAsia="仿宋_GB2312" w:cs="Times New Roman"/>
          <w:sz w:val="32"/>
          <w:szCs w:val="32"/>
          <w:lang w:val="zh-CN" w:eastAsia="zh-CN"/>
        </w:rPr>
        <w:t>涉及</w:t>
      </w:r>
      <w:r>
        <w:rPr>
          <w:rFonts w:hint="eastAsia" w:eastAsia="仿宋_GB2312" w:cs="Times New Roman"/>
          <w:sz w:val="32"/>
          <w:szCs w:val="32"/>
          <w:lang w:val="zh-CN" w:eastAsia="zh-CN"/>
        </w:rPr>
        <w:t>二、三级</w:t>
      </w:r>
      <w:r>
        <w:rPr>
          <w:rFonts w:hint="default" w:eastAsia="仿宋_GB2312" w:cs="Times New Roman"/>
          <w:sz w:val="32"/>
          <w:szCs w:val="32"/>
          <w:lang w:val="zh-CN" w:eastAsia="zh-CN"/>
        </w:rPr>
        <w:t>指标进行</w:t>
      </w:r>
      <w:r>
        <w:rPr>
          <w:rFonts w:hint="eastAsia" w:eastAsia="仿宋_GB2312" w:cs="Times New Roman"/>
          <w:sz w:val="32"/>
          <w:szCs w:val="32"/>
          <w:lang w:val="zh-CN" w:eastAsia="zh-CN"/>
        </w:rPr>
        <w:t>逐项</w:t>
      </w:r>
      <w:r>
        <w:rPr>
          <w:rFonts w:hint="default" w:eastAsia="仿宋_GB2312" w:cs="Times New Roman"/>
          <w:sz w:val="32"/>
          <w:szCs w:val="32"/>
          <w:lang w:val="zh-CN" w:eastAsia="zh-CN"/>
        </w:rPr>
        <w:t>绩效分析</w:t>
      </w:r>
      <w:r>
        <w:rPr>
          <w:rFonts w:hint="eastAsia" w:eastAsia="仿宋_GB2312" w:cs="Times New Roman"/>
          <w:sz w:val="32"/>
          <w:szCs w:val="32"/>
          <w:lang w:val="zh-CN" w:eastAsia="zh-CN"/>
        </w:rPr>
        <w:t>并评分</w:t>
      </w:r>
      <w:r>
        <w:rPr>
          <w:rFonts w:hint="eastAsia" w:eastAsia="仿宋_GB2312" w:cs="Times New Roman"/>
          <w:sz w:val="32"/>
          <w:szCs w:val="32"/>
          <w:lang w:val="en-US" w:eastAsia="zh-CN"/>
        </w:rPr>
        <w:t>。</w:t>
      </w:r>
    </w:p>
    <w:p w14:paraId="1250E622">
      <w:pPr>
        <w:keepNext w:val="0"/>
        <w:keepLines w:val="0"/>
        <w:pageBreakBefore w:val="0"/>
        <w:widowControl w:val="0"/>
        <w:kinsoku/>
        <w:wordWrap/>
        <w:overflowPunct/>
        <w:topLinePunct w:val="0"/>
        <w:autoSpaceDE/>
        <w:autoSpaceDN/>
        <w:bidi w:val="0"/>
        <w:adjustRightInd/>
        <w:snapToGrid/>
        <w:spacing w:line="590" w:lineRule="exact"/>
        <w:ind w:right="0" w:rightChars="0" w:firstLine="640"/>
        <w:textAlignment w:val="auto"/>
        <w:outlineLvl w:val="9"/>
        <w:rPr>
          <w:rFonts w:hint="eastAsia" w:ascii="楷体_GB2312" w:hAnsi="宋体" w:eastAsia="楷体_GB2312" w:cs="Times New Roman"/>
          <w:b/>
          <w:color w:val="auto"/>
          <w:sz w:val="32"/>
          <w:szCs w:val="32"/>
          <w:highlight w:val="none"/>
          <w:u w:val="none"/>
          <w:lang w:val="en-US" w:eastAsia="zh-CN"/>
        </w:rPr>
      </w:pPr>
      <w:r>
        <w:rPr>
          <w:rFonts w:hint="eastAsia" w:ascii="楷体_GB2312" w:hAnsi="宋体" w:eastAsia="楷体_GB2312" w:cs="Times New Roman"/>
          <w:b/>
          <w:color w:val="auto"/>
          <w:sz w:val="32"/>
          <w:szCs w:val="32"/>
          <w:highlight w:val="none"/>
          <w:u w:val="none"/>
          <w:lang w:val="zh-CN"/>
        </w:rPr>
        <w:t>（一）</w:t>
      </w:r>
      <w:r>
        <w:rPr>
          <w:rFonts w:hint="eastAsia" w:ascii="楷体_GB2312" w:hAnsi="宋体" w:eastAsia="楷体_GB2312" w:cs="Times New Roman"/>
          <w:b/>
          <w:color w:val="auto"/>
          <w:sz w:val="32"/>
          <w:szCs w:val="32"/>
          <w:highlight w:val="none"/>
          <w:u w:val="none"/>
          <w:lang w:val="en-US" w:eastAsia="zh-CN"/>
        </w:rPr>
        <w:t>通用指标</w:t>
      </w:r>
      <w:r>
        <w:rPr>
          <w:rFonts w:hint="default" w:ascii="Times New Roman" w:hAnsi="Times New Roman" w:eastAsia="楷体_GB2312" w:cs="Times New Roman"/>
          <w:b/>
          <w:bCs/>
          <w:color w:val="000000"/>
          <w:kern w:val="0"/>
          <w:sz w:val="32"/>
          <w:szCs w:val="32"/>
          <w:highlight w:val="none"/>
          <w:shd w:val="clear" w:color="auto" w:fill="FFFFFF"/>
          <w:lang w:val="zh-CN"/>
        </w:rPr>
        <w:t>绩效分析。</w:t>
      </w:r>
    </w:p>
    <w:p w14:paraId="09951596">
      <w:pPr>
        <w:keepNext w:val="0"/>
        <w:keepLines w:val="0"/>
        <w:pageBreakBefore w:val="0"/>
        <w:widowControl w:val="0"/>
        <w:kinsoku/>
        <w:wordWrap/>
        <w:overflowPunct/>
        <w:topLinePunct w:val="0"/>
        <w:autoSpaceDE/>
        <w:autoSpaceDN/>
        <w:bidi w:val="0"/>
        <w:adjustRightInd/>
        <w:snapToGrid/>
        <w:spacing w:line="590" w:lineRule="exact"/>
        <w:ind w:right="0" w:rightChars="0" w:firstLine="640"/>
        <w:textAlignment w:val="auto"/>
        <w:outlineLvl w:val="9"/>
        <w:rPr>
          <w:rFonts w:hint="eastAsia" w:ascii="Times New Roman" w:hAnsi="Times New Roman" w:eastAsia="仿宋_GB2312" w:cs="Times New Roman"/>
          <w:color w:val="auto"/>
          <w:sz w:val="32"/>
          <w:szCs w:val="32"/>
          <w:lang w:eastAsia="zh-CN"/>
        </w:rPr>
      </w:pPr>
      <w:r>
        <w:rPr>
          <w:rFonts w:hint="eastAsia" w:ascii="楷体_GB2312" w:hAnsi="楷体_GB2312" w:eastAsia="楷体_GB2312" w:cs="楷体_GB2312"/>
          <w:color w:val="auto"/>
          <w:sz w:val="32"/>
          <w:szCs w:val="32"/>
          <w:lang w:val="en-US" w:eastAsia="zh-CN"/>
        </w:rPr>
        <w:t xml:space="preserve">1. </w:t>
      </w:r>
      <w:r>
        <w:rPr>
          <w:rFonts w:hint="eastAsia" w:ascii="楷体_GB2312" w:hAnsi="楷体_GB2312" w:eastAsia="楷体_GB2312" w:cs="楷体_GB2312"/>
          <w:color w:val="auto"/>
          <w:sz w:val="32"/>
          <w:szCs w:val="32"/>
          <w:lang w:eastAsia="zh-CN"/>
        </w:rPr>
        <w:t>项目决策。</w:t>
      </w:r>
      <w:r>
        <w:rPr>
          <w:rFonts w:hint="eastAsia" w:ascii="Times New Roman" w:hAnsi="Times New Roman" w:eastAsia="仿宋_GB2312" w:cs="Times New Roman"/>
          <w:color w:val="auto"/>
          <w:sz w:val="32"/>
          <w:szCs w:val="32"/>
          <w:lang w:eastAsia="zh-CN"/>
        </w:rPr>
        <w:t>围绕决策程序、规划论证、资金投向进行绩效分析。</w:t>
      </w:r>
    </w:p>
    <w:p w14:paraId="7B177A45">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（1）决策程序：</w:t>
      </w:r>
      <w:r>
        <w:rPr>
          <w:rFonts w:hint="eastAsia" w:eastAsia="仿宋_GB2312" w:cs="Times New Roman"/>
          <w:sz w:val="32"/>
          <w:szCs w:val="32"/>
          <w:lang w:val="en-US" w:eastAsia="zh-CN"/>
        </w:rPr>
        <w:t>该项目中央下达资金，根据遂财农【2023】101号文件下达，我局资金支付时已召开党组会议</w:t>
      </w:r>
      <w:r>
        <w:rPr>
          <w:rFonts w:hint="eastAsia" w:ascii="Times New Roman" w:hAnsi="Times New Roman" w:eastAsia="仿宋_GB2312" w:cs="Times New Roman"/>
          <w:sz w:val="32"/>
          <w:szCs w:val="32"/>
          <w:lang w:val="en-US" w:eastAsia="zh-CN"/>
        </w:rPr>
        <w:t>；自评6分。</w:t>
      </w:r>
    </w:p>
    <w:p w14:paraId="33BC438B">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（2）规划论证：该项目设立符合</w:t>
      </w:r>
      <w:r>
        <w:rPr>
          <w:rFonts w:hint="eastAsia" w:eastAsia="仿宋_GB2312" w:cs="Times New Roman"/>
          <w:sz w:val="32"/>
          <w:szCs w:val="32"/>
          <w:lang w:val="en-US" w:eastAsia="zh-CN"/>
        </w:rPr>
        <w:t>中央、省委</w:t>
      </w:r>
      <w:r>
        <w:rPr>
          <w:rFonts w:hint="eastAsia" w:ascii="Times New Roman" w:hAnsi="Times New Roman" w:eastAsia="仿宋_GB2312" w:cs="Times New Roman"/>
          <w:sz w:val="32"/>
          <w:szCs w:val="32"/>
          <w:lang w:val="en-US" w:eastAsia="zh-CN"/>
        </w:rPr>
        <w:t>、市关于</w:t>
      </w:r>
      <w:r>
        <w:rPr>
          <w:rFonts w:hint="eastAsia" w:eastAsia="仿宋_GB2312" w:cs="Times New Roman"/>
          <w:sz w:val="32"/>
          <w:szCs w:val="32"/>
          <w:lang w:val="en-US" w:eastAsia="zh-CN"/>
        </w:rPr>
        <w:t>水利建设</w:t>
      </w:r>
      <w:r>
        <w:rPr>
          <w:rFonts w:hint="eastAsia" w:ascii="Times New Roman" w:hAnsi="Times New Roman" w:eastAsia="仿宋_GB2312" w:cs="Times New Roman"/>
          <w:sz w:val="32"/>
          <w:szCs w:val="32"/>
          <w:lang w:val="en-US" w:eastAsia="zh-CN"/>
        </w:rPr>
        <w:t>决策部署安排，符合</w:t>
      </w:r>
      <w:r>
        <w:rPr>
          <w:rFonts w:hint="eastAsia" w:eastAsia="仿宋_GB2312" w:cs="Times New Roman"/>
          <w:sz w:val="32"/>
          <w:szCs w:val="32"/>
          <w:lang w:val="en-US" w:eastAsia="zh-CN"/>
        </w:rPr>
        <w:t>安居区“推进乡村振兴，实现农业强区跨越式发展”“十四五”规划要求和加快推进水利工程建设筑牢民生“堤坝”任务要求</w:t>
      </w:r>
      <w:r>
        <w:rPr>
          <w:rFonts w:hint="eastAsia" w:ascii="仿宋_GB2312" w:hAnsi="仿宋_GB2312" w:eastAsia="仿宋_GB2312" w:cs="仿宋_GB2312"/>
          <w:color w:val="auto"/>
          <w:kern w:val="0"/>
          <w:sz w:val="32"/>
          <w:szCs w:val="32"/>
          <w:highlight w:val="none"/>
          <w:u w:val="none"/>
          <w:shd w:val="clear" w:color="auto" w:fill="FFFFFF"/>
          <w:lang w:val="en-US" w:eastAsia="zh-CN"/>
        </w:rPr>
        <w:t>。2024年度我局该项目绩效目标由“</w:t>
      </w:r>
      <w:r>
        <w:rPr>
          <w:rFonts w:hint="eastAsia" w:eastAsia="仿宋_GB2312" w:cs="Times New Roman"/>
          <w:sz w:val="32"/>
          <w:szCs w:val="32"/>
          <w:lang w:val="en-US" w:eastAsia="zh-CN"/>
        </w:rPr>
        <w:t>遂财农【2023】101号</w:t>
      </w:r>
      <w:r>
        <w:rPr>
          <w:rFonts w:hint="eastAsia" w:ascii="仿宋_GB2312" w:hAnsi="仿宋_GB2312" w:eastAsia="仿宋_GB2312" w:cs="仿宋_GB2312"/>
          <w:color w:val="auto"/>
          <w:kern w:val="0"/>
          <w:sz w:val="32"/>
          <w:szCs w:val="32"/>
          <w:highlight w:val="none"/>
          <w:u w:val="none"/>
          <w:shd w:val="clear" w:color="auto" w:fill="FFFFFF"/>
          <w:lang w:val="en-US" w:eastAsia="zh-CN"/>
        </w:rPr>
        <w:t>”文件设定，设定的年度绩效目标符合要求；设定的数量、质量、时效、效益、经济成本、满意度等指标基本完整、量化；自评得6分。</w:t>
      </w:r>
    </w:p>
    <w:p w14:paraId="722D5661">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（3）资金投向：该项目属于</w:t>
      </w:r>
      <w:r>
        <w:rPr>
          <w:rFonts w:hint="eastAsia" w:eastAsia="仿宋_GB2312" w:cs="Times New Roman"/>
          <w:sz w:val="32"/>
          <w:szCs w:val="32"/>
          <w:lang w:val="en-US" w:eastAsia="zh-CN"/>
        </w:rPr>
        <w:t>安居区“推进乡村振兴，实现农业强区跨越式发展”“十四五”规划</w:t>
      </w:r>
      <w:r>
        <w:rPr>
          <w:rFonts w:hint="eastAsia" w:ascii="Times New Roman" w:hAnsi="Times New Roman" w:eastAsia="仿宋_GB2312" w:cs="Times New Roman"/>
          <w:sz w:val="32"/>
          <w:szCs w:val="32"/>
          <w:lang w:val="en-US" w:eastAsia="zh-CN"/>
        </w:rPr>
        <w:t>内容，属于政府支持范围，且符合财政事权支出责任划分规定；资金投向与项目总体规划、</w:t>
      </w:r>
      <w:r>
        <w:rPr>
          <w:rFonts w:hint="eastAsia" w:eastAsia="仿宋_GB2312" w:cs="Times New Roman"/>
          <w:sz w:val="32"/>
          <w:szCs w:val="32"/>
          <w:lang w:val="en-US" w:eastAsia="zh-CN"/>
        </w:rPr>
        <w:t>水利</w:t>
      </w:r>
      <w:r>
        <w:rPr>
          <w:rFonts w:hint="eastAsia" w:ascii="Times New Roman" w:hAnsi="Times New Roman" w:eastAsia="仿宋_GB2312" w:cs="Times New Roman"/>
          <w:sz w:val="32"/>
          <w:szCs w:val="32"/>
          <w:lang w:val="en-US" w:eastAsia="zh-CN"/>
        </w:rPr>
        <w:t>事业发展相匹配；项目实施聚焦</w:t>
      </w:r>
      <w:r>
        <w:rPr>
          <w:rFonts w:hint="eastAsia" w:eastAsia="仿宋_GB2312" w:cs="Times New Roman"/>
          <w:sz w:val="32"/>
          <w:szCs w:val="32"/>
          <w:lang w:val="en-US" w:eastAsia="zh-CN"/>
        </w:rPr>
        <w:t>加快推进水利工程建设筑牢民生“堤坝”</w:t>
      </w:r>
      <w:r>
        <w:rPr>
          <w:rFonts w:hint="eastAsia" w:ascii="Times New Roman" w:hAnsi="Times New Roman" w:eastAsia="仿宋_GB2312" w:cs="Times New Roman"/>
          <w:sz w:val="32"/>
          <w:szCs w:val="32"/>
          <w:lang w:val="en-US" w:eastAsia="zh-CN"/>
        </w:rPr>
        <w:t>的原则；自评得6分。</w:t>
      </w:r>
    </w:p>
    <w:p w14:paraId="0875D02F">
      <w:pPr>
        <w:keepNext w:val="0"/>
        <w:keepLines w:val="0"/>
        <w:pageBreakBefore w:val="0"/>
        <w:widowControl w:val="0"/>
        <w:kinsoku/>
        <w:wordWrap/>
        <w:overflowPunct/>
        <w:topLinePunct w:val="0"/>
        <w:autoSpaceDE/>
        <w:autoSpaceDN/>
        <w:bidi w:val="0"/>
        <w:adjustRightInd/>
        <w:snapToGrid/>
        <w:spacing w:line="590" w:lineRule="exact"/>
        <w:ind w:right="0" w:rightChars="0" w:firstLine="640"/>
        <w:textAlignment w:val="auto"/>
        <w:outlineLvl w:val="9"/>
        <w:rPr>
          <w:rFonts w:hint="eastAsia" w:ascii="Times New Roman" w:hAnsi="Times New Roman" w:eastAsia="仿宋_GB2312" w:cs="Times New Roman"/>
          <w:color w:val="auto"/>
          <w:sz w:val="32"/>
          <w:szCs w:val="32"/>
          <w:lang w:eastAsia="zh-CN"/>
        </w:rPr>
      </w:pPr>
      <w:r>
        <w:rPr>
          <w:rFonts w:hint="eastAsia" w:ascii="楷体_GB2312" w:hAnsi="楷体_GB2312" w:eastAsia="楷体_GB2312" w:cs="楷体_GB2312"/>
          <w:color w:val="auto"/>
          <w:sz w:val="32"/>
          <w:szCs w:val="32"/>
          <w:lang w:val="en-US" w:eastAsia="zh-CN"/>
        </w:rPr>
        <w:t>2.</w:t>
      </w:r>
      <w:r>
        <w:rPr>
          <w:rFonts w:hint="eastAsia" w:ascii="楷体_GB2312" w:hAnsi="楷体_GB2312" w:eastAsia="楷体_GB2312" w:cs="楷体_GB2312"/>
          <w:color w:val="auto"/>
          <w:sz w:val="32"/>
          <w:szCs w:val="32"/>
          <w:lang w:eastAsia="zh-CN"/>
        </w:rPr>
        <w:t>项目管理。</w:t>
      </w:r>
      <w:r>
        <w:rPr>
          <w:rFonts w:hint="eastAsia" w:ascii="Times New Roman" w:hAnsi="Times New Roman" w:eastAsia="仿宋_GB2312" w:cs="Times New Roman"/>
          <w:color w:val="auto"/>
          <w:sz w:val="32"/>
          <w:szCs w:val="32"/>
          <w:lang w:eastAsia="zh-CN"/>
        </w:rPr>
        <w:t>围绕制度办法、分配管理、绩效监管进行绩效分析。</w:t>
      </w:r>
    </w:p>
    <w:p w14:paraId="086AF971">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（1）制度办法：该项目严格按照</w:t>
      </w:r>
      <w:r>
        <w:rPr>
          <w:rFonts w:hint="eastAsia" w:eastAsia="仿宋_GB2312" w:cs="Times New Roman"/>
          <w:sz w:val="32"/>
          <w:szCs w:val="32"/>
          <w:lang w:val="en-US" w:eastAsia="zh-CN"/>
        </w:rPr>
        <w:t>《四川省财政厅 四川省水利厅关于印发&lt;四川省水利发展资金管理办法&gt;的通知》（川财农〔2023〕29号）《遂宁市水利监督管理实施办法（试行）》</w:t>
      </w:r>
      <w:r>
        <w:rPr>
          <w:rFonts w:hint="eastAsia" w:ascii="Times New Roman" w:hAnsi="Times New Roman" w:eastAsia="仿宋_GB2312" w:cs="Times New Roman"/>
          <w:sz w:val="32"/>
          <w:szCs w:val="32"/>
          <w:lang w:val="en-US" w:eastAsia="zh-CN"/>
        </w:rPr>
        <w:t>专项资金管理办法</w:t>
      </w:r>
      <w:r>
        <w:rPr>
          <w:rFonts w:hint="eastAsia" w:eastAsia="仿宋_GB2312" w:cs="Times New Roman"/>
          <w:sz w:val="32"/>
          <w:szCs w:val="32"/>
          <w:lang w:val="en-US" w:eastAsia="zh-CN"/>
        </w:rPr>
        <w:t>开展</w:t>
      </w:r>
      <w:r>
        <w:rPr>
          <w:rFonts w:hint="eastAsia" w:ascii="Times New Roman" w:hAnsi="Times New Roman" w:eastAsia="仿宋_GB2312" w:cs="Times New Roman"/>
          <w:sz w:val="32"/>
          <w:szCs w:val="32"/>
          <w:lang w:val="en-US" w:eastAsia="zh-CN"/>
        </w:rPr>
        <w:t>，并严格按照“</w:t>
      </w:r>
      <w:r>
        <w:rPr>
          <w:rFonts w:hint="eastAsia" w:eastAsia="仿宋_GB2312" w:cs="Times New Roman"/>
          <w:sz w:val="32"/>
          <w:szCs w:val="32"/>
          <w:lang w:val="en-US" w:eastAsia="zh-CN"/>
        </w:rPr>
        <w:t>遂财农【2023】101号</w:t>
      </w:r>
      <w:r>
        <w:rPr>
          <w:rFonts w:hint="eastAsia" w:ascii="Times New Roman" w:hAnsi="Times New Roman" w:eastAsia="仿宋_GB2312" w:cs="Times New Roman"/>
          <w:sz w:val="32"/>
          <w:szCs w:val="32"/>
          <w:lang w:val="en-US" w:eastAsia="zh-CN"/>
        </w:rPr>
        <w:t>”文件规定执行；项目资金支付严格按照我局财务报销管理</w:t>
      </w:r>
      <w:r>
        <w:rPr>
          <w:rFonts w:hint="eastAsia" w:eastAsia="仿宋_GB2312" w:cs="Times New Roman"/>
          <w:sz w:val="32"/>
          <w:szCs w:val="32"/>
          <w:lang w:val="en-US" w:eastAsia="zh-CN"/>
        </w:rPr>
        <w:t>、收支业务管理</w:t>
      </w:r>
      <w:r>
        <w:rPr>
          <w:rFonts w:hint="eastAsia" w:ascii="Times New Roman" w:hAnsi="Times New Roman" w:eastAsia="仿宋_GB2312" w:cs="Times New Roman"/>
          <w:sz w:val="32"/>
          <w:szCs w:val="32"/>
          <w:lang w:val="en-US" w:eastAsia="zh-CN"/>
        </w:rPr>
        <w:t>制度执行，不存在管理制度缺失、管理办法过期情况；自评得2分。</w:t>
      </w:r>
    </w:p>
    <w:p w14:paraId="0C600EAA">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（2）分配管理：</w:t>
      </w:r>
    </w:p>
    <w:p w14:paraId="07675CD0">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资金分配因素：该项目由“</w:t>
      </w:r>
      <w:r>
        <w:rPr>
          <w:rFonts w:hint="eastAsia" w:eastAsia="仿宋_GB2312" w:cs="Times New Roman"/>
          <w:sz w:val="32"/>
          <w:szCs w:val="32"/>
          <w:lang w:val="en-US" w:eastAsia="zh-CN"/>
        </w:rPr>
        <w:t>遂财农【2023】101号</w:t>
      </w:r>
      <w:r>
        <w:rPr>
          <w:rFonts w:hint="eastAsia" w:ascii="Times New Roman" w:hAnsi="Times New Roman" w:eastAsia="仿宋_GB2312" w:cs="Times New Roman"/>
          <w:sz w:val="32"/>
          <w:szCs w:val="32"/>
          <w:lang w:val="en-US" w:eastAsia="zh-CN"/>
        </w:rPr>
        <w:t>”文件分配，上级部门及财政部门选取充分考虑相关行业事业发展实际和发展需求，自评得2分；</w:t>
      </w:r>
    </w:p>
    <w:p w14:paraId="1B8C8760">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资金分配因素的权重设置：有效突出了遂宁市各县区实际，自评得2分；</w:t>
      </w:r>
    </w:p>
    <w:p w14:paraId="06384560">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资金区域分布结果公平合理，不存在仅为1个地区，自评得2分。</w:t>
      </w:r>
    </w:p>
    <w:p w14:paraId="1940A41A">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该项目资金分配严格</w:t>
      </w:r>
      <w:r>
        <w:rPr>
          <w:rFonts w:hint="eastAsia" w:eastAsia="仿宋_GB2312" w:cs="Times New Roman"/>
          <w:sz w:val="32"/>
          <w:szCs w:val="32"/>
          <w:lang w:val="en-US" w:eastAsia="zh-CN"/>
        </w:rPr>
        <w:t>按遂财农【2023】101号</w:t>
      </w:r>
      <w:r>
        <w:rPr>
          <w:rFonts w:hint="eastAsia" w:ascii="Times New Roman" w:hAnsi="Times New Roman" w:eastAsia="仿宋_GB2312" w:cs="Times New Roman"/>
          <w:sz w:val="32"/>
          <w:szCs w:val="32"/>
          <w:lang w:val="en-US" w:eastAsia="zh-CN"/>
        </w:rPr>
        <w:t>执行，决策程序符合管理要求，及时高效，自评得4分。</w:t>
      </w:r>
    </w:p>
    <w:p w14:paraId="678E5048">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（3）绩效监管：该项目严格按照</w:t>
      </w:r>
      <w:r>
        <w:rPr>
          <w:rFonts w:hint="eastAsia" w:eastAsia="仿宋_GB2312" w:cs="Times New Roman"/>
          <w:sz w:val="32"/>
          <w:szCs w:val="32"/>
          <w:lang w:val="en-US" w:eastAsia="zh-CN"/>
        </w:rPr>
        <w:t>中央、省委</w:t>
      </w:r>
      <w:r>
        <w:rPr>
          <w:rFonts w:hint="eastAsia" w:ascii="Times New Roman" w:hAnsi="Times New Roman" w:eastAsia="仿宋_GB2312" w:cs="Times New Roman"/>
          <w:sz w:val="32"/>
          <w:szCs w:val="32"/>
          <w:lang w:val="en-US" w:eastAsia="zh-CN"/>
        </w:rPr>
        <w:t>、市要求全面完成绩效目标（含事前评估）、绩效评价、以前年度问题整改等预算绩效管理工作要求开展，设定了项目绩效目标（含事前评估），本次进行了绩效自评，自评得4分</w:t>
      </w:r>
    </w:p>
    <w:p w14:paraId="29712678">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遂宁市财政局发布了“</w:t>
      </w:r>
      <w:r>
        <w:rPr>
          <w:rFonts w:hint="eastAsia" w:eastAsia="仿宋_GB2312" w:cs="Times New Roman"/>
          <w:sz w:val="32"/>
          <w:szCs w:val="32"/>
          <w:lang w:val="en-US" w:eastAsia="zh-CN"/>
        </w:rPr>
        <w:t>遂财农【2023】101号</w:t>
      </w:r>
      <w:r>
        <w:rPr>
          <w:rFonts w:hint="eastAsia" w:ascii="Times New Roman" w:hAnsi="Times New Roman" w:eastAsia="仿宋_GB2312" w:cs="Times New Roman"/>
          <w:sz w:val="32"/>
          <w:szCs w:val="32"/>
          <w:lang w:val="en-US" w:eastAsia="zh-CN"/>
        </w:rPr>
        <w:t>”文件，对县级主管部门预算绩效管理要求到位，不存在对县级资金分配和项目管理指导力度不够情况，已对县级开展评价、监督、指导等工作，自评得2分。</w:t>
      </w:r>
    </w:p>
    <w:p w14:paraId="26DC6413">
      <w:pPr>
        <w:keepNext w:val="0"/>
        <w:keepLines w:val="0"/>
        <w:pageBreakBefore w:val="0"/>
        <w:widowControl w:val="0"/>
        <w:kinsoku/>
        <w:wordWrap/>
        <w:overflowPunct/>
        <w:topLinePunct w:val="0"/>
        <w:autoSpaceDE/>
        <w:autoSpaceDN/>
        <w:bidi w:val="0"/>
        <w:adjustRightInd/>
        <w:snapToGrid/>
        <w:spacing w:line="590" w:lineRule="exact"/>
        <w:ind w:left="420" w:leftChars="200" w:right="0" w:rightChars="0" w:firstLine="0" w:firstLineChars="0"/>
        <w:textAlignment w:val="auto"/>
        <w:outlineLvl w:val="9"/>
        <w:rPr>
          <w:rFonts w:hint="eastAsia" w:ascii="Times New Roman" w:hAnsi="Times New Roman" w:eastAsia="仿宋_GB2312" w:cs="Times New Roman"/>
          <w:color w:val="auto"/>
          <w:sz w:val="32"/>
          <w:szCs w:val="32"/>
          <w:lang w:eastAsia="zh-CN"/>
        </w:rPr>
      </w:pPr>
      <w:r>
        <w:rPr>
          <w:rFonts w:hint="eastAsia" w:ascii="楷体_GB2312" w:hAnsi="楷体_GB2312" w:eastAsia="楷体_GB2312" w:cs="楷体_GB2312"/>
          <w:color w:val="auto"/>
          <w:sz w:val="32"/>
          <w:szCs w:val="32"/>
          <w:lang w:val="en-US" w:eastAsia="zh-CN"/>
        </w:rPr>
        <w:t>3.项目实施。</w:t>
      </w:r>
      <w:r>
        <w:rPr>
          <w:rFonts w:hint="eastAsia" w:ascii="Times New Roman" w:hAnsi="Times New Roman" w:eastAsia="仿宋_GB2312" w:cs="Times New Roman"/>
          <w:color w:val="auto"/>
          <w:sz w:val="32"/>
          <w:szCs w:val="32"/>
          <w:lang w:eastAsia="zh-CN"/>
        </w:rPr>
        <w:t>围绕预算</w:t>
      </w:r>
      <w:r>
        <w:rPr>
          <w:rFonts w:hint="eastAsia" w:eastAsia="仿宋_GB2312" w:cs="Times New Roman"/>
          <w:color w:val="auto"/>
          <w:sz w:val="32"/>
          <w:szCs w:val="32"/>
          <w:lang w:val="zh-CN" w:eastAsia="zh-CN"/>
        </w:rPr>
        <w:t>执行</w:t>
      </w:r>
      <w:r>
        <w:rPr>
          <w:rFonts w:hint="eastAsia" w:ascii="Times New Roman" w:hAnsi="Times New Roman" w:eastAsia="仿宋_GB2312" w:cs="Times New Roman"/>
          <w:color w:val="auto"/>
          <w:sz w:val="32"/>
          <w:szCs w:val="32"/>
          <w:lang w:eastAsia="zh-CN"/>
        </w:rPr>
        <w:t>、资金使用进行绩效分析。</w:t>
      </w:r>
    </w:p>
    <w:p w14:paraId="361AF0C3">
      <w:pPr>
        <w:keepNext w:val="0"/>
        <w:keepLines w:val="0"/>
        <w:pageBreakBefore w:val="0"/>
        <w:widowControl w:val="0"/>
        <w:kinsoku/>
        <w:wordWrap w:val="0"/>
        <w:overflowPunct/>
        <w:topLinePunct w:val="0"/>
        <w:autoSpaceDE/>
        <w:autoSpaceDN/>
        <w:bidi w:val="0"/>
        <w:adjustRightInd/>
        <w:snapToGrid/>
        <w:spacing w:line="590" w:lineRule="exact"/>
        <w:ind w:left="0" w:leftChars="0" w:right="0" w:rightChars="0" w:firstLine="640" w:firstLineChars="2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（1）预算执行：根据“财政资金拨付率×100%×2+单位资金使用率×100%×2+地方资金到位率×100%×2”自评指标；该项目2024年度预算数</w:t>
      </w:r>
      <w:r>
        <w:rPr>
          <w:rFonts w:hint="eastAsia" w:eastAsia="仿宋_GB2312" w:cs="Times New Roman"/>
          <w:sz w:val="32"/>
          <w:szCs w:val="32"/>
          <w:lang w:val="en-US" w:eastAsia="zh-CN"/>
        </w:rPr>
        <w:t>4694112.18</w:t>
      </w:r>
      <w:r>
        <w:rPr>
          <w:rFonts w:hint="eastAsia" w:ascii="Times New Roman" w:hAnsi="Times New Roman" w:eastAsia="仿宋_GB2312" w:cs="Times New Roman"/>
          <w:sz w:val="32"/>
          <w:szCs w:val="32"/>
          <w:lang w:val="en-US" w:eastAsia="zh-CN"/>
        </w:rPr>
        <w:t>元，单位资金使用</w:t>
      </w:r>
      <w:r>
        <w:rPr>
          <w:rFonts w:hint="eastAsia" w:eastAsia="仿宋_GB2312" w:cs="Times New Roman"/>
          <w:sz w:val="32"/>
          <w:szCs w:val="32"/>
          <w:lang w:val="en-US" w:eastAsia="zh-CN"/>
        </w:rPr>
        <w:t>4694112.18</w:t>
      </w:r>
      <w:r>
        <w:rPr>
          <w:rFonts w:hint="eastAsia" w:ascii="Times New Roman" w:hAnsi="Times New Roman" w:eastAsia="仿宋_GB2312" w:cs="Times New Roman"/>
          <w:sz w:val="32"/>
          <w:szCs w:val="32"/>
          <w:lang w:val="en-US" w:eastAsia="zh-CN"/>
        </w:rPr>
        <w:t>元，预算执行率=100%*100%*2+</w:t>
      </w:r>
      <w:r>
        <w:rPr>
          <w:rFonts w:hint="eastAsia" w:eastAsia="仿宋_GB2312" w:cs="Times New Roman"/>
          <w:sz w:val="32"/>
          <w:szCs w:val="32"/>
          <w:lang w:val="en-US" w:eastAsia="zh-CN"/>
        </w:rPr>
        <w:t>4694112.18</w:t>
      </w:r>
      <w:r>
        <w:rPr>
          <w:rFonts w:hint="eastAsia" w:ascii="Times New Roman" w:hAnsi="Times New Roman" w:eastAsia="仿宋_GB2312" w:cs="Times New Roman"/>
          <w:sz w:val="32"/>
          <w:szCs w:val="32"/>
          <w:lang w:val="en-US" w:eastAsia="zh-CN"/>
        </w:rPr>
        <w:t>/</w:t>
      </w:r>
      <w:r>
        <w:rPr>
          <w:rFonts w:hint="eastAsia" w:eastAsia="仿宋_GB2312" w:cs="Times New Roman"/>
          <w:sz w:val="32"/>
          <w:szCs w:val="32"/>
          <w:lang w:val="en-US" w:eastAsia="zh-CN"/>
        </w:rPr>
        <w:t>9940000.00</w:t>
      </w:r>
      <w:r>
        <w:rPr>
          <w:rFonts w:hint="eastAsia" w:ascii="Times New Roman" w:hAnsi="Times New Roman" w:eastAsia="仿宋_GB2312" w:cs="Times New Roman"/>
          <w:sz w:val="32"/>
          <w:szCs w:val="32"/>
          <w:lang w:val="en-US" w:eastAsia="zh-CN"/>
        </w:rPr>
        <w:t>*100%*2+2=</w:t>
      </w:r>
      <w:r>
        <w:rPr>
          <w:rFonts w:hint="eastAsia" w:eastAsia="仿宋_GB2312" w:cs="Times New Roman"/>
          <w:sz w:val="32"/>
          <w:szCs w:val="32"/>
          <w:lang w:val="en-US" w:eastAsia="zh-CN"/>
        </w:rPr>
        <w:t>4.94</w:t>
      </w:r>
      <w:r>
        <w:rPr>
          <w:rFonts w:hint="eastAsia" w:ascii="Times New Roman" w:hAnsi="Times New Roman" w:eastAsia="仿宋_GB2312" w:cs="Times New Roman"/>
          <w:sz w:val="32"/>
          <w:szCs w:val="32"/>
          <w:lang w:val="en-US" w:eastAsia="zh-CN"/>
        </w:rPr>
        <w:t>分。</w:t>
      </w:r>
    </w:p>
    <w:p w14:paraId="35428E3F">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（2）资金使用：2024年度，该项目在项目资金使用、拨付中严格按照</w:t>
      </w:r>
      <w:r>
        <w:rPr>
          <w:rFonts w:hint="eastAsia" w:eastAsia="仿宋_GB2312" w:cs="Times New Roman"/>
          <w:sz w:val="32"/>
          <w:szCs w:val="32"/>
          <w:lang w:val="en-US" w:eastAsia="zh-CN"/>
        </w:rPr>
        <w:t>《四川省财政厅 四川省水利厅关于印发&lt;四川省水利发展资金管理办法&gt;的通知》（川财农〔2023〕29号）《遂宁市水利监督管理实施办法（试行）》</w:t>
      </w:r>
      <w:r>
        <w:rPr>
          <w:rFonts w:hint="eastAsia" w:ascii="Times New Roman" w:hAnsi="Times New Roman" w:eastAsia="仿宋_GB2312" w:cs="Times New Roman"/>
          <w:sz w:val="32"/>
          <w:szCs w:val="32"/>
          <w:lang w:val="en-US" w:eastAsia="zh-CN"/>
        </w:rPr>
        <w:t>、“</w:t>
      </w:r>
      <w:r>
        <w:rPr>
          <w:rFonts w:hint="eastAsia" w:eastAsia="仿宋_GB2312" w:cs="Times New Roman"/>
          <w:sz w:val="32"/>
          <w:szCs w:val="32"/>
          <w:lang w:val="en-US" w:eastAsia="zh-CN"/>
        </w:rPr>
        <w:t>遂财农【2023】101号</w:t>
      </w:r>
      <w:r>
        <w:rPr>
          <w:rFonts w:hint="eastAsia" w:ascii="Times New Roman" w:hAnsi="Times New Roman" w:eastAsia="仿宋_GB2312" w:cs="Times New Roman"/>
          <w:sz w:val="32"/>
          <w:szCs w:val="32"/>
          <w:lang w:val="en-US" w:eastAsia="zh-CN"/>
        </w:rPr>
        <w:t>”文件执行，不存在不符合国家财经法规情况；项目资金支付</w:t>
      </w:r>
      <w:r>
        <w:rPr>
          <w:rFonts w:hint="eastAsia" w:eastAsia="仿宋_GB2312" w:cs="Times New Roman"/>
          <w:sz w:val="32"/>
          <w:szCs w:val="32"/>
          <w:lang w:val="en-US" w:eastAsia="zh-CN"/>
        </w:rPr>
        <w:t>4694112.18</w:t>
      </w:r>
      <w:r>
        <w:rPr>
          <w:rFonts w:hint="eastAsia" w:ascii="Times New Roman" w:hAnsi="Times New Roman" w:eastAsia="仿宋_GB2312" w:cs="Times New Roman"/>
          <w:sz w:val="32"/>
          <w:szCs w:val="32"/>
          <w:lang w:val="en-US" w:eastAsia="zh-CN"/>
        </w:rPr>
        <w:t>元，共</w:t>
      </w:r>
      <w:r>
        <w:rPr>
          <w:rFonts w:hint="eastAsia" w:eastAsia="仿宋_GB2312" w:cs="Times New Roman"/>
          <w:sz w:val="32"/>
          <w:szCs w:val="32"/>
          <w:lang w:val="en-US" w:eastAsia="zh-CN"/>
        </w:rPr>
        <w:t>3</w:t>
      </w:r>
      <w:r>
        <w:rPr>
          <w:rFonts w:hint="eastAsia" w:ascii="Times New Roman" w:hAnsi="Times New Roman" w:eastAsia="仿宋_GB2312" w:cs="Times New Roman"/>
          <w:sz w:val="32"/>
          <w:szCs w:val="32"/>
          <w:lang w:val="en-US" w:eastAsia="zh-CN"/>
        </w:rPr>
        <w:t>笔，严格按照单位财务报销管理制度执行、严格履行资金支付审批程序，不存在超范围、超标准、超进度使用专项资金情况，不存在资金损失浪费、长期沉淀、截留、挤占、挪用、虚列支出等情况；自评得3分。</w:t>
      </w:r>
    </w:p>
    <w:p w14:paraId="36002ECA">
      <w:pPr>
        <w:keepNext w:val="0"/>
        <w:keepLines w:val="0"/>
        <w:pageBreakBefore w:val="0"/>
        <w:widowControl w:val="0"/>
        <w:kinsoku/>
        <w:wordWrap/>
        <w:overflowPunct/>
        <w:topLinePunct w:val="0"/>
        <w:autoSpaceDE/>
        <w:autoSpaceDN/>
        <w:bidi w:val="0"/>
        <w:adjustRightInd/>
        <w:snapToGrid/>
        <w:spacing w:line="590" w:lineRule="exact"/>
        <w:ind w:left="420" w:leftChars="200" w:right="0" w:rightChars="0" w:firstLine="0" w:firstLineChars="0"/>
        <w:textAlignment w:val="auto"/>
        <w:outlineLvl w:val="9"/>
        <w:rPr>
          <w:rFonts w:hint="eastAsia" w:ascii="Times New Roman" w:hAnsi="Times New Roman" w:eastAsia="仿宋_GB2312" w:cs="Times New Roman"/>
          <w:color w:val="auto"/>
          <w:sz w:val="32"/>
          <w:szCs w:val="32"/>
          <w:lang w:eastAsia="zh-CN"/>
        </w:rPr>
      </w:pPr>
      <w:r>
        <w:rPr>
          <w:rFonts w:hint="eastAsia" w:ascii="楷体_GB2312" w:hAnsi="楷体_GB2312" w:eastAsia="楷体_GB2312" w:cs="楷体_GB2312"/>
          <w:color w:val="auto"/>
          <w:sz w:val="32"/>
          <w:szCs w:val="32"/>
          <w:lang w:val="en-US" w:eastAsia="zh-CN"/>
        </w:rPr>
        <w:t>4.项目结果。</w:t>
      </w:r>
      <w:r>
        <w:rPr>
          <w:rFonts w:hint="eastAsia" w:ascii="Times New Roman" w:hAnsi="Times New Roman" w:eastAsia="仿宋_GB2312" w:cs="Times New Roman"/>
          <w:color w:val="auto"/>
          <w:sz w:val="32"/>
          <w:szCs w:val="32"/>
          <w:lang w:val="en-US" w:eastAsia="zh-CN"/>
        </w:rPr>
        <w:t>围绕</w:t>
      </w:r>
      <w:r>
        <w:rPr>
          <w:rFonts w:hint="eastAsia" w:ascii="Times New Roman" w:hAnsi="Times New Roman" w:eastAsia="仿宋_GB2312" w:cs="Times New Roman"/>
          <w:color w:val="auto"/>
          <w:sz w:val="32"/>
          <w:szCs w:val="32"/>
          <w:lang w:eastAsia="zh-CN"/>
        </w:rPr>
        <w:t>目标完成、完成时效进行绩效分析。</w:t>
      </w:r>
    </w:p>
    <w:p w14:paraId="1A12419B">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（1）目标完成：</w:t>
      </w:r>
    </w:p>
    <w:p w14:paraId="0E33977E">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数量指标</w:t>
      </w:r>
      <w:r>
        <w:rPr>
          <w:rFonts w:hint="eastAsia" w:ascii="Times New Roman" w:hAnsi="Times New Roman" w:eastAsia="仿宋_GB2312" w:cs="Times New Roman"/>
          <w:sz w:val="32"/>
          <w:szCs w:val="32"/>
          <w:lang w:val="en-US" w:eastAsia="zh-CN"/>
        </w:rPr>
        <w:t>：</w:t>
      </w:r>
      <w:r>
        <w:rPr>
          <w:rFonts w:hint="eastAsia" w:eastAsia="仿宋_GB2312"/>
          <w:sz w:val="32"/>
          <w:szCs w:val="32"/>
          <w:lang w:val="en-US" w:eastAsia="zh-CN"/>
        </w:rPr>
        <w:t>实施山洪灾害防治的县数1个</w:t>
      </w:r>
      <w:r>
        <w:rPr>
          <w:rFonts w:hint="eastAsia" w:eastAsia="仿宋_GB2312" w:cs="Times New Roman"/>
          <w:sz w:val="32"/>
          <w:szCs w:val="32"/>
          <w:lang w:val="en-US" w:eastAsia="zh-CN"/>
        </w:rPr>
        <w:t>；上述“实施山洪灾害防治县数2个”，其中包括遂宁市本级、遂宁市安居区2个地区；遂宁市安居区山洪灾害防治主要为实施山洪灾害非工程措施建设；该子项目由北京金水燕禹科技有限公司设计，中标单位为中国广电四川网络股份有限公司安居区分公司，2024年度我局实际完成</w:t>
      </w:r>
      <w:r>
        <w:rPr>
          <w:rFonts w:hint="eastAsia" w:eastAsia="仿宋_GB2312"/>
          <w:sz w:val="32"/>
          <w:szCs w:val="32"/>
          <w:lang w:val="en-US" w:eastAsia="zh-CN"/>
        </w:rPr>
        <w:t>实施山洪灾害防治的县数1个</w:t>
      </w:r>
      <w:r>
        <w:rPr>
          <w:rFonts w:hint="eastAsia" w:eastAsia="仿宋_GB2312" w:cs="Times New Roman"/>
          <w:sz w:val="32"/>
          <w:szCs w:val="32"/>
          <w:lang w:val="en-US" w:eastAsia="zh-CN"/>
        </w:rPr>
        <w:t>。</w:t>
      </w:r>
    </w:p>
    <w:p w14:paraId="0DE8D545">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default"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数量指标</w:t>
      </w:r>
      <w:r>
        <w:rPr>
          <w:rFonts w:hint="eastAsia" w:ascii="Times New Roman" w:hAnsi="Times New Roman" w:eastAsia="仿宋_GB2312" w:cs="Times New Roman"/>
          <w:sz w:val="32"/>
          <w:szCs w:val="32"/>
          <w:lang w:val="en-US" w:eastAsia="zh-CN"/>
        </w:rPr>
        <w:t>：</w:t>
      </w:r>
      <w:r>
        <w:rPr>
          <w:rFonts w:hint="eastAsia" w:eastAsia="仿宋_GB2312"/>
          <w:sz w:val="32"/>
          <w:szCs w:val="32"/>
          <w:lang w:val="en-US" w:eastAsia="zh-CN"/>
        </w:rPr>
        <w:t>农村饮水工程维修养护</w:t>
      </w:r>
      <w:r>
        <w:rPr>
          <w:rFonts w:hint="eastAsia" w:ascii="Times New Roman" w:hAnsi="Times New Roman" w:eastAsia="仿宋_GB2312" w:cs="Times New Roman"/>
          <w:sz w:val="32"/>
          <w:szCs w:val="32"/>
          <w:lang w:val="en-US" w:eastAsia="zh-CN"/>
        </w:rPr>
        <w:t>≥</w:t>
      </w:r>
      <w:r>
        <w:rPr>
          <w:rFonts w:hint="eastAsia" w:eastAsia="仿宋_GB2312" w:cs="Times New Roman"/>
          <w:sz w:val="32"/>
          <w:szCs w:val="32"/>
          <w:lang w:val="en-US" w:eastAsia="zh-CN"/>
        </w:rPr>
        <w:t>13处；2024年度2024年度我局实际完成13处</w:t>
      </w:r>
      <w:r>
        <w:rPr>
          <w:rFonts w:hint="eastAsia" w:eastAsia="仿宋_GB2312"/>
          <w:sz w:val="32"/>
          <w:szCs w:val="32"/>
          <w:lang w:val="en-US" w:eastAsia="zh-CN"/>
        </w:rPr>
        <w:t>农村饮水工程维修养护</w:t>
      </w:r>
      <w:r>
        <w:rPr>
          <w:rFonts w:hint="eastAsia" w:eastAsia="仿宋_GB2312" w:cs="Times New Roman"/>
          <w:sz w:val="32"/>
          <w:szCs w:val="32"/>
          <w:lang w:val="en-US" w:eastAsia="zh-CN"/>
        </w:rPr>
        <w:t>；</w:t>
      </w:r>
    </w:p>
    <w:p w14:paraId="34F82B5E">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eastAsia" w:eastAsia="仿宋_GB2312" w:cs="Times New Roman"/>
          <w:sz w:val="32"/>
          <w:szCs w:val="32"/>
          <w:lang w:val="en-US" w:eastAsia="zh-CN"/>
        </w:rPr>
      </w:pPr>
      <w:r>
        <w:rPr>
          <w:rFonts w:hint="eastAsia" w:eastAsia="仿宋_GB2312" w:cs="Times New Roman"/>
          <w:sz w:val="32"/>
          <w:szCs w:val="32"/>
          <w:lang w:val="en-US" w:eastAsia="zh-CN"/>
        </w:rPr>
        <w:t>质量指标：</w:t>
      </w:r>
      <w:r>
        <w:rPr>
          <w:rFonts w:hint="default" w:ascii="Times New Roman" w:hAnsi="Times New Roman" w:eastAsia="仿宋_GB2312" w:cs="Times New Roman"/>
          <w:sz w:val="32"/>
          <w:szCs w:val="32"/>
          <w:lang w:val="en-US" w:eastAsia="zh-CN"/>
        </w:rPr>
        <w:t>项目验收合格率</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100%</w:t>
      </w:r>
      <w:r>
        <w:rPr>
          <w:rFonts w:hint="eastAsia" w:ascii="Times New Roman" w:hAnsi="Times New Roman" w:eastAsia="仿宋_GB2312" w:cs="Times New Roman"/>
          <w:sz w:val="32"/>
          <w:szCs w:val="32"/>
          <w:lang w:val="en-US" w:eastAsia="zh-CN"/>
        </w:rPr>
        <w:t>；</w:t>
      </w:r>
      <w:r>
        <w:rPr>
          <w:rFonts w:hint="eastAsia" w:eastAsia="仿宋_GB2312" w:cs="Times New Roman"/>
          <w:sz w:val="32"/>
          <w:szCs w:val="32"/>
          <w:lang w:val="en-US" w:eastAsia="zh-CN"/>
        </w:rPr>
        <w:t>2024年度实施的该项目为跨年度实施项目，</w:t>
      </w:r>
      <w:r>
        <w:rPr>
          <w:rFonts w:hint="default" w:ascii="Times New Roman" w:hAnsi="Times New Roman" w:eastAsia="仿宋_GB2312" w:cs="Times New Roman"/>
          <w:sz w:val="32"/>
          <w:szCs w:val="32"/>
          <w:lang w:val="en-US" w:eastAsia="zh-CN"/>
        </w:rPr>
        <w:t>项目验收合格</w:t>
      </w:r>
      <w:r>
        <w:rPr>
          <w:rFonts w:hint="eastAsia" w:eastAsia="仿宋_GB2312" w:cs="Times New Roman"/>
          <w:sz w:val="32"/>
          <w:szCs w:val="32"/>
          <w:lang w:val="en-US" w:eastAsia="zh-CN"/>
        </w:rPr>
        <w:t>。</w:t>
      </w:r>
    </w:p>
    <w:p w14:paraId="2EF457CE">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default" w:eastAsia="仿宋_GB2312" w:cs="Times New Roman"/>
          <w:sz w:val="32"/>
          <w:szCs w:val="32"/>
          <w:lang w:val="en-US" w:eastAsia="zh-CN"/>
        </w:rPr>
      </w:pPr>
      <w:r>
        <w:rPr>
          <w:rFonts w:hint="default" w:eastAsia="仿宋_GB2312" w:cs="Times New Roman"/>
          <w:sz w:val="32"/>
          <w:szCs w:val="32"/>
          <w:lang w:val="en-US" w:eastAsia="zh-CN"/>
        </w:rPr>
        <w:t>经济成本指标：总投资偏差率≤5%</w:t>
      </w:r>
      <w:r>
        <w:rPr>
          <w:rFonts w:hint="eastAsia" w:eastAsia="仿宋_GB2312" w:cs="Times New Roman"/>
          <w:sz w:val="32"/>
          <w:szCs w:val="32"/>
          <w:lang w:val="en-US" w:eastAsia="zh-CN"/>
        </w:rPr>
        <w:t>；该项目下达资金4694112.18元，实际支付完成4694112.18元，无投资偏差。</w:t>
      </w:r>
    </w:p>
    <w:p w14:paraId="5CB486C4">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自评得</w:t>
      </w:r>
      <w:r>
        <w:rPr>
          <w:rFonts w:hint="eastAsia" w:eastAsia="仿宋_GB2312" w:cs="Times New Roman"/>
          <w:sz w:val="32"/>
          <w:szCs w:val="32"/>
          <w:lang w:val="en-US" w:eastAsia="zh-CN"/>
        </w:rPr>
        <w:t>4.94</w:t>
      </w:r>
      <w:r>
        <w:rPr>
          <w:rFonts w:hint="eastAsia" w:ascii="Times New Roman" w:hAnsi="Times New Roman" w:eastAsia="仿宋_GB2312" w:cs="Times New Roman"/>
          <w:sz w:val="32"/>
          <w:szCs w:val="32"/>
          <w:lang w:val="en-US" w:eastAsia="zh-CN"/>
        </w:rPr>
        <w:t>分。</w:t>
      </w:r>
    </w:p>
    <w:p w14:paraId="2648405C">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default"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color w:val="auto"/>
          <w:sz w:val="32"/>
          <w:szCs w:val="32"/>
          <w:lang w:val="en-US" w:eastAsia="zh-CN"/>
        </w:rPr>
        <w:t>（2）完成时效</w:t>
      </w:r>
    </w:p>
    <w:p w14:paraId="694D350C">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2024年度我局该项目均在5个工作日内支付项目资金，专项资金到位及时率</w:t>
      </w:r>
      <w:r>
        <w:rPr>
          <w:rFonts w:hint="eastAsia" w:eastAsia="仿宋_GB2312" w:cs="Times New Roman"/>
          <w:sz w:val="32"/>
          <w:szCs w:val="32"/>
          <w:lang w:val="en-US" w:eastAsia="zh-CN"/>
        </w:rPr>
        <w:t>100%</w:t>
      </w:r>
      <w:r>
        <w:rPr>
          <w:rFonts w:hint="eastAsia" w:ascii="Times New Roman" w:hAnsi="Times New Roman" w:eastAsia="仿宋_GB2312" w:cs="Times New Roman"/>
          <w:sz w:val="32"/>
          <w:szCs w:val="32"/>
          <w:lang w:val="en-US" w:eastAsia="zh-CN"/>
        </w:rPr>
        <w:t>；资金拨付及时率≤10工作日</w:t>
      </w:r>
      <w:r>
        <w:rPr>
          <w:rFonts w:hint="eastAsia" w:eastAsia="仿宋_GB2312" w:cs="Times New Roman"/>
          <w:sz w:val="32"/>
          <w:szCs w:val="32"/>
          <w:lang w:val="en-US" w:eastAsia="zh-CN"/>
        </w:rPr>
        <w:t>，实际均及时完成</w:t>
      </w:r>
      <w:r>
        <w:rPr>
          <w:rFonts w:hint="eastAsia" w:ascii="Times New Roman" w:hAnsi="Times New Roman" w:eastAsia="仿宋_GB2312" w:cs="Times New Roman"/>
          <w:sz w:val="32"/>
          <w:szCs w:val="32"/>
          <w:lang w:val="en-US" w:eastAsia="zh-CN"/>
        </w:rPr>
        <w:t>；自评</w:t>
      </w:r>
      <w:r>
        <w:rPr>
          <w:rFonts w:hint="eastAsia" w:eastAsia="仿宋_GB2312" w:cs="Times New Roman"/>
          <w:sz w:val="32"/>
          <w:szCs w:val="32"/>
          <w:lang w:val="en-US" w:eastAsia="zh-CN"/>
        </w:rPr>
        <w:t>3</w:t>
      </w:r>
      <w:r>
        <w:rPr>
          <w:rFonts w:hint="eastAsia" w:ascii="Times New Roman" w:hAnsi="Times New Roman" w:eastAsia="仿宋_GB2312" w:cs="Times New Roman"/>
          <w:sz w:val="32"/>
          <w:szCs w:val="32"/>
          <w:lang w:val="en-US" w:eastAsia="zh-CN"/>
        </w:rPr>
        <w:t>分。</w:t>
      </w:r>
    </w:p>
    <w:p w14:paraId="464AB8AF">
      <w:pPr>
        <w:keepNext w:val="0"/>
        <w:keepLines w:val="0"/>
        <w:pageBreakBefore w:val="0"/>
        <w:widowControl w:val="0"/>
        <w:kinsoku/>
        <w:wordWrap/>
        <w:overflowPunct/>
        <w:topLinePunct w:val="0"/>
        <w:autoSpaceDE/>
        <w:autoSpaceDN/>
        <w:bidi w:val="0"/>
        <w:adjustRightInd/>
        <w:snapToGrid/>
        <w:spacing w:line="590" w:lineRule="exact"/>
        <w:ind w:right="0" w:rightChars="0" w:firstLine="643" w:firstLineChars="200"/>
        <w:textAlignment w:val="auto"/>
        <w:outlineLvl w:val="9"/>
        <w:rPr>
          <w:rFonts w:hint="eastAsia" w:ascii="楷体_GB2312" w:hAnsi="楷体_GB2312" w:eastAsia="楷体_GB2312" w:cs="楷体_GB2312"/>
          <w:color w:val="auto"/>
          <w:sz w:val="32"/>
          <w:szCs w:val="32"/>
          <w:lang w:val="zh-CN" w:eastAsia="zh-CN"/>
        </w:rPr>
      </w:pPr>
      <w:r>
        <w:rPr>
          <w:rFonts w:hint="eastAsia" w:ascii="楷体_GB2312" w:hAnsi="宋体" w:eastAsia="楷体_GB2312" w:cs="Times New Roman"/>
          <w:b/>
          <w:color w:val="auto"/>
          <w:sz w:val="32"/>
          <w:szCs w:val="32"/>
          <w:highlight w:val="none"/>
          <w:u w:val="none"/>
          <w:lang w:val="zh-CN"/>
        </w:rPr>
        <w:t>（二）</w:t>
      </w:r>
      <w:r>
        <w:rPr>
          <w:rFonts w:hint="eastAsia" w:ascii="楷体_GB2312" w:hAnsi="宋体" w:eastAsia="楷体_GB2312" w:cs="Times New Roman"/>
          <w:b/>
          <w:color w:val="auto"/>
          <w:sz w:val="32"/>
          <w:szCs w:val="32"/>
          <w:highlight w:val="none"/>
          <w:u w:val="none"/>
          <w:lang w:val="en-US" w:eastAsia="zh-CN"/>
        </w:rPr>
        <w:t>专用指标</w:t>
      </w:r>
      <w:r>
        <w:rPr>
          <w:rFonts w:hint="default" w:ascii="Times New Roman" w:hAnsi="Times New Roman" w:eastAsia="楷体_GB2312" w:cs="Times New Roman"/>
          <w:b/>
          <w:bCs/>
          <w:color w:val="000000"/>
          <w:kern w:val="0"/>
          <w:sz w:val="32"/>
          <w:szCs w:val="32"/>
          <w:highlight w:val="none"/>
          <w:shd w:val="clear" w:color="auto" w:fill="FFFFFF"/>
          <w:lang w:val="zh-CN"/>
        </w:rPr>
        <w:t>绩效分析。</w:t>
      </w:r>
      <w:r>
        <w:rPr>
          <w:rFonts w:hint="eastAsia" w:ascii="Times New Roman" w:hAnsi="Times New Roman" w:eastAsia="仿宋_GB2312" w:cs="Times New Roman"/>
          <w:color w:val="auto"/>
          <w:sz w:val="32"/>
          <w:szCs w:val="32"/>
          <w:lang w:val="zh-CN" w:eastAsia="zh-CN"/>
        </w:rPr>
        <w:t>根据</w:t>
      </w:r>
      <w:r>
        <w:rPr>
          <w:rFonts w:hint="eastAsia" w:ascii="Times New Roman" w:hAnsi="Times New Roman" w:eastAsia="仿宋_GB2312" w:cs="Times New Roman"/>
          <w:color w:val="auto"/>
          <w:sz w:val="32"/>
          <w:szCs w:val="32"/>
          <w:lang w:val="en-US" w:eastAsia="zh-CN"/>
        </w:rPr>
        <w:t>专项</w:t>
      </w:r>
      <w:r>
        <w:rPr>
          <w:rFonts w:hint="eastAsia" w:eastAsia="仿宋_GB2312" w:cs="Times New Roman"/>
          <w:color w:val="auto"/>
          <w:sz w:val="32"/>
          <w:szCs w:val="32"/>
          <w:lang w:val="en-US" w:eastAsia="zh-CN"/>
        </w:rPr>
        <w:t>资金资金支持对象</w:t>
      </w:r>
      <w:r>
        <w:rPr>
          <w:rFonts w:hint="eastAsia" w:ascii="Times New Roman" w:hAnsi="Times New Roman" w:eastAsia="仿宋_GB2312" w:cs="Times New Roman"/>
          <w:color w:val="auto"/>
          <w:sz w:val="32"/>
          <w:szCs w:val="32"/>
          <w:lang w:val="en-US" w:eastAsia="zh-CN"/>
        </w:rPr>
        <w:t>选择所属指标进行绩效分析。</w:t>
      </w:r>
      <w:r>
        <w:rPr>
          <w:rFonts w:hint="eastAsia" w:eastAsia="仿宋_GB2312" w:cs="Times New Roman"/>
          <w:color w:val="auto"/>
          <w:sz w:val="32"/>
          <w:szCs w:val="32"/>
          <w:lang w:val="en-US" w:eastAsia="zh-CN"/>
        </w:rPr>
        <w:t>支持对象</w:t>
      </w:r>
      <w:r>
        <w:rPr>
          <w:rFonts w:hint="eastAsia" w:ascii="Times New Roman" w:hAnsi="Times New Roman" w:eastAsia="仿宋_GB2312" w:cs="Times New Roman"/>
          <w:color w:val="auto"/>
          <w:sz w:val="32"/>
          <w:szCs w:val="32"/>
          <w:lang w:val="zh-CN" w:eastAsia="zh-CN"/>
        </w:rPr>
        <w:t>包括产业发展、民生保障、基础设施、行政运转等方面。</w:t>
      </w:r>
    </w:p>
    <w:p w14:paraId="176C6923">
      <w:pPr>
        <w:keepNext w:val="0"/>
        <w:keepLines w:val="0"/>
        <w:pageBreakBefore w:val="0"/>
        <w:widowControl w:val="0"/>
        <w:kinsoku/>
        <w:wordWrap/>
        <w:overflowPunct/>
        <w:topLinePunct w:val="0"/>
        <w:autoSpaceDE/>
        <w:autoSpaceDN/>
        <w:bidi w:val="0"/>
        <w:adjustRightInd/>
        <w:snapToGrid/>
        <w:spacing w:line="590" w:lineRule="exact"/>
        <w:ind w:left="0" w:leftChars="0" w:right="0" w:rightChars="0" w:firstLine="640" w:firstLineChars="200"/>
        <w:textAlignment w:val="auto"/>
        <w:outlineLvl w:val="9"/>
        <w:rPr>
          <w:rFonts w:hint="eastAsia" w:eastAsia="仿宋_GB2312" w:cs="Times New Roman"/>
          <w:color w:val="auto"/>
          <w:sz w:val="32"/>
          <w:szCs w:val="32"/>
          <w:lang w:eastAsia="zh-CN"/>
        </w:rPr>
      </w:pPr>
      <w:r>
        <w:rPr>
          <w:rFonts w:hint="eastAsia" w:ascii="楷体_GB2312" w:hAnsi="楷体_GB2312" w:eastAsia="楷体_GB2312" w:cs="楷体_GB2312"/>
          <w:color w:val="auto"/>
          <w:sz w:val="32"/>
          <w:szCs w:val="32"/>
          <w:lang w:val="en-US" w:eastAsia="zh-CN"/>
        </w:rPr>
        <w:t>1.产业发展。</w:t>
      </w:r>
      <w:r>
        <w:rPr>
          <w:rFonts w:hint="eastAsia" w:ascii="Times New Roman" w:hAnsi="Times New Roman" w:eastAsia="仿宋_GB2312" w:cs="Times New Roman"/>
          <w:color w:val="auto"/>
          <w:sz w:val="32"/>
          <w:szCs w:val="32"/>
          <w:lang w:eastAsia="zh-CN"/>
        </w:rPr>
        <w:t>围绕</w:t>
      </w:r>
      <w:r>
        <w:rPr>
          <w:rFonts w:hint="eastAsia" w:eastAsia="仿宋_GB2312" w:cs="Times New Roman"/>
          <w:color w:val="auto"/>
          <w:sz w:val="32"/>
          <w:szCs w:val="32"/>
          <w:lang w:eastAsia="zh-CN"/>
        </w:rPr>
        <w:t>符合性、成长性、经济性进行绩效分析。</w:t>
      </w:r>
    </w:p>
    <w:p w14:paraId="4AFE2B8C">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该项目实施属于</w:t>
      </w:r>
      <w:r>
        <w:rPr>
          <w:rFonts w:hint="eastAsia" w:eastAsia="仿宋_GB2312" w:cs="Times New Roman"/>
          <w:sz w:val="32"/>
          <w:szCs w:val="32"/>
          <w:lang w:val="en-US" w:eastAsia="zh-CN"/>
        </w:rPr>
        <w:t>安居区“推进乡村振兴，实现农业强区跨越式发展”“十四五”规划</w:t>
      </w:r>
      <w:r>
        <w:rPr>
          <w:rFonts w:hint="eastAsia" w:ascii="Times New Roman" w:hAnsi="Times New Roman" w:eastAsia="仿宋_GB2312" w:cs="Times New Roman"/>
          <w:sz w:val="32"/>
          <w:szCs w:val="32"/>
          <w:lang w:val="en-US" w:eastAsia="zh-CN"/>
        </w:rPr>
        <w:t>内容，属于政府支持范围，且符合财政事权支出责任划分规定；资金投向与项目总体规划、</w:t>
      </w:r>
      <w:r>
        <w:rPr>
          <w:rFonts w:hint="eastAsia" w:eastAsia="仿宋_GB2312" w:cs="Times New Roman"/>
          <w:sz w:val="32"/>
          <w:szCs w:val="32"/>
          <w:lang w:val="en-US" w:eastAsia="zh-CN"/>
        </w:rPr>
        <w:t>水利建设</w:t>
      </w:r>
      <w:r>
        <w:rPr>
          <w:rFonts w:hint="eastAsia" w:ascii="Times New Roman" w:hAnsi="Times New Roman" w:eastAsia="仿宋_GB2312" w:cs="Times New Roman"/>
          <w:sz w:val="32"/>
          <w:szCs w:val="32"/>
          <w:lang w:val="en-US" w:eastAsia="zh-CN"/>
        </w:rPr>
        <w:t>事业发展相匹配；自评得5分。</w:t>
      </w:r>
    </w:p>
    <w:p w14:paraId="73F385EC">
      <w:pPr>
        <w:keepNext w:val="0"/>
        <w:keepLines w:val="0"/>
        <w:pageBreakBefore w:val="0"/>
        <w:widowControl w:val="0"/>
        <w:kinsoku/>
        <w:wordWrap/>
        <w:overflowPunct/>
        <w:topLinePunct w:val="0"/>
        <w:autoSpaceDE/>
        <w:autoSpaceDN/>
        <w:bidi w:val="0"/>
        <w:adjustRightInd/>
        <w:snapToGrid/>
        <w:spacing w:line="590" w:lineRule="exact"/>
        <w:ind w:left="0" w:leftChars="0" w:right="0" w:rightChars="0" w:firstLine="640" w:firstLineChars="200"/>
        <w:textAlignment w:val="auto"/>
        <w:outlineLvl w:val="9"/>
        <w:rPr>
          <w:rFonts w:hint="eastAsia" w:eastAsia="仿宋_GB2312" w:cs="Times New Roman"/>
          <w:color w:val="auto"/>
          <w:sz w:val="32"/>
          <w:szCs w:val="32"/>
          <w:lang w:eastAsia="zh-CN"/>
        </w:rPr>
      </w:pPr>
      <w:r>
        <w:rPr>
          <w:rFonts w:hint="eastAsia" w:ascii="楷体_GB2312" w:hAnsi="楷体_GB2312" w:eastAsia="楷体_GB2312" w:cs="楷体_GB2312"/>
          <w:color w:val="auto"/>
          <w:sz w:val="32"/>
          <w:szCs w:val="32"/>
          <w:lang w:val="en-US" w:eastAsia="zh-CN"/>
        </w:rPr>
        <w:t>2.</w:t>
      </w:r>
      <w:r>
        <w:rPr>
          <w:rFonts w:hint="eastAsia" w:ascii="楷体_GB2312" w:hAnsi="楷体_GB2312" w:eastAsia="楷体_GB2312" w:cs="楷体_GB2312"/>
          <w:color w:val="auto"/>
          <w:sz w:val="32"/>
          <w:szCs w:val="32"/>
          <w:lang w:val="zh-CN" w:eastAsia="zh-CN"/>
        </w:rPr>
        <w:t>民生保障。</w:t>
      </w:r>
      <w:r>
        <w:rPr>
          <w:rFonts w:hint="eastAsia" w:ascii="Times New Roman" w:hAnsi="Times New Roman" w:eastAsia="仿宋_GB2312" w:cs="Times New Roman"/>
          <w:color w:val="auto"/>
          <w:sz w:val="32"/>
          <w:szCs w:val="32"/>
          <w:lang w:eastAsia="zh-CN"/>
        </w:rPr>
        <w:t>围绕</w:t>
      </w:r>
      <w:r>
        <w:rPr>
          <w:rFonts w:hint="eastAsia" w:eastAsia="仿宋_GB2312" w:cs="Times New Roman"/>
          <w:color w:val="auto"/>
          <w:sz w:val="32"/>
          <w:szCs w:val="32"/>
          <w:lang w:eastAsia="zh-CN"/>
        </w:rPr>
        <w:t>区域均衡性、对象精准性、标准合理性、群总满意度进行绩效分析。</w:t>
      </w:r>
    </w:p>
    <w:p w14:paraId="409103D9">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（1）区域均衡性：该项目由“</w:t>
      </w:r>
      <w:r>
        <w:rPr>
          <w:rFonts w:hint="eastAsia" w:eastAsia="仿宋_GB2312" w:cs="Times New Roman"/>
          <w:sz w:val="32"/>
          <w:szCs w:val="32"/>
          <w:lang w:val="en-US" w:eastAsia="zh-CN"/>
        </w:rPr>
        <w:t>遂财农【2023】101号</w:t>
      </w:r>
      <w:r>
        <w:rPr>
          <w:rFonts w:hint="eastAsia" w:ascii="Times New Roman" w:hAnsi="Times New Roman" w:eastAsia="仿宋_GB2312" w:cs="Times New Roman"/>
          <w:sz w:val="32"/>
          <w:szCs w:val="32"/>
          <w:lang w:val="en-US" w:eastAsia="zh-CN"/>
        </w:rPr>
        <w:t>”文件分配，我局所属地区分配符合实际，自评得5分。</w:t>
      </w:r>
    </w:p>
    <w:p w14:paraId="78BCE08C">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default" w:eastAsia="仿宋_GB2312"/>
          <w:sz w:val="32"/>
          <w:szCs w:val="32"/>
          <w:lang w:val="en-US" w:eastAsia="zh-CN"/>
        </w:rPr>
      </w:pPr>
      <w:r>
        <w:rPr>
          <w:rFonts w:hint="eastAsia" w:ascii="Times New Roman" w:hAnsi="Times New Roman" w:eastAsia="仿宋_GB2312" w:cs="Times New Roman"/>
          <w:sz w:val="32"/>
          <w:szCs w:val="32"/>
          <w:lang w:val="en-US" w:eastAsia="zh-CN"/>
        </w:rPr>
        <w:t>（2）标准合理性：该项目针对项目实施支付的</w:t>
      </w:r>
      <w:r>
        <w:rPr>
          <w:rFonts w:hint="eastAsia" w:eastAsia="仿宋_GB2312" w:cs="Times New Roman"/>
          <w:sz w:val="32"/>
          <w:szCs w:val="32"/>
          <w:lang w:val="en-US" w:eastAsia="zh-CN"/>
        </w:rPr>
        <w:t>3</w:t>
      </w:r>
      <w:r>
        <w:rPr>
          <w:rFonts w:hint="eastAsia" w:ascii="Times New Roman" w:hAnsi="Times New Roman" w:eastAsia="仿宋_GB2312" w:cs="Times New Roman"/>
          <w:sz w:val="32"/>
          <w:szCs w:val="32"/>
          <w:lang w:val="en-US" w:eastAsia="zh-CN"/>
        </w:rPr>
        <w:t>笔</w:t>
      </w:r>
      <w:r>
        <w:rPr>
          <w:rFonts w:hint="eastAsia" w:eastAsia="仿宋_GB2312" w:cs="Times New Roman"/>
          <w:sz w:val="32"/>
          <w:szCs w:val="32"/>
          <w:lang w:val="en-US" w:eastAsia="zh-CN"/>
        </w:rPr>
        <w:t>4694112.18</w:t>
      </w:r>
      <w:r>
        <w:rPr>
          <w:rFonts w:hint="eastAsia" w:ascii="Times New Roman" w:hAnsi="Times New Roman" w:eastAsia="仿宋_GB2312" w:cs="Times New Roman"/>
          <w:sz w:val="32"/>
          <w:szCs w:val="32"/>
          <w:lang w:val="en-US" w:eastAsia="zh-CN"/>
        </w:rPr>
        <w:t>元，进行了抽样调查，未发现灌区续建配套与节水改造</w:t>
      </w:r>
      <w:r>
        <w:rPr>
          <w:rFonts w:hint="eastAsia" w:eastAsia="仿宋_GB2312" w:cs="Times New Roman"/>
          <w:sz w:val="32"/>
          <w:szCs w:val="32"/>
          <w:lang w:val="en-US" w:eastAsia="zh-CN"/>
        </w:rPr>
        <w:t>区域、人群</w:t>
      </w:r>
      <w:r>
        <w:rPr>
          <w:rFonts w:hint="eastAsia" w:ascii="Times New Roman" w:hAnsi="Times New Roman" w:eastAsia="仿宋_GB2312" w:cs="Times New Roman"/>
          <w:sz w:val="32"/>
          <w:szCs w:val="32"/>
          <w:lang w:val="en-US" w:eastAsia="zh-CN"/>
        </w:rPr>
        <w:t>存在异常情况，自评得5分</w:t>
      </w:r>
      <w:r>
        <w:rPr>
          <w:rFonts w:hint="eastAsia" w:eastAsia="仿宋_GB2312" w:cs="Times New Roman"/>
          <w:sz w:val="32"/>
          <w:szCs w:val="32"/>
          <w:lang w:val="en-US" w:eastAsia="zh-CN"/>
        </w:rPr>
        <w:t>。</w:t>
      </w:r>
    </w:p>
    <w:p w14:paraId="006BB67D">
      <w:pPr>
        <w:numPr>
          <w:ilvl w:val="0"/>
          <w:numId w:val="0"/>
        </w:numPr>
        <w:autoSpaceDE/>
        <w:adjustRightInd w:val="0"/>
        <w:snapToGrid w:val="0"/>
        <w:spacing w:beforeLines="0" w:afterLines="0" w:line="576" w:lineRule="exact"/>
        <w:ind w:firstLine="640" w:firstLineChars="200"/>
        <w:textAlignment w:val="auto"/>
        <w:outlineLvl w:val="9"/>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（3）群</w:t>
      </w:r>
      <w:r>
        <w:rPr>
          <w:rFonts w:hint="eastAsia" w:eastAsia="仿宋_GB2312" w:cs="Times New Roman"/>
          <w:sz w:val="32"/>
          <w:szCs w:val="32"/>
          <w:lang w:val="en-US" w:eastAsia="zh-CN"/>
        </w:rPr>
        <w:t>众</w:t>
      </w:r>
      <w:r>
        <w:rPr>
          <w:rFonts w:hint="eastAsia" w:ascii="Times New Roman" w:hAnsi="Times New Roman" w:eastAsia="仿宋_GB2312" w:cs="Times New Roman"/>
          <w:sz w:val="32"/>
          <w:szCs w:val="32"/>
          <w:lang w:val="en-US" w:eastAsia="zh-CN"/>
        </w:rPr>
        <w:t>满意度：群众满意度9</w:t>
      </w:r>
      <w:r>
        <w:rPr>
          <w:rFonts w:hint="eastAsia" w:eastAsia="仿宋_GB2312" w:cs="Times New Roman"/>
          <w:sz w:val="32"/>
          <w:szCs w:val="32"/>
          <w:lang w:val="en-US" w:eastAsia="zh-CN"/>
        </w:rPr>
        <w:t>0</w:t>
      </w:r>
      <w:r>
        <w:rPr>
          <w:rFonts w:hint="eastAsia" w:ascii="Times New Roman" w:hAnsi="Times New Roman" w:eastAsia="仿宋_GB2312" w:cs="Times New Roman"/>
          <w:sz w:val="32"/>
          <w:szCs w:val="32"/>
          <w:lang w:val="en-US" w:eastAsia="zh-CN"/>
        </w:rPr>
        <w:t>%，</w:t>
      </w:r>
      <w:r>
        <w:rPr>
          <w:rFonts w:hint="eastAsia" w:eastAsia="仿宋_GB2312" w:cs="Times New Roman"/>
          <w:sz w:val="32"/>
          <w:szCs w:val="32"/>
          <w:lang w:val="en-US" w:eastAsia="zh-CN"/>
        </w:rPr>
        <w:t>项目</w:t>
      </w:r>
      <w:r>
        <w:rPr>
          <w:rFonts w:hint="eastAsia" w:ascii="Times New Roman" w:hAnsi="Times New Roman" w:eastAsia="仿宋_GB2312" w:cs="Times New Roman"/>
          <w:sz w:val="32"/>
          <w:szCs w:val="32"/>
          <w:lang w:val="en-US" w:eastAsia="zh-CN"/>
        </w:rPr>
        <w:t>完成后，通过2024年中央水利发展资金，惠及</w:t>
      </w:r>
      <w:r>
        <w:rPr>
          <w:rFonts w:hint="eastAsia" w:eastAsia="仿宋_GB2312" w:cs="Times New Roman"/>
          <w:sz w:val="32"/>
          <w:szCs w:val="32"/>
          <w:lang w:val="en-US" w:eastAsia="zh-CN"/>
        </w:rPr>
        <w:t>全区群众</w:t>
      </w:r>
      <w:r>
        <w:rPr>
          <w:rFonts w:hint="eastAsia" w:ascii="Times New Roman" w:hAnsi="Times New Roman" w:eastAsia="仿宋_GB2312" w:cs="Times New Roman"/>
          <w:sz w:val="32"/>
          <w:szCs w:val="32"/>
          <w:lang w:val="en-US" w:eastAsia="zh-CN"/>
        </w:rPr>
        <w:t>，</w:t>
      </w:r>
      <w:r>
        <w:rPr>
          <w:rFonts w:hint="eastAsia" w:eastAsia="仿宋_GB2312" w:cs="Times New Roman"/>
          <w:sz w:val="32"/>
          <w:szCs w:val="32"/>
          <w:lang w:val="en-US" w:eastAsia="zh-CN"/>
        </w:rPr>
        <w:t>群众基本满意，</w:t>
      </w:r>
      <w:r>
        <w:rPr>
          <w:rFonts w:hint="eastAsia" w:ascii="Times New Roman" w:hAnsi="Times New Roman" w:eastAsia="仿宋_GB2312" w:cs="Times New Roman"/>
          <w:sz w:val="32"/>
          <w:szCs w:val="32"/>
          <w:lang w:val="en-US" w:eastAsia="zh-CN"/>
        </w:rPr>
        <w:t>自评得</w:t>
      </w:r>
      <w:r>
        <w:rPr>
          <w:rFonts w:hint="eastAsia" w:eastAsia="仿宋_GB2312" w:cs="Times New Roman"/>
          <w:sz w:val="32"/>
          <w:szCs w:val="32"/>
          <w:lang w:val="en-US" w:eastAsia="zh-CN"/>
        </w:rPr>
        <w:t>3</w:t>
      </w:r>
      <w:r>
        <w:rPr>
          <w:rFonts w:hint="eastAsia" w:ascii="Times New Roman" w:hAnsi="Times New Roman" w:eastAsia="仿宋_GB2312" w:cs="Times New Roman"/>
          <w:sz w:val="32"/>
          <w:szCs w:val="32"/>
          <w:lang w:val="en-US" w:eastAsia="zh-CN"/>
        </w:rPr>
        <w:t>分。</w:t>
      </w:r>
    </w:p>
    <w:p w14:paraId="7FF0B1F5">
      <w:pPr>
        <w:keepNext w:val="0"/>
        <w:keepLines w:val="0"/>
        <w:pageBreakBefore w:val="0"/>
        <w:widowControl w:val="0"/>
        <w:kinsoku/>
        <w:wordWrap/>
        <w:overflowPunct/>
        <w:topLinePunct w:val="0"/>
        <w:autoSpaceDE/>
        <w:autoSpaceDN/>
        <w:bidi w:val="0"/>
        <w:adjustRightInd/>
        <w:snapToGrid/>
        <w:spacing w:line="590" w:lineRule="exact"/>
        <w:ind w:left="0" w:leftChars="0" w:right="0" w:rightChars="0" w:firstLine="640" w:firstLineChars="200"/>
        <w:textAlignment w:val="auto"/>
        <w:outlineLvl w:val="9"/>
        <w:rPr>
          <w:rFonts w:hint="eastAsia" w:eastAsia="仿宋_GB2312" w:cs="Times New Roman"/>
          <w:color w:val="auto"/>
          <w:sz w:val="32"/>
          <w:szCs w:val="32"/>
          <w:lang w:val="zh-CN" w:eastAsia="zh-CN"/>
        </w:rPr>
      </w:pPr>
      <w:r>
        <w:rPr>
          <w:rFonts w:hint="eastAsia" w:ascii="楷体_GB2312" w:hAnsi="楷体_GB2312" w:eastAsia="楷体_GB2312" w:cs="楷体_GB2312"/>
          <w:color w:val="auto"/>
          <w:sz w:val="32"/>
          <w:szCs w:val="32"/>
          <w:lang w:val="en-US" w:eastAsia="zh-CN"/>
        </w:rPr>
        <w:t>4.</w:t>
      </w:r>
      <w:r>
        <w:rPr>
          <w:rFonts w:hint="eastAsia" w:ascii="楷体_GB2312" w:hAnsi="楷体_GB2312" w:eastAsia="楷体_GB2312" w:cs="楷体_GB2312"/>
          <w:color w:val="auto"/>
          <w:sz w:val="32"/>
          <w:szCs w:val="32"/>
          <w:lang w:val="zh-CN" w:eastAsia="zh-CN"/>
        </w:rPr>
        <w:t>行政运转。</w:t>
      </w:r>
      <w:r>
        <w:rPr>
          <w:rFonts w:hint="eastAsia" w:eastAsia="仿宋_GB2312" w:cs="Times New Roman"/>
          <w:color w:val="auto"/>
          <w:sz w:val="32"/>
          <w:szCs w:val="32"/>
          <w:lang w:val="zh-CN" w:eastAsia="zh-CN"/>
        </w:rPr>
        <w:t>围绕用途合规性、程序合规性、标准合规性进行绩效分析。</w:t>
      </w:r>
    </w:p>
    <w:p w14:paraId="7EA41B29">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用途合规：该项目用途符合“</w:t>
      </w:r>
      <w:r>
        <w:rPr>
          <w:rFonts w:hint="eastAsia" w:eastAsia="仿宋_GB2312" w:cs="Times New Roman"/>
          <w:sz w:val="32"/>
          <w:szCs w:val="32"/>
          <w:lang w:val="en-US" w:eastAsia="zh-CN"/>
        </w:rPr>
        <w:t>遂财农【2023】101号</w:t>
      </w:r>
      <w:r>
        <w:rPr>
          <w:rFonts w:hint="eastAsia" w:ascii="Times New Roman" w:hAnsi="Times New Roman" w:eastAsia="仿宋_GB2312" w:cs="Times New Roman"/>
          <w:sz w:val="32"/>
          <w:szCs w:val="32"/>
          <w:lang w:val="en-US" w:eastAsia="zh-CN"/>
        </w:rPr>
        <w:t>”文件规定内容</w:t>
      </w:r>
      <w:r>
        <w:rPr>
          <w:rFonts w:hint="eastAsia" w:eastAsia="仿宋_GB2312" w:cs="Times New Roman"/>
          <w:sz w:val="32"/>
          <w:szCs w:val="32"/>
          <w:lang w:val="en-US" w:eastAsia="zh-CN"/>
        </w:rPr>
        <w:t>，</w:t>
      </w:r>
      <w:r>
        <w:rPr>
          <w:rFonts w:hint="eastAsia" w:ascii="Times New Roman" w:hAnsi="Times New Roman" w:eastAsia="仿宋_GB2312" w:cs="Times New Roman"/>
          <w:sz w:val="32"/>
          <w:szCs w:val="32"/>
          <w:lang w:val="en-US" w:eastAsia="zh-CN"/>
        </w:rPr>
        <w:t>自评得</w:t>
      </w:r>
      <w:r>
        <w:rPr>
          <w:rFonts w:hint="eastAsia" w:eastAsia="仿宋_GB2312" w:cs="Times New Roman"/>
          <w:sz w:val="32"/>
          <w:szCs w:val="32"/>
          <w:lang w:val="en-US" w:eastAsia="zh-CN"/>
        </w:rPr>
        <w:t>3</w:t>
      </w:r>
      <w:r>
        <w:rPr>
          <w:rFonts w:hint="eastAsia" w:ascii="Times New Roman" w:hAnsi="Times New Roman" w:eastAsia="仿宋_GB2312" w:cs="Times New Roman"/>
          <w:sz w:val="32"/>
          <w:szCs w:val="32"/>
          <w:lang w:val="en-US" w:eastAsia="zh-CN"/>
        </w:rPr>
        <w:t>分。</w:t>
      </w:r>
    </w:p>
    <w:p w14:paraId="2E1C871F">
      <w:pPr>
        <w:keepNext w:val="0"/>
        <w:keepLines w:val="0"/>
        <w:pageBreakBefore w:val="0"/>
        <w:widowControl w:val="0"/>
        <w:kinsoku/>
        <w:wordWrap/>
        <w:overflowPunct/>
        <w:topLinePunct w:val="0"/>
        <w:autoSpaceDE/>
        <w:autoSpaceDN/>
        <w:bidi w:val="0"/>
        <w:adjustRightInd/>
        <w:snapToGrid/>
        <w:spacing w:line="590" w:lineRule="exact"/>
        <w:ind w:right="0" w:rightChars="0" w:firstLine="640"/>
        <w:textAlignment w:val="auto"/>
        <w:outlineLvl w:val="9"/>
        <w:rPr>
          <w:rFonts w:hint="eastAsia" w:eastAsia="仿宋_GB2312" w:cs="Times New Roman"/>
          <w:color w:val="auto"/>
          <w:sz w:val="32"/>
          <w:szCs w:val="32"/>
          <w:lang w:val="zh-CN" w:eastAsia="zh-CN"/>
        </w:rPr>
      </w:pPr>
      <w:r>
        <w:rPr>
          <w:rFonts w:hint="eastAsia" w:ascii="楷体_GB2312" w:hAnsi="宋体" w:eastAsia="楷体_GB2312" w:cs="Times New Roman"/>
          <w:b/>
          <w:color w:val="auto"/>
          <w:sz w:val="32"/>
          <w:szCs w:val="32"/>
          <w:highlight w:val="none"/>
          <w:u w:val="none"/>
          <w:lang w:val="zh-CN"/>
        </w:rPr>
        <w:t>（三）</w:t>
      </w:r>
      <w:r>
        <w:rPr>
          <w:rFonts w:hint="eastAsia" w:ascii="楷体_GB2312" w:hAnsi="宋体" w:eastAsia="楷体_GB2312" w:cs="Times New Roman"/>
          <w:b/>
          <w:color w:val="auto"/>
          <w:sz w:val="32"/>
          <w:szCs w:val="32"/>
          <w:highlight w:val="none"/>
          <w:u w:val="none"/>
          <w:lang w:val="en-US" w:eastAsia="zh-CN"/>
        </w:rPr>
        <w:t>个性指标</w:t>
      </w:r>
      <w:r>
        <w:rPr>
          <w:rFonts w:hint="default" w:ascii="Times New Roman" w:hAnsi="Times New Roman" w:eastAsia="楷体_GB2312" w:cs="Times New Roman"/>
          <w:b/>
          <w:bCs/>
          <w:color w:val="000000"/>
          <w:kern w:val="0"/>
          <w:sz w:val="32"/>
          <w:szCs w:val="32"/>
          <w:highlight w:val="none"/>
          <w:shd w:val="clear" w:color="auto" w:fill="FFFFFF"/>
          <w:lang w:val="zh-CN"/>
        </w:rPr>
        <w:t>绩效分析。</w:t>
      </w:r>
      <w:r>
        <w:rPr>
          <w:rFonts w:hint="eastAsia" w:eastAsia="仿宋_GB2312" w:cs="Times New Roman"/>
          <w:color w:val="auto"/>
          <w:sz w:val="32"/>
          <w:szCs w:val="32"/>
          <w:lang w:val="zh-CN" w:eastAsia="zh-CN"/>
        </w:rPr>
        <w:t>根据项目个性自行设定部分指标，反映该项指标执行完成情况。</w:t>
      </w:r>
    </w:p>
    <w:p w14:paraId="2368804D">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1.社会效益指标：</w:t>
      </w:r>
      <w:r>
        <w:rPr>
          <w:rFonts w:hint="eastAsia" w:eastAsia="仿宋_GB2312"/>
          <w:sz w:val="32"/>
          <w:szCs w:val="32"/>
          <w:lang w:val="en-US" w:eastAsia="zh-CN"/>
        </w:rPr>
        <w:t xml:space="preserve">山洪灾害防治保护人口数量3000人 </w:t>
      </w:r>
      <w:r>
        <w:rPr>
          <w:rFonts w:hint="eastAsia" w:eastAsia="仿宋_GB2312" w:cs="Times New Roman"/>
          <w:sz w:val="32"/>
          <w:szCs w:val="32"/>
          <w:lang w:val="en-US" w:eastAsia="zh-CN"/>
        </w:rPr>
        <w:t>，</w:t>
      </w:r>
      <w:r>
        <w:rPr>
          <w:rFonts w:hint="eastAsia" w:ascii="Times New Roman" w:hAnsi="Times New Roman" w:eastAsia="仿宋_GB2312" w:cs="Times New Roman"/>
          <w:sz w:val="32"/>
          <w:szCs w:val="32"/>
          <w:lang w:val="en-US" w:eastAsia="zh-CN"/>
        </w:rPr>
        <w:t>自评得</w:t>
      </w:r>
      <w:r>
        <w:rPr>
          <w:rFonts w:hint="eastAsia" w:eastAsia="仿宋_GB2312" w:cs="Times New Roman"/>
          <w:sz w:val="32"/>
          <w:szCs w:val="32"/>
          <w:lang w:val="en-US" w:eastAsia="zh-CN"/>
        </w:rPr>
        <w:t>5</w:t>
      </w:r>
      <w:r>
        <w:rPr>
          <w:rFonts w:hint="eastAsia" w:ascii="Times New Roman" w:hAnsi="Times New Roman" w:eastAsia="仿宋_GB2312" w:cs="Times New Roman"/>
          <w:sz w:val="32"/>
          <w:szCs w:val="32"/>
          <w:lang w:val="en-US" w:eastAsia="zh-CN"/>
        </w:rPr>
        <w:t>分。</w:t>
      </w:r>
    </w:p>
    <w:p w14:paraId="310EAF7D">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2.可持续性影响指标：</w:t>
      </w:r>
      <w:r>
        <w:rPr>
          <w:rFonts w:hint="eastAsia" w:eastAsia="仿宋_GB2312"/>
          <w:sz w:val="32"/>
          <w:szCs w:val="32"/>
          <w:lang w:val="en-US" w:eastAsia="zh-CN"/>
        </w:rPr>
        <w:t>已建工程是否良性运行</w:t>
      </w:r>
      <w:r>
        <w:rPr>
          <w:rFonts w:hint="eastAsia" w:eastAsia="仿宋_GB2312" w:cs="Times New Roman"/>
          <w:sz w:val="32"/>
          <w:szCs w:val="32"/>
          <w:lang w:val="en-US" w:eastAsia="zh-CN"/>
        </w:rPr>
        <w:t>，2024年度已完工项目良性运行，自评得5分</w:t>
      </w:r>
      <w:r>
        <w:rPr>
          <w:rFonts w:hint="eastAsia" w:ascii="Times New Roman" w:hAnsi="Times New Roman" w:eastAsia="仿宋_GB2312" w:cs="Times New Roman"/>
          <w:sz w:val="32"/>
          <w:szCs w:val="32"/>
          <w:lang w:val="en-US" w:eastAsia="zh-CN"/>
        </w:rPr>
        <w:t>。</w:t>
      </w:r>
    </w:p>
    <w:p w14:paraId="62218CFE">
      <w:pPr>
        <w:pStyle w:val="12"/>
        <w:keepNext w:val="0"/>
        <w:keepLines w:val="0"/>
        <w:pageBreakBefore w:val="0"/>
        <w:numPr>
          <w:ilvl w:val="0"/>
          <w:numId w:val="0"/>
        </w:numPr>
        <w:tabs>
          <w:tab w:val="left" w:pos="2160"/>
        </w:tabs>
        <w:kinsoku/>
        <w:wordWrap/>
        <w:overflowPunct/>
        <w:topLinePunct w:val="0"/>
        <w:autoSpaceDE/>
        <w:autoSpaceDN/>
        <w:bidi w:val="0"/>
        <w:adjustRightInd/>
        <w:snapToGrid/>
        <w:spacing w:line="590" w:lineRule="exact"/>
        <w:ind w:right="0" w:rightChars="0" w:firstLine="640" w:firstLineChars="200"/>
        <w:textAlignment w:val="auto"/>
        <w:rPr>
          <w:rFonts w:hint="eastAsia" w:ascii="黑体" w:hAnsi="宋体" w:eastAsia="黑体"/>
          <w:color w:val="auto"/>
          <w:sz w:val="32"/>
          <w:szCs w:val="32"/>
          <w:highlight w:val="none"/>
          <w:u w:val="none"/>
        </w:rPr>
      </w:pPr>
      <w:r>
        <w:rPr>
          <w:rFonts w:hint="eastAsia" w:ascii="黑体" w:hAnsi="宋体" w:eastAsia="黑体"/>
          <w:color w:val="auto"/>
          <w:sz w:val="32"/>
          <w:szCs w:val="32"/>
          <w:highlight w:val="none"/>
          <w:u w:val="none"/>
          <w:lang w:eastAsia="zh-CN"/>
        </w:rPr>
        <w:t>四</w:t>
      </w:r>
      <w:r>
        <w:rPr>
          <w:rFonts w:hint="eastAsia" w:ascii="黑体" w:hAnsi="宋体" w:eastAsia="黑体"/>
          <w:color w:val="auto"/>
          <w:sz w:val="32"/>
          <w:szCs w:val="32"/>
          <w:highlight w:val="none"/>
          <w:u w:val="none"/>
        </w:rPr>
        <w:t>、评价结论</w:t>
      </w:r>
    </w:p>
    <w:p w14:paraId="5CCDC8FB">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eastAsia" w:ascii="Times New Roman" w:hAnsi="Times New Roman" w:eastAsia="仿宋_GB2312" w:cs="Times New Roman"/>
          <w:sz w:val="32"/>
          <w:szCs w:val="32"/>
          <w:lang w:val="zh-CN" w:eastAsia="zh-CN"/>
        </w:rPr>
      </w:pPr>
      <w:r>
        <w:rPr>
          <w:rFonts w:hint="eastAsia" w:ascii="Times New Roman" w:hAnsi="Times New Roman" w:eastAsia="仿宋_GB2312" w:cs="Times New Roman"/>
          <w:sz w:val="32"/>
          <w:szCs w:val="32"/>
          <w:lang w:val="en-US" w:eastAsia="zh-CN"/>
        </w:rPr>
        <w:t>我局按照既定的评价指标和评价方法，从决策、过程、产出、效益四方面对</w:t>
      </w:r>
      <w:r>
        <w:rPr>
          <w:rFonts w:hint="eastAsia" w:ascii="仿宋_GB2312" w:hAnsi="仿宋_GB2312" w:eastAsia="仿宋_GB2312" w:cs="仿宋_GB2312"/>
          <w:color w:val="auto"/>
          <w:kern w:val="0"/>
          <w:sz w:val="32"/>
          <w:szCs w:val="32"/>
          <w:highlight w:val="none"/>
          <w:u w:val="none"/>
          <w:shd w:val="clear" w:color="auto" w:fill="FFFFFF"/>
          <w:lang w:val="en-US" w:eastAsia="zh-CN"/>
        </w:rPr>
        <w:t>51090424T000011413876-遂财农【2023】101号2024年中央水利发展资金</w:t>
      </w:r>
      <w:r>
        <w:rPr>
          <w:rFonts w:hint="eastAsia" w:ascii="Times New Roman" w:hAnsi="Times New Roman" w:eastAsia="仿宋_GB2312" w:cs="Times New Roman"/>
          <w:sz w:val="32"/>
          <w:szCs w:val="32"/>
          <w:lang w:val="en-US" w:eastAsia="zh-CN"/>
        </w:rPr>
        <w:t>项目进行绩效评价，最终确定绩效评价得分</w:t>
      </w:r>
      <w:r>
        <w:rPr>
          <w:rFonts w:hint="eastAsia" w:eastAsia="仿宋_GB2312" w:cs="Times New Roman"/>
          <w:sz w:val="32"/>
          <w:szCs w:val="32"/>
          <w:lang w:val="en-US" w:eastAsia="zh-CN"/>
        </w:rPr>
        <w:t>83.42</w:t>
      </w:r>
      <w:r>
        <w:rPr>
          <w:rFonts w:hint="eastAsia" w:ascii="Times New Roman" w:hAnsi="Times New Roman" w:eastAsia="仿宋_GB2312" w:cs="Times New Roman"/>
          <w:sz w:val="32"/>
          <w:szCs w:val="32"/>
          <w:lang w:val="en-US" w:eastAsia="zh-CN"/>
        </w:rPr>
        <w:t>分；评价等级为</w:t>
      </w:r>
      <w:r>
        <w:rPr>
          <w:rFonts w:hint="eastAsia" w:eastAsia="仿宋_GB2312" w:cs="Times New Roman"/>
          <w:sz w:val="32"/>
          <w:szCs w:val="32"/>
          <w:lang w:val="en-US" w:eastAsia="zh-CN"/>
        </w:rPr>
        <w:t>良</w:t>
      </w:r>
      <w:r>
        <w:rPr>
          <w:rFonts w:hint="eastAsia" w:ascii="Times New Roman" w:hAnsi="Times New Roman" w:eastAsia="仿宋_GB2312" w:cs="Times New Roman"/>
          <w:sz w:val="32"/>
          <w:szCs w:val="32"/>
          <w:lang w:val="zh-CN" w:eastAsia="zh-CN"/>
        </w:rPr>
        <w:t>。</w:t>
      </w:r>
    </w:p>
    <w:p w14:paraId="2066479C">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总体上，</w:t>
      </w:r>
      <w:r>
        <w:rPr>
          <w:rFonts w:hint="eastAsia" w:ascii="仿宋_GB2312" w:hAnsi="仿宋_GB2312" w:eastAsia="仿宋_GB2312" w:cs="仿宋_GB2312"/>
          <w:color w:val="auto"/>
          <w:kern w:val="0"/>
          <w:sz w:val="32"/>
          <w:szCs w:val="32"/>
          <w:highlight w:val="none"/>
          <w:u w:val="none"/>
          <w:shd w:val="clear" w:color="auto" w:fill="FFFFFF"/>
          <w:lang w:val="en-US" w:eastAsia="zh-CN"/>
        </w:rPr>
        <w:t>51090424T000011413876-遂财农【2023】101号2024年中央水利发展资金项目</w:t>
      </w:r>
      <w:r>
        <w:rPr>
          <w:rFonts w:hint="eastAsia" w:ascii="Times New Roman" w:hAnsi="Times New Roman" w:eastAsia="仿宋_GB2312" w:cs="Times New Roman"/>
          <w:sz w:val="32"/>
          <w:szCs w:val="32"/>
          <w:lang w:val="en-US" w:eastAsia="zh-CN"/>
        </w:rPr>
        <w:t>申报依据充分，程序规范，预算编制合理，资金到位及时，资金分配合理，管理制度健全，资金支出进度合理，项目计划内容均已按照预期目标基本完成。</w:t>
      </w:r>
    </w:p>
    <w:p w14:paraId="10839A5B">
      <w:pPr>
        <w:pStyle w:val="12"/>
        <w:keepNext w:val="0"/>
        <w:keepLines w:val="0"/>
        <w:pageBreakBefore w:val="0"/>
        <w:numPr>
          <w:ilvl w:val="0"/>
          <w:numId w:val="0"/>
        </w:numPr>
        <w:tabs>
          <w:tab w:val="left" w:pos="2160"/>
        </w:tabs>
        <w:kinsoku/>
        <w:wordWrap/>
        <w:overflowPunct/>
        <w:topLinePunct w:val="0"/>
        <w:autoSpaceDE/>
        <w:autoSpaceDN/>
        <w:bidi w:val="0"/>
        <w:adjustRightInd/>
        <w:snapToGrid/>
        <w:spacing w:line="590" w:lineRule="exact"/>
        <w:ind w:right="0" w:rightChars="0" w:firstLine="640" w:firstLineChars="200"/>
        <w:textAlignment w:val="auto"/>
        <w:rPr>
          <w:rFonts w:hint="eastAsia" w:ascii="黑体" w:hAnsi="宋体" w:eastAsia="黑体"/>
          <w:color w:val="auto"/>
          <w:sz w:val="32"/>
          <w:szCs w:val="32"/>
          <w:highlight w:val="none"/>
          <w:u w:val="none"/>
          <w:lang w:val="en-US" w:eastAsia="zh-CN"/>
        </w:rPr>
      </w:pPr>
      <w:r>
        <w:rPr>
          <w:rFonts w:hint="eastAsia" w:ascii="黑体" w:hAnsi="宋体" w:eastAsia="黑体"/>
          <w:color w:val="auto"/>
          <w:sz w:val="32"/>
          <w:szCs w:val="32"/>
          <w:highlight w:val="none"/>
          <w:u w:val="none"/>
          <w:lang w:val="en-US" w:eastAsia="zh-CN"/>
        </w:rPr>
        <w:t>五、存在主要问题</w:t>
      </w:r>
    </w:p>
    <w:p w14:paraId="534B78AE">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default" w:eastAsia="仿宋_GB2312" w:cs="Times New Roman"/>
          <w:sz w:val="32"/>
          <w:szCs w:val="32"/>
          <w:lang w:val="zh-CN" w:eastAsia="zh-CN"/>
        </w:rPr>
      </w:pPr>
      <w:r>
        <w:rPr>
          <w:rFonts w:hint="eastAsia" w:eastAsia="仿宋_GB2312" w:cs="Times New Roman"/>
          <w:sz w:val="32"/>
          <w:szCs w:val="32"/>
          <w:lang w:val="zh-CN" w:eastAsia="zh-CN"/>
        </w:rPr>
        <w:t>（</w:t>
      </w:r>
      <w:r>
        <w:rPr>
          <w:rFonts w:hint="eastAsia" w:eastAsia="仿宋_GB2312" w:cs="Times New Roman"/>
          <w:sz w:val="32"/>
          <w:szCs w:val="32"/>
          <w:lang w:val="en-US" w:eastAsia="zh-CN"/>
        </w:rPr>
        <w:t>一</w:t>
      </w:r>
      <w:r>
        <w:rPr>
          <w:rFonts w:hint="eastAsia" w:eastAsia="仿宋_GB2312" w:cs="Times New Roman"/>
          <w:sz w:val="32"/>
          <w:szCs w:val="32"/>
          <w:lang w:val="zh-CN" w:eastAsia="zh-CN"/>
        </w:rPr>
        <w:t>）</w:t>
      </w:r>
      <w:r>
        <w:rPr>
          <w:rFonts w:hint="default" w:eastAsia="仿宋_GB2312" w:cs="Times New Roman"/>
          <w:sz w:val="32"/>
          <w:szCs w:val="32"/>
          <w:lang w:val="zh-CN" w:eastAsia="zh-CN"/>
        </w:rPr>
        <w:t>项目推进效率不足</w:t>
      </w:r>
    </w:p>
    <w:p w14:paraId="1977BC18">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default" w:eastAsia="仿宋_GB2312" w:cs="Times New Roman"/>
          <w:sz w:val="32"/>
          <w:szCs w:val="32"/>
          <w:lang w:val="zh-CN" w:eastAsia="zh-CN"/>
        </w:rPr>
      </w:pPr>
      <w:r>
        <w:rPr>
          <w:rFonts w:hint="default" w:eastAsia="仿宋_GB2312" w:cs="Times New Roman"/>
          <w:sz w:val="32"/>
          <w:szCs w:val="32"/>
          <w:lang w:val="zh-CN" w:eastAsia="zh-CN"/>
        </w:rPr>
        <w:t>存在施工进度滞后现象</w:t>
      </w:r>
      <w:r>
        <w:rPr>
          <w:rFonts w:hint="eastAsia" w:eastAsia="仿宋_GB2312" w:cs="Times New Roman"/>
          <w:sz w:val="32"/>
          <w:szCs w:val="32"/>
          <w:lang w:val="zh-CN" w:eastAsia="zh-CN"/>
        </w:rPr>
        <w:t>；</w:t>
      </w:r>
      <w:r>
        <w:rPr>
          <w:rFonts w:hint="default" w:eastAsia="仿宋_GB2312" w:cs="Times New Roman"/>
          <w:sz w:val="32"/>
          <w:szCs w:val="32"/>
          <w:lang w:val="zh-CN" w:eastAsia="zh-CN"/>
        </w:rPr>
        <w:t>部分工程结算审核耗时超90天，影响资金拨付效率</w:t>
      </w:r>
      <w:r>
        <w:rPr>
          <w:rFonts w:hint="eastAsia" w:eastAsia="仿宋_GB2312" w:cs="Times New Roman"/>
          <w:sz w:val="32"/>
          <w:szCs w:val="32"/>
          <w:lang w:val="zh-CN" w:eastAsia="zh-CN"/>
        </w:rPr>
        <w:t>。</w:t>
      </w:r>
    </w:p>
    <w:p w14:paraId="6C145D10">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default" w:eastAsia="仿宋_GB2312" w:cs="Times New Roman"/>
          <w:sz w:val="32"/>
          <w:szCs w:val="32"/>
          <w:lang w:val="zh-CN" w:eastAsia="zh-CN"/>
        </w:rPr>
      </w:pPr>
      <w:r>
        <w:rPr>
          <w:rFonts w:hint="eastAsia" w:eastAsia="仿宋_GB2312" w:cs="Times New Roman"/>
          <w:sz w:val="32"/>
          <w:szCs w:val="32"/>
          <w:lang w:val="zh-CN" w:eastAsia="zh-CN"/>
        </w:rPr>
        <w:t>（</w:t>
      </w:r>
      <w:r>
        <w:rPr>
          <w:rFonts w:hint="eastAsia" w:eastAsia="仿宋_GB2312" w:cs="Times New Roman"/>
          <w:sz w:val="32"/>
          <w:szCs w:val="32"/>
          <w:lang w:val="en-US" w:eastAsia="zh-CN"/>
        </w:rPr>
        <w:t>二</w:t>
      </w:r>
      <w:r>
        <w:rPr>
          <w:rFonts w:hint="eastAsia" w:eastAsia="仿宋_GB2312" w:cs="Times New Roman"/>
          <w:sz w:val="32"/>
          <w:szCs w:val="32"/>
          <w:lang w:val="zh-CN" w:eastAsia="zh-CN"/>
        </w:rPr>
        <w:t>）</w:t>
      </w:r>
      <w:r>
        <w:rPr>
          <w:rFonts w:hint="default" w:eastAsia="仿宋_GB2312" w:cs="Times New Roman"/>
          <w:sz w:val="32"/>
          <w:szCs w:val="32"/>
          <w:lang w:val="zh-CN" w:eastAsia="zh-CN"/>
        </w:rPr>
        <w:t>资金使用结构性矛盾</w:t>
      </w:r>
    </w:p>
    <w:p w14:paraId="565B946F">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default" w:eastAsia="仿宋_GB2312" w:cs="Times New Roman"/>
          <w:sz w:val="32"/>
          <w:szCs w:val="32"/>
          <w:lang w:val="zh-CN" w:eastAsia="zh-CN"/>
        </w:rPr>
      </w:pPr>
      <w:r>
        <w:rPr>
          <w:rFonts w:hint="default" w:eastAsia="仿宋_GB2312" w:cs="Times New Roman"/>
          <w:sz w:val="32"/>
          <w:szCs w:val="32"/>
          <w:lang w:val="zh-CN" w:eastAsia="zh-CN"/>
        </w:rPr>
        <w:t>农村饮水工程维修养护资金</w:t>
      </w:r>
      <w:r>
        <w:rPr>
          <w:rFonts w:hint="eastAsia" w:eastAsia="仿宋_GB2312" w:cs="Times New Roman"/>
          <w:sz w:val="32"/>
          <w:szCs w:val="32"/>
          <w:lang w:val="en-US" w:eastAsia="zh-CN"/>
        </w:rPr>
        <w:t>不足</w:t>
      </w:r>
      <w:r>
        <w:rPr>
          <w:rFonts w:hint="default" w:eastAsia="仿宋_GB2312" w:cs="Times New Roman"/>
          <w:sz w:val="32"/>
          <w:szCs w:val="32"/>
          <w:lang w:val="zh-CN" w:eastAsia="zh-CN"/>
        </w:rPr>
        <w:t>，与基础设施老化程度不匹配</w:t>
      </w:r>
      <w:r>
        <w:rPr>
          <w:rFonts w:hint="eastAsia" w:eastAsia="仿宋_GB2312" w:cs="Times New Roman"/>
          <w:sz w:val="32"/>
          <w:szCs w:val="32"/>
          <w:lang w:val="zh-CN" w:eastAsia="zh-CN"/>
        </w:rPr>
        <w:t>。</w:t>
      </w:r>
    </w:p>
    <w:p w14:paraId="1ADD052D">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default" w:eastAsia="仿宋_GB2312" w:cs="Times New Roman"/>
          <w:sz w:val="32"/>
          <w:szCs w:val="32"/>
          <w:lang w:val="zh-CN" w:eastAsia="zh-CN"/>
        </w:rPr>
      </w:pPr>
      <w:r>
        <w:rPr>
          <w:rFonts w:hint="eastAsia" w:eastAsia="仿宋_GB2312" w:cs="Times New Roman"/>
          <w:sz w:val="32"/>
          <w:szCs w:val="32"/>
          <w:lang w:val="zh-CN" w:eastAsia="zh-CN"/>
        </w:rPr>
        <w:t>（</w:t>
      </w:r>
      <w:r>
        <w:rPr>
          <w:rFonts w:hint="eastAsia" w:eastAsia="仿宋_GB2312" w:cs="Times New Roman"/>
          <w:sz w:val="32"/>
          <w:szCs w:val="32"/>
          <w:lang w:val="en-US" w:eastAsia="zh-CN"/>
        </w:rPr>
        <w:t>三</w:t>
      </w:r>
      <w:r>
        <w:rPr>
          <w:rFonts w:hint="eastAsia" w:eastAsia="仿宋_GB2312" w:cs="Times New Roman"/>
          <w:sz w:val="32"/>
          <w:szCs w:val="32"/>
          <w:lang w:val="zh-CN" w:eastAsia="zh-CN"/>
        </w:rPr>
        <w:t>）</w:t>
      </w:r>
      <w:r>
        <w:rPr>
          <w:rFonts w:hint="default" w:eastAsia="仿宋_GB2312" w:cs="Times New Roman"/>
          <w:sz w:val="32"/>
          <w:szCs w:val="32"/>
          <w:lang w:val="zh-CN" w:eastAsia="zh-CN"/>
        </w:rPr>
        <w:t>管理机制待完善</w:t>
      </w:r>
    </w:p>
    <w:p w14:paraId="6A42A73A">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default" w:eastAsia="仿宋_GB2312" w:cs="Times New Roman"/>
          <w:sz w:val="32"/>
          <w:szCs w:val="32"/>
          <w:lang w:val="zh-CN" w:eastAsia="zh-CN"/>
        </w:rPr>
      </w:pPr>
      <w:r>
        <w:rPr>
          <w:rFonts w:hint="default" w:eastAsia="仿宋_GB2312" w:cs="Times New Roman"/>
          <w:sz w:val="32"/>
          <w:szCs w:val="32"/>
          <w:lang w:val="zh-CN" w:eastAsia="zh-CN"/>
        </w:rPr>
        <w:t>项目业主分散在乡镇政府，水利局统筹协调难度大</w:t>
      </w:r>
      <w:r>
        <w:rPr>
          <w:rFonts w:hint="eastAsia" w:eastAsia="仿宋_GB2312" w:cs="Times New Roman"/>
          <w:sz w:val="32"/>
          <w:szCs w:val="32"/>
          <w:lang w:val="zh-CN" w:eastAsia="zh-CN"/>
        </w:rPr>
        <w:t>；</w:t>
      </w:r>
      <w:r>
        <w:rPr>
          <w:rFonts w:hint="default" w:eastAsia="仿宋_GB2312" w:cs="Times New Roman"/>
          <w:sz w:val="32"/>
          <w:szCs w:val="32"/>
          <w:lang w:val="zh-CN" w:eastAsia="zh-CN"/>
        </w:rPr>
        <w:t>人口动态调整机制不健全，影响资金精准投放</w:t>
      </w:r>
      <w:r>
        <w:rPr>
          <w:rFonts w:hint="eastAsia" w:eastAsia="仿宋_GB2312" w:cs="Times New Roman"/>
          <w:sz w:val="32"/>
          <w:szCs w:val="32"/>
          <w:lang w:val="zh-CN" w:eastAsia="zh-CN"/>
        </w:rPr>
        <w:t>。</w:t>
      </w:r>
    </w:p>
    <w:p w14:paraId="005E6D57">
      <w:pPr>
        <w:pStyle w:val="12"/>
        <w:keepNext w:val="0"/>
        <w:keepLines w:val="0"/>
        <w:pageBreakBefore w:val="0"/>
        <w:numPr>
          <w:ilvl w:val="0"/>
          <w:numId w:val="0"/>
        </w:numPr>
        <w:tabs>
          <w:tab w:val="left" w:pos="2160"/>
        </w:tabs>
        <w:kinsoku/>
        <w:wordWrap/>
        <w:overflowPunct/>
        <w:topLinePunct w:val="0"/>
        <w:autoSpaceDE/>
        <w:autoSpaceDN/>
        <w:bidi w:val="0"/>
        <w:adjustRightInd/>
        <w:snapToGrid/>
        <w:spacing w:line="590" w:lineRule="exact"/>
        <w:ind w:right="0" w:rightChars="0" w:firstLine="640" w:firstLineChars="200"/>
        <w:textAlignment w:val="auto"/>
        <w:rPr>
          <w:rFonts w:hint="eastAsia" w:ascii="黑体" w:hAnsi="宋体" w:eastAsia="黑体"/>
          <w:color w:val="auto"/>
          <w:sz w:val="32"/>
          <w:szCs w:val="32"/>
          <w:highlight w:val="none"/>
          <w:u w:val="none"/>
          <w:lang w:val="zh-CN" w:eastAsia="zh-CN"/>
        </w:rPr>
      </w:pPr>
      <w:r>
        <w:rPr>
          <w:rFonts w:hint="eastAsia" w:ascii="黑体" w:hAnsi="宋体" w:eastAsia="黑体"/>
          <w:color w:val="auto"/>
          <w:sz w:val="32"/>
          <w:szCs w:val="32"/>
          <w:highlight w:val="none"/>
          <w:u w:val="none"/>
          <w:lang w:val="zh-CN" w:eastAsia="zh-CN"/>
        </w:rPr>
        <w:t>六、改进建议</w:t>
      </w:r>
    </w:p>
    <w:p w14:paraId="5262E1AB">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default" w:eastAsia="仿宋_GB2312" w:cs="Times New Roman"/>
          <w:sz w:val="32"/>
          <w:szCs w:val="32"/>
          <w:lang w:val="zh-CN" w:eastAsia="zh-CN"/>
        </w:rPr>
      </w:pPr>
      <w:bookmarkStart w:id="186" w:name="_Hlk110546638"/>
      <w:r>
        <w:rPr>
          <w:rFonts w:hint="eastAsia" w:eastAsia="仿宋_GB2312" w:cs="Times New Roman"/>
          <w:sz w:val="32"/>
          <w:szCs w:val="32"/>
          <w:lang w:val="zh-CN" w:eastAsia="zh-CN"/>
        </w:rPr>
        <w:t>（</w:t>
      </w:r>
      <w:r>
        <w:rPr>
          <w:rFonts w:hint="eastAsia" w:eastAsia="仿宋_GB2312" w:cs="Times New Roman"/>
          <w:sz w:val="32"/>
          <w:szCs w:val="32"/>
          <w:lang w:val="en-US" w:eastAsia="zh-CN"/>
        </w:rPr>
        <w:t>一</w:t>
      </w:r>
      <w:r>
        <w:rPr>
          <w:rFonts w:hint="eastAsia" w:eastAsia="仿宋_GB2312" w:cs="Times New Roman"/>
          <w:sz w:val="32"/>
          <w:szCs w:val="32"/>
          <w:lang w:val="zh-CN" w:eastAsia="zh-CN"/>
        </w:rPr>
        <w:t>）</w:t>
      </w:r>
      <w:r>
        <w:rPr>
          <w:rFonts w:hint="default" w:eastAsia="仿宋_GB2312" w:cs="Times New Roman"/>
          <w:sz w:val="32"/>
          <w:szCs w:val="32"/>
          <w:lang w:val="zh-CN" w:eastAsia="zh-CN"/>
        </w:rPr>
        <w:t>优化项目管理流程</w:t>
      </w:r>
    </w:p>
    <w:p w14:paraId="090958E2">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default" w:eastAsia="仿宋_GB2312" w:cs="Times New Roman"/>
          <w:sz w:val="32"/>
          <w:szCs w:val="32"/>
          <w:lang w:val="zh-CN" w:eastAsia="zh-CN"/>
        </w:rPr>
      </w:pPr>
      <w:r>
        <w:rPr>
          <w:rFonts w:hint="default" w:eastAsia="仿宋_GB2312" w:cs="Times New Roman"/>
          <w:sz w:val="32"/>
          <w:szCs w:val="32"/>
          <w:lang w:val="zh-CN" w:eastAsia="zh-CN"/>
        </w:rPr>
        <w:t>建立"季度督查+专项审计"机制，缩短结算审核周期至60天内</w:t>
      </w:r>
      <w:r>
        <w:rPr>
          <w:rFonts w:hint="eastAsia" w:eastAsia="仿宋_GB2312" w:cs="Times New Roman"/>
          <w:sz w:val="32"/>
          <w:szCs w:val="32"/>
          <w:lang w:val="zh-CN" w:eastAsia="zh-CN"/>
        </w:rPr>
        <w:t>。</w:t>
      </w:r>
    </w:p>
    <w:p w14:paraId="22C60732">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default" w:eastAsia="仿宋_GB2312" w:cs="Times New Roman"/>
          <w:sz w:val="32"/>
          <w:szCs w:val="32"/>
          <w:lang w:val="zh-CN" w:eastAsia="zh-CN"/>
        </w:rPr>
      </w:pPr>
      <w:r>
        <w:rPr>
          <w:rFonts w:hint="eastAsia" w:eastAsia="仿宋_GB2312" w:cs="Times New Roman"/>
          <w:sz w:val="32"/>
          <w:szCs w:val="32"/>
          <w:lang w:val="zh-CN" w:eastAsia="zh-CN"/>
        </w:rPr>
        <w:t>（</w:t>
      </w:r>
      <w:r>
        <w:rPr>
          <w:rFonts w:hint="eastAsia" w:eastAsia="仿宋_GB2312" w:cs="Times New Roman"/>
          <w:sz w:val="32"/>
          <w:szCs w:val="32"/>
          <w:lang w:val="en-US" w:eastAsia="zh-CN"/>
        </w:rPr>
        <w:t>二</w:t>
      </w:r>
      <w:r>
        <w:rPr>
          <w:rFonts w:hint="eastAsia" w:eastAsia="仿宋_GB2312" w:cs="Times New Roman"/>
          <w:sz w:val="32"/>
          <w:szCs w:val="32"/>
          <w:lang w:val="zh-CN" w:eastAsia="zh-CN"/>
        </w:rPr>
        <w:t>）</w:t>
      </w:r>
      <w:r>
        <w:rPr>
          <w:rFonts w:hint="default" w:eastAsia="仿宋_GB2312" w:cs="Times New Roman"/>
          <w:sz w:val="32"/>
          <w:szCs w:val="32"/>
          <w:lang w:val="zh-CN" w:eastAsia="zh-CN"/>
        </w:rPr>
        <w:t>完善绩效管理体系</w:t>
      </w:r>
    </w:p>
    <w:p w14:paraId="29B68C28">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default" w:eastAsia="仿宋_GB2312" w:cs="Times New Roman"/>
          <w:sz w:val="32"/>
          <w:szCs w:val="32"/>
          <w:lang w:val="zh-CN" w:eastAsia="zh-CN"/>
        </w:rPr>
      </w:pPr>
      <w:r>
        <w:rPr>
          <w:rFonts w:hint="default" w:eastAsia="仿宋_GB2312" w:cs="Times New Roman"/>
          <w:sz w:val="32"/>
          <w:szCs w:val="32"/>
          <w:lang w:val="zh-CN" w:eastAsia="zh-CN"/>
        </w:rPr>
        <w:t>参照安徽省细则建立"三色预警"机制，监控资金执行进度</w:t>
      </w:r>
      <w:r>
        <w:rPr>
          <w:rFonts w:hint="eastAsia" w:eastAsia="仿宋_GB2312" w:cs="Times New Roman"/>
          <w:sz w:val="32"/>
          <w:szCs w:val="32"/>
          <w:lang w:val="zh-CN" w:eastAsia="zh-CN"/>
        </w:rPr>
        <w:t>；</w:t>
      </w:r>
      <w:r>
        <w:rPr>
          <w:rFonts w:hint="default" w:eastAsia="仿宋_GB2312" w:cs="Times New Roman"/>
          <w:sz w:val="32"/>
          <w:szCs w:val="32"/>
          <w:lang w:val="zh-CN" w:eastAsia="zh-CN"/>
        </w:rPr>
        <w:t>将移民满意度纳入项目验收核心指标</w:t>
      </w:r>
      <w:r>
        <w:rPr>
          <w:rFonts w:hint="eastAsia" w:eastAsia="仿宋_GB2312" w:cs="Times New Roman"/>
          <w:sz w:val="32"/>
          <w:szCs w:val="32"/>
          <w:lang w:val="zh-CN" w:eastAsia="zh-CN"/>
        </w:rPr>
        <w:t>；</w:t>
      </w:r>
      <w:r>
        <w:rPr>
          <w:rFonts w:hint="default" w:eastAsia="仿宋_GB2312" w:cs="Times New Roman"/>
          <w:sz w:val="32"/>
          <w:szCs w:val="32"/>
          <w:lang w:val="zh-CN" w:eastAsia="zh-CN"/>
        </w:rPr>
        <w:t>加强基层能力建设</w:t>
      </w:r>
      <w:r>
        <w:rPr>
          <w:rFonts w:hint="eastAsia" w:eastAsia="仿宋_GB2312" w:cs="Times New Roman"/>
          <w:sz w:val="32"/>
          <w:szCs w:val="32"/>
          <w:lang w:val="zh-CN" w:eastAsia="zh-CN"/>
        </w:rPr>
        <w:t>；</w:t>
      </w:r>
      <w:r>
        <w:rPr>
          <w:rFonts w:hint="default" w:eastAsia="仿宋_GB2312" w:cs="Times New Roman"/>
          <w:sz w:val="32"/>
          <w:szCs w:val="32"/>
          <w:lang w:val="zh-CN" w:eastAsia="zh-CN"/>
        </w:rPr>
        <w:t>开展乡镇经办人员专题培训，年培训不少于2次</w:t>
      </w:r>
    </w:p>
    <w:bookmarkEnd w:id="186"/>
    <w:p w14:paraId="223FBA8D">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outlineLvl w:val="9"/>
        <w:rPr>
          <w:rFonts w:hint="eastAsia" w:ascii="Times New Roman" w:hAnsi="Times New Roman" w:eastAsia="仿宋_GB2312" w:cs="Times New Roman"/>
          <w:color w:val="000000"/>
          <w:kern w:val="0"/>
          <w:sz w:val="32"/>
          <w:szCs w:val="32"/>
          <w:highlight w:val="none"/>
          <w:shd w:val="clear" w:color="auto" w:fill="FFFFFF"/>
          <w:lang w:val="en-US" w:eastAsia="zh-CN"/>
        </w:rPr>
      </w:pPr>
      <w:r>
        <w:rPr>
          <w:rFonts w:hint="eastAsia" w:ascii="Times New Roman" w:hAnsi="Times New Roman" w:eastAsia="仿宋_GB2312" w:cs="Times New Roman"/>
          <w:color w:val="000000"/>
          <w:kern w:val="0"/>
          <w:sz w:val="32"/>
          <w:szCs w:val="32"/>
          <w:highlight w:val="none"/>
          <w:shd w:val="clear" w:color="auto" w:fill="FFFFFF"/>
          <w:lang w:val="en-US" w:eastAsia="zh-CN"/>
        </w:rPr>
        <w:t>附表：1.</w:t>
      </w:r>
      <w:r>
        <w:rPr>
          <w:rFonts w:hint="eastAsia" w:eastAsia="仿宋_GB2312" w:cs="Times New Roman"/>
          <w:color w:val="000000"/>
          <w:kern w:val="0"/>
          <w:sz w:val="32"/>
          <w:szCs w:val="32"/>
          <w:highlight w:val="none"/>
          <w:shd w:val="clear" w:color="auto" w:fill="FFFFFF"/>
          <w:lang w:val="en-US" w:eastAsia="zh-CN"/>
        </w:rPr>
        <w:t xml:space="preserve"> </w:t>
      </w:r>
      <w:r>
        <w:rPr>
          <w:rFonts w:hint="eastAsia" w:ascii="Times New Roman" w:hAnsi="Times New Roman" w:eastAsia="仿宋_GB2312" w:cs="Times New Roman"/>
          <w:color w:val="000000"/>
          <w:kern w:val="0"/>
          <w:sz w:val="32"/>
          <w:szCs w:val="32"/>
          <w:highlight w:val="none"/>
          <w:shd w:val="clear" w:color="auto" w:fill="FFFFFF"/>
          <w:lang w:val="en-US" w:eastAsia="zh-CN"/>
        </w:rPr>
        <w:t>项目资金分配涉及所有点位自评得分情况表</w:t>
      </w:r>
    </w:p>
    <w:p w14:paraId="3F1903AE">
      <w:pPr>
        <w:keepNext w:val="0"/>
        <w:keepLines w:val="0"/>
        <w:pageBreakBefore w:val="0"/>
        <w:kinsoku/>
        <w:wordWrap/>
        <w:overflowPunct/>
        <w:topLinePunct w:val="0"/>
        <w:autoSpaceDE/>
        <w:autoSpaceDN/>
        <w:bidi w:val="0"/>
        <w:adjustRightInd/>
        <w:snapToGrid/>
        <w:spacing w:line="590" w:lineRule="exact"/>
        <w:ind w:left="0" w:leftChars="0" w:right="0" w:rightChars="0" w:firstLine="1600" w:firstLineChars="500"/>
        <w:textAlignment w:val="auto"/>
        <w:outlineLvl w:val="9"/>
        <w:rPr>
          <w:rFonts w:hint="default" w:ascii="Times New Roman" w:hAnsi="Times New Roman" w:eastAsia="仿宋_GB2312" w:cs="Times New Roman"/>
          <w:color w:val="000000"/>
          <w:kern w:val="0"/>
          <w:sz w:val="32"/>
          <w:szCs w:val="32"/>
          <w:highlight w:val="none"/>
          <w:shd w:val="clear" w:color="auto" w:fill="FFFFFF"/>
          <w:lang w:val="en-US" w:eastAsia="zh-CN"/>
        </w:rPr>
      </w:pPr>
      <w:r>
        <w:rPr>
          <w:rFonts w:hint="eastAsia" w:ascii="Times New Roman" w:hAnsi="Times New Roman" w:eastAsia="仿宋_GB2312" w:cs="Times New Roman"/>
          <w:color w:val="000000"/>
          <w:kern w:val="0"/>
          <w:sz w:val="32"/>
          <w:szCs w:val="32"/>
          <w:highlight w:val="none"/>
          <w:shd w:val="clear" w:color="auto" w:fill="FFFFFF"/>
          <w:lang w:val="en-US" w:eastAsia="zh-CN"/>
        </w:rPr>
        <w:t>2.</w:t>
      </w:r>
      <w:r>
        <w:rPr>
          <w:rFonts w:hint="eastAsia" w:eastAsia="仿宋_GB2312" w:cs="Times New Roman"/>
          <w:color w:val="000000"/>
          <w:kern w:val="0"/>
          <w:sz w:val="32"/>
          <w:szCs w:val="32"/>
          <w:highlight w:val="none"/>
          <w:shd w:val="clear" w:color="auto" w:fill="FFFFFF"/>
          <w:lang w:val="en-US" w:eastAsia="zh-CN"/>
        </w:rPr>
        <w:t xml:space="preserve"> </w:t>
      </w:r>
      <w:r>
        <w:rPr>
          <w:rFonts w:hint="eastAsia" w:ascii="Times New Roman" w:hAnsi="Times New Roman" w:eastAsia="仿宋_GB2312" w:cs="Times New Roman"/>
          <w:color w:val="000000"/>
          <w:kern w:val="0"/>
          <w:sz w:val="32"/>
          <w:szCs w:val="32"/>
          <w:highlight w:val="none"/>
          <w:shd w:val="clear" w:color="auto" w:fill="FFFFFF"/>
          <w:lang w:val="en-US" w:eastAsia="zh-CN"/>
        </w:rPr>
        <w:t>专项</w:t>
      </w:r>
      <w:r>
        <w:rPr>
          <w:rFonts w:hint="eastAsia" w:eastAsia="仿宋_GB2312" w:cs="Times New Roman"/>
          <w:color w:val="000000"/>
          <w:kern w:val="0"/>
          <w:sz w:val="32"/>
          <w:szCs w:val="32"/>
          <w:highlight w:val="none"/>
          <w:shd w:val="clear" w:color="auto" w:fill="FFFFFF"/>
          <w:lang w:val="en-US" w:eastAsia="zh-CN"/>
        </w:rPr>
        <w:t>资金</w:t>
      </w:r>
      <w:r>
        <w:rPr>
          <w:rFonts w:hint="eastAsia" w:ascii="Times New Roman" w:hAnsi="Times New Roman" w:eastAsia="仿宋_GB2312" w:cs="Times New Roman"/>
          <w:color w:val="000000"/>
          <w:kern w:val="0"/>
          <w:sz w:val="32"/>
          <w:szCs w:val="32"/>
          <w:highlight w:val="none"/>
          <w:shd w:val="clear" w:color="auto" w:fill="FFFFFF"/>
          <w:lang w:val="en-US" w:eastAsia="zh-CN"/>
        </w:rPr>
        <w:t>绩效目标完成情况自评表</w:t>
      </w:r>
    </w:p>
    <w:p w14:paraId="0812D6F5">
      <w:pPr>
        <w:keepNext w:val="0"/>
        <w:keepLines w:val="0"/>
        <w:pageBreakBefore w:val="0"/>
        <w:kinsoku/>
        <w:wordWrap/>
        <w:overflowPunct/>
        <w:topLinePunct w:val="0"/>
        <w:autoSpaceDE/>
        <w:autoSpaceDN/>
        <w:bidi w:val="0"/>
        <w:adjustRightInd/>
        <w:snapToGrid/>
        <w:spacing w:line="590" w:lineRule="exact"/>
        <w:ind w:left="0" w:leftChars="0" w:right="0" w:rightChars="0" w:firstLine="420" w:firstLineChars="200"/>
        <w:textAlignment w:val="auto"/>
        <w:outlineLvl w:val="9"/>
        <w:rPr>
          <w:rFonts w:hint="eastAsia" w:ascii="Times New Roman" w:hAnsi="Times New Roman" w:eastAsia="仿宋_GB2312" w:cs="Times New Roman"/>
          <w:color w:val="000000"/>
          <w:kern w:val="0"/>
          <w:szCs w:val="32"/>
          <w:highlight w:val="none"/>
          <w:shd w:val="clear" w:color="auto" w:fill="FFFFFF"/>
          <w:lang w:val="zh-CN" w:eastAsia="zh-CN"/>
        </w:rPr>
      </w:pPr>
      <w:r>
        <w:rPr>
          <w:rFonts w:hint="eastAsia" w:ascii="Times New Roman" w:hAnsi="Times New Roman" w:eastAsia="仿宋_GB2312" w:cs="Times New Roman"/>
          <w:color w:val="000000"/>
          <w:kern w:val="0"/>
          <w:szCs w:val="32"/>
          <w:highlight w:val="none"/>
          <w:shd w:val="clear" w:color="auto" w:fill="FFFFFF"/>
          <w:lang w:val="zh-CN" w:eastAsia="zh-CN"/>
        </w:rPr>
        <w:br w:type="page"/>
      </w:r>
    </w:p>
    <w:p w14:paraId="70AC59FA">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contextualSpacing/>
        <w:jc w:val="left"/>
        <w:textAlignment w:val="auto"/>
        <w:rPr>
          <w:rFonts w:hint="eastAsia" w:ascii="黑体" w:hAnsi="黑体" w:eastAsia="黑体" w:cs="黑体"/>
          <w:b w:val="0"/>
          <w:bCs w:val="0"/>
          <w:color w:val="auto"/>
          <w:kern w:val="0"/>
          <w:sz w:val="32"/>
          <w:szCs w:val="32"/>
          <w:highlight w:val="none"/>
          <w:u w:val="none"/>
          <w:shd w:val="clear" w:color="auto" w:fill="FFFFFF"/>
          <w:lang w:val="zh-CN" w:eastAsia="zh-CN"/>
        </w:rPr>
      </w:pPr>
      <w:r>
        <w:rPr>
          <w:rFonts w:hint="eastAsia" w:ascii="黑体" w:hAnsi="黑体" w:eastAsia="黑体" w:cs="黑体"/>
          <w:b w:val="0"/>
          <w:bCs w:val="0"/>
          <w:color w:val="auto"/>
          <w:kern w:val="0"/>
          <w:sz w:val="32"/>
          <w:szCs w:val="32"/>
          <w:highlight w:val="none"/>
          <w:u w:val="none"/>
          <w:shd w:val="clear" w:color="auto" w:fill="FFFFFF"/>
          <w:lang w:val="zh-CN" w:eastAsia="zh-CN"/>
        </w:rPr>
        <w:t>附表</w:t>
      </w:r>
      <w:r>
        <w:rPr>
          <w:rFonts w:hint="eastAsia" w:ascii="黑体" w:hAnsi="黑体" w:eastAsia="黑体" w:cs="黑体"/>
          <w:b w:val="0"/>
          <w:bCs w:val="0"/>
          <w:color w:val="auto"/>
          <w:kern w:val="0"/>
          <w:sz w:val="32"/>
          <w:szCs w:val="32"/>
          <w:highlight w:val="none"/>
          <w:u w:val="none"/>
          <w:shd w:val="clear" w:color="auto" w:fill="FFFFFF"/>
          <w:lang w:val="en-US" w:eastAsia="zh-CN"/>
        </w:rPr>
        <w:t>1</w:t>
      </w:r>
    </w:p>
    <w:p w14:paraId="5743FCE1">
      <w:pPr>
        <w:keepNext w:val="0"/>
        <w:keepLines w:val="0"/>
        <w:pageBreakBefore w:val="0"/>
        <w:kinsoku/>
        <w:wordWrap/>
        <w:overflowPunct/>
        <w:topLinePunct w:val="0"/>
        <w:autoSpaceDE/>
        <w:autoSpaceDN/>
        <w:bidi w:val="0"/>
        <w:spacing w:line="578" w:lineRule="exact"/>
        <w:ind w:left="0" w:leftChars="0"/>
        <w:jc w:val="center"/>
        <w:textAlignment w:val="auto"/>
        <w:rPr>
          <w:rFonts w:hint="eastAsia" w:ascii="方正小标宋_GBK" w:hAnsi="方正小标宋_GBK" w:eastAsia="方正小标宋_GBK" w:cs="方正小标宋_GBK"/>
          <w:b w:val="0"/>
          <w:bCs w:val="0"/>
          <w:color w:val="auto"/>
          <w:sz w:val="40"/>
          <w:szCs w:val="40"/>
          <w:highlight w:val="none"/>
          <w:u w:val="none"/>
          <w:lang w:val="en-US" w:eastAsia="zh-CN"/>
        </w:rPr>
      </w:pPr>
      <w:r>
        <w:rPr>
          <w:rFonts w:hint="eastAsia" w:ascii="方正小标宋_GBK" w:hAnsi="方正小标宋_GBK" w:eastAsia="方正小标宋_GBK" w:cs="方正小标宋_GBK"/>
          <w:b w:val="0"/>
          <w:bCs w:val="0"/>
          <w:color w:val="auto"/>
          <w:sz w:val="40"/>
          <w:szCs w:val="40"/>
          <w:highlight w:val="none"/>
          <w:u w:val="none"/>
          <w:lang w:val="en-US" w:eastAsia="zh-CN"/>
        </w:rPr>
        <w:t>项目资金分配涉及所有点位自评得分情况表</w:t>
      </w:r>
    </w:p>
    <w:tbl>
      <w:tblPr>
        <w:tblStyle w:val="24"/>
        <w:tblW w:w="88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3"/>
        <w:gridCol w:w="3843"/>
        <w:gridCol w:w="2861"/>
        <w:gridCol w:w="993"/>
      </w:tblGrid>
      <w:tr w14:paraId="11436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top"/>
          </w:tcPr>
          <w:p w14:paraId="54E3ADC3">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黑体" w:hAnsi="黑体" w:eastAsia="黑体" w:cs="黑体"/>
                <w:b w:val="0"/>
                <w:bCs w:val="0"/>
                <w:color w:val="auto"/>
                <w:sz w:val="24"/>
                <w:szCs w:val="24"/>
                <w:highlight w:val="none"/>
                <w:u w:val="none"/>
                <w:vertAlign w:val="baseline"/>
                <w:lang w:val="en-US" w:eastAsia="zh-CN"/>
              </w:rPr>
            </w:pPr>
            <w:r>
              <w:rPr>
                <w:rFonts w:hint="eastAsia" w:ascii="黑体" w:hAnsi="黑体" w:eastAsia="黑体" w:cs="黑体"/>
                <w:b w:val="0"/>
                <w:bCs w:val="0"/>
                <w:color w:val="auto"/>
                <w:sz w:val="24"/>
                <w:szCs w:val="24"/>
                <w:highlight w:val="none"/>
                <w:u w:val="none"/>
                <w:vertAlign w:val="baseline"/>
                <w:lang w:val="en-US" w:eastAsia="zh-CN"/>
              </w:rPr>
              <w:t>序号</w:t>
            </w:r>
          </w:p>
        </w:tc>
        <w:tc>
          <w:tcPr>
            <w:tcW w:w="3843" w:type="dxa"/>
            <w:vAlign w:val="top"/>
          </w:tcPr>
          <w:p w14:paraId="34C0F197">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黑体" w:hAnsi="黑体" w:eastAsia="黑体" w:cs="黑体"/>
                <w:b w:val="0"/>
                <w:bCs w:val="0"/>
                <w:color w:val="auto"/>
                <w:sz w:val="24"/>
                <w:szCs w:val="24"/>
                <w:highlight w:val="none"/>
                <w:u w:val="none"/>
                <w:vertAlign w:val="baseline"/>
                <w:lang w:val="en" w:eastAsia="zh-CN"/>
              </w:rPr>
            </w:pPr>
            <w:r>
              <w:rPr>
                <w:rFonts w:hint="eastAsia" w:ascii="黑体" w:hAnsi="黑体" w:eastAsia="黑体" w:cs="黑体"/>
                <w:b w:val="0"/>
                <w:bCs w:val="0"/>
                <w:color w:val="auto"/>
                <w:sz w:val="24"/>
                <w:szCs w:val="24"/>
                <w:highlight w:val="none"/>
                <w:u w:val="none"/>
                <w:vertAlign w:val="baseline"/>
                <w:lang w:val="en-US" w:eastAsia="zh-CN"/>
              </w:rPr>
              <w:t>项目资金末端分配点位</w:t>
            </w:r>
          </w:p>
        </w:tc>
        <w:tc>
          <w:tcPr>
            <w:tcW w:w="2861" w:type="dxa"/>
            <w:vAlign w:val="top"/>
          </w:tcPr>
          <w:p w14:paraId="3BB7A233">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黑体" w:hAnsi="黑体" w:eastAsia="黑体" w:cs="黑体"/>
                <w:b w:val="0"/>
                <w:bCs w:val="0"/>
                <w:color w:val="auto"/>
                <w:sz w:val="24"/>
                <w:szCs w:val="24"/>
                <w:highlight w:val="none"/>
                <w:u w:val="none"/>
                <w:vertAlign w:val="baseline"/>
                <w:lang w:val="en-US" w:eastAsia="zh-CN"/>
              </w:rPr>
            </w:pPr>
            <w:r>
              <w:rPr>
                <w:rFonts w:hint="eastAsia" w:ascii="黑体" w:hAnsi="黑体" w:eastAsia="黑体" w:cs="黑体"/>
                <w:b w:val="0"/>
                <w:bCs w:val="0"/>
                <w:color w:val="auto"/>
                <w:sz w:val="24"/>
                <w:szCs w:val="24"/>
                <w:highlight w:val="none"/>
                <w:u w:val="none"/>
                <w:vertAlign w:val="baseline"/>
                <w:lang w:val="en" w:eastAsia="zh-CN"/>
              </w:rPr>
              <w:t>自评得分（百分制）</w:t>
            </w:r>
          </w:p>
        </w:tc>
        <w:tc>
          <w:tcPr>
            <w:tcW w:w="993" w:type="dxa"/>
            <w:vAlign w:val="top"/>
          </w:tcPr>
          <w:p w14:paraId="6AAECEF8">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黑体" w:hAnsi="黑体" w:eastAsia="黑体" w:cs="黑体"/>
                <w:b w:val="0"/>
                <w:bCs w:val="0"/>
                <w:color w:val="auto"/>
                <w:sz w:val="24"/>
                <w:szCs w:val="24"/>
                <w:highlight w:val="none"/>
                <w:u w:val="none"/>
                <w:vertAlign w:val="baseline"/>
                <w:lang w:val="en-US" w:eastAsia="zh-CN"/>
              </w:rPr>
            </w:pPr>
            <w:r>
              <w:rPr>
                <w:rFonts w:hint="eastAsia" w:ascii="黑体" w:hAnsi="黑体" w:eastAsia="黑体" w:cs="黑体"/>
                <w:b w:val="0"/>
                <w:bCs w:val="0"/>
                <w:color w:val="auto"/>
                <w:sz w:val="24"/>
                <w:szCs w:val="24"/>
                <w:highlight w:val="none"/>
                <w:u w:val="none"/>
                <w:vertAlign w:val="baseline"/>
                <w:lang w:val="en-US" w:eastAsia="zh-CN"/>
              </w:rPr>
              <w:t>备注</w:t>
            </w:r>
          </w:p>
        </w:tc>
      </w:tr>
      <w:tr w14:paraId="57812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exact"/>
          <w:jc w:val="center"/>
        </w:trPr>
        <w:tc>
          <w:tcPr>
            <w:tcW w:w="1123" w:type="dxa"/>
            <w:vAlign w:val="top"/>
          </w:tcPr>
          <w:p w14:paraId="47D96F7C">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宋体" w:hAnsi="宋体" w:eastAsia="宋体" w:cs="宋体"/>
                <w:b w:val="0"/>
                <w:bCs w:val="0"/>
                <w:color w:val="auto"/>
                <w:sz w:val="24"/>
                <w:szCs w:val="24"/>
                <w:highlight w:val="none"/>
                <w:u w:val="none"/>
                <w:lang w:val="en-US" w:eastAsia="zh-CN"/>
              </w:rPr>
            </w:pPr>
            <w:r>
              <w:rPr>
                <w:rFonts w:hint="eastAsia" w:ascii="宋体" w:hAnsi="宋体" w:eastAsia="仿宋_GB2312" w:cs="宋体"/>
                <w:b w:val="0"/>
                <w:bCs w:val="0"/>
                <w:color w:val="auto"/>
                <w:sz w:val="24"/>
                <w:szCs w:val="24"/>
                <w:highlight w:val="none"/>
                <w:u w:val="none"/>
                <w:lang w:val="en-US" w:eastAsia="zh-CN"/>
              </w:rPr>
              <w:t>1</w:t>
            </w:r>
          </w:p>
        </w:tc>
        <w:tc>
          <w:tcPr>
            <w:tcW w:w="3843" w:type="dxa"/>
            <w:vAlign w:val="top"/>
          </w:tcPr>
          <w:p w14:paraId="4F05D771">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default" w:ascii="宋体" w:hAnsi="宋体" w:cs="宋体"/>
                <w:color w:val="auto"/>
                <w:sz w:val="24"/>
                <w:szCs w:val="24"/>
                <w:highlight w:val="none"/>
                <w:u w:val="none"/>
                <w:vertAlign w:val="baseline"/>
                <w:lang w:val="en-US" w:eastAsia="zh-CN"/>
              </w:rPr>
            </w:pPr>
            <w:r>
              <w:rPr>
                <w:rFonts w:hint="eastAsia" w:ascii="宋体" w:hAnsi="宋体" w:eastAsia="仿宋_GB2312" w:cs="宋体"/>
                <w:color w:val="auto"/>
                <w:sz w:val="24"/>
                <w:szCs w:val="24"/>
                <w:highlight w:val="none"/>
                <w:u w:val="none"/>
                <w:vertAlign w:val="baseline"/>
                <w:lang w:val="en-US" w:eastAsia="zh-CN"/>
              </w:rPr>
              <w:t>安居区水利局2024年中央水利发展资金</w:t>
            </w:r>
          </w:p>
        </w:tc>
        <w:tc>
          <w:tcPr>
            <w:tcW w:w="2861" w:type="dxa"/>
            <w:vAlign w:val="top"/>
          </w:tcPr>
          <w:p w14:paraId="7821689D">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default" w:ascii="宋体" w:hAnsi="宋体" w:cs="宋体"/>
                <w:color w:val="auto"/>
                <w:sz w:val="24"/>
                <w:szCs w:val="24"/>
                <w:highlight w:val="none"/>
                <w:u w:val="none"/>
                <w:vertAlign w:val="baseline"/>
                <w:lang w:val="en-US" w:eastAsia="zh-CN"/>
              </w:rPr>
            </w:pPr>
            <w:r>
              <w:rPr>
                <w:rFonts w:hint="eastAsia" w:ascii="宋体" w:hAnsi="宋体" w:eastAsia="仿宋_GB2312" w:cs="宋体"/>
                <w:color w:val="auto"/>
                <w:sz w:val="24"/>
                <w:szCs w:val="24"/>
                <w:highlight w:val="none"/>
                <w:u w:val="none"/>
                <w:vertAlign w:val="baseline"/>
                <w:lang w:val="en-US" w:eastAsia="zh-CN"/>
              </w:rPr>
              <w:t>84.89</w:t>
            </w:r>
          </w:p>
        </w:tc>
        <w:tc>
          <w:tcPr>
            <w:tcW w:w="993" w:type="dxa"/>
            <w:vAlign w:val="top"/>
          </w:tcPr>
          <w:p w14:paraId="51D4B3C0">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US" w:eastAsia="zh-CN"/>
              </w:rPr>
            </w:pPr>
          </w:p>
        </w:tc>
      </w:tr>
      <w:tr w14:paraId="68B05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top"/>
          </w:tcPr>
          <w:p w14:paraId="0974191B">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宋体" w:hAnsi="宋体" w:eastAsia="宋体" w:cs="宋体"/>
                <w:b w:val="0"/>
                <w:bCs w:val="0"/>
                <w:color w:val="auto"/>
                <w:sz w:val="24"/>
                <w:szCs w:val="24"/>
                <w:highlight w:val="none"/>
                <w:u w:val="none"/>
                <w:lang w:val="en-US" w:eastAsia="zh-CN"/>
              </w:rPr>
            </w:pPr>
            <w:r>
              <w:rPr>
                <w:rFonts w:hint="eastAsia" w:ascii="宋体" w:hAnsi="宋体" w:eastAsia="仿宋_GB2312" w:cs="宋体"/>
                <w:b w:val="0"/>
                <w:bCs w:val="0"/>
                <w:color w:val="auto"/>
                <w:sz w:val="24"/>
                <w:szCs w:val="24"/>
                <w:highlight w:val="none"/>
                <w:u w:val="none"/>
                <w:lang w:val="en-US" w:eastAsia="zh-CN"/>
              </w:rPr>
              <w:t>2</w:t>
            </w:r>
          </w:p>
        </w:tc>
        <w:tc>
          <w:tcPr>
            <w:tcW w:w="3843" w:type="dxa"/>
            <w:vAlign w:val="top"/>
          </w:tcPr>
          <w:p w14:paraId="4D86F109">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 w:eastAsia="zh-CN"/>
              </w:rPr>
            </w:pPr>
          </w:p>
        </w:tc>
        <w:tc>
          <w:tcPr>
            <w:tcW w:w="2861" w:type="dxa"/>
            <w:vAlign w:val="top"/>
          </w:tcPr>
          <w:p w14:paraId="73196850">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 w:eastAsia="zh-CN"/>
              </w:rPr>
            </w:pPr>
          </w:p>
        </w:tc>
        <w:tc>
          <w:tcPr>
            <w:tcW w:w="993" w:type="dxa"/>
            <w:vAlign w:val="top"/>
          </w:tcPr>
          <w:p w14:paraId="03B73A8E">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US" w:eastAsia="zh-CN"/>
              </w:rPr>
            </w:pPr>
          </w:p>
        </w:tc>
      </w:tr>
      <w:tr w14:paraId="1CBA5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top"/>
          </w:tcPr>
          <w:p w14:paraId="6090CDDB">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宋体" w:hAnsi="宋体" w:eastAsia="宋体" w:cs="宋体"/>
                <w:b w:val="0"/>
                <w:bCs w:val="0"/>
                <w:color w:val="auto"/>
                <w:sz w:val="24"/>
                <w:szCs w:val="24"/>
                <w:highlight w:val="none"/>
                <w:u w:val="none"/>
                <w:lang w:val="en-US" w:eastAsia="zh-CN"/>
              </w:rPr>
            </w:pPr>
            <w:r>
              <w:rPr>
                <w:rFonts w:hint="eastAsia" w:ascii="宋体" w:hAnsi="宋体" w:eastAsia="仿宋_GB2312" w:cs="宋体"/>
                <w:b w:val="0"/>
                <w:bCs w:val="0"/>
                <w:color w:val="auto"/>
                <w:sz w:val="24"/>
                <w:szCs w:val="24"/>
                <w:highlight w:val="none"/>
                <w:u w:val="none"/>
                <w:lang w:val="en-US" w:eastAsia="zh-CN"/>
              </w:rPr>
              <w:t>3</w:t>
            </w:r>
          </w:p>
        </w:tc>
        <w:tc>
          <w:tcPr>
            <w:tcW w:w="3843" w:type="dxa"/>
            <w:vAlign w:val="top"/>
          </w:tcPr>
          <w:p w14:paraId="4E12522B">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 w:eastAsia="zh-CN"/>
              </w:rPr>
            </w:pPr>
          </w:p>
        </w:tc>
        <w:tc>
          <w:tcPr>
            <w:tcW w:w="2861" w:type="dxa"/>
            <w:vAlign w:val="top"/>
          </w:tcPr>
          <w:p w14:paraId="6900A149">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 w:eastAsia="zh-CN"/>
              </w:rPr>
            </w:pPr>
          </w:p>
        </w:tc>
        <w:tc>
          <w:tcPr>
            <w:tcW w:w="993" w:type="dxa"/>
            <w:vAlign w:val="top"/>
          </w:tcPr>
          <w:p w14:paraId="6FB43071">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US" w:eastAsia="zh-CN"/>
              </w:rPr>
            </w:pPr>
          </w:p>
        </w:tc>
      </w:tr>
      <w:tr w14:paraId="709AE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top"/>
          </w:tcPr>
          <w:p w14:paraId="75AEF2BA">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宋体" w:hAnsi="宋体" w:eastAsia="宋体" w:cs="宋体"/>
                <w:b w:val="0"/>
                <w:bCs w:val="0"/>
                <w:color w:val="auto"/>
                <w:sz w:val="24"/>
                <w:szCs w:val="24"/>
                <w:highlight w:val="none"/>
                <w:u w:val="none"/>
                <w:lang w:val="en-US" w:eastAsia="zh-CN"/>
              </w:rPr>
            </w:pPr>
            <w:r>
              <w:rPr>
                <w:rFonts w:hint="eastAsia" w:ascii="宋体" w:hAnsi="宋体" w:eastAsia="仿宋_GB2312" w:cs="宋体"/>
                <w:b w:val="0"/>
                <w:bCs w:val="0"/>
                <w:color w:val="auto"/>
                <w:sz w:val="24"/>
                <w:szCs w:val="24"/>
                <w:highlight w:val="none"/>
                <w:u w:val="none"/>
                <w:lang w:val="en-US" w:eastAsia="zh-CN"/>
              </w:rPr>
              <w:t>4</w:t>
            </w:r>
          </w:p>
        </w:tc>
        <w:tc>
          <w:tcPr>
            <w:tcW w:w="3843" w:type="dxa"/>
            <w:vAlign w:val="top"/>
          </w:tcPr>
          <w:p w14:paraId="6648115D">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 w:eastAsia="zh-CN"/>
              </w:rPr>
            </w:pPr>
          </w:p>
        </w:tc>
        <w:tc>
          <w:tcPr>
            <w:tcW w:w="2861" w:type="dxa"/>
            <w:vAlign w:val="top"/>
          </w:tcPr>
          <w:p w14:paraId="7E2CCB56">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 w:eastAsia="zh-CN"/>
              </w:rPr>
            </w:pPr>
          </w:p>
        </w:tc>
        <w:tc>
          <w:tcPr>
            <w:tcW w:w="993" w:type="dxa"/>
            <w:vAlign w:val="top"/>
          </w:tcPr>
          <w:p w14:paraId="00B258C3">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US" w:eastAsia="zh-CN"/>
              </w:rPr>
            </w:pPr>
          </w:p>
        </w:tc>
      </w:tr>
      <w:tr w14:paraId="52BBE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top"/>
          </w:tcPr>
          <w:p w14:paraId="6D76204F">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宋体" w:hAnsi="宋体" w:eastAsia="宋体" w:cs="宋体"/>
                <w:b w:val="0"/>
                <w:bCs w:val="0"/>
                <w:color w:val="auto"/>
                <w:sz w:val="24"/>
                <w:szCs w:val="24"/>
                <w:highlight w:val="none"/>
                <w:u w:val="none"/>
                <w:lang w:val="en-US" w:eastAsia="zh-CN"/>
              </w:rPr>
            </w:pPr>
            <w:r>
              <w:rPr>
                <w:rFonts w:hint="eastAsia" w:ascii="宋体" w:hAnsi="宋体" w:eastAsia="仿宋_GB2312" w:cs="宋体"/>
                <w:b w:val="0"/>
                <w:bCs w:val="0"/>
                <w:color w:val="auto"/>
                <w:sz w:val="24"/>
                <w:szCs w:val="24"/>
                <w:highlight w:val="none"/>
                <w:u w:val="none"/>
                <w:lang w:val="en-US" w:eastAsia="zh-CN"/>
              </w:rPr>
              <w:t>5</w:t>
            </w:r>
          </w:p>
        </w:tc>
        <w:tc>
          <w:tcPr>
            <w:tcW w:w="3843" w:type="dxa"/>
            <w:vAlign w:val="top"/>
          </w:tcPr>
          <w:p w14:paraId="228E3F36">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 w:eastAsia="zh-CN"/>
              </w:rPr>
            </w:pPr>
          </w:p>
        </w:tc>
        <w:tc>
          <w:tcPr>
            <w:tcW w:w="2861" w:type="dxa"/>
            <w:vAlign w:val="top"/>
          </w:tcPr>
          <w:p w14:paraId="5615E8FB">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 w:eastAsia="zh-CN"/>
              </w:rPr>
            </w:pPr>
          </w:p>
        </w:tc>
        <w:tc>
          <w:tcPr>
            <w:tcW w:w="993" w:type="dxa"/>
            <w:vAlign w:val="top"/>
          </w:tcPr>
          <w:p w14:paraId="6402B5EE">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US" w:eastAsia="zh-CN"/>
              </w:rPr>
            </w:pPr>
          </w:p>
        </w:tc>
      </w:tr>
      <w:tr w14:paraId="63EFA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top"/>
          </w:tcPr>
          <w:p w14:paraId="6458DE4D">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宋体" w:hAnsi="宋体" w:eastAsia="宋体" w:cs="宋体"/>
                <w:b w:val="0"/>
                <w:bCs w:val="0"/>
                <w:color w:val="auto"/>
                <w:sz w:val="24"/>
                <w:szCs w:val="24"/>
                <w:highlight w:val="none"/>
                <w:u w:val="none"/>
                <w:lang w:val="en-US" w:eastAsia="zh-CN"/>
              </w:rPr>
            </w:pPr>
            <w:r>
              <w:rPr>
                <w:rFonts w:hint="eastAsia" w:ascii="宋体" w:hAnsi="宋体" w:eastAsia="仿宋_GB2312" w:cs="宋体"/>
                <w:b w:val="0"/>
                <w:bCs w:val="0"/>
                <w:color w:val="auto"/>
                <w:sz w:val="24"/>
                <w:szCs w:val="24"/>
                <w:highlight w:val="none"/>
                <w:u w:val="none"/>
                <w:lang w:val="en-US" w:eastAsia="zh-CN"/>
              </w:rPr>
              <w:t>6</w:t>
            </w:r>
          </w:p>
        </w:tc>
        <w:tc>
          <w:tcPr>
            <w:tcW w:w="3843" w:type="dxa"/>
            <w:vAlign w:val="top"/>
          </w:tcPr>
          <w:p w14:paraId="1FA2EA74">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 w:eastAsia="zh-CN"/>
              </w:rPr>
            </w:pPr>
          </w:p>
        </w:tc>
        <w:tc>
          <w:tcPr>
            <w:tcW w:w="2861" w:type="dxa"/>
            <w:vAlign w:val="top"/>
          </w:tcPr>
          <w:p w14:paraId="5F740EDB">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 w:eastAsia="zh-CN"/>
              </w:rPr>
            </w:pPr>
          </w:p>
        </w:tc>
        <w:tc>
          <w:tcPr>
            <w:tcW w:w="993" w:type="dxa"/>
            <w:vAlign w:val="top"/>
          </w:tcPr>
          <w:p w14:paraId="7E0B3955">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US" w:eastAsia="zh-CN"/>
              </w:rPr>
            </w:pPr>
          </w:p>
        </w:tc>
      </w:tr>
      <w:tr w14:paraId="3D58C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top"/>
          </w:tcPr>
          <w:p w14:paraId="43FFC496">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宋体" w:hAnsi="宋体" w:eastAsia="宋体" w:cs="宋体"/>
                <w:b w:val="0"/>
                <w:bCs w:val="0"/>
                <w:color w:val="auto"/>
                <w:sz w:val="24"/>
                <w:szCs w:val="24"/>
                <w:highlight w:val="none"/>
                <w:u w:val="none"/>
                <w:lang w:val="en-US" w:eastAsia="zh-CN"/>
              </w:rPr>
            </w:pPr>
            <w:r>
              <w:rPr>
                <w:rFonts w:hint="eastAsia" w:ascii="宋体" w:hAnsi="宋体" w:eastAsia="仿宋_GB2312" w:cs="宋体"/>
                <w:b w:val="0"/>
                <w:bCs w:val="0"/>
                <w:color w:val="auto"/>
                <w:sz w:val="24"/>
                <w:szCs w:val="24"/>
                <w:highlight w:val="none"/>
                <w:u w:val="none"/>
                <w:lang w:val="en-US" w:eastAsia="zh-CN"/>
              </w:rPr>
              <w:t>7</w:t>
            </w:r>
          </w:p>
        </w:tc>
        <w:tc>
          <w:tcPr>
            <w:tcW w:w="3843" w:type="dxa"/>
            <w:vAlign w:val="top"/>
          </w:tcPr>
          <w:p w14:paraId="44A4ED26">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 w:eastAsia="zh-CN"/>
              </w:rPr>
            </w:pPr>
          </w:p>
        </w:tc>
        <w:tc>
          <w:tcPr>
            <w:tcW w:w="2861" w:type="dxa"/>
            <w:vAlign w:val="top"/>
          </w:tcPr>
          <w:p w14:paraId="4E7CE4C2">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 w:eastAsia="zh-CN"/>
              </w:rPr>
            </w:pPr>
          </w:p>
        </w:tc>
        <w:tc>
          <w:tcPr>
            <w:tcW w:w="993" w:type="dxa"/>
            <w:vAlign w:val="top"/>
          </w:tcPr>
          <w:p w14:paraId="2FCF516A">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US" w:eastAsia="zh-CN"/>
              </w:rPr>
            </w:pPr>
          </w:p>
        </w:tc>
      </w:tr>
      <w:tr w14:paraId="159E3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top"/>
          </w:tcPr>
          <w:p w14:paraId="6EE5C959">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宋体" w:hAnsi="宋体" w:eastAsia="宋体" w:cs="宋体"/>
                <w:b w:val="0"/>
                <w:bCs w:val="0"/>
                <w:color w:val="auto"/>
                <w:sz w:val="24"/>
                <w:szCs w:val="24"/>
                <w:highlight w:val="none"/>
                <w:u w:val="none"/>
                <w:lang w:val="en-US" w:eastAsia="zh-CN"/>
              </w:rPr>
            </w:pPr>
            <w:r>
              <w:rPr>
                <w:rFonts w:hint="eastAsia" w:ascii="宋体" w:hAnsi="宋体" w:eastAsia="仿宋_GB2312" w:cs="宋体"/>
                <w:b w:val="0"/>
                <w:bCs w:val="0"/>
                <w:color w:val="auto"/>
                <w:sz w:val="24"/>
                <w:szCs w:val="24"/>
                <w:highlight w:val="none"/>
                <w:u w:val="none"/>
                <w:lang w:val="en-US" w:eastAsia="zh-CN"/>
              </w:rPr>
              <w:t>8</w:t>
            </w:r>
          </w:p>
        </w:tc>
        <w:tc>
          <w:tcPr>
            <w:tcW w:w="3843" w:type="dxa"/>
            <w:vAlign w:val="top"/>
          </w:tcPr>
          <w:p w14:paraId="47800FC0">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 w:eastAsia="zh-CN"/>
              </w:rPr>
            </w:pPr>
          </w:p>
        </w:tc>
        <w:tc>
          <w:tcPr>
            <w:tcW w:w="2861" w:type="dxa"/>
            <w:vAlign w:val="top"/>
          </w:tcPr>
          <w:p w14:paraId="145344C7">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 w:eastAsia="zh-CN"/>
              </w:rPr>
            </w:pPr>
          </w:p>
        </w:tc>
        <w:tc>
          <w:tcPr>
            <w:tcW w:w="993" w:type="dxa"/>
            <w:vAlign w:val="top"/>
          </w:tcPr>
          <w:p w14:paraId="0E6AD72F">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US" w:eastAsia="zh-CN"/>
              </w:rPr>
            </w:pPr>
          </w:p>
        </w:tc>
      </w:tr>
      <w:tr w14:paraId="7D326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top"/>
          </w:tcPr>
          <w:p w14:paraId="08277DC7">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宋体" w:hAnsi="宋体" w:eastAsia="宋体" w:cs="宋体"/>
                <w:color w:val="auto"/>
                <w:sz w:val="24"/>
                <w:szCs w:val="24"/>
                <w:highlight w:val="none"/>
                <w:u w:val="none"/>
                <w:lang w:val="en-US" w:eastAsia="zh-CN"/>
              </w:rPr>
            </w:pPr>
            <w:r>
              <w:rPr>
                <w:rFonts w:hint="eastAsia" w:ascii="宋体" w:hAnsi="宋体" w:eastAsia="仿宋_GB2312" w:cs="宋体"/>
                <w:color w:val="auto"/>
                <w:sz w:val="24"/>
                <w:szCs w:val="24"/>
                <w:highlight w:val="none"/>
                <w:u w:val="none"/>
                <w:lang w:val="en-US" w:eastAsia="zh-CN"/>
              </w:rPr>
              <w:t>……</w:t>
            </w:r>
          </w:p>
        </w:tc>
        <w:tc>
          <w:tcPr>
            <w:tcW w:w="3843" w:type="dxa"/>
            <w:vAlign w:val="top"/>
          </w:tcPr>
          <w:p w14:paraId="070FA995">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 w:eastAsia="zh-CN"/>
              </w:rPr>
            </w:pPr>
          </w:p>
        </w:tc>
        <w:tc>
          <w:tcPr>
            <w:tcW w:w="2861" w:type="dxa"/>
            <w:vAlign w:val="top"/>
          </w:tcPr>
          <w:p w14:paraId="3F75DFA4">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 w:eastAsia="zh-CN"/>
              </w:rPr>
            </w:pPr>
          </w:p>
        </w:tc>
        <w:tc>
          <w:tcPr>
            <w:tcW w:w="993" w:type="dxa"/>
            <w:vAlign w:val="top"/>
          </w:tcPr>
          <w:p w14:paraId="09D9B9A9">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US" w:eastAsia="zh-CN"/>
              </w:rPr>
            </w:pPr>
          </w:p>
        </w:tc>
      </w:tr>
    </w:tbl>
    <w:p w14:paraId="21EDBA93">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宋体" w:hAnsi="宋体" w:eastAsia="仿宋_GB2312" w:cs="宋体"/>
          <w:b w:val="0"/>
          <w:bCs w:val="0"/>
          <w:color w:val="auto"/>
          <w:sz w:val="21"/>
          <w:szCs w:val="21"/>
          <w:highlight w:val="none"/>
          <w:u w:val="none"/>
          <w:vertAlign w:val="baseline"/>
          <w:lang w:val="en-US" w:eastAsia="zh-CN"/>
        </w:rPr>
      </w:pPr>
      <w:r>
        <w:rPr>
          <w:rFonts w:hint="eastAsia" w:ascii="宋体" w:hAnsi="宋体" w:eastAsia="仿宋_GB2312" w:cs="宋体"/>
          <w:b w:val="0"/>
          <w:bCs w:val="0"/>
          <w:color w:val="auto"/>
          <w:sz w:val="21"/>
          <w:szCs w:val="21"/>
          <w:highlight w:val="none"/>
          <w:u w:val="none"/>
          <w:vertAlign w:val="baseline"/>
          <w:lang w:val="en-US" w:eastAsia="zh-CN"/>
        </w:rPr>
        <w:t>备注：1.项目资金末端分配点位包括县（市、区）、市级部门下属单位及一次性单位等。</w:t>
      </w:r>
    </w:p>
    <w:p w14:paraId="5273AB4B">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630" w:firstLineChars="300"/>
        <w:jc w:val="left"/>
        <w:textAlignment w:val="auto"/>
        <w:rPr>
          <w:rFonts w:hint="eastAsia" w:ascii="宋体" w:hAnsi="宋体" w:eastAsia="仿宋_GB2312" w:cs="宋体"/>
          <w:b w:val="0"/>
          <w:bCs w:val="0"/>
          <w:color w:val="auto"/>
          <w:sz w:val="21"/>
          <w:szCs w:val="21"/>
          <w:highlight w:val="none"/>
          <w:u w:val="none"/>
          <w:vertAlign w:val="baseline"/>
          <w:lang w:val="en-US" w:eastAsia="zh-CN"/>
        </w:rPr>
      </w:pPr>
      <w:r>
        <w:rPr>
          <w:rFonts w:hint="eastAsia" w:ascii="宋体" w:hAnsi="宋体" w:eastAsia="仿宋_GB2312" w:cs="宋体"/>
          <w:b w:val="0"/>
          <w:bCs w:val="0"/>
          <w:color w:val="auto"/>
          <w:sz w:val="21"/>
          <w:szCs w:val="21"/>
          <w:highlight w:val="none"/>
          <w:u w:val="none"/>
          <w:vertAlign w:val="baseline"/>
          <w:lang w:val="en-US" w:eastAsia="zh-CN"/>
        </w:rPr>
        <w:t>2.自评得分（百分制）从高到低划分为优、良、中、差四个档次，各个档次数量占比分别为20%、20%、55%、5%，且不同档次间得分分值应体现差异化，同档次得分分值相同的比例不超过该档次总数量的10%。</w:t>
      </w:r>
    </w:p>
    <w:p w14:paraId="7F858740">
      <w:pPr>
        <w:rPr>
          <w:rFonts w:hint="eastAsia" w:ascii="Times New Roman" w:hAnsi="Times New Roman" w:eastAsia="仿宋_GB2312" w:cs="Times New Roman"/>
          <w:kern w:val="2"/>
          <w:sz w:val="32"/>
          <w:szCs w:val="24"/>
          <w:highlight w:val="none"/>
          <w:lang w:val="en-US" w:eastAsia="zh-CN" w:bidi="ar-SA"/>
        </w:rPr>
      </w:pPr>
      <w:r>
        <w:rPr>
          <w:rFonts w:hint="eastAsia" w:ascii="Times New Roman" w:hAnsi="Times New Roman" w:eastAsia="仿宋_GB2312" w:cs="Times New Roman"/>
          <w:kern w:val="2"/>
          <w:sz w:val="32"/>
          <w:szCs w:val="24"/>
          <w:highlight w:val="none"/>
          <w:lang w:val="en-US" w:eastAsia="zh-CN" w:bidi="ar-SA"/>
        </w:rPr>
        <w:br w:type="page"/>
      </w:r>
    </w:p>
    <w:p w14:paraId="25F75545">
      <w:pPr>
        <w:pStyle w:val="3"/>
        <w:keepNext w:val="0"/>
        <w:keepLines w:val="0"/>
        <w:pageBreakBefore w:val="0"/>
        <w:kinsoku/>
        <w:wordWrap/>
        <w:overflowPunct/>
        <w:topLinePunct w:val="0"/>
        <w:autoSpaceDE/>
        <w:autoSpaceDN/>
        <w:bidi w:val="0"/>
        <w:spacing w:after="0" w:line="578" w:lineRule="exact"/>
        <w:ind w:left="0" w:leftChars="0" w:firstLine="0" w:firstLineChars="0"/>
        <w:rPr>
          <w:rFonts w:hint="default" w:ascii="Times New Roman" w:hAnsi="Times New Roman" w:eastAsia="黑体" w:cs="Times New Roman"/>
          <w:kern w:val="2"/>
          <w:sz w:val="32"/>
          <w:szCs w:val="24"/>
          <w:highlight w:val="none"/>
          <w:lang w:val="en-US" w:eastAsia="zh-CN" w:bidi="ar-SA"/>
        </w:rPr>
      </w:pPr>
      <w:r>
        <w:rPr>
          <w:rFonts w:hint="default" w:ascii="Times New Roman" w:hAnsi="Times New Roman" w:eastAsia="黑体" w:cs="Times New Roman"/>
          <w:kern w:val="2"/>
          <w:sz w:val="32"/>
          <w:szCs w:val="24"/>
          <w:highlight w:val="none"/>
          <w:lang w:val="en-US" w:eastAsia="zh-CN" w:bidi="ar-SA"/>
        </w:rPr>
        <w:t>附表2</w:t>
      </w:r>
    </w:p>
    <w:p w14:paraId="2F0CC4EC">
      <w:pPr>
        <w:pStyle w:val="3"/>
        <w:keepNext w:val="0"/>
        <w:keepLines w:val="0"/>
        <w:pageBreakBefore w:val="0"/>
        <w:kinsoku/>
        <w:wordWrap/>
        <w:overflowPunct/>
        <w:topLinePunct w:val="0"/>
        <w:autoSpaceDE/>
        <w:autoSpaceDN/>
        <w:bidi w:val="0"/>
        <w:spacing w:after="0" w:line="578" w:lineRule="exact"/>
        <w:ind w:left="0" w:leftChars="0"/>
        <w:rPr>
          <w:rFonts w:hint="default" w:ascii="黑体" w:hAnsi="黑体" w:eastAsia="黑体" w:cs="黑体"/>
          <w:sz w:val="24"/>
          <w:szCs w:val="24"/>
          <w:highlight w:val="none"/>
          <w:lang w:val="en-US" w:eastAsia="zh-CN"/>
        </w:rPr>
      </w:pPr>
    </w:p>
    <w:tbl>
      <w:tblPr>
        <w:tblStyle w:val="2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08"/>
        <w:gridCol w:w="727"/>
        <w:gridCol w:w="732"/>
        <w:gridCol w:w="1986"/>
        <w:gridCol w:w="1078"/>
        <w:gridCol w:w="1028"/>
        <w:gridCol w:w="854"/>
        <w:gridCol w:w="864"/>
        <w:gridCol w:w="1084"/>
      </w:tblGrid>
      <w:tr w14:paraId="6DBA08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000"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C536E2B">
            <w:pPr>
              <w:keepNext w:val="0"/>
              <w:keepLines w:val="0"/>
              <w:widowControl/>
              <w:suppressLineNumbers w:val="0"/>
              <w:jc w:val="center"/>
              <w:textAlignment w:val="center"/>
              <w:rPr>
                <w:rFonts w:ascii="方正小标宋简体" w:hAnsi="方正小标宋简体" w:eastAsia="方正小标宋简体" w:cs="方正小标宋简体"/>
                <w:i w:val="0"/>
                <w:iCs w:val="0"/>
                <w:color w:val="000000"/>
                <w:sz w:val="40"/>
                <w:szCs w:val="40"/>
                <w:u w:val="none"/>
              </w:rPr>
            </w:pPr>
            <w:r>
              <w:rPr>
                <w:rFonts w:hint="eastAsia" w:ascii="方正小标宋简体" w:hAnsi="方正小标宋简体" w:eastAsia="方正小标宋简体" w:cs="方正小标宋简体"/>
                <w:i w:val="0"/>
                <w:iCs w:val="0"/>
                <w:color w:val="000000"/>
                <w:kern w:val="0"/>
                <w:sz w:val="40"/>
                <w:szCs w:val="40"/>
                <w:u w:val="none"/>
                <w:lang w:val="en-US" w:eastAsia="zh-CN" w:bidi="ar"/>
              </w:rPr>
              <w:t>专项资金绩效目标完成情况自评表</w:t>
            </w:r>
          </w:p>
        </w:tc>
      </w:tr>
      <w:tr w14:paraId="1F1018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2292"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691D31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项目名称</w:t>
            </w:r>
          </w:p>
        </w:tc>
        <w:tc>
          <w:tcPr>
            <w:tcW w:w="2707"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A33C0A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51090424T000011413876-遂财农【2023】101号2024年中央水利发展资金</w:t>
            </w:r>
          </w:p>
        </w:tc>
      </w:tr>
      <w:tr w14:paraId="0F8BA4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2292"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0F6DA4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预算单位</w:t>
            </w:r>
          </w:p>
        </w:tc>
        <w:tc>
          <w:tcPr>
            <w:tcW w:w="2707"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129E2F4">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仿宋_GB2312" w:cs="宋体"/>
                <w:i w:val="0"/>
                <w:iCs w:val="0"/>
                <w:color w:val="000000"/>
                <w:kern w:val="0"/>
                <w:sz w:val="24"/>
                <w:szCs w:val="24"/>
                <w:u w:val="none"/>
                <w:lang w:val="en-US" w:eastAsia="zh-CN" w:bidi="ar"/>
              </w:rPr>
              <w:t>遂宁市安居区水利局</w:t>
            </w:r>
          </w:p>
        </w:tc>
      </w:tr>
      <w:tr w14:paraId="2A2D83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2292"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B6A496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项目类型</w:t>
            </w:r>
          </w:p>
        </w:tc>
        <w:tc>
          <w:tcPr>
            <w:tcW w:w="2707"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FA5661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阶段性项目</w:t>
            </w:r>
          </w:p>
        </w:tc>
      </w:tr>
      <w:tr w14:paraId="6FB51C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39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C6358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项目 概况</w:t>
            </w:r>
          </w:p>
        </w:tc>
        <w:tc>
          <w:tcPr>
            <w:tcW w:w="1900"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27A2E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中长期规划（名称、文号，仅指常年项目）</w:t>
            </w:r>
          </w:p>
        </w:tc>
        <w:tc>
          <w:tcPr>
            <w:tcW w:w="2707" w:type="pct"/>
            <w:gridSpan w:val="5"/>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5B1923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《四川省财政厅 四川省水利厅关于印发&lt;四川省水利发展资金管理办法&gt;的通知》（川财农〔2023〕29号）《遂宁市水利监督管理实施办法（试行）》，遂财农【2023】101号</w:t>
            </w:r>
          </w:p>
        </w:tc>
      </w:tr>
      <w:tr w14:paraId="7DB340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3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4C4E38">
            <w:pPr>
              <w:jc w:val="center"/>
              <w:rPr>
                <w:rFonts w:hint="eastAsia" w:ascii="宋体" w:hAnsi="宋体" w:eastAsia="宋体" w:cs="宋体"/>
                <w:i w:val="0"/>
                <w:iCs w:val="0"/>
                <w:color w:val="000000"/>
                <w:sz w:val="24"/>
                <w:szCs w:val="24"/>
                <w:u w:val="none"/>
              </w:rPr>
            </w:pPr>
          </w:p>
        </w:tc>
        <w:tc>
          <w:tcPr>
            <w:tcW w:w="1900"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53B34C">
            <w:pPr>
              <w:jc w:val="center"/>
              <w:rPr>
                <w:rFonts w:hint="eastAsia" w:ascii="宋体" w:hAnsi="宋体" w:eastAsia="宋体" w:cs="宋体"/>
                <w:i w:val="0"/>
                <w:iCs w:val="0"/>
                <w:color w:val="000000"/>
                <w:sz w:val="24"/>
                <w:szCs w:val="24"/>
                <w:u w:val="none"/>
              </w:rPr>
            </w:pPr>
          </w:p>
        </w:tc>
        <w:tc>
          <w:tcPr>
            <w:tcW w:w="2707" w:type="pct"/>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235276">
            <w:pPr>
              <w:jc w:val="center"/>
              <w:rPr>
                <w:rFonts w:hint="eastAsia" w:ascii="宋体" w:hAnsi="宋体" w:eastAsia="宋体" w:cs="宋体"/>
                <w:i w:val="0"/>
                <w:iCs w:val="0"/>
                <w:color w:val="000000"/>
                <w:sz w:val="24"/>
                <w:szCs w:val="24"/>
                <w:u w:val="none"/>
              </w:rPr>
            </w:pPr>
          </w:p>
        </w:tc>
      </w:tr>
      <w:tr w14:paraId="72FE19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3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9A846D">
            <w:pPr>
              <w:jc w:val="center"/>
              <w:rPr>
                <w:rFonts w:hint="eastAsia" w:ascii="宋体" w:hAnsi="宋体" w:eastAsia="宋体" w:cs="宋体"/>
                <w:i w:val="0"/>
                <w:iCs w:val="0"/>
                <w:color w:val="000000"/>
                <w:sz w:val="24"/>
                <w:szCs w:val="24"/>
                <w:u w:val="none"/>
              </w:rPr>
            </w:pPr>
          </w:p>
        </w:tc>
        <w:tc>
          <w:tcPr>
            <w:tcW w:w="190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5FA274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资金管理办法（名称、文号）</w:t>
            </w:r>
          </w:p>
        </w:tc>
        <w:tc>
          <w:tcPr>
            <w:tcW w:w="2707"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63CC05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遂财农【2023】101号、《单位内部控制管理制度》</w:t>
            </w:r>
          </w:p>
        </w:tc>
      </w:tr>
      <w:tr w14:paraId="30F054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0" w:hRule="atLeast"/>
        </w:trPr>
        <w:tc>
          <w:tcPr>
            <w:tcW w:w="3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C4A329">
            <w:pPr>
              <w:jc w:val="center"/>
              <w:rPr>
                <w:rFonts w:hint="eastAsia" w:ascii="宋体" w:hAnsi="宋体" w:eastAsia="宋体" w:cs="宋体"/>
                <w:i w:val="0"/>
                <w:iCs w:val="0"/>
                <w:color w:val="000000"/>
                <w:sz w:val="24"/>
                <w:szCs w:val="24"/>
                <w:u w:val="none"/>
              </w:rPr>
            </w:pPr>
          </w:p>
        </w:tc>
        <w:tc>
          <w:tcPr>
            <w:tcW w:w="190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693D29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绩效分配方式</w:t>
            </w:r>
          </w:p>
        </w:tc>
        <w:tc>
          <w:tcPr>
            <w:tcW w:w="5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61CA31">
            <w:pPr>
              <w:keepNext w:val="0"/>
              <w:keepLines w:val="0"/>
              <w:widowControl/>
              <w:suppressLineNumbers w:val="0"/>
              <w:jc w:val="center"/>
              <w:textAlignment w:val="center"/>
              <w:rPr>
                <w:rFonts w:ascii="Wingdings 2" w:hAnsi="Wingdings 2" w:eastAsia="Wingdings 2" w:cs="Wingdings 2"/>
                <w:i w:val="0"/>
                <w:iCs w:val="0"/>
                <w:color w:val="000000"/>
                <w:sz w:val="24"/>
                <w:szCs w:val="24"/>
                <w:u w:val="none"/>
              </w:rPr>
            </w:pPr>
            <w:r>
              <w:rPr>
                <w:rStyle w:val="53"/>
                <w:lang w:val="en-US" w:eastAsia="zh-CN" w:bidi="ar"/>
              </w:rPr>
              <w:t>£</w:t>
            </w:r>
            <w:r>
              <w:rPr>
                <w:rStyle w:val="54"/>
                <w:rFonts w:eastAsia="仿宋_GB2312"/>
                <w:lang w:val="en-US" w:eastAsia="zh-CN" w:bidi="ar"/>
              </w:rPr>
              <w:t>因素法</w:t>
            </w:r>
          </w:p>
        </w:tc>
        <w:tc>
          <w:tcPr>
            <w:tcW w:w="103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8B83E3">
            <w:pPr>
              <w:keepNext w:val="0"/>
              <w:keepLines w:val="0"/>
              <w:widowControl/>
              <w:suppressLineNumbers w:val="0"/>
              <w:jc w:val="center"/>
              <w:textAlignment w:val="center"/>
              <w:rPr>
                <w:rFonts w:hint="default" w:ascii="Wingdings 2" w:hAnsi="Wingdings 2" w:eastAsia="Wingdings 2" w:cs="Wingdings 2"/>
                <w:i w:val="0"/>
                <w:iCs w:val="0"/>
                <w:color w:val="000000"/>
                <w:sz w:val="24"/>
                <w:szCs w:val="24"/>
                <w:u w:val="none"/>
              </w:rPr>
            </w:pPr>
            <w:r>
              <w:rPr>
                <w:rFonts w:hint="default" w:ascii="Wingdings 2" w:hAnsi="Wingdings 2" w:eastAsia="Wingdings 2" w:cs="Wingdings 2"/>
                <w:i w:val="0"/>
                <w:iCs w:val="0"/>
                <w:color w:val="000000"/>
                <w:kern w:val="0"/>
                <w:sz w:val="24"/>
                <w:szCs w:val="24"/>
                <w:u w:val="none"/>
                <w:lang w:val="en-US" w:eastAsia="zh-CN" w:bidi="ar"/>
              </w:rPr>
              <w:t>£项目法</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6AC0D2">
            <w:pPr>
              <w:keepNext w:val="0"/>
              <w:keepLines w:val="0"/>
              <w:widowControl/>
              <w:suppressLineNumbers w:val="0"/>
              <w:jc w:val="center"/>
              <w:textAlignment w:val="center"/>
              <w:rPr>
                <w:rFonts w:hint="default" w:ascii="Wingdings 2" w:hAnsi="Wingdings 2" w:eastAsia="Wingdings 2" w:cs="Wingdings 2"/>
                <w:i w:val="0"/>
                <w:iCs w:val="0"/>
                <w:color w:val="000000"/>
                <w:sz w:val="24"/>
                <w:szCs w:val="24"/>
                <w:u w:val="none"/>
              </w:rPr>
            </w:pPr>
            <w:r>
              <w:rPr>
                <w:rStyle w:val="53"/>
                <w:lang w:val="en-US" w:eastAsia="zh-CN" w:bidi="ar"/>
              </w:rPr>
              <w:t>R</w:t>
            </w:r>
            <w:r>
              <w:rPr>
                <w:rStyle w:val="54"/>
                <w:rFonts w:eastAsia="仿宋_GB2312"/>
                <w:lang w:val="en-US" w:eastAsia="zh-CN" w:bidi="ar"/>
              </w:rPr>
              <w:t>据实据效</w:t>
            </w:r>
          </w:p>
        </w:tc>
        <w:tc>
          <w:tcPr>
            <w:tcW w:w="5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2AA86A">
            <w:pPr>
              <w:keepNext w:val="0"/>
              <w:keepLines w:val="0"/>
              <w:widowControl/>
              <w:suppressLineNumbers w:val="0"/>
              <w:jc w:val="center"/>
              <w:textAlignment w:val="center"/>
              <w:rPr>
                <w:rFonts w:hint="default" w:ascii="Wingdings 2" w:hAnsi="Wingdings 2" w:eastAsia="Wingdings 2" w:cs="Wingdings 2"/>
                <w:i w:val="0"/>
                <w:iCs w:val="0"/>
                <w:color w:val="000000"/>
                <w:sz w:val="24"/>
                <w:szCs w:val="24"/>
                <w:u w:val="none"/>
              </w:rPr>
            </w:pPr>
            <w:r>
              <w:rPr>
                <w:rStyle w:val="53"/>
                <w:lang w:val="en-US" w:eastAsia="zh-CN" w:bidi="ar"/>
              </w:rPr>
              <w:t>£</w:t>
            </w:r>
            <w:r>
              <w:rPr>
                <w:rStyle w:val="54"/>
                <w:rFonts w:eastAsia="仿宋_GB2312"/>
                <w:lang w:val="en-US" w:eastAsia="zh-CN" w:bidi="ar"/>
              </w:rPr>
              <w:t>因素法与项目法相结合</w:t>
            </w:r>
          </w:p>
        </w:tc>
      </w:tr>
      <w:tr w14:paraId="5C0C4B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3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DE344C">
            <w:pPr>
              <w:jc w:val="center"/>
              <w:rPr>
                <w:rFonts w:hint="eastAsia" w:ascii="宋体" w:hAnsi="宋体" w:eastAsia="宋体" w:cs="宋体"/>
                <w:i w:val="0"/>
                <w:iCs w:val="0"/>
                <w:color w:val="000000"/>
                <w:sz w:val="24"/>
                <w:szCs w:val="24"/>
                <w:u w:val="none"/>
              </w:rPr>
            </w:pPr>
          </w:p>
        </w:tc>
        <w:tc>
          <w:tcPr>
            <w:tcW w:w="190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D2E689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立项依据</w:t>
            </w:r>
          </w:p>
        </w:tc>
        <w:tc>
          <w:tcPr>
            <w:tcW w:w="2707"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D411E5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遂财农【2023】101号</w:t>
            </w:r>
          </w:p>
        </w:tc>
      </w:tr>
      <w:tr w14:paraId="665340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3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60FB13">
            <w:pPr>
              <w:jc w:val="center"/>
              <w:rPr>
                <w:rFonts w:hint="eastAsia" w:ascii="宋体" w:hAnsi="宋体" w:eastAsia="宋体" w:cs="宋体"/>
                <w:i w:val="0"/>
                <w:iCs w:val="0"/>
                <w:color w:val="000000"/>
                <w:sz w:val="24"/>
                <w:szCs w:val="24"/>
                <w:u w:val="none"/>
              </w:rPr>
            </w:pPr>
          </w:p>
        </w:tc>
        <w:tc>
          <w:tcPr>
            <w:tcW w:w="190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C18808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使用范围</w:t>
            </w:r>
          </w:p>
        </w:tc>
        <w:tc>
          <w:tcPr>
            <w:tcW w:w="2707"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90FA95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该项目支持方向主要为灌区续建配套与节水改造</w:t>
            </w:r>
          </w:p>
        </w:tc>
      </w:tr>
      <w:tr w14:paraId="77E6F6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3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497AF7">
            <w:pPr>
              <w:jc w:val="center"/>
              <w:rPr>
                <w:rFonts w:hint="eastAsia" w:ascii="宋体" w:hAnsi="宋体" w:eastAsia="宋体" w:cs="宋体"/>
                <w:i w:val="0"/>
                <w:iCs w:val="0"/>
                <w:color w:val="000000"/>
                <w:sz w:val="24"/>
                <w:szCs w:val="24"/>
                <w:u w:val="none"/>
              </w:rPr>
            </w:pPr>
          </w:p>
        </w:tc>
        <w:tc>
          <w:tcPr>
            <w:tcW w:w="190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0448A4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申报（补助）条件</w:t>
            </w:r>
          </w:p>
        </w:tc>
        <w:tc>
          <w:tcPr>
            <w:tcW w:w="2707"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69CB3A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上级安排项目</w:t>
            </w:r>
          </w:p>
        </w:tc>
      </w:tr>
      <w:tr w14:paraId="0A724D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3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1F232D">
            <w:pPr>
              <w:jc w:val="center"/>
              <w:rPr>
                <w:rFonts w:hint="eastAsia" w:ascii="宋体" w:hAnsi="宋体" w:eastAsia="宋体" w:cs="宋体"/>
                <w:i w:val="0"/>
                <w:iCs w:val="0"/>
                <w:color w:val="000000"/>
                <w:sz w:val="24"/>
                <w:szCs w:val="24"/>
                <w:u w:val="none"/>
              </w:rPr>
            </w:pPr>
          </w:p>
        </w:tc>
        <w:tc>
          <w:tcPr>
            <w:tcW w:w="190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58ADAD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项目起止年限</w:t>
            </w:r>
          </w:p>
        </w:tc>
        <w:tc>
          <w:tcPr>
            <w:tcW w:w="2707"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9EE3ED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2024.01.01-2024.12.31</w:t>
            </w:r>
          </w:p>
        </w:tc>
      </w:tr>
      <w:tr w14:paraId="26E334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792"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03826B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项目资金</w:t>
            </w:r>
            <w:r>
              <w:rPr>
                <w:rFonts w:hint="eastAsia" w:ascii="宋体" w:hAnsi="宋体" w:eastAsia="仿宋_GB2312" w:cs="宋体"/>
                <w:i w:val="0"/>
                <w:iCs w:val="0"/>
                <w:color w:val="000000"/>
                <w:kern w:val="0"/>
                <w:sz w:val="24"/>
                <w:szCs w:val="24"/>
                <w:u w:val="none"/>
                <w:lang w:val="en-US" w:eastAsia="zh-CN" w:bidi="ar"/>
              </w:rPr>
              <w:br w:type="textWrapping"/>
            </w:r>
            <w:r>
              <w:rPr>
                <w:rFonts w:hint="eastAsia" w:ascii="宋体" w:hAnsi="宋体" w:eastAsia="仿宋_GB2312" w:cs="宋体"/>
                <w:i w:val="0"/>
                <w:iCs w:val="0"/>
                <w:color w:val="000000"/>
                <w:kern w:val="0"/>
                <w:sz w:val="24"/>
                <w:szCs w:val="24"/>
                <w:u w:val="none"/>
                <w:lang w:val="en-US" w:eastAsia="zh-CN" w:bidi="ar"/>
              </w:rPr>
              <w:t>（万元）</w:t>
            </w:r>
          </w:p>
        </w:tc>
        <w:tc>
          <w:tcPr>
            <w:tcW w:w="149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45A6C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 xml:space="preserve">  年度资金总额：</w:t>
            </w:r>
          </w:p>
        </w:tc>
        <w:tc>
          <w:tcPr>
            <w:tcW w:w="2707"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30B92A7">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仿宋_GB2312" w:cs="宋体"/>
                <w:i w:val="0"/>
                <w:iCs w:val="0"/>
                <w:color w:val="000000"/>
                <w:kern w:val="0"/>
                <w:sz w:val="24"/>
                <w:szCs w:val="24"/>
                <w:u w:val="none"/>
                <w:lang w:val="en-US" w:eastAsia="zh-CN" w:bidi="ar"/>
              </w:rPr>
              <w:t>4694112.18</w:t>
            </w:r>
          </w:p>
        </w:tc>
      </w:tr>
      <w:tr w14:paraId="63DE20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792"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8188ED">
            <w:pPr>
              <w:jc w:val="center"/>
              <w:rPr>
                <w:rFonts w:hint="eastAsia" w:ascii="宋体" w:hAnsi="宋体" w:eastAsia="宋体" w:cs="宋体"/>
                <w:i w:val="0"/>
                <w:iCs w:val="0"/>
                <w:color w:val="000000"/>
                <w:sz w:val="24"/>
                <w:szCs w:val="24"/>
                <w:u w:val="none"/>
              </w:rPr>
            </w:pPr>
          </w:p>
        </w:tc>
        <w:tc>
          <w:tcPr>
            <w:tcW w:w="149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B25A5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4"/>
                <w:rFonts w:eastAsia="仿宋_GB2312"/>
                <w:lang w:val="en-US" w:eastAsia="zh-CN" w:bidi="ar"/>
              </w:rPr>
              <w:t xml:space="preserve">      其中：财政拨款</w:t>
            </w:r>
          </w:p>
        </w:tc>
        <w:tc>
          <w:tcPr>
            <w:tcW w:w="2707"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2A21A43">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仿宋_GB2312" w:cs="宋体"/>
                <w:i w:val="0"/>
                <w:iCs w:val="0"/>
                <w:color w:val="000000"/>
                <w:kern w:val="0"/>
                <w:sz w:val="24"/>
                <w:szCs w:val="24"/>
                <w:u w:val="none"/>
                <w:lang w:val="en-US" w:eastAsia="zh-CN" w:bidi="ar"/>
              </w:rPr>
              <w:t>4694112.18</w:t>
            </w:r>
          </w:p>
        </w:tc>
      </w:tr>
      <w:tr w14:paraId="6AC6C3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792"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13AD8B">
            <w:pPr>
              <w:jc w:val="center"/>
              <w:rPr>
                <w:rFonts w:hint="eastAsia" w:ascii="宋体" w:hAnsi="宋体" w:eastAsia="宋体" w:cs="宋体"/>
                <w:i w:val="0"/>
                <w:iCs w:val="0"/>
                <w:color w:val="000000"/>
                <w:sz w:val="24"/>
                <w:szCs w:val="24"/>
                <w:u w:val="none"/>
              </w:rPr>
            </w:pPr>
          </w:p>
        </w:tc>
        <w:tc>
          <w:tcPr>
            <w:tcW w:w="149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B0E03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 xml:space="preserve">            其他资金</w:t>
            </w:r>
          </w:p>
        </w:tc>
        <w:tc>
          <w:tcPr>
            <w:tcW w:w="2707"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CAB94F7">
            <w:pPr>
              <w:jc w:val="center"/>
              <w:rPr>
                <w:rFonts w:hint="eastAsia" w:ascii="宋体" w:hAnsi="宋体" w:eastAsia="宋体" w:cs="宋体"/>
                <w:i w:val="0"/>
                <w:iCs w:val="0"/>
                <w:color w:val="000000"/>
                <w:sz w:val="24"/>
                <w:szCs w:val="24"/>
                <w:u w:val="none"/>
              </w:rPr>
            </w:pPr>
          </w:p>
        </w:tc>
      </w:tr>
      <w:tr w14:paraId="31D591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39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8C7A5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总体目标</w:t>
            </w:r>
          </w:p>
        </w:tc>
        <w:tc>
          <w:tcPr>
            <w:tcW w:w="4608"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3FEE220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年度目标</w:t>
            </w:r>
          </w:p>
        </w:tc>
      </w:tr>
      <w:tr w14:paraId="781B2D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6" w:hRule="atLeast"/>
        </w:trPr>
        <w:tc>
          <w:tcPr>
            <w:tcW w:w="3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979742">
            <w:pPr>
              <w:jc w:val="center"/>
              <w:rPr>
                <w:rFonts w:hint="eastAsia" w:ascii="宋体" w:hAnsi="宋体" w:eastAsia="宋体" w:cs="宋体"/>
                <w:i w:val="0"/>
                <w:iCs w:val="0"/>
                <w:color w:val="000000"/>
                <w:sz w:val="24"/>
                <w:szCs w:val="24"/>
                <w:u w:val="none"/>
              </w:rPr>
            </w:pPr>
          </w:p>
        </w:tc>
        <w:tc>
          <w:tcPr>
            <w:tcW w:w="4608"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005075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新生水库灌区续建配套与节水改造</w:t>
            </w:r>
          </w:p>
        </w:tc>
      </w:tr>
      <w:tr w14:paraId="6A4371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0" w:hRule="atLeast"/>
        </w:trPr>
        <w:tc>
          <w:tcPr>
            <w:tcW w:w="39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3359E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绩效 指标</w:t>
            </w:r>
          </w:p>
        </w:tc>
        <w:tc>
          <w:tcPr>
            <w:tcW w:w="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6D70A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一级指标</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331FF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二级指标</w:t>
            </w:r>
          </w:p>
        </w:tc>
        <w:tc>
          <w:tcPr>
            <w:tcW w:w="10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5A30A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三级指标</w:t>
            </w:r>
          </w:p>
        </w:tc>
        <w:tc>
          <w:tcPr>
            <w:tcW w:w="5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3F69F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指标性质</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38067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指标值</w:t>
            </w: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DB123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度量单位</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57811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权重</w:t>
            </w:r>
          </w:p>
        </w:tc>
        <w:tc>
          <w:tcPr>
            <w:tcW w:w="5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3C956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实际完成指标值</w:t>
            </w:r>
          </w:p>
        </w:tc>
      </w:tr>
      <w:tr w14:paraId="4F048E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6547CC">
            <w:pPr>
              <w:jc w:val="center"/>
              <w:rPr>
                <w:rFonts w:hint="eastAsia" w:ascii="宋体" w:hAnsi="宋体" w:eastAsia="宋体" w:cs="宋体"/>
                <w:i w:val="0"/>
                <w:iCs w:val="0"/>
                <w:color w:val="000000"/>
                <w:sz w:val="24"/>
                <w:szCs w:val="24"/>
                <w:u w:val="none"/>
              </w:rPr>
            </w:pPr>
          </w:p>
        </w:tc>
        <w:tc>
          <w:tcPr>
            <w:tcW w:w="40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E1DA1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产出指标</w:t>
            </w:r>
          </w:p>
        </w:tc>
        <w:tc>
          <w:tcPr>
            <w:tcW w:w="404" w:type="pct"/>
            <w:vMerge w:val="restart"/>
            <w:tcBorders>
              <w:top w:val="single" w:color="000000" w:sz="4" w:space="0"/>
              <w:left w:val="single" w:color="000000" w:sz="4" w:space="0"/>
              <w:right w:val="single" w:color="000000" w:sz="4" w:space="0"/>
            </w:tcBorders>
            <w:shd w:val="clear" w:color="auto" w:fill="auto"/>
            <w:vAlign w:val="center"/>
          </w:tcPr>
          <w:p w14:paraId="1031947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数量指标</w:t>
            </w:r>
          </w:p>
        </w:tc>
        <w:tc>
          <w:tcPr>
            <w:tcW w:w="10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9ED8D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实施山洪灾害防治的县数</w:t>
            </w:r>
          </w:p>
        </w:tc>
        <w:tc>
          <w:tcPr>
            <w:tcW w:w="5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B1DCD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09AD1C">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1</w:t>
            </w: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6A9FEA">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个</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56015F">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10</w:t>
            </w:r>
          </w:p>
        </w:tc>
        <w:tc>
          <w:tcPr>
            <w:tcW w:w="5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256CFD">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1个</w:t>
            </w:r>
          </w:p>
        </w:tc>
      </w:tr>
      <w:tr w14:paraId="67EF0C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9918F6">
            <w:pPr>
              <w:jc w:val="center"/>
              <w:rPr>
                <w:rFonts w:hint="eastAsia" w:ascii="宋体" w:hAnsi="宋体" w:eastAsia="宋体" w:cs="宋体"/>
                <w:i w:val="0"/>
                <w:iCs w:val="0"/>
                <w:color w:val="000000"/>
                <w:sz w:val="24"/>
                <w:szCs w:val="24"/>
                <w:u w:val="none"/>
              </w:rPr>
            </w:pPr>
          </w:p>
        </w:tc>
        <w:tc>
          <w:tcPr>
            <w:tcW w:w="401" w:type="pct"/>
            <w:vMerge w:val="continue"/>
            <w:tcBorders>
              <w:left w:val="single" w:color="000000" w:sz="4" w:space="0"/>
              <w:right w:val="single" w:color="000000" w:sz="4" w:space="0"/>
            </w:tcBorders>
            <w:shd w:val="clear" w:color="auto" w:fill="auto"/>
            <w:vAlign w:val="center"/>
          </w:tcPr>
          <w:p w14:paraId="30865BE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404" w:type="pct"/>
            <w:vMerge w:val="continue"/>
            <w:tcBorders>
              <w:left w:val="single" w:color="000000" w:sz="4" w:space="0"/>
              <w:right w:val="single" w:color="000000" w:sz="4" w:space="0"/>
            </w:tcBorders>
            <w:shd w:val="clear" w:color="auto" w:fill="auto"/>
            <w:vAlign w:val="center"/>
          </w:tcPr>
          <w:p w14:paraId="47AEA52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0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424313">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default" w:ascii="宋体" w:hAnsi="宋体" w:eastAsia="仿宋_GB2312" w:cs="宋体"/>
                <w:i w:val="0"/>
                <w:iCs w:val="0"/>
                <w:color w:val="000000"/>
                <w:kern w:val="0"/>
                <w:sz w:val="24"/>
                <w:szCs w:val="24"/>
                <w:u w:val="none"/>
                <w:lang w:val="en-US" w:eastAsia="zh-CN" w:bidi="ar"/>
              </w:rPr>
              <w:t>农村饮水工程维修养护</w:t>
            </w:r>
          </w:p>
        </w:tc>
        <w:tc>
          <w:tcPr>
            <w:tcW w:w="5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E7E97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94D78C">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13</w:t>
            </w: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643DA8">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处</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B31CB0">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10</w:t>
            </w:r>
          </w:p>
        </w:tc>
        <w:tc>
          <w:tcPr>
            <w:tcW w:w="5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BCD6F6">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13处</w:t>
            </w:r>
          </w:p>
        </w:tc>
      </w:tr>
      <w:tr w14:paraId="6F878A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3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4245C6">
            <w:pPr>
              <w:jc w:val="center"/>
              <w:rPr>
                <w:rFonts w:hint="eastAsia" w:ascii="宋体" w:hAnsi="宋体" w:eastAsia="宋体" w:cs="宋体"/>
                <w:i w:val="0"/>
                <w:iCs w:val="0"/>
                <w:color w:val="000000"/>
                <w:sz w:val="24"/>
                <w:szCs w:val="24"/>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124A44">
            <w:pPr>
              <w:jc w:val="center"/>
              <w:rPr>
                <w:rFonts w:hint="eastAsia" w:ascii="宋体" w:hAnsi="宋体" w:eastAsia="宋体" w:cs="宋体"/>
                <w:i w:val="0"/>
                <w:iCs w:val="0"/>
                <w:color w:val="000000"/>
                <w:sz w:val="24"/>
                <w:szCs w:val="24"/>
                <w:u w:val="none"/>
              </w:rPr>
            </w:pP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5D66F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质量指标</w:t>
            </w:r>
          </w:p>
        </w:tc>
        <w:tc>
          <w:tcPr>
            <w:tcW w:w="10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055B26">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工程验收合格率</w:t>
            </w:r>
          </w:p>
        </w:tc>
        <w:tc>
          <w:tcPr>
            <w:tcW w:w="5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793BB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804786">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90</w:t>
            </w: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375D5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B186E5">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10</w:t>
            </w:r>
          </w:p>
        </w:tc>
        <w:tc>
          <w:tcPr>
            <w:tcW w:w="5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733E0C">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100%</w:t>
            </w:r>
          </w:p>
        </w:tc>
      </w:tr>
      <w:tr w14:paraId="2A9FE7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7" w:hRule="atLeast"/>
        </w:trPr>
        <w:tc>
          <w:tcPr>
            <w:tcW w:w="3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D2998E">
            <w:pPr>
              <w:jc w:val="center"/>
              <w:rPr>
                <w:rFonts w:hint="eastAsia" w:ascii="宋体" w:hAnsi="宋体" w:eastAsia="宋体" w:cs="宋体"/>
                <w:i w:val="0"/>
                <w:iCs w:val="0"/>
                <w:color w:val="000000"/>
                <w:sz w:val="24"/>
                <w:szCs w:val="24"/>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F40ABB">
            <w:pPr>
              <w:jc w:val="center"/>
              <w:rPr>
                <w:rFonts w:hint="eastAsia" w:ascii="宋体" w:hAnsi="宋体" w:eastAsia="宋体" w:cs="宋体"/>
                <w:i w:val="0"/>
                <w:iCs w:val="0"/>
                <w:color w:val="000000"/>
                <w:sz w:val="24"/>
                <w:szCs w:val="24"/>
                <w:u w:val="none"/>
              </w:rPr>
            </w:pP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AFF3F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时效指标</w:t>
            </w:r>
          </w:p>
        </w:tc>
        <w:tc>
          <w:tcPr>
            <w:tcW w:w="10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E7EBB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资金拨付及时率</w:t>
            </w:r>
          </w:p>
        </w:tc>
        <w:tc>
          <w:tcPr>
            <w:tcW w:w="5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DD192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3F9CEF">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10</w:t>
            </w: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37594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工作日</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14D4F8">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10</w:t>
            </w:r>
          </w:p>
        </w:tc>
        <w:tc>
          <w:tcPr>
            <w:tcW w:w="5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FBB619">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10个工作日</w:t>
            </w:r>
          </w:p>
        </w:tc>
      </w:tr>
      <w:tr w14:paraId="44BE05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3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B8BEDC">
            <w:pPr>
              <w:jc w:val="center"/>
              <w:rPr>
                <w:rFonts w:hint="eastAsia" w:ascii="宋体" w:hAnsi="宋体" w:eastAsia="宋体" w:cs="宋体"/>
                <w:i w:val="0"/>
                <w:iCs w:val="0"/>
                <w:color w:val="000000"/>
                <w:sz w:val="24"/>
                <w:szCs w:val="24"/>
                <w:u w:val="none"/>
              </w:rPr>
            </w:pPr>
          </w:p>
        </w:tc>
        <w:tc>
          <w:tcPr>
            <w:tcW w:w="40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F09E3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效益指标</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007E67">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仿宋_GB2312" w:cs="宋体"/>
                <w:i w:val="0"/>
                <w:iCs w:val="0"/>
                <w:color w:val="000000"/>
                <w:kern w:val="0"/>
                <w:sz w:val="24"/>
                <w:szCs w:val="24"/>
                <w:u w:val="none"/>
                <w:lang w:val="en-US" w:eastAsia="zh-CN" w:bidi="ar"/>
              </w:rPr>
              <w:t>社会效益指标</w:t>
            </w:r>
          </w:p>
        </w:tc>
        <w:tc>
          <w:tcPr>
            <w:tcW w:w="10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8482E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山洪灾害防治保护人口数量</w:t>
            </w:r>
          </w:p>
        </w:tc>
        <w:tc>
          <w:tcPr>
            <w:tcW w:w="5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E79BA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22D196">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3000</w:t>
            </w: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8B6CB4">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人</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1AF835">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20</w:t>
            </w:r>
          </w:p>
        </w:tc>
        <w:tc>
          <w:tcPr>
            <w:tcW w:w="5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E6579C">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3100余人</w:t>
            </w:r>
          </w:p>
        </w:tc>
      </w:tr>
      <w:tr w14:paraId="7DDC25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4" w:hRule="atLeast"/>
        </w:trPr>
        <w:tc>
          <w:tcPr>
            <w:tcW w:w="3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F23853">
            <w:pPr>
              <w:jc w:val="center"/>
              <w:rPr>
                <w:rFonts w:hint="eastAsia" w:ascii="宋体" w:hAnsi="宋体" w:eastAsia="宋体" w:cs="宋体"/>
                <w:i w:val="0"/>
                <w:iCs w:val="0"/>
                <w:color w:val="000000"/>
                <w:sz w:val="24"/>
                <w:szCs w:val="24"/>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06D474">
            <w:pPr>
              <w:jc w:val="center"/>
              <w:rPr>
                <w:rFonts w:hint="eastAsia" w:ascii="宋体" w:hAnsi="宋体" w:eastAsia="宋体" w:cs="宋体"/>
                <w:i w:val="0"/>
                <w:iCs w:val="0"/>
                <w:color w:val="000000"/>
                <w:sz w:val="24"/>
                <w:szCs w:val="24"/>
                <w:u w:val="none"/>
              </w:rPr>
            </w:pP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EC1B8B">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仿宋_GB2312" w:cs="宋体"/>
                <w:i w:val="0"/>
                <w:iCs w:val="0"/>
                <w:color w:val="000000"/>
                <w:kern w:val="0"/>
                <w:sz w:val="24"/>
                <w:szCs w:val="24"/>
                <w:u w:val="none"/>
                <w:lang w:val="en-US" w:eastAsia="zh-CN" w:bidi="ar"/>
              </w:rPr>
              <w:t>可持续影响指标</w:t>
            </w:r>
          </w:p>
        </w:tc>
        <w:tc>
          <w:tcPr>
            <w:tcW w:w="10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934F96">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已完工项目良性运行比例100%</w:t>
            </w:r>
          </w:p>
        </w:tc>
        <w:tc>
          <w:tcPr>
            <w:tcW w:w="5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DEB1E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定性</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67113C">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100</w:t>
            </w: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4BA99C">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100%</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9E601A">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10</w:t>
            </w:r>
          </w:p>
        </w:tc>
        <w:tc>
          <w:tcPr>
            <w:tcW w:w="5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1A5848">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100%</w:t>
            </w:r>
          </w:p>
        </w:tc>
      </w:tr>
      <w:tr w14:paraId="06D496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3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C254ED">
            <w:pPr>
              <w:jc w:val="center"/>
              <w:rPr>
                <w:rFonts w:hint="eastAsia" w:ascii="宋体" w:hAnsi="宋体" w:eastAsia="宋体" w:cs="宋体"/>
                <w:i w:val="0"/>
                <w:iCs w:val="0"/>
                <w:color w:val="000000"/>
                <w:sz w:val="24"/>
                <w:szCs w:val="24"/>
                <w:u w:val="none"/>
              </w:rPr>
            </w:pPr>
          </w:p>
        </w:tc>
        <w:tc>
          <w:tcPr>
            <w:tcW w:w="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16FCE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满意度指标</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B541C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满意度指标</w:t>
            </w:r>
          </w:p>
        </w:tc>
        <w:tc>
          <w:tcPr>
            <w:tcW w:w="10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43629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受益群众满意度</w:t>
            </w:r>
          </w:p>
        </w:tc>
        <w:tc>
          <w:tcPr>
            <w:tcW w:w="5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F331A5">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88D602">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90</w:t>
            </w: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6024C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D31A98">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10</w:t>
            </w:r>
          </w:p>
        </w:tc>
        <w:tc>
          <w:tcPr>
            <w:tcW w:w="5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AFF6F0">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100%</w:t>
            </w:r>
          </w:p>
        </w:tc>
      </w:tr>
      <w:tr w14:paraId="7AC02C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3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C2F80B">
            <w:pPr>
              <w:jc w:val="center"/>
              <w:rPr>
                <w:rFonts w:hint="eastAsia" w:ascii="宋体" w:hAnsi="宋体" w:eastAsia="宋体" w:cs="宋体"/>
                <w:i w:val="0"/>
                <w:iCs w:val="0"/>
                <w:color w:val="000000"/>
                <w:sz w:val="24"/>
                <w:szCs w:val="24"/>
                <w:u w:val="none"/>
              </w:rPr>
            </w:pPr>
          </w:p>
        </w:tc>
        <w:tc>
          <w:tcPr>
            <w:tcW w:w="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3B4F5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成本指标</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D06FF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经济成本指标</w:t>
            </w:r>
          </w:p>
        </w:tc>
        <w:tc>
          <w:tcPr>
            <w:tcW w:w="10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CC041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总投资偏差率</w:t>
            </w:r>
          </w:p>
        </w:tc>
        <w:tc>
          <w:tcPr>
            <w:tcW w:w="5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DC532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41C0A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5</w:t>
            </w: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84F5A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D95DB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10</w:t>
            </w:r>
          </w:p>
        </w:tc>
        <w:tc>
          <w:tcPr>
            <w:tcW w:w="5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177BB8">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0%</w:t>
            </w:r>
          </w:p>
        </w:tc>
      </w:tr>
    </w:tbl>
    <w:p w14:paraId="541871C6">
      <w:pPr>
        <w:pStyle w:val="12"/>
        <w:keepNext w:val="0"/>
        <w:keepLines w:val="0"/>
        <w:pageBreakBefore w:val="0"/>
        <w:widowControl w:val="0"/>
        <w:numPr>
          <w:ilvl w:val="0"/>
          <w:numId w:val="0"/>
        </w:numPr>
        <w:tabs>
          <w:tab w:val="left" w:pos="2160"/>
        </w:tabs>
        <w:kinsoku/>
        <w:wordWrap/>
        <w:overflowPunct/>
        <w:topLinePunct w:val="0"/>
        <w:autoSpaceDE/>
        <w:autoSpaceDN/>
        <w:bidi w:val="0"/>
        <w:adjustRightInd/>
        <w:snapToGrid/>
        <w:spacing w:before="0" w:beforeLines="0" w:line="600" w:lineRule="exact"/>
        <w:ind w:firstLine="640" w:firstLineChars="200"/>
        <w:textAlignment w:val="auto"/>
        <w:rPr>
          <w:rFonts w:hint="default" w:ascii="Times New Roman" w:hAnsi="Times New Roman" w:eastAsia="黑体" w:cs="Times New Roman"/>
          <w:b w:val="0"/>
          <w:bCs w:val="0"/>
          <w:i w:val="0"/>
          <w:iCs w:val="0"/>
          <w:color w:val="auto"/>
          <w:kern w:val="0"/>
          <w:position w:val="3"/>
          <w:sz w:val="32"/>
          <w:szCs w:val="32"/>
          <w:highlight w:val="none"/>
          <w:u w:val="none"/>
          <w:lang w:val="zh-CN" w:eastAsia="zh-CN" w:bidi="ar-SA"/>
        </w:rPr>
      </w:pPr>
    </w:p>
    <w:p w14:paraId="2F7C7E87">
      <w:pPr>
        <w:pStyle w:val="12"/>
        <w:keepNext w:val="0"/>
        <w:keepLines w:val="0"/>
        <w:pageBreakBefore w:val="0"/>
        <w:widowControl w:val="0"/>
        <w:numPr>
          <w:ilvl w:val="0"/>
          <w:numId w:val="0"/>
        </w:numPr>
        <w:tabs>
          <w:tab w:val="left" w:pos="2160"/>
        </w:tabs>
        <w:kinsoku/>
        <w:wordWrap/>
        <w:overflowPunct/>
        <w:topLinePunct w:val="0"/>
        <w:autoSpaceDE/>
        <w:autoSpaceDN/>
        <w:bidi w:val="0"/>
        <w:adjustRightInd/>
        <w:snapToGrid/>
        <w:spacing w:before="0" w:beforeLines="0" w:line="600" w:lineRule="exact"/>
        <w:ind w:firstLine="640" w:firstLineChars="200"/>
        <w:textAlignment w:val="auto"/>
        <w:rPr>
          <w:rFonts w:hint="default" w:ascii="Times New Roman" w:hAnsi="Times New Roman" w:eastAsia="黑体" w:cs="Times New Roman"/>
          <w:b w:val="0"/>
          <w:bCs w:val="0"/>
          <w:i w:val="0"/>
          <w:iCs w:val="0"/>
          <w:color w:val="auto"/>
          <w:kern w:val="0"/>
          <w:position w:val="3"/>
          <w:sz w:val="32"/>
          <w:szCs w:val="32"/>
          <w:highlight w:val="none"/>
          <w:u w:val="none"/>
          <w:lang w:val="zh-CN" w:eastAsia="zh-CN" w:bidi="ar-SA"/>
        </w:rPr>
      </w:pPr>
    </w:p>
    <w:p w14:paraId="4441298D">
      <w:pPr>
        <w:pStyle w:val="12"/>
        <w:keepNext w:val="0"/>
        <w:keepLines w:val="0"/>
        <w:pageBreakBefore w:val="0"/>
        <w:widowControl w:val="0"/>
        <w:numPr>
          <w:ilvl w:val="0"/>
          <w:numId w:val="0"/>
        </w:numPr>
        <w:tabs>
          <w:tab w:val="left" w:pos="2160"/>
        </w:tabs>
        <w:kinsoku/>
        <w:wordWrap/>
        <w:overflowPunct/>
        <w:topLinePunct w:val="0"/>
        <w:autoSpaceDE/>
        <w:autoSpaceDN/>
        <w:bidi w:val="0"/>
        <w:adjustRightInd/>
        <w:snapToGrid/>
        <w:spacing w:before="0" w:beforeLines="0" w:line="600" w:lineRule="exact"/>
        <w:ind w:firstLine="640" w:firstLineChars="200"/>
        <w:textAlignment w:val="auto"/>
        <w:rPr>
          <w:rFonts w:hint="default" w:ascii="Times New Roman" w:hAnsi="Times New Roman" w:eastAsia="黑体" w:cs="Times New Roman"/>
          <w:b w:val="0"/>
          <w:bCs w:val="0"/>
          <w:i w:val="0"/>
          <w:iCs w:val="0"/>
          <w:color w:val="auto"/>
          <w:kern w:val="0"/>
          <w:position w:val="3"/>
          <w:sz w:val="32"/>
          <w:szCs w:val="32"/>
          <w:highlight w:val="none"/>
          <w:u w:val="none"/>
          <w:lang w:val="zh-CN" w:eastAsia="zh-CN" w:bidi="ar-SA"/>
        </w:rPr>
      </w:pPr>
    </w:p>
    <w:p w14:paraId="4C99DED1">
      <w:pPr>
        <w:pStyle w:val="12"/>
        <w:keepNext w:val="0"/>
        <w:keepLines w:val="0"/>
        <w:pageBreakBefore w:val="0"/>
        <w:widowControl w:val="0"/>
        <w:numPr>
          <w:ilvl w:val="0"/>
          <w:numId w:val="0"/>
        </w:numPr>
        <w:tabs>
          <w:tab w:val="left" w:pos="2160"/>
        </w:tabs>
        <w:kinsoku/>
        <w:wordWrap/>
        <w:overflowPunct/>
        <w:topLinePunct w:val="0"/>
        <w:autoSpaceDE/>
        <w:autoSpaceDN/>
        <w:bidi w:val="0"/>
        <w:adjustRightInd/>
        <w:snapToGrid/>
        <w:spacing w:before="0" w:beforeLines="0" w:line="600" w:lineRule="exact"/>
        <w:ind w:firstLine="640" w:firstLineChars="200"/>
        <w:textAlignment w:val="auto"/>
        <w:rPr>
          <w:rFonts w:hint="default" w:ascii="Times New Roman" w:hAnsi="Times New Roman" w:eastAsia="黑体" w:cs="Times New Roman"/>
          <w:b w:val="0"/>
          <w:bCs w:val="0"/>
          <w:i w:val="0"/>
          <w:iCs w:val="0"/>
          <w:color w:val="auto"/>
          <w:kern w:val="0"/>
          <w:position w:val="3"/>
          <w:sz w:val="32"/>
          <w:szCs w:val="32"/>
          <w:highlight w:val="none"/>
          <w:u w:val="none"/>
          <w:lang w:val="zh-CN" w:eastAsia="zh-CN" w:bidi="ar-SA"/>
        </w:rPr>
      </w:pPr>
    </w:p>
    <w:p w14:paraId="7F41B15D">
      <w:pPr>
        <w:pStyle w:val="12"/>
        <w:keepNext w:val="0"/>
        <w:keepLines w:val="0"/>
        <w:pageBreakBefore w:val="0"/>
        <w:widowControl w:val="0"/>
        <w:numPr>
          <w:ilvl w:val="0"/>
          <w:numId w:val="0"/>
        </w:numPr>
        <w:tabs>
          <w:tab w:val="left" w:pos="2160"/>
        </w:tabs>
        <w:kinsoku/>
        <w:wordWrap/>
        <w:overflowPunct/>
        <w:topLinePunct w:val="0"/>
        <w:autoSpaceDE/>
        <w:autoSpaceDN/>
        <w:bidi w:val="0"/>
        <w:adjustRightInd/>
        <w:snapToGrid/>
        <w:spacing w:before="0" w:beforeLines="0" w:line="600" w:lineRule="exact"/>
        <w:ind w:firstLine="640" w:firstLineChars="200"/>
        <w:textAlignment w:val="auto"/>
        <w:rPr>
          <w:rFonts w:hint="default" w:ascii="Times New Roman" w:hAnsi="Times New Roman" w:eastAsia="黑体" w:cs="Times New Roman"/>
          <w:b w:val="0"/>
          <w:bCs w:val="0"/>
          <w:i w:val="0"/>
          <w:iCs w:val="0"/>
          <w:color w:val="auto"/>
          <w:kern w:val="0"/>
          <w:position w:val="3"/>
          <w:sz w:val="32"/>
          <w:szCs w:val="32"/>
          <w:highlight w:val="none"/>
          <w:u w:val="none"/>
          <w:lang w:val="zh-CN" w:eastAsia="zh-CN" w:bidi="ar-SA"/>
        </w:rPr>
      </w:pPr>
    </w:p>
    <w:p w14:paraId="38F6C1B7">
      <w:pPr>
        <w:pStyle w:val="12"/>
        <w:keepNext w:val="0"/>
        <w:keepLines w:val="0"/>
        <w:pageBreakBefore w:val="0"/>
        <w:widowControl w:val="0"/>
        <w:numPr>
          <w:ilvl w:val="0"/>
          <w:numId w:val="0"/>
        </w:numPr>
        <w:tabs>
          <w:tab w:val="left" w:pos="2160"/>
        </w:tabs>
        <w:kinsoku/>
        <w:wordWrap/>
        <w:overflowPunct/>
        <w:topLinePunct w:val="0"/>
        <w:autoSpaceDE/>
        <w:autoSpaceDN/>
        <w:bidi w:val="0"/>
        <w:adjustRightInd/>
        <w:snapToGrid/>
        <w:spacing w:before="0" w:beforeLines="0" w:line="600" w:lineRule="exact"/>
        <w:ind w:firstLine="640" w:firstLineChars="200"/>
        <w:textAlignment w:val="auto"/>
        <w:rPr>
          <w:rFonts w:hint="default" w:ascii="Times New Roman" w:hAnsi="Times New Roman" w:eastAsia="黑体" w:cs="Times New Roman"/>
          <w:b w:val="0"/>
          <w:bCs w:val="0"/>
          <w:i w:val="0"/>
          <w:iCs w:val="0"/>
          <w:color w:val="auto"/>
          <w:kern w:val="0"/>
          <w:position w:val="3"/>
          <w:sz w:val="32"/>
          <w:szCs w:val="32"/>
          <w:highlight w:val="none"/>
          <w:u w:val="none"/>
          <w:lang w:val="zh-CN" w:eastAsia="zh-CN" w:bidi="ar-SA"/>
        </w:rPr>
      </w:pPr>
    </w:p>
    <w:p w14:paraId="493562B9">
      <w:pPr>
        <w:pStyle w:val="12"/>
        <w:keepNext w:val="0"/>
        <w:keepLines w:val="0"/>
        <w:pageBreakBefore w:val="0"/>
        <w:widowControl w:val="0"/>
        <w:numPr>
          <w:ilvl w:val="0"/>
          <w:numId w:val="0"/>
        </w:numPr>
        <w:tabs>
          <w:tab w:val="left" w:pos="2160"/>
        </w:tabs>
        <w:kinsoku/>
        <w:wordWrap/>
        <w:overflowPunct/>
        <w:topLinePunct w:val="0"/>
        <w:autoSpaceDE/>
        <w:autoSpaceDN/>
        <w:bidi w:val="0"/>
        <w:adjustRightInd/>
        <w:snapToGrid/>
        <w:spacing w:before="0" w:beforeLines="0" w:line="600" w:lineRule="exact"/>
        <w:ind w:firstLine="640" w:firstLineChars="200"/>
        <w:textAlignment w:val="auto"/>
        <w:rPr>
          <w:rFonts w:hint="default" w:ascii="Times New Roman" w:hAnsi="Times New Roman" w:eastAsia="黑体" w:cs="Times New Roman"/>
          <w:b w:val="0"/>
          <w:bCs w:val="0"/>
          <w:i w:val="0"/>
          <w:iCs w:val="0"/>
          <w:color w:val="auto"/>
          <w:kern w:val="0"/>
          <w:position w:val="3"/>
          <w:sz w:val="32"/>
          <w:szCs w:val="32"/>
          <w:highlight w:val="none"/>
          <w:u w:val="none"/>
          <w:lang w:val="zh-CN" w:eastAsia="zh-CN" w:bidi="ar-SA"/>
        </w:rPr>
      </w:pPr>
    </w:p>
    <w:p w14:paraId="0BB70D53">
      <w:pPr>
        <w:rPr>
          <w:rFonts w:eastAsia="仿宋_GB2312"/>
        </w:rPr>
      </w:pPr>
    </w:p>
    <w:p w14:paraId="103324FC">
      <w:pPr>
        <w:pStyle w:val="5"/>
        <w:keepNext/>
        <w:keepLines/>
        <w:pageBreakBefore w:val="0"/>
        <w:widowControl w:val="0"/>
        <w:kinsoku/>
        <w:wordWrap/>
        <w:overflowPunct/>
        <w:topLinePunct w:val="0"/>
        <w:autoSpaceDE/>
        <w:autoSpaceDN/>
        <w:bidi w:val="0"/>
        <w:adjustRightInd/>
        <w:snapToGrid/>
        <w:spacing w:before="0" w:after="0"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187" w:name="_Toc18802"/>
      <w:r>
        <w:rPr>
          <w:rFonts w:hint="eastAsia" w:ascii="方正小标宋简体" w:hAnsi="方正小标宋简体" w:eastAsia="方正小标宋简体" w:cs="方正小标宋简体"/>
          <w:b w:val="0"/>
          <w:bCs w:val="0"/>
          <w:lang w:val="en-US" w:eastAsia="zh-CN"/>
        </w:rPr>
        <w:t>专项资金绩效自评报告</w:t>
      </w:r>
      <w:bookmarkEnd w:id="187"/>
    </w:p>
    <w:p w14:paraId="4B7E1D98">
      <w:pPr>
        <w:pStyle w:val="5"/>
        <w:keepNext/>
        <w:keepLines/>
        <w:pageBreakBefore w:val="0"/>
        <w:widowControl w:val="0"/>
        <w:kinsoku/>
        <w:wordWrap/>
        <w:overflowPunct/>
        <w:topLinePunct w:val="0"/>
        <w:autoSpaceDE/>
        <w:autoSpaceDN/>
        <w:bidi w:val="0"/>
        <w:adjustRightInd/>
        <w:snapToGrid/>
        <w:spacing w:before="0" w:after="0"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188" w:name="_Toc16218"/>
      <w:r>
        <w:rPr>
          <w:rFonts w:hint="eastAsia" w:ascii="方正小标宋简体" w:hAnsi="方正小标宋简体" w:eastAsia="方正小标宋简体" w:cs="方正小标宋简体"/>
          <w:b w:val="0"/>
          <w:bCs w:val="0"/>
          <w:lang w:val="en-US" w:eastAsia="zh-CN"/>
        </w:rPr>
        <w:t>2024年安居区再生水配置建设项目</w:t>
      </w:r>
      <w:bookmarkEnd w:id="188"/>
    </w:p>
    <w:p w14:paraId="0F27C4F0">
      <w:pPr>
        <w:keepNext w:val="0"/>
        <w:keepLines w:val="0"/>
        <w:pageBreakBefore w:val="0"/>
        <w:widowControl w:val="0"/>
        <w:kinsoku/>
        <w:wordWrap w:val="0"/>
        <w:overflowPunct/>
        <w:topLinePunct w:val="0"/>
        <w:autoSpaceDE/>
        <w:autoSpaceDN/>
        <w:bidi w:val="0"/>
        <w:adjustRightInd/>
        <w:snapToGrid/>
        <w:spacing w:line="590" w:lineRule="exact"/>
        <w:ind w:right="0" w:rightChars="0" w:firstLine="640" w:firstLineChars="200"/>
        <w:textAlignment w:val="auto"/>
        <w:rPr>
          <w:rFonts w:hint="eastAsia" w:ascii="黑体" w:hAnsi="宋体" w:eastAsia="黑体"/>
          <w:sz w:val="32"/>
          <w:szCs w:val="32"/>
          <w:highlight w:val="none"/>
        </w:rPr>
      </w:pPr>
    </w:p>
    <w:p w14:paraId="1DE3BAA1">
      <w:pPr>
        <w:keepNext w:val="0"/>
        <w:keepLines w:val="0"/>
        <w:pageBreakBefore w:val="0"/>
        <w:widowControl w:val="0"/>
        <w:kinsoku/>
        <w:wordWrap w:val="0"/>
        <w:overflowPunct/>
        <w:topLinePunct w:val="0"/>
        <w:autoSpaceDE/>
        <w:autoSpaceDN/>
        <w:bidi w:val="0"/>
        <w:adjustRightInd/>
        <w:snapToGrid/>
        <w:spacing w:line="590" w:lineRule="exact"/>
        <w:ind w:right="0" w:rightChars="0" w:firstLine="640" w:firstLineChars="200"/>
        <w:textAlignment w:val="auto"/>
        <w:rPr>
          <w:rFonts w:ascii="黑体" w:hAnsi="宋体" w:eastAsia="黑体"/>
          <w:sz w:val="32"/>
          <w:szCs w:val="32"/>
          <w:highlight w:val="none"/>
          <w:lang w:val="zh-CN"/>
        </w:rPr>
      </w:pPr>
      <w:r>
        <w:rPr>
          <w:rFonts w:hint="eastAsia" w:ascii="黑体" w:hAnsi="宋体" w:eastAsia="黑体"/>
          <w:sz w:val="32"/>
          <w:szCs w:val="32"/>
          <w:highlight w:val="none"/>
        </w:rPr>
        <w:t>一、</w:t>
      </w:r>
      <w:r>
        <w:rPr>
          <w:rFonts w:hint="eastAsia" w:ascii="黑体" w:hAnsi="宋体" w:eastAsia="黑体"/>
          <w:sz w:val="32"/>
          <w:szCs w:val="32"/>
          <w:highlight w:val="none"/>
          <w:lang w:val="zh-CN"/>
        </w:rPr>
        <w:t>项目概况</w:t>
      </w:r>
    </w:p>
    <w:p w14:paraId="461857CC">
      <w:pPr>
        <w:keepNext w:val="0"/>
        <w:keepLines w:val="0"/>
        <w:pageBreakBefore w:val="0"/>
        <w:widowControl w:val="0"/>
        <w:numPr>
          <w:ilvl w:val="0"/>
          <w:numId w:val="0"/>
        </w:numPr>
        <w:kinsoku/>
        <w:wordWrap w:val="0"/>
        <w:overflowPunct/>
        <w:topLinePunct w:val="0"/>
        <w:autoSpaceDE/>
        <w:autoSpaceDN/>
        <w:bidi w:val="0"/>
        <w:adjustRightInd/>
        <w:snapToGrid/>
        <w:spacing w:line="590" w:lineRule="exact"/>
        <w:ind w:left="0" w:leftChars="0" w:right="0" w:rightChars="0" w:firstLine="643" w:firstLineChars="200"/>
        <w:contextualSpacing/>
        <w:jc w:val="left"/>
        <w:textAlignment w:val="auto"/>
        <w:rPr>
          <w:rFonts w:hint="eastAsia" w:ascii="仿宋_GB2312" w:hAnsi="仿宋_GB2312" w:eastAsia="仿宋_GB2312" w:cs="仿宋_GB2312"/>
          <w:b w:val="0"/>
          <w:bCs w:val="0"/>
          <w:color w:val="auto"/>
          <w:kern w:val="0"/>
          <w:sz w:val="32"/>
          <w:szCs w:val="32"/>
          <w:highlight w:val="none"/>
          <w:u w:val="none"/>
          <w:shd w:val="clear" w:color="auto" w:fill="FFFFFF"/>
          <w:lang w:val="zh-CN" w:eastAsia="zh-CN"/>
        </w:rPr>
      </w:pPr>
      <w:r>
        <w:rPr>
          <w:rFonts w:hint="eastAsia" w:ascii="楷体_GB2312" w:hAnsi="宋体" w:eastAsia="楷体_GB2312"/>
          <w:b/>
          <w:color w:val="auto"/>
          <w:sz w:val="32"/>
          <w:szCs w:val="32"/>
          <w:highlight w:val="none"/>
          <w:u w:val="none"/>
          <w:lang w:val="zh-CN"/>
        </w:rPr>
        <w:t>（一）设立背景及基本情况。</w:t>
      </w:r>
      <w:r>
        <w:rPr>
          <w:rFonts w:hint="eastAsia" w:ascii="仿宋_GB2312" w:hAnsi="仿宋_GB2312" w:eastAsia="仿宋_GB2312" w:cs="仿宋_GB2312"/>
          <w:color w:val="auto"/>
          <w:kern w:val="0"/>
          <w:sz w:val="32"/>
          <w:szCs w:val="32"/>
          <w:highlight w:val="none"/>
          <w:u w:val="none"/>
          <w:shd w:val="clear" w:color="auto" w:fill="FFFFFF"/>
          <w:lang w:val="en-US" w:eastAsia="zh-CN"/>
        </w:rPr>
        <w:t>项目设立原因及背景，</w:t>
      </w:r>
      <w:r>
        <w:rPr>
          <w:rFonts w:hint="eastAsia" w:ascii="仿宋_GB2312" w:hAnsi="仿宋_GB2312" w:eastAsia="仿宋_GB2312" w:cs="仿宋_GB2312"/>
          <w:color w:val="auto"/>
          <w:kern w:val="0"/>
          <w:sz w:val="32"/>
          <w:szCs w:val="32"/>
          <w:highlight w:val="none"/>
          <w:u w:val="none"/>
          <w:shd w:val="clear" w:color="auto" w:fill="FFFFFF"/>
          <w:lang w:val="zh-CN"/>
        </w:rPr>
        <w:t>项目</w:t>
      </w:r>
      <w:r>
        <w:rPr>
          <w:rFonts w:hint="eastAsia" w:ascii="仿宋_GB2312" w:hAnsi="仿宋_GB2312" w:eastAsia="仿宋_GB2312" w:cs="仿宋_GB2312"/>
          <w:b w:val="0"/>
          <w:bCs w:val="0"/>
          <w:color w:val="auto"/>
          <w:kern w:val="0"/>
          <w:sz w:val="32"/>
          <w:szCs w:val="32"/>
          <w:highlight w:val="none"/>
          <w:u w:val="none"/>
          <w:shd w:val="clear" w:color="auto" w:fill="FFFFFF"/>
          <w:lang w:val="zh-CN" w:eastAsia="zh-CN"/>
        </w:rPr>
        <w:t>立项、资金申报的依据，项目主要内容</w:t>
      </w:r>
      <w:r>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t>。</w:t>
      </w:r>
      <w:r>
        <w:rPr>
          <w:rFonts w:hint="eastAsia" w:ascii="仿宋_GB2312" w:hAnsi="仿宋_GB2312" w:eastAsia="仿宋_GB2312" w:cs="仿宋_GB2312"/>
          <w:b w:val="0"/>
          <w:bCs w:val="0"/>
          <w:color w:val="auto"/>
          <w:kern w:val="0"/>
          <w:sz w:val="32"/>
          <w:szCs w:val="32"/>
          <w:highlight w:val="none"/>
          <w:u w:val="none"/>
          <w:shd w:val="clear" w:color="auto" w:fill="FFFFFF"/>
          <w:lang w:val="zh-CN" w:eastAsia="zh-CN"/>
        </w:rPr>
        <w:t>主管部门职能。</w:t>
      </w:r>
    </w:p>
    <w:p w14:paraId="7F4CDD25">
      <w:pPr>
        <w:keepNext w:val="0"/>
        <w:keepLines w:val="0"/>
        <w:pageBreakBefore w:val="0"/>
        <w:widowControl w:val="0"/>
        <w:numPr>
          <w:ilvl w:val="0"/>
          <w:numId w:val="0"/>
        </w:numPr>
        <w:kinsoku/>
        <w:wordWrap w:val="0"/>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default"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本项目自评范围为：51090425T000012588138-2024年安居区再生水配置建设项目（以下简称该项目）。</w:t>
      </w:r>
    </w:p>
    <w:p w14:paraId="54123DD4">
      <w:pPr>
        <w:keepNext w:val="0"/>
        <w:keepLines w:val="0"/>
        <w:pageBreakBefore w:val="0"/>
        <w:widowControl w:val="0"/>
        <w:numPr>
          <w:ilvl w:val="0"/>
          <w:numId w:val="0"/>
        </w:numPr>
        <w:kinsoku/>
        <w:wordWrap w:val="0"/>
        <w:overflowPunct/>
        <w:topLinePunct w:val="0"/>
        <w:autoSpaceDE/>
        <w:autoSpaceDN/>
        <w:bidi w:val="0"/>
        <w:adjustRightInd/>
        <w:snapToGrid/>
        <w:spacing w:line="590" w:lineRule="exact"/>
        <w:ind w:left="0" w:leftChars="0" w:right="0" w:rightChars="0" w:firstLine="643" w:firstLineChars="200"/>
        <w:contextualSpacing/>
        <w:jc w:val="left"/>
        <w:textAlignment w:val="auto"/>
        <w:rPr>
          <w:rFonts w:hint="default" w:ascii="仿宋_GB2312" w:hAnsi="仿宋_GB2312" w:eastAsia="仿宋_GB2312" w:cs="仿宋_GB2312"/>
          <w:b/>
          <w:bCs/>
          <w:color w:val="auto"/>
          <w:kern w:val="0"/>
          <w:sz w:val="32"/>
          <w:szCs w:val="32"/>
          <w:highlight w:val="none"/>
          <w:u w:val="none"/>
          <w:shd w:val="clear" w:color="auto" w:fill="FFFFFF"/>
          <w:lang w:val="en-US" w:eastAsia="zh-CN"/>
        </w:rPr>
      </w:pPr>
      <w:r>
        <w:rPr>
          <w:rFonts w:hint="eastAsia" w:ascii="仿宋_GB2312" w:hAnsi="仿宋_GB2312" w:eastAsia="仿宋_GB2312" w:cs="仿宋_GB2312"/>
          <w:b/>
          <w:bCs/>
          <w:color w:val="auto"/>
          <w:kern w:val="0"/>
          <w:sz w:val="32"/>
          <w:szCs w:val="32"/>
          <w:highlight w:val="none"/>
          <w:u w:val="none"/>
          <w:shd w:val="clear" w:color="auto" w:fill="FFFFFF"/>
          <w:lang w:val="en-US" w:eastAsia="zh-CN"/>
        </w:rPr>
        <w:t>1.主管部门职能</w:t>
      </w:r>
    </w:p>
    <w:p w14:paraId="202ECCE4">
      <w:pPr>
        <w:keepNext w:val="0"/>
        <w:keepLines w:val="0"/>
        <w:pageBreakBefore w:val="0"/>
        <w:widowControl w:val="0"/>
        <w:numPr>
          <w:ilvl w:val="0"/>
          <w:numId w:val="0"/>
        </w:numPr>
        <w:kinsoku/>
        <w:wordWrap w:val="0"/>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1）负责水资源的合理开发利用和保护工作。拟定全区水利发展规划和政策，组织编制全区水资源综合规划、水资源保护规划、重要江河湖泊流域综合规划、防洪规划等重大水利规划。指导饮用水水源保护有关工作。指导地下水开发利用和地下水资源管理保护。</w:t>
      </w:r>
    </w:p>
    <w:p w14:paraId="2ABC8A46">
      <w:pPr>
        <w:keepNext w:val="0"/>
        <w:keepLines w:val="0"/>
        <w:pageBreakBefore w:val="0"/>
        <w:widowControl w:val="0"/>
        <w:numPr>
          <w:ilvl w:val="0"/>
          <w:numId w:val="0"/>
        </w:numPr>
        <w:kinsoku/>
        <w:wordWrap w:val="0"/>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2）负责生活、生产经营和生态环境用水的统筹和保障。组织实施最严格水资源管理制度，实施水资源的统一监督管理。拟定全区中长期供求规划，水量分配方案并监督实施。负责重要流域、区域以及重要水工程的水资源调度。组织实施取水许可、水资源论证和防洪论证制度，指导实施水资源有偿使用工作。指导水利行业供水和乡镇供水工作。</w:t>
      </w:r>
    </w:p>
    <w:p w14:paraId="4031FEEE">
      <w:pPr>
        <w:keepNext w:val="0"/>
        <w:keepLines w:val="0"/>
        <w:pageBreakBefore w:val="0"/>
        <w:widowControl w:val="0"/>
        <w:numPr>
          <w:ilvl w:val="0"/>
          <w:numId w:val="0"/>
        </w:numPr>
        <w:kinsoku/>
        <w:wordWrap w:val="0"/>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（3）根据《四川省水利工程管理条例》，受市水利局委托，负责主管全区中型水利工程(包括麻子滩、跑马滩、新生水库和三仙湖水库);负责管理或委托乡镇政府管理全区的小[一]、[二]型水库。</w:t>
      </w:r>
    </w:p>
    <w:p w14:paraId="7C12C45D">
      <w:pPr>
        <w:keepNext w:val="0"/>
        <w:keepLines w:val="0"/>
        <w:pageBreakBefore w:val="0"/>
        <w:widowControl w:val="0"/>
        <w:numPr>
          <w:ilvl w:val="0"/>
          <w:numId w:val="0"/>
        </w:numPr>
        <w:kinsoku/>
        <w:wordWrap w:val="0"/>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4）负责水利工程建设与运行管理，按管理权限制定水利工程建设有关制度并组织实施，负责提出水利固定资产投资规模、方向和区级财政资金安排的建议。提出区级水利建设投资安排建议并负责项目实施的监督管理。组织实施具有控制性的重要水利工程建设与运行管理。</w:t>
      </w:r>
    </w:p>
    <w:p w14:paraId="3DE73A2A">
      <w:pPr>
        <w:keepNext w:val="0"/>
        <w:keepLines w:val="0"/>
        <w:pageBreakBefore w:val="0"/>
        <w:widowControl w:val="0"/>
        <w:numPr>
          <w:ilvl w:val="0"/>
          <w:numId w:val="0"/>
        </w:numPr>
        <w:kinsoku/>
        <w:wordWrap w:val="0"/>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（5）负责节约用水工作。拟定全区节约用水政策，组织、指导和监督节约用水工作。组织编制节约用水规划并监督实施，组织实施用水总量控制等管理制度，指导和推动节水型社会建设工作。</w:t>
      </w:r>
    </w:p>
    <w:p w14:paraId="2725FC92">
      <w:pPr>
        <w:keepNext w:val="0"/>
        <w:keepLines w:val="0"/>
        <w:pageBreakBefore w:val="0"/>
        <w:widowControl w:val="0"/>
        <w:numPr>
          <w:ilvl w:val="0"/>
          <w:numId w:val="0"/>
        </w:numPr>
        <w:kinsoku/>
        <w:wordWrap w:val="0"/>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（6）负责水资源的监督管理。对江河湖泊和地下水实施监测，发布水资源信息、情报预报和全区水资源公报。</w:t>
      </w:r>
    </w:p>
    <w:p w14:paraId="7E395890">
      <w:pPr>
        <w:keepNext w:val="0"/>
        <w:keepLines w:val="0"/>
        <w:pageBreakBefore w:val="0"/>
        <w:widowControl w:val="0"/>
        <w:numPr>
          <w:ilvl w:val="0"/>
          <w:numId w:val="0"/>
        </w:numPr>
        <w:kinsoku/>
        <w:wordWrap w:val="0"/>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7）.指导全区水利设施、江河湖泊及其岸线的管理、保护与综合利用。组织指导水利基础设施网络建设。指导重要江河湖泊及滩涂的保护、治理和开发。指导河湖水生态保护与修复、河湖生态流量水量管理以及河湖水系连通工作。</w:t>
      </w:r>
    </w:p>
    <w:p w14:paraId="170C632F">
      <w:pPr>
        <w:keepNext w:val="0"/>
        <w:keepLines w:val="0"/>
        <w:pageBreakBefore w:val="0"/>
        <w:widowControl w:val="0"/>
        <w:numPr>
          <w:ilvl w:val="0"/>
          <w:numId w:val="0"/>
        </w:numPr>
        <w:kinsoku/>
        <w:wordWrap w:val="0"/>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8）负责全区水土保持工作。拟订水土保持规划并监督实施，组织实施全区水土流失的综合防治、监测预报并定期公告。负责建设项目水土保持监督管理工作，指导重点水土保持建设项目的实施，指导水土保持监测站点建设工作。</w:t>
      </w:r>
    </w:p>
    <w:p w14:paraId="03C40256">
      <w:pPr>
        <w:keepNext w:val="0"/>
        <w:keepLines w:val="0"/>
        <w:pageBreakBefore w:val="0"/>
        <w:widowControl w:val="0"/>
        <w:numPr>
          <w:ilvl w:val="0"/>
          <w:numId w:val="0"/>
        </w:numPr>
        <w:kinsoku/>
        <w:wordWrap w:val="0"/>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9）指导农村水利工作。组织开展灌区灌排工程建设与改造。负责农村饮水安全工程建设管理工作;指导节水灌溉有关工作。负责农村水利改革创新和社会化服务体系建设，组织农村水能资源开发，指导小水电改造工作。</w:t>
      </w:r>
    </w:p>
    <w:p w14:paraId="5543AA35">
      <w:pPr>
        <w:keepNext w:val="0"/>
        <w:keepLines w:val="0"/>
        <w:pageBreakBefore w:val="0"/>
        <w:widowControl w:val="0"/>
        <w:numPr>
          <w:ilvl w:val="0"/>
          <w:numId w:val="0"/>
        </w:numPr>
        <w:kinsoku/>
        <w:wordWrap w:val="0"/>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（10）负责辖区内涉水违法事件的查处、协调水事纠纷，指导水政监察和水行政执法。依法负责水利行业安全生产工作。指导水利建设市场的监督检查，组织实施水利工程建设的监督检查。</w:t>
      </w:r>
    </w:p>
    <w:p w14:paraId="5C4DD5C8">
      <w:pPr>
        <w:keepNext w:val="0"/>
        <w:keepLines w:val="0"/>
        <w:pageBreakBefore w:val="0"/>
        <w:widowControl w:val="0"/>
        <w:numPr>
          <w:ilvl w:val="0"/>
          <w:numId w:val="0"/>
        </w:numPr>
        <w:kinsoku/>
        <w:wordWrap w:val="0"/>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（11）开展水利科技对外合作交流工作。组织开展水利行业质量监督工作。组织水利科学研究、技术推广工作。组织全区水利系统的对外经济联络，技术经济合作。承担全区水利统计工作。</w:t>
      </w:r>
    </w:p>
    <w:p w14:paraId="1DD38485">
      <w:pPr>
        <w:keepNext w:val="0"/>
        <w:keepLines w:val="0"/>
        <w:pageBreakBefore w:val="0"/>
        <w:widowControl w:val="0"/>
        <w:numPr>
          <w:ilvl w:val="0"/>
          <w:numId w:val="0"/>
        </w:numPr>
        <w:kinsoku/>
        <w:wordWrap w:val="0"/>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12）负责落实综合防灾减灾规划相关要求，组织编制并实施全区洪水干旱灾害防治规划。承担水情旱情监测预警工作。按管理权限，组织编制全区重要江河湖泊和重要水工程的防御洪水、抗御旱灾调度及应急水量调度方案，按程序报批并组织实施。承担防御洪水应急抢险的技术保障工作。</w:t>
      </w:r>
    </w:p>
    <w:p w14:paraId="034BE606">
      <w:pPr>
        <w:keepNext w:val="0"/>
        <w:keepLines w:val="0"/>
        <w:pageBreakBefore w:val="0"/>
        <w:widowControl w:val="0"/>
        <w:numPr>
          <w:ilvl w:val="0"/>
          <w:numId w:val="0"/>
        </w:numPr>
        <w:kinsoku/>
        <w:wordWrap w:val="0"/>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（13）负责职责范围内的安全生产和职业健康、生态环境保护、审批服务便民化。</w:t>
      </w:r>
    </w:p>
    <w:p w14:paraId="0F87A4DF">
      <w:pPr>
        <w:keepNext w:val="0"/>
        <w:keepLines w:val="0"/>
        <w:pageBreakBefore w:val="0"/>
        <w:widowControl w:val="0"/>
        <w:numPr>
          <w:ilvl w:val="0"/>
          <w:numId w:val="0"/>
        </w:numPr>
        <w:kinsoku/>
        <w:wordWrap w:val="0"/>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（14）完成区委和区政府交办的其他任务。</w:t>
      </w:r>
    </w:p>
    <w:p w14:paraId="509FD28C">
      <w:pPr>
        <w:keepNext w:val="0"/>
        <w:keepLines w:val="0"/>
        <w:pageBreakBefore w:val="0"/>
        <w:widowControl w:val="0"/>
        <w:numPr>
          <w:ilvl w:val="0"/>
          <w:numId w:val="0"/>
        </w:numPr>
        <w:kinsoku/>
        <w:wordWrap w:val="0"/>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（15）职能转变。</w:t>
      </w:r>
    </w:p>
    <w:p w14:paraId="28284146">
      <w:pPr>
        <w:keepNext w:val="0"/>
        <w:keepLines w:val="0"/>
        <w:pageBreakBefore w:val="0"/>
        <w:widowControl w:val="0"/>
        <w:numPr>
          <w:ilvl w:val="0"/>
          <w:numId w:val="0"/>
        </w:numPr>
        <w:kinsoku/>
        <w:wordWrap w:val="0"/>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区水利局应切实加强水资源合理利用、优化配置和节约保护，加强跨流域跨区域水资源调配。坚持节水优先，从增加供给转向更加重视需求管理，严格控制用水总量和提高用水效率。坚持保护优先，加强水资源、水域和水利工程的管理保护，加强河湖管理，全面推进河湖长制，维护河湖生态健康。坚持统筹兼顾，保障合理用水需求和水资源的可持续利用，为全区经济社会发展提供水安全保障。加强水利政策研究，加强水利政策、决策部署和重点工程贯彻落实情况的监督检查，强化水利信息化工作。</w:t>
      </w:r>
    </w:p>
    <w:p w14:paraId="67059155">
      <w:pPr>
        <w:keepNext w:val="0"/>
        <w:keepLines w:val="0"/>
        <w:pageBreakBefore w:val="0"/>
        <w:widowControl w:val="0"/>
        <w:numPr>
          <w:ilvl w:val="0"/>
          <w:numId w:val="0"/>
        </w:numPr>
        <w:kinsoku/>
        <w:wordWrap w:val="0"/>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统筹承担行政职能的事业单位改革。区水土保持办公室不再承担水土保持工作监督管理和行政执法职责，上述行政职能交由区水利局承担。</w:t>
      </w:r>
    </w:p>
    <w:p w14:paraId="3B3AA95E">
      <w:pPr>
        <w:keepNext w:val="0"/>
        <w:keepLines w:val="0"/>
        <w:pageBreakBefore w:val="0"/>
        <w:widowControl w:val="0"/>
        <w:numPr>
          <w:ilvl w:val="0"/>
          <w:numId w:val="0"/>
        </w:numPr>
        <w:kinsoku/>
        <w:wordWrap w:val="0"/>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（16）有关职责分工。</w:t>
      </w:r>
    </w:p>
    <w:p w14:paraId="27033984">
      <w:pPr>
        <w:keepNext w:val="0"/>
        <w:keepLines w:val="0"/>
        <w:pageBreakBefore w:val="0"/>
        <w:widowControl w:val="0"/>
        <w:numPr>
          <w:ilvl w:val="0"/>
          <w:numId w:val="0"/>
        </w:numPr>
        <w:kinsoku/>
        <w:wordWrap w:val="0"/>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自然灾害防救的职责分工。区水利局负责落实综合防灾减灾规划相关要求，组织编制并实施全区洪水干旱灾害防治规划。承担水情旱情监测预警工作。组织编制全区重要江河湖泊和重要水工程的防御洪水、抗御旱灾调度及应急水量调度方案，按程序报批并组织实施。承担防御洪水应急抢险的技术保障工作。</w:t>
      </w:r>
    </w:p>
    <w:p w14:paraId="52D5BEB0">
      <w:pPr>
        <w:keepNext w:val="0"/>
        <w:keepLines w:val="0"/>
        <w:pageBreakBefore w:val="0"/>
        <w:widowControl w:val="0"/>
        <w:numPr>
          <w:ilvl w:val="0"/>
          <w:numId w:val="0"/>
        </w:numPr>
        <w:kinsoku/>
        <w:wordWrap w:val="0"/>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区住建局负责在建工地、既有楼盘和小区的防洪防内涝工作。区水利局负责城市河道的防洪调度工作。区综合执法局负责城市市政公用设施的防汛防内涝工作。 区应急管理局负责统一组织、统一指挥、统一协调自然灾害类突发事件应急救援，救灾工作。</w:t>
      </w:r>
    </w:p>
    <w:p w14:paraId="4616A3AA">
      <w:pPr>
        <w:keepNext w:val="0"/>
        <w:keepLines w:val="0"/>
        <w:pageBreakBefore w:val="0"/>
        <w:widowControl w:val="0"/>
        <w:numPr>
          <w:ilvl w:val="0"/>
          <w:numId w:val="0"/>
        </w:numPr>
        <w:kinsoku/>
        <w:wordWrap w:val="0"/>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水资源保护与水污染防治的职责分工。区水利局负责水资源保护，安居生态环境局负责水环境质量和水污染防治，区自然资源和规划局负责对地下水过量开采及引发的地面沉降等地质问题进行监督。三部门进一步加强协调与配合，建立部门协商机制，按要求通报水资源保护与水污染防治有关情况，协商解决有关重大问题。安居生态环境局发布水环境信息，对信息的准确性、及时性负责。区水利局发布的水资源信息中涉及环境质量的内容，应与安居生态环境局协商一致。</w:t>
      </w:r>
    </w:p>
    <w:p w14:paraId="11BF985B">
      <w:pPr>
        <w:keepNext w:val="0"/>
        <w:keepLines w:val="0"/>
        <w:pageBreakBefore w:val="0"/>
        <w:widowControl w:val="0"/>
        <w:numPr>
          <w:ilvl w:val="0"/>
          <w:numId w:val="0"/>
        </w:numPr>
        <w:kinsoku/>
        <w:wordWrap w:val="0"/>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节约用水职责的分工。区水利局牵头负责全区节约用水、计划用水工作。区住建局具体负责城市规划区内的节约用水、计划用水、中水回用等行政管理。</w:t>
      </w:r>
    </w:p>
    <w:p w14:paraId="052CAB37">
      <w:pPr>
        <w:keepNext w:val="0"/>
        <w:keepLines w:val="0"/>
        <w:pageBreakBefore w:val="0"/>
        <w:widowControl w:val="0"/>
        <w:numPr>
          <w:ilvl w:val="0"/>
          <w:numId w:val="0"/>
        </w:numPr>
        <w:kinsoku/>
        <w:wordWrap w:val="0"/>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供水职责的分工。区水利局组织编制城市规划区外的村镇供水规划，指导村镇供水建设和管理，对村镇供水企业实行行业管理。区住建局负责城市规划区内的供水，对城市供水企业实行行业管理;负责城市规划区内由于工程施工、设备维修等原因确需停止供水的审批。对因城市规划区调整形成自来水供区交叉的问题，由两个部门协商解决。</w:t>
      </w:r>
    </w:p>
    <w:p w14:paraId="127917CF">
      <w:pPr>
        <w:keepNext w:val="0"/>
        <w:keepLines w:val="0"/>
        <w:pageBreakBefore w:val="0"/>
        <w:widowControl w:val="0"/>
        <w:numPr>
          <w:ilvl w:val="0"/>
          <w:numId w:val="0"/>
        </w:numPr>
        <w:kinsoku/>
        <w:wordWrap w:val="0"/>
        <w:overflowPunct/>
        <w:topLinePunct w:val="0"/>
        <w:autoSpaceDE/>
        <w:autoSpaceDN/>
        <w:bidi w:val="0"/>
        <w:adjustRightInd/>
        <w:snapToGrid/>
        <w:spacing w:line="590" w:lineRule="exact"/>
        <w:ind w:left="0" w:leftChars="0" w:right="0" w:rightChars="0" w:firstLine="643" w:firstLineChars="200"/>
        <w:contextualSpacing/>
        <w:jc w:val="left"/>
        <w:textAlignment w:val="auto"/>
        <w:rPr>
          <w:rFonts w:hint="eastAsia" w:ascii="仿宋_GB2312" w:hAnsi="仿宋_GB2312" w:eastAsia="仿宋_GB2312" w:cs="仿宋_GB2312"/>
          <w:b/>
          <w:bCs/>
          <w:color w:val="auto"/>
          <w:kern w:val="0"/>
          <w:sz w:val="32"/>
          <w:szCs w:val="32"/>
          <w:highlight w:val="none"/>
          <w:u w:val="none"/>
          <w:shd w:val="clear" w:color="auto" w:fill="FFFFFF"/>
          <w:lang w:val="en-US" w:eastAsia="zh-CN"/>
        </w:rPr>
      </w:pPr>
      <w:r>
        <w:rPr>
          <w:rFonts w:hint="eastAsia" w:ascii="仿宋_GB2312" w:hAnsi="仿宋_GB2312" w:eastAsia="仿宋_GB2312" w:cs="仿宋_GB2312"/>
          <w:b/>
          <w:bCs/>
          <w:color w:val="auto"/>
          <w:kern w:val="0"/>
          <w:sz w:val="32"/>
          <w:szCs w:val="32"/>
          <w:highlight w:val="none"/>
          <w:u w:val="none"/>
          <w:shd w:val="clear" w:color="auto" w:fill="FFFFFF"/>
          <w:lang w:val="en-US" w:eastAsia="zh-CN"/>
        </w:rPr>
        <w:t>2.项目设立原因及背景</w:t>
      </w:r>
    </w:p>
    <w:p w14:paraId="5BE150D2">
      <w:pPr>
        <w:keepNext w:val="0"/>
        <w:keepLines w:val="0"/>
        <w:pageBreakBefore w:val="0"/>
        <w:widowControl w:val="0"/>
        <w:numPr>
          <w:ilvl w:val="0"/>
          <w:numId w:val="0"/>
        </w:numPr>
        <w:kinsoku/>
        <w:wordWrap w:val="0"/>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（1）保障水利工程安全运行</w:t>
      </w:r>
    </w:p>
    <w:p w14:paraId="11E4AF28">
      <w:pPr>
        <w:keepNext w:val="0"/>
        <w:keepLines w:val="0"/>
        <w:pageBreakBefore w:val="0"/>
        <w:widowControl w:val="0"/>
        <w:numPr>
          <w:ilvl w:val="0"/>
          <w:numId w:val="0"/>
        </w:numPr>
        <w:kinsoku/>
        <w:wordWrap w:val="0"/>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cs="仿宋_GB2312"/>
          <w:color w:val="auto"/>
          <w:kern w:val="0"/>
          <w:sz w:val="32"/>
          <w:szCs w:val="32"/>
          <w:highlight w:val="none"/>
          <w:u w:val="none"/>
          <w:shd w:val="clear" w:color="auto" w:fill="FFFFFF"/>
          <w:lang w:val="en-US" w:eastAsia="zh-CN"/>
        </w:rPr>
        <w:t>‌</w:t>
      </w:r>
      <w:r>
        <w:rPr>
          <w:rFonts w:hint="eastAsia" w:ascii="仿宋_GB2312" w:hAnsi="仿宋_GB2312" w:eastAsia="仿宋_GB2312" w:cs="仿宋_GB2312"/>
          <w:color w:val="auto"/>
          <w:kern w:val="0"/>
          <w:sz w:val="32"/>
          <w:szCs w:val="32"/>
          <w:highlight w:val="none"/>
          <w:u w:val="none"/>
          <w:shd w:val="clear" w:color="auto" w:fill="FFFFFF"/>
          <w:lang w:val="en-US" w:eastAsia="zh-CN"/>
        </w:rPr>
        <w:t>病险水库治理需求迫切‌：区域内多座小型水库存在安全隐患，需通过除险加固消除风险。例如2022年对席家埝、东岳庙等水库实施加固，修复渗漏、结构缺陷等问题；2019年已对擦耳岩、朝天湾等4座水库开展类似工程。</w:t>
      </w:r>
    </w:p>
    <w:p w14:paraId="6091F5BD">
      <w:pPr>
        <w:keepNext w:val="0"/>
        <w:keepLines w:val="0"/>
        <w:pageBreakBefore w:val="0"/>
        <w:widowControl w:val="0"/>
        <w:numPr>
          <w:ilvl w:val="0"/>
          <w:numId w:val="0"/>
        </w:numPr>
        <w:kinsoku/>
        <w:wordWrap w:val="0"/>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cs="仿宋_GB2312"/>
          <w:color w:val="auto"/>
          <w:kern w:val="0"/>
          <w:sz w:val="32"/>
          <w:szCs w:val="32"/>
          <w:highlight w:val="none"/>
          <w:u w:val="none"/>
          <w:shd w:val="clear" w:color="auto" w:fill="FFFFFF"/>
          <w:lang w:val="en-US" w:eastAsia="zh-CN"/>
        </w:rPr>
        <w:t>‌</w:t>
      </w:r>
      <w:r>
        <w:rPr>
          <w:rFonts w:hint="eastAsia" w:ascii="仿宋_GB2312" w:hAnsi="仿宋_GB2312" w:eastAsia="仿宋_GB2312" w:cs="仿宋_GB2312"/>
          <w:color w:val="auto"/>
          <w:kern w:val="0"/>
          <w:sz w:val="32"/>
          <w:szCs w:val="32"/>
          <w:highlight w:val="none"/>
          <w:u w:val="none"/>
          <w:shd w:val="clear" w:color="auto" w:fill="FFFFFF"/>
          <w:lang w:val="en-US" w:eastAsia="zh-CN"/>
        </w:rPr>
        <w:t>设施维护常态化‌：2024年计划开展小型水库设施维修养护及白蚁防治项目，因供应商不足终止后仍需持续推进，反映工程后期管护的持续性需求。</w:t>
      </w:r>
    </w:p>
    <w:p w14:paraId="1A1F8B47">
      <w:pPr>
        <w:keepNext w:val="0"/>
        <w:keepLines w:val="0"/>
        <w:pageBreakBefore w:val="0"/>
        <w:widowControl w:val="0"/>
        <w:numPr>
          <w:ilvl w:val="0"/>
          <w:numId w:val="0"/>
        </w:numPr>
        <w:kinsoku/>
        <w:wordWrap w:val="0"/>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（2）落实国家水利发展政策</w:t>
      </w:r>
    </w:p>
    <w:p w14:paraId="528693E3">
      <w:pPr>
        <w:keepNext w:val="0"/>
        <w:keepLines w:val="0"/>
        <w:pageBreakBefore w:val="0"/>
        <w:widowControl w:val="0"/>
        <w:numPr>
          <w:ilvl w:val="0"/>
          <w:numId w:val="0"/>
        </w:numPr>
        <w:kinsoku/>
        <w:wordWrap w:val="0"/>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cs="仿宋_GB2312"/>
          <w:color w:val="auto"/>
          <w:kern w:val="0"/>
          <w:sz w:val="32"/>
          <w:szCs w:val="32"/>
          <w:highlight w:val="none"/>
          <w:u w:val="none"/>
          <w:shd w:val="clear" w:color="auto" w:fill="FFFFFF"/>
          <w:lang w:val="en-US" w:eastAsia="zh-CN"/>
        </w:rPr>
        <w:t>‌</w:t>
      </w:r>
      <w:r>
        <w:rPr>
          <w:rFonts w:hint="eastAsia" w:ascii="仿宋_GB2312" w:hAnsi="仿宋_GB2312" w:eastAsia="仿宋_GB2312" w:cs="仿宋_GB2312"/>
          <w:color w:val="auto"/>
          <w:kern w:val="0"/>
          <w:sz w:val="32"/>
          <w:szCs w:val="32"/>
          <w:highlight w:val="none"/>
          <w:u w:val="none"/>
          <w:shd w:val="clear" w:color="auto" w:fill="FFFFFF"/>
          <w:lang w:val="en-US" w:eastAsia="zh-CN"/>
        </w:rPr>
        <w:t>贯彻“补短板、强监管”总基调‌：严格遵循水利部“水利工程补短板、水利行业强监管”的部署，2021年出台《安居区水利行业强监管工作实施方案》，强化对工程运行、资金使用、水资源的监管。</w:t>
      </w:r>
    </w:p>
    <w:p w14:paraId="5DF24F7F">
      <w:pPr>
        <w:keepNext w:val="0"/>
        <w:keepLines w:val="0"/>
        <w:pageBreakBefore w:val="0"/>
        <w:widowControl w:val="0"/>
        <w:numPr>
          <w:ilvl w:val="0"/>
          <w:numId w:val="0"/>
        </w:numPr>
        <w:kinsoku/>
        <w:wordWrap w:val="0"/>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cs="仿宋_GB2312"/>
          <w:color w:val="auto"/>
          <w:kern w:val="0"/>
          <w:sz w:val="32"/>
          <w:szCs w:val="32"/>
          <w:highlight w:val="none"/>
          <w:u w:val="none"/>
          <w:shd w:val="clear" w:color="auto" w:fill="FFFFFF"/>
          <w:lang w:val="en-US" w:eastAsia="zh-CN"/>
        </w:rPr>
        <w:t>‌</w:t>
      </w:r>
      <w:r>
        <w:rPr>
          <w:rFonts w:hint="eastAsia" w:ascii="仿宋_GB2312" w:hAnsi="仿宋_GB2312" w:eastAsia="仿宋_GB2312" w:cs="仿宋_GB2312"/>
          <w:color w:val="auto"/>
          <w:kern w:val="0"/>
          <w:sz w:val="32"/>
          <w:szCs w:val="32"/>
          <w:highlight w:val="none"/>
          <w:u w:val="none"/>
          <w:shd w:val="clear" w:color="auto" w:fill="FFFFFF"/>
          <w:lang w:val="en-US" w:eastAsia="zh-CN"/>
        </w:rPr>
        <w:t>响应中央资金投向要求‌：中央预算内投资明确支持水利高质量发展项目，聚焦水资源优化配置、水生态修复及民生保障，安居区项目符合这一政策导向。</w:t>
      </w:r>
    </w:p>
    <w:p w14:paraId="3E04A9CC">
      <w:pPr>
        <w:keepNext w:val="0"/>
        <w:keepLines w:val="0"/>
        <w:pageBreakBefore w:val="0"/>
        <w:widowControl w:val="0"/>
        <w:numPr>
          <w:ilvl w:val="0"/>
          <w:numId w:val="0"/>
        </w:numPr>
        <w:kinsoku/>
        <w:wordWrap w:val="0"/>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（3）促进区域经济与生态协同发展</w:t>
      </w:r>
    </w:p>
    <w:p w14:paraId="4A65612D">
      <w:pPr>
        <w:keepNext w:val="0"/>
        <w:keepLines w:val="0"/>
        <w:pageBreakBefore w:val="0"/>
        <w:widowControl w:val="0"/>
        <w:numPr>
          <w:ilvl w:val="0"/>
          <w:numId w:val="0"/>
        </w:numPr>
        <w:kinsoku/>
        <w:wordWrap w:val="0"/>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cs="仿宋_GB2312"/>
          <w:color w:val="auto"/>
          <w:kern w:val="0"/>
          <w:sz w:val="32"/>
          <w:szCs w:val="32"/>
          <w:highlight w:val="none"/>
          <w:u w:val="none"/>
          <w:shd w:val="clear" w:color="auto" w:fill="FFFFFF"/>
          <w:lang w:val="en-US" w:eastAsia="zh-CN"/>
        </w:rPr>
        <w:t>‌</w:t>
      </w:r>
      <w:r>
        <w:rPr>
          <w:rFonts w:hint="eastAsia" w:ascii="仿宋_GB2312" w:hAnsi="仿宋_GB2312" w:eastAsia="仿宋_GB2312" w:cs="仿宋_GB2312"/>
          <w:color w:val="auto"/>
          <w:kern w:val="0"/>
          <w:sz w:val="32"/>
          <w:szCs w:val="32"/>
          <w:highlight w:val="none"/>
          <w:u w:val="none"/>
          <w:shd w:val="clear" w:color="auto" w:fill="FFFFFF"/>
          <w:lang w:val="en-US" w:eastAsia="zh-CN"/>
        </w:rPr>
        <w:t>支撑农业生产‌：水利设施为农业灌溉提供保障，如2025年利用省级财政资金新建及改造提灌站，直接服务粮油产业增产。</w:t>
      </w:r>
    </w:p>
    <w:p w14:paraId="7EE748A8">
      <w:pPr>
        <w:keepNext w:val="0"/>
        <w:keepLines w:val="0"/>
        <w:pageBreakBefore w:val="0"/>
        <w:widowControl w:val="0"/>
        <w:numPr>
          <w:ilvl w:val="0"/>
          <w:numId w:val="0"/>
        </w:numPr>
        <w:kinsoku/>
        <w:wordWrap w:val="0"/>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cs="仿宋_GB2312"/>
          <w:color w:val="auto"/>
          <w:kern w:val="0"/>
          <w:sz w:val="32"/>
          <w:szCs w:val="32"/>
          <w:highlight w:val="none"/>
          <w:u w:val="none"/>
          <w:shd w:val="clear" w:color="auto" w:fill="FFFFFF"/>
          <w:lang w:val="en-US" w:eastAsia="zh-CN"/>
        </w:rPr>
        <w:t>‌</w:t>
      </w:r>
      <w:r>
        <w:rPr>
          <w:rFonts w:hint="eastAsia" w:ascii="仿宋_GB2312" w:hAnsi="仿宋_GB2312" w:eastAsia="仿宋_GB2312" w:cs="仿宋_GB2312"/>
          <w:color w:val="auto"/>
          <w:kern w:val="0"/>
          <w:sz w:val="32"/>
          <w:szCs w:val="32"/>
          <w:highlight w:val="none"/>
          <w:u w:val="none"/>
          <w:shd w:val="clear" w:color="auto" w:fill="FFFFFF"/>
          <w:lang w:val="en-US" w:eastAsia="zh-CN"/>
        </w:rPr>
        <w:t>兼顾生态保护‌：项目建设注重生态修复，通过科学设计减少对生态系统破坏，并提升水质保护、生物多样性维护能力。</w:t>
      </w:r>
    </w:p>
    <w:p w14:paraId="77D75645">
      <w:pPr>
        <w:keepNext w:val="0"/>
        <w:keepLines w:val="0"/>
        <w:pageBreakBefore w:val="0"/>
        <w:widowControl w:val="0"/>
        <w:numPr>
          <w:ilvl w:val="0"/>
          <w:numId w:val="0"/>
        </w:numPr>
        <w:kinsoku/>
        <w:wordWrap w:val="0"/>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（4）优化资金管理与项目实施机制</w:t>
      </w:r>
    </w:p>
    <w:p w14:paraId="51EC57FB">
      <w:pPr>
        <w:keepNext w:val="0"/>
        <w:keepLines w:val="0"/>
        <w:pageBreakBefore w:val="0"/>
        <w:widowControl w:val="0"/>
        <w:numPr>
          <w:ilvl w:val="0"/>
          <w:numId w:val="0"/>
        </w:numPr>
        <w:kinsoku/>
        <w:wordWrap w:val="0"/>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cs="仿宋_GB2312"/>
          <w:color w:val="auto"/>
          <w:kern w:val="0"/>
          <w:sz w:val="32"/>
          <w:szCs w:val="32"/>
          <w:highlight w:val="none"/>
          <w:u w:val="none"/>
          <w:shd w:val="clear" w:color="auto" w:fill="FFFFFF"/>
          <w:lang w:val="en-US" w:eastAsia="zh-CN"/>
        </w:rPr>
        <w:t>‌</w:t>
      </w:r>
      <w:r>
        <w:rPr>
          <w:rFonts w:hint="eastAsia" w:ascii="仿宋_GB2312" w:hAnsi="仿宋_GB2312" w:eastAsia="仿宋_GB2312" w:cs="仿宋_GB2312"/>
          <w:color w:val="auto"/>
          <w:kern w:val="0"/>
          <w:sz w:val="32"/>
          <w:szCs w:val="32"/>
          <w:highlight w:val="none"/>
          <w:u w:val="none"/>
          <w:shd w:val="clear" w:color="auto" w:fill="FFFFFF"/>
          <w:lang w:val="en-US" w:eastAsia="zh-CN"/>
        </w:rPr>
        <w:t>规范招投标流程‌：2024年发布新规强化招标文件公平竞争审查，明确要求消除地方保护壁垒，确保中央和省级资金项目的公开透明。</w:t>
      </w:r>
    </w:p>
    <w:p w14:paraId="329A4B88">
      <w:pPr>
        <w:keepNext w:val="0"/>
        <w:keepLines w:val="0"/>
        <w:pageBreakBefore w:val="0"/>
        <w:widowControl w:val="0"/>
        <w:numPr>
          <w:ilvl w:val="0"/>
          <w:numId w:val="0"/>
        </w:numPr>
        <w:kinsoku/>
        <w:wordWrap w:val="0"/>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default"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cs="仿宋_GB2312"/>
          <w:color w:val="auto"/>
          <w:kern w:val="0"/>
          <w:sz w:val="32"/>
          <w:szCs w:val="32"/>
          <w:highlight w:val="none"/>
          <w:u w:val="none"/>
          <w:shd w:val="clear" w:color="auto" w:fill="FFFFFF"/>
          <w:lang w:val="en-US" w:eastAsia="zh-CN"/>
        </w:rPr>
        <w:t>‌</w:t>
      </w:r>
      <w:r>
        <w:rPr>
          <w:rFonts w:hint="eastAsia" w:ascii="仿宋_GB2312" w:hAnsi="仿宋_GB2312" w:eastAsia="仿宋_GB2312" w:cs="仿宋_GB2312"/>
          <w:color w:val="auto"/>
          <w:kern w:val="0"/>
          <w:sz w:val="32"/>
          <w:szCs w:val="32"/>
          <w:highlight w:val="none"/>
          <w:u w:val="none"/>
          <w:shd w:val="clear" w:color="auto" w:fill="FFFFFF"/>
          <w:lang w:val="en-US" w:eastAsia="zh-CN"/>
        </w:rPr>
        <w:t>明确主体责任‌：强调项目业主（如三仙湖水库建设开发公司）和水利局的监管职责，保障资金高效合规使用。</w:t>
      </w:r>
    </w:p>
    <w:p w14:paraId="7A2A1120">
      <w:pPr>
        <w:keepNext w:val="0"/>
        <w:keepLines w:val="0"/>
        <w:pageBreakBefore w:val="0"/>
        <w:widowControl w:val="0"/>
        <w:numPr>
          <w:ilvl w:val="0"/>
          <w:numId w:val="0"/>
        </w:numPr>
        <w:kinsoku/>
        <w:wordWrap w:val="0"/>
        <w:overflowPunct/>
        <w:topLinePunct w:val="0"/>
        <w:autoSpaceDE/>
        <w:autoSpaceDN/>
        <w:bidi w:val="0"/>
        <w:adjustRightInd/>
        <w:snapToGrid/>
        <w:spacing w:line="590" w:lineRule="exact"/>
        <w:ind w:left="0" w:leftChars="0" w:right="0" w:rightChars="0" w:firstLine="643" w:firstLineChars="200"/>
        <w:contextualSpacing/>
        <w:jc w:val="left"/>
        <w:textAlignment w:val="auto"/>
        <w:rPr>
          <w:rFonts w:hint="eastAsia" w:ascii="仿宋_GB2312" w:hAnsi="仿宋_GB2312" w:eastAsia="仿宋_GB2312" w:cs="仿宋_GB2312"/>
          <w:b/>
          <w:bCs/>
          <w:color w:val="auto"/>
          <w:kern w:val="0"/>
          <w:sz w:val="32"/>
          <w:szCs w:val="32"/>
          <w:highlight w:val="none"/>
          <w:u w:val="none"/>
          <w:shd w:val="clear" w:color="auto" w:fill="FFFFFF"/>
          <w:lang w:val="zh-CN" w:eastAsia="zh-CN"/>
        </w:rPr>
      </w:pPr>
      <w:r>
        <w:rPr>
          <w:rFonts w:hint="eastAsia" w:ascii="仿宋_GB2312" w:hAnsi="仿宋_GB2312" w:eastAsia="仿宋_GB2312" w:cs="仿宋_GB2312"/>
          <w:b/>
          <w:bCs/>
          <w:color w:val="auto"/>
          <w:kern w:val="0"/>
          <w:sz w:val="32"/>
          <w:szCs w:val="32"/>
          <w:highlight w:val="none"/>
          <w:u w:val="none"/>
          <w:shd w:val="clear" w:color="auto" w:fill="FFFFFF"/>
          <w:lang w:val="en-US" w:eastAsia="zh-CN"/>
        </w:rPr>
        <w:t>3.</w:t>
      </w:r>
      <w:r>
        <w:rPr>
          <w:rFonts w:hint="eastAsia" w:ascii="仿宋_GB2312" w:hAnsi="仿宋_GB2312" w:eastAsia="仿宋_GB2312" w:cs="仿宋_GB2312"/>
          <w:b/>
          <w:bCs/>
          <w:color w:val="auto"/>
          <w:kern w:val="0"/>
          <w:sz w:val="32"/>
          <w:szCs w:val="32"/>
          <w:highlight w:val="none"/>
          <w:u w:val="none"/>
          <w:shd w:val="clear" w:color="auto" w:fill="FFFFFF"/>
          <w:lang w:val="zh-CN" w:eastAsia="zh-CN"/>
        </w:rPr>
        <w:t>项目立项、资金申报的依据</w:t>
      </w:r>
    </w:p>
    <w:p w14:paraId="3194B21C">
      <w:pPr>
        <w:keepNext w:val="0"/>
        <w:keepLines w:val="0"/>
        <w:pageBreakBefore w:val="0"/>
        <w:widowControl w:val="0"/>
        <w:numPr>
          <w:ilvl w:val="0"/>
          <w:numId w:val="0"/>
        </w:numPr>
        <w:kinsoku/>
        <w:wordWrap w:val="0"/>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default"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项目立项、资金申报文件为：遂财建（2024）122号。</w:t>
      </w:r>
    </w:p>
    <w:p w14:paraId="7090C3F7">
      <w:pPr>
        <w:keepNext w:val="0"/>
        <w:keepLines w:val="0"/>
        <w:pageBreakBefore w:val="0"/>
        <w:widowControl w:val="0"/>
        <w:kinsoku/>
        <w:wordWrap w:val="0"/>
        <w:overflowPunct/>
        <w:topLinePunct w:val="0"/>
        <w:autoSpaceDE/>
        <w:autoSpaceDN/>
        <w:bidi w:val="0"/>
        <w:adjustRightInd/>
        <w:snapToGrid/>
        <w:spacing w:line="590" w:lineRule="exact"/>
        <w:ind w:left="0" w:leftChars="0" w:right="0" w:rightChars="0" w:firstLine="643" w:firstLineChars="200"/>
        <w:textAlignment w:val="auto"/>
        <w:rPr>
          <w:rFonts w:hint="eastAsia" w:ascii="仿宋_GB2312" w:hAnsi="仿宋_GB2312" w:eastAsia="仿宋_GB2312" w:cs="仿宋_GB2312"/>
          <w:color w:val="auto"/>
          <w:kern w:val="0"/>
          <w:sz w:val="32"/>
          <w:szCs w:val="32"/>
          <w:highlight w:val="none"/>
          <w:u w:val="none"/>
          <w:shd w:val="clear" w:color="auto" w:fill="FFFFFF"/>
          <w:lang w:val="zh-CN"/>
        </w:rPr>
      </w:pPr>
      <w:r>
        <w:rPr>
          <w:rFonts w:hint="eastAsia" w:ascii="楷体_GB2312" w:hAnsi="宋体" w:eastAsia="楷体_GB2312"/>
          <w:b/>
          <w:color w:val="auto"/>
          <w:sz w:val="32"/>
          <w:szCs w:val="32"/>
          <w:highlight w:val="none"/>
          <w:u w:val="none"/>
          <w:lang w:val="zh-CN"/>
        </w:rPr>
        <w:t>（</w:t>
      </w:r>
      <w:r>
        <w:rPr>
          <w:rFonts w:hint="eastAsia" w:ascii="楷体_GB2312" w:hAnsi="宋体" w:eastAsia="楷体_GB2312" w:cs="Times New Roman"/>
          <w:b/>
          <w:color w:val="auto"/>
          <w:sz w:val="32"/>
          <w:szCs w:val="32"/>
          <w:highlight w:val="none"/>
          <w:u w:val="none"/>
          <w:lang w:val="zh-CN"/>
        </w:rPr>
        <w:t>二）</w:t>
      </w:r>
      <w:r>
        <w:rPr>
          <w:rFonts w:hint="default" w:ascii="楷体_GB2312" w:hAnsi="宋体" w:eastAsia="楷体_GB2312" w:cs="Times New Roman"/>
          <w:b/>
          <w:color w:val="auto"/>
          <w:sz w:val="32"/>
          <w:szCs w:val="32"/>
          <w:highlight w:val="none"/>
          <w:u w:val="none"/>
          <w:lang w:val="en-US" w:eastAsia="zh-CN"/>
        </w:rPr>
        <w:t>实施目的及支持方向</w:t>
      </w:r>
      <w:r>
        <w:rPr>
          <w:rFonts w:hint="eastAsia" w:ascii="楷体_GB2312" w:hAnsi="宋体" w:eastAsia="楷体_GB2312" w:cs="Times New Roman"/>
          <w:b/>
          <w:color w:val="auto"/>
          <w:sz w:val="32"/>
          <w:szCs w:val="32"/>
          <w:highlight w:val="none"/>
          <w:u w:val="none"/>
          <w:lang w:val="en-US" w:eastAsia="zh-CN"/>
        </w:rPr>
        <w:t>。</w:t>
      </w:r>
      <w:r>
        <w:rPr>
          <w:rFonts w:hint="eastAsia" w:ascii="仿宋_GB2312" w:hAnsi="仿宋_GB2312" w:eastAsia="仿宋_GB2312" w:cs="仿宋_GB2312"/>
          <w:color w:val="auto"/>
          <w:kern w:val="0"/>
          <w:sz w:val="32"/>
          <w:szCs w:val="32"/>
          <w:highlight w:val="none"/>
          <w:u w:val="none"/>
          <w:shd w:val="clear" w:color="auto" w:fill="FFFFFF"/>
          <w:lang w:val="en-US" w:eastAsia="zh-CN"/>
        </w:rPr>
        <w:t>项目资金</w:t>
      </w:r>
      <w:r>
        <w:rPr>
          <w:rFonts w:hint="eastAsia" w:ascii="仿宋_GB2312" w:hAnsi="仿宋_GB2312" w:eastAsia="仿宋_GB2312" w:cs="仿宋_GB2312"/>
          <w:color w:val="auto"/>
          <w:kern w:val="0"/>
          <w:sz w:val="32"/>
          <w:szCs w:val="32"/>
          <w:highlight w:val="none"/>
          <w:u w:val="none"/>
          <w:shd w:val="clear" w:color="auto" w:fill="FFFFFF"/>
          <w:lang w:val="zh-CN"/>
        </w:rPr>
        <w:t>管理办法制定情况，项目实施目的和主要工作任务，项目支持方向。</w:t>
      </w:r>
    </w:p>
    <w:p w14:paraId="25CBC3B9">
      <w:pPr>
        <w:keepNext w:val="0"/>
        <w:keepLines w:val="0"/>
        <w:pageBreakBefore w:val="0"/>
        <w:widowControl w:val="0"/>
        <w:numPr>
          <w:ilvl w:val="0"/>
          <w:numId w:val="0"/>
        </w:numPr>
        <w:kinsoku/>
        <w:wordWrap w:val="0"/>
        <w:overflowPunct/>
        <w:topLinePunct w:val="0"/>
        <w:autoSpaceDE/>
        <w:autoSpaceDN/>
        <w:bidi w:val="0"/>
        <w:adjustRightInd/>
        <w:snapToGrid/>
        <w:spacing w:line="590" w:lineRule="exact"/>
        <w:ind w:left="0" w:leftChars="0" w:right="0" w:rightChars="0" w:firstLine="643" w:firstLineChars="200"/>
        <w:contextualSpacing/>
        <w:jc w:val="left"/>
        <w:textAlignment w:val="auto"/>
        <w:rPr>
          <w:rFonts w:hint="eastAsia" w:ascii="仿宋_GB2312" w:hAnsi="仿宋_GB2312" w:eastAsia="仿宋_GB2312" w:cs="仿宋_GB2312"/>
          <w:b/>
          <w:bCs/>
          <w:color w:val="auto"/>
          <w:kern w:val="0"/>
          <w:sz w:val="32"/>
          <w:szCs w:val="32"/>
          <w:highlight w:val="none"/>
          <w:u w:val="none"/>
          <w:shd w:val="clear" w:color="auto" w:fill="FFFFFF"/>
          <w:lang w:val="zh-CN" w:eastAsia="zh-CN"/>
        </w:rPr>
      </w:pPr>
      <w:r>
        <w:rPr>
          <w:rFonts w:hint="eastAsia" w:ascii="仿宋_GB2312" w:hAnsi="仿宋_GB2312" w:eastAsia="仿宋_GB2312" w:cs="仿宋_GB2312"/>
          <w:b/>
          <w:bCs/>
          <w:color w:val="auto"/>
          <w:kern w:val="0"/>
          <w:sz w:val="32"/>
          <w:szCs w:val="32"/>
          <w:highlight w:val="none"/>
          <w:u w:val="none"/>
          <w:shd w:val="clear" w:color="auto" w:fill="FFFFFF"/>
          <w:lang w:val="en-US" w:eastAsia="zh-CN"/>
        </w:rPr>
        <w:t>1.项目资金</w:t>
      </w:r>
      <w:r>
        <w:rPr>
          <w:rFonts w:hint="eastAsia" w:ascii="仿宋_GB2312" w:hAnsi="仿宋_GB2312" w:eastAsia="仿宋_GB2312" w:cs="仿宋_GB2312"/>
          <w:b/>
          <w:bCs/>
          <w:color w:val="auto"/>
          <w:kern w:val="0"/>
          <w:sz w:val="32"/>
          <w:szCs w:val="32"/>
          <w:highlight w:val="none"/>
          <w:u w:val="none"/>
          <w:shd w:val="clear" w:color="auto" w:fill="FFFFFF"/>
          <w:lang w:val="zh-CN" w:eastAsia="zh-CN"/>
        </w:rPr>
        <w:t>管理办法</w:t>
      </w:r>
    </w:p>
    <w:p w14:paraId="6262D8BD">
      <w:pPr>
        <w:keepNext w:val="0"/>
        <w:keepLines w:val="0"/>
        <w:pageBreakBefore w:val="0"/>
        <w:widowControl w:val="0"/>
        <w:kinsoku/>
        <w:wordWrap w:val="0"/>
        <w:overflowPunct/>
        <w:topLinePunct w:val="0"/>
        <w:autoSpaceDE/>
        <w:autoSpaceDN/>
        <w:bidi w:val="0"/>
        <w:adjustRightInd/>
        <w:snapToGrid/>
        <w:spacing w:line="590" w:lineRule="exact"/>
        <w:ind w:left="0" w:leftChars="0" w:right="0" w:rightChars="0" w:firstLine="640" w:firstLineChars="200"/>
        <w:textAlignment w:val="auto"/>
        <w:rPr>
          <w:rFonts w:hint="default"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2022年中央和省级水利发展资金项目严格按照《四川省财政厅 四川省水利厅关于印发&lt;四川省水利发展资金管理办法&gt;的通知》（川财农〔2023〕29号）《遂宁市水利监督管理实施办法（试行）》开展，并严格按照“遂财建（2024）122号”文件规定执行，我局未单独针对该项目制定专门的项目资金管理办法。</w:t>
      </w:r>
    </w:p>
    <w:p w14:paraId="14A7C9CD">
      <w:pPr>
        <w:keepNext w:val="0"/>
        <w:keepLines w:val="0"/>
        <w:pageBreakBefore w:val="0"/>
        <w:widowControl w:val="0"/>
        <w:numPr>
          <w:ilvl w:val="0"/>
          <w:numId w:val="0"/>
        </w:numPr>
        <w:kinsoku/>
        <w:wordWrap w:val="0"/>
        <w:overflowPunct/>
        <w:topLinePunct w:val="0"/>
        <w:autoSpaceDE/>
        <w:autoSpaceDN/>
        <w:bidi w:val="0"/>
        <w:adjustRightInd/>
        <w:snapToGrid/>
        <w:spacing w:line="590" w:lineRule="exact"/>
        <w:ind w:left="0" w:leftChars="0" w:right="0" w:rightChars="0" w:firstLine="643" w:firstLineChars="200"/>
        <w:contextualSpacing/>
        <w:jc w:val="left"/>
        <w:textAlignment w:val="auto"/>
        <w:rPr>
          <w:rFonts w:hint="eastAsia" w:ascii="仿宋_GB2312" w:hAnsi="仿宋_GB2312" w:eastAsia="仿宋_GB2312" w:cs="仿宋_GB2312"/>
          <w:b/>
          <w:bCs/>
          <w:color w:val="auto"/>
          <w:kern w:val="0"/>
          <w:sz w:val="32"/>
          <w:szCs w:val="32"/>
          <w:highlight w:val="none"/>
          <w:u w:val="none"/>
          <w:shd w:val="clear" w:color="auto" w:fill="FFFFFF"/>
          <w:lang w:val="zh-CN" w:eastAsia="zh-CN"/>
        </w:rPr>
      </w:pPr>
      <w:r>
        <w:rPr>
          <w:rFonts w:hint="eastAsia" w:ascii="仿宋_GB2312" w:hAnsi="仿宋_GB2312" w:eastAsia="仿宋_GB2312" w:cs="仿宋_GB2312"/>
          <w:b/>
          <w:bCs/>
          <w:color w:val="auto"/>
          <w:kern w:val="0"/>
          <w:sz w:val="32"/>
          <w:szCs w:val="32"/>
          <w:highlight w:val="none"/>
          <w:u w:val="none"/>
          <w:shd w:val="clear" w:color="auto" w:fill="FFFFFF"/>
          <w:lang w:val="en-US" w:eastAsia="zh-CN"/>
        </w:rPr>
        <w:t>2.</w:t>
      </w:r>
      <w:r>
        <w:rPr>
          <w:rFonts w:hint="eastAsia" w:ascii="仿宋_GB2312" w:hAnsi="仿宋_GB2312" w:eastAsia="仿宋_GB2312" w:cs="仿宋_GB2312"/>
          <w:b/>
          <w:bCs/>
          <w:color w:val="auto"/>
          <w:kern w:val="0"/>
          <w:sz w:val="32"/>
          <w:szCs w:val="32"/>
          <w:highlight w:val="none"/>
          <w:u w:val="none"/>
          <w:shd w:val="clear" w:color="auto" w:fill="FFFFFF"/>
          <w:lang w:val="zh-CN" w:eastAsia="zh-CN"/>
        </w:rPr>
        <w:t>项目实施目的和主要工作任务</w:t>
      </w:r>
    </w:p>
    <w:p w14:paraId="47BAEDCC">
      <w:pPr>
        <w:keepNext w:val="0"/>
        <w:keepLines w:val="0"/>
        <w:pageBreakBefore w:val="0"/>
        <w:widowControl w:val="0"/>
        <w:kinsoku/>
        <w:wordWrap w:val="0"/>
        <w:overflowPunct/>
        <w:topLinePunct w:val="0"/>
        <w:autoSpaceDE/>
        <w:autoSpaceDN/>
        <w:bidi w:val="0"/>
        <w:adjustRightInd/>
        <w:snapToGrid/>
        <w:spacing w:line="590" w:lineRule="exact"/>
        <w:ind w:left="0" w:leftChars="0" w:right="0" w:rightChars="0" w:firstLine="640" w:firstLineChars="200"/>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项目实施主要内容为：通过20000000.00元市级衔接资金，重点实施农村水利设施建设、河湖管理保护及水库运行维护等项目，确保资金执行率达100%。</w:t>
      </w:r>
    </w:p>
    <w:p w14:paraId="204F0104">
      <w:pPr>
        <w:keepNext w:val="0"/>
        <w:keepLines w:val="0"/>
        <w:pageBreakBefore w:val="0"/>
        <w:widowControl w:val="0"/>
        <w:kinsoku/>
        <w:wordWrap w:val="0"/>
        <w:overflowPunct/>
        <w:topLinePunct w:val="0"/>
        <w:autoSpaceDE/>
        <w:autoSpaceDN/>
        <w:bidi w:val="0"/>
        <w:adjustRightInd/>
        <w:snapToGrid/>
        <w:spacing w:line="590" w:lineRule="exact"/>
        <w:ind w:left="0" w:leftChars="0" w:right="0" w:rightChars="0" w:firstLine="640" w:firstLineChars="200"/>
        <w:textAlignment w:val="auto"/>
        <w:rPr>
          <w:rFonts w:hint="eastAsia" w:eastAsia="仿宋_GB2312"/>
          <w:sz w:val="32"/>
          <w:szCs w:val="32"/>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项目主要工作任务：按照项目申报要求和“遂财建（2024）122号”文件规定通过20000000.00元市级衔接资金，重点实施农村水利设施建设、河湖管理保护及水库运行维护等项目，确保资金执行率达100%。</w:t>
      </w:r>
    </w:p>
    <w:p w14:paraId="2207983E">
      <w:pPr>
        <w:keepNext w:val="0"/>
        <w:keepLines w:val="0"/>
        <w:pageBreakBefore w:val="0"/>
        <w:widowControl w:val="0"/>
        <w:numPr>
          <w:ilvl w:val="0"/>
          <w:numId w:val="0"/>
        </w:numPr>
        <w:kinsoku/>
        <w:wordWrap w:val="0"/>
        <w:overflowPunct/>
        <w:topLinePunct w:val="0"/>
        <w:autoSpaceDE/>
        <w:autoSpaceDN/>
        <w:bidi w:val="0"/>
        <w:adjustRightInd/>
        <w:snapToGrid/>
        <w:spacing w:line="590" w:lineRule="exact"/>
        <w:ind w:left="0" w:leftChars="0" w:right="0" w:rightChars="0" w:firstLine="643" w:firstLineChars="200"/>
        <w:contextualSpacing/>
        <w:jc w:val="left"/>
        <w:textAlignment w:val="auto"/>
        <w:rPr>
          <w:rFonts w:hint="eastAsia" w:ascii="仿宋_GB2312" w:hAnsi="仿宋_GB2312" w:eastAsia="仿宋_GB2312" w:cs="仿宋_GB2312"/>
          <w:b/>
          <w:bCs/>
          <w:color w:val="auto"/>
          <w:kern w:val="0"/>
          <w:sz w:val="32"/>
          <w:szCs w:val="32"/>
          <w:highlight w:val="none"/>
          <w:u w:val="none"/>
          <w:shd w:val="clear" w:color="auto" w:fill="FFFFFF"/>
          <w:lang w:val="en-US" w:eastAsia="zh-CN"/>
        </w:rPr>
      </w:pPr>
      <w:r>
        <w:rPr>
          <w:rFonts w:hint="eastAsia" w:ascii="仿宋_GB2312" w:hAnsi="仿宋_GB2312" w:eastAsia="仿宋_GB2312" w:cs="仿宋_GB2312"/>
          <w:b/>
          <w:bCs/>
          <w:color w:val="auto"/>
          <w:kern w:val="0"/>
          <w:sz w:val="32"/>
          <w:szCs w:val="32"/>
          <w:highlight w:val="none"/>
          <w:u w:val="none"/>
          <w:shd w:val="clear" w:color="auto" w:fill="FFFFFF"/>
          <w:lang w:val="en-US" w:eastAsia="zh-CN"/>
        </w:rPr>
        <w:t>3.项目支持方向</w:t>
      </w:r>
    </w:p>
    <w:p w14:paraId="3DFE43EF">
      <w:pPr>
        <w:keepNext w:val="0"/>
        <w:keepLines w:val="0"/>
        <w:pageBreakBefore w:val="0"/>
        <w:widowControl w:val="0"/>
        <w:kinsoku/>
        <w:wordWrap w:val="0"/>
        <w:overflowPunct/>
        <w:topLinePunct w:val="0"/>
        <w:autoSpaceDE/>
        <w:autoSpaceDN/>
        <w:bidi w:val="0"/>
        <w:adjustRightInd/>
        <w:snapToGrid/>
        <w:spacing w:line="590" w:lineRule="exact"/>
        <w:ind w:left="0" w:leftChars="0" w:right="0" w:rightChars="0" w:firstLine="640" w:firstLineChars="200"/>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（1）水旱灾害防御：</w:t>
      </w:r>
    </w:p>
    <w:p w14:paraId="43730523">
      <w:pPr>
        <w:keepNext w:val="0"/>
        <w:keepLines w:val="0"/>
        <w:pageBreakBefore w:val="0"/>
        <w:widowControl w:val="0"/>
        <w:kinsoku/>
        <w:wordWrap w:val="0"/>
        <w:overflowPunct/>
        <w:topLinePunct w:val="0"/>
        <w:autoSpaceDE/>
        <w:autoSpaceDN/>
        <w:bidi w:val="0"/>
        <w:adjustRightInd/>
        <w:snapToGrid/>
        <w:spacing w:line="590" w:lineRule="exact"/>
        <w:ind w:left="0" w:leftChars="0" w:right="0" w:rightChars="0" w:firstLine="640" w:firstLineChars="200"/>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cs="仿宋_GB2312"/>
          <w:color w:val="auto"/>
          <w:kern w:val="0"/>
          <w:sz w:val="32"/>
          <w:szCs w:val="32"/>
          <w:highlight w:val="none"/>
          <w:u w:val="none"/>
          <w:shd w:val="clear" w:color="auto" w:fill="FFFFFF"/>
          <w:lang w:val="en-US" w:eastAsia="zh-CN"/>
        </w:rPr>
        <w:t>‌</w:t>
      </w:r>
      <w:r>
        <w:rPr>
          <w:rFonts w:hint="eastAsia" w:ascii="仿宋_GB2312" w:hAnsi="仿宋_GB2312" w:eastAsia="仿宋_GB2312" w:cs="仿宋_GB2312"/>
          <w:color w:val="auto"/>
          <w:kern w:val="0"/>
          <w:sz w:val="32"/>
          <w:szCs w:val="32"/>
          <w:highlight w:val="none"/>
          <w:u w:val="none"/>
          <w:shd w:val="clear" w:color="auto" w:fill="FFFFFF"/>
          <w:lang w:val="en-US" w:eastAsia="zh-CN"/>
        </w:rPr>
        <w:t>防汛救灾应急；采购防汛救灾物资，支持洪涝灾害应急抢险及水利工程水毁修复；强化防洪治理工程。</w:t>
      </w:r>
    </w:p>
    <w:p w14:paraId="35200C36">
      <w:pPr>
        <w:keepNext w:val="0"/>
        <w:keepLines w:val="0"/>
        <w:pageBreakBefore w:val="0"/>
        <w:widowControl w:val="0"/>
        <w:kinsoku/>
        <w:wordWrap w:val="0"/>
        <w:overflowPunct/>
        <w:topLinePunct w:val="0"/>
        <w:autoSpaceDE/>
        <w:autoSpaceDN/>
        <w:bidi w:val="0"/>
        <w:adjustRightInd/>
        <w:snapToGrid/>
        <w:spacing w:line="590" w:lineRule="exact"/>
        <w:ind w:left="0" w:leftChars="0" w:right="0" w:rightChars="0" w:firstLine="640" w:firstLineChars="200"/>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cs="仿宋_GB2312"/>
          <w:color w:val="auto"/>
          <w:kern w:val="0"/>
          <w:sz w:val="32"/>
          <w:szCs w:val="32"/>
          <w:highlight w:val="none"/>
          <w:u w:val="none"/>
          <w:shd w:val="clear" w:color="auto" w:fill="FFFFFF"/>
          <w:lang w:val="en-US" w:eastAsia="zh-CN"/>
        </w:rPr>
        <w:t>‌</w:t>
      </w:r>
      <w:r>
        <w:rPr>
          <w:rFonts w:hint="eastAsia" w:ascii="仿宋_GB2312" w:hAnsi="仿宋_GB2312" w:eastAsia="仿宋_GB2312" w:cs="仿宋_GB2312"/>
          <w:color w:val="auto"/>
          <w:kern w:val="0"/>
          <w:sz w:val="32"/>
          <w:szCs w:val="32"/>
          <w:highlight w:val="none"/>
          <w:u w:val="none"/>
          <w:shd w:val="clear" w:color="auto" w:fill="FFFFFF"/>
          <w:lang w:val="en-US" w:eastAsia="zh-CN"/>
        </w:rPr>
        <w:t>防灾能力提升‌：支持山洪灾害防治、中小河流治理、病险水库除险加固等项目。</w:t>
      </w:r>
    </w:p>
    <w:p w14:paraId="52BACB34">
      <w:pPr>
        <w:keepNext w:val="0"/>
        <w:keepLines w:val="0"/>
        <w:pageBreakBefore w:val="0"/>
        <w:widowControl w:val="0"/>
        <w:kinsoku/>
        <w:wordWrap w:val="0"/>
        <w:overflowPunct/>
        <w:topLinePunct w:val="0"/>
        <w:autoSpaceDE/>
        <w:autoSpaceDN/>
        <w:bidi w:val="0"/>
        <w:adjustRightInd/>
        <w:snapToGrid/>
        <w:spacing w:line="590" w:lineRule="exact"/>
        <w:ind w:left="0" w:leftChars="0" w:right="0" w:rightChars="0" w:firstLine="640" w:firstLineChars="200"/>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（2）水资源优化配置与利用</w:t>
      </w:r>
    </w:p>
    <w:p w14:paraId="1CD9C353">
      <w:pPr>
        <w:keepNext w:val="0"/>
        <w:keepLines w:val="0"/>
        <w:pageBreakBefore w:val="0"/>
        <w:widowControl w:val="0"/>
        <w:kinsoku/>
        <w:wordWrap w:val="0"/>
        <w:overflowPunct/>
        <w:topLinePunct w:val="0"/>
        <w:autoSpaceDE/>
        <w:autoSpaceDN/>
        <w:bidi w:val="0"/>
        <w:adjustRightInd/>
        <w:snapToGrid/>
        <w:spacing w:line="590" w:lineRule="exact"/>
        <w:ind w:left="0" w:leftChars="0" w:right="0" w:rightChars="0" w:firstLine="640" w:firstLineChars="200"/>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cs="仿宋_GB2312"/>
          <w:color w:val="auto"/>
          <w:kern w:val="0"/>
          <w:sz w:val="32"/>
          <w:szCs w:val="32"/>
          <w:highlight w:val="none"/>
          <w:u w:val="none"/>
          <w:shd w:val="clear" w:color="auto" w:fill="FFFFFF"/>
          <w:lang w:val="en-US" w:eastAsia="zh-CN"/>
        </w:rPr>
        <w:t>‌</w:t>
      </w:r>
      <w:r>
        <w:rPr>
          <w:rFonts w:hint="eastAsia" w:ascii="仿宋_GB2312" w:hAnsi="仿宋_GB2312" w:eastAsia="仿宋_GB2312" w:cs="仿宋_GB2312"/>
          <w:color w:val="auto"/>
          <w:kern w:val="0"/>
          <w:sz w:val="32"/>
          <w:szCs w:val="32"/>
          <w:highlight w:val="none"/>
          <w:u w:val="none"/>
          <w:shd w:val="clear" w:color="auto" w:fill="FFFFFF"/>
          <w:lang w:val="en-US" w:eastAsia="zh-CN"/>
        </w:rPr>
        <w:t>骨干水利工程建设‌：重点支持灌区一期一步、大桥水库灌区等重大工程。</w:t>
      </w:r>
    </w:p>
    <w:p w14:paraId="051A8BCF">
      <w:pPr>
        <w:keepNext w:val="0"/>
        <w:keepLines w:val="0"/>
        <w:pageBreakBefore w:val="0"/>
        <w:widowControl w:val="0"/>
        <w:kinsoku/>
        <w:wordWrap w:val="0"/>
        <w:overflowPunct/>
        <w:topLinePunct w:val="0"/>
        <w:autoSpaceDE/>
        <w:autoSpaceDN/>
        <w:bidi w:val="0"/>
        <w:adjustRightInd/>
        <w:snapToGrid/>
        <w:spacing w:line="590" w:lineRule="exact"/>
        <w:ind w:left="0" w:leftChars="0" w:right="0" w:rightChars="0" w:firstLine="640" w:firstLineChars="200"/>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cs="仿宋_GB2312"/>
          <w:color w:val="auto"/>
          <w:kern w:val="0"/>
          <w:sz w:val="32"/>
          <w:szCs w:val="32"/>
          <w:highlight w:val="none"/>
          <w:u w:val="none"/>
          <w:shd w:val="clear" w:color="auto" w:fill="FFFFFF"/>
          <w:lang w:val="en-US" w:eastAsia="zh-CN"/>
        </w:rPr>
        <w:t>‌</w:t>
      </w:r>
      <w:r>
        <w:rPr>
          <w:rFonts w:hint="eastAsia" w:ascii="仿宋_GB2312" w:hAnsi="仿宋_GB2312" w:eastAsia="仿宋_GB2312" w:cs="仿宋_GB2312"/>
          <w:color w:val="auto"/>
          <w:kern w:val="0"/>
          <w:sz w:val="32"/>
          <w:szCs w:val="32"/>
          <w:highlight w:val="none"/>
          <w:u w:val="none"/>
          <w:shd w:val="clear" w:color="auto" w:fill="FFFFFF"/>
          <w:lang w:val="en-US" w:eastAsia="zh-CN"/>
        </w:rPr>
        <w:t>节水增效‌：推动灌区节水改造，提高农田灌溉水有效利用系数。</w:t>
      </w:r>
    </w:p>
    <w:p w14:paraId="4441BECB">
      <w:pPr>
        <w:keepNext w:val="0"/>
        <w:keepLines w:val="0"/>
        <w:pageBreakBefore w:val="0"/>
        <w:widowControl w:val="0"/>
        <w:kinsoku/>
        <w:wordWrap w:val="0"/>
        <w:overflowPunct/>
        <w:topLinePunct w:val="0"/>
        <w:autoSpaceDE/>
        <w:autoSpaceDN/>
        <w:bidi w:val="0"/>
        <w:adjustRightInd/>
        <w:snapToGrid/>
        <w:spacing w:line="590" w:lineRule="exact"/>
        <w:ind w:left="0" w:leftChars="0" w:right="0" w:rightChars="0" w:firstLine="640" w:firstLineChars="200"/>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推广智能灌溉系统及量测水设施。</w:t>
      </w:r>
    </w:p>
    <w:p w14:paraId="102C0D82">
      <w:pPr>
        <w:keepNext w:val="0"/>
        <w:keepLines w:val="0"/>
        <w:pageBreakBefore w:val="0"/>
        <w:widowControl w:val="0"/>
        <w:kinsoku/>
        <w:wordWrap w:val="0"/>
        <w:overflowPunct/>
        <w:topLinePunct w:val="0"/>
        <w:autoSpaceDE/>
        <w:autoSpaceDN/>
        <w:bidi w:val="0"/>
        <w:adjustRightInd/>
        <w:snapToGrid/>
        <w:spacing w:line="590" w:lineRule="exact"/>
        <w:ind w:left="0" w:leftChars="0" w:right="0" w:rightChars="0" w:firstLine="640" w:firstLineChars="200"/>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（3）水资源保护与生态修复</w:t>
      </w:r>
    </w:p>
    <w:p w14:paraId="059A11B0">
      <w:pPr>
        <w:keepNext w:val="0"/>
        <w:keepLines w:val="0"/>
        <w:pageBreakBefore w:val="0"/>
        <w:widowControl w:val="0"/>
        <w:kinsoku/>
        <w:wordWrap w:val="0"/>
        <w:overflowPunct/>
        <w:topLinePunct w:val="0"/>
        <w:autoSpaceDE/>
        <w:autoSpaceDN/>
        <w:bidi w:val="0"/>
        <w:adjustRightInd/>
        <w:snapToGrid/>
        <w:spacing w:line="590" w:lineRule="exact"/>
        <w:ind w:left="0" w:leftChars="0" w:right="0" w:rightChars="0" w:firstLine="640" w:firstLineChars="200"/>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cs="仿宋_GB2312"/>
          <w:color w:val="auto"/>
          <w:kern w:val="0"/>
          <w:sz w:val="32"/>
          <w:szCs w:val="32"/>
          <w:highlight w:val="none"/>
          <w:u w:val="none"/>
          <w:shd w:val="clear" w:color="auto" w:fill="FFFFFF"/>
          <w:lang w:val="en-US" w:eastAsia="zh-CN"/>
        </w:rPr>
        <w:t>‌</w:t>
      </w:r>
      <w:r>
        <w:rPr>
          <w:rFonts w:hint="eastAsia" w:ascii="仿宋_GB2312" w:hAnsi="仿宋_GB2312" w:eastAsia="仿宋_GB2312" w:cs="仿宋_GB2312"/>
          <w:color w:val="auto"/>
          <w:kern w:val="0"/>
          <w:sz w:val="32"/>
          <w:szCs w:val="32"/>
          <w:highlight w:val="none"/>
          <w:u w:val="none"/>
          <w:shd w:val="clear" w:color="auto" w:fill="FFFFFF"/>
          <w:lang w:val="en-US" w:eastAsia="zh-CN"/>
        </w:rPr>
        <w:t>水生态治理‌：支持水土保持、河湖生态修复及水质提升工程。</w:t>
      </w:r>
    </w:p>
    <w:p w14:paraId="00507B5C">
      <w:pPr>
        <w:keepNext w:val="0"/>
        <w:keepLines w:val="0"/>
        <w:pageBreakBefore w:val="0"/>
        <w:widowControl w:val="0"/>
        <w:kinsoku/>
        <w:wordWrap w:val="0"/>
        <w:overflowPunct/>
        <w:topLinePunct w:val="0"/>
        <w:autoSpaceDE/>
        <w:autoSpaceDN/>
        <w:bidi w:val="0"/>
        <w:adjustRightInd/>
        <w:snapToGrid/>
        <w:spacing w:line="590" w:lineRule="exact"/>
        <w:ind w:left="0" w:leftChars="0" w:right="0" w:rightChars="0" w:firstLine="640" w:firstLineChars="200"/>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cs="仿宋_GB2312"/>
          <w:color w:val="auto"/>
          <w:kern w:val="0"/>
          <w:sz w:val="32"/>
          <w:szCs w:val="32"/>
          <w:highlight w:val="none"/>
          <w:u w:val="none"/>
          <w:shd w:val="clear" w:color="auto" w:fill="FFFFFF"/>
          <w:lang w:val="en-US" w:eastAsia="zh-CN"/>
        </w:rPr>
        <w:t>‌</w:t>
      </w:r>
      <w:r>
        <w:rPr>
          <w:rFonts w:hint="eastAsia" w:ascii="仿宋_GB2312" w:hAnsi="仿宋_GB2312" w:eastAsia="仿宋_GB2312" w:cs="仿宋_GB2312"/>
          <w:color w:val="auto"/>
          <w:kern w:val="0"/>
          <w:sz w:val="32"/>
          <w:szCs w:val="32"/>
          <w:highlight w:val="none"/>
          <w:u w:val="none"/>
          <w:shd w:val="clear" w:color="auto" w:fill="FFFFFF"/>
          <w:lang w:val="en-US" w:eastAsia="zh-CN"/>
        </w:rPr>
        <w:t>水源保护‌：加强饮用水源地保护，配套水质监测设施。</w:t>
      </w:r>
    </w:p>
    <w:p w14:paraId="4E947DD4">
      <w:pPr>
        <w:keepNext w:val="0"/>
        <w:keepLines w:val="0"/>
        <w:pageBreakBefore w:val="0"/>
        <w:widowControl w:val="0"/>
        <w:kinsoku/>
        <w:wordWrap w:val="0"/>
        <w:overflowPunct/>
        <w:topLinePunct w:val="0"/>
        <w:autoSpaceDE/>
        <w:autoSpaceDN/>
        <w:bidi w:val="0"/>
        <w:adjustRightInd/>
        <w:snapToGrid/>
        <w:spacing w:line="590" w:lineRule="exact"/>
        <w:ind w:left="0" w:leftChars="0" w:right="0" w:rightChars="0" w:firstLine="640" w:firstLineChars="200"/>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（4）农村水利设施维护</w:t>
      </w:r>
    </w:p>
    <w:p w14:paraId="508ABE91">
      <w:pPr>
        <w:keepNext w:val="0"/>
        <w:keepLines w:val="0"/>
        <w:pageBreakBefore w:val="0"/>
        <w:widowControl w:val="0"/>
        <w:kinsoku/>
        <w:wordWrap w:val="0"/>
        <w:overflowPunct/>
        <w:topLinePunct w:val="0"/>
        <w:autoSpaceDE/>
        <w:autoSpaceDN/>
        <w:bidi w:val="0"/>
        <w:adjustRightInd/>
        <w:snapToGrid/>
        <w:spacing w:line="590" w:lineRule="exact"/>
        <w:ind w:left="0" w:leftChars="0" w:right="0" w:rightChars="0" w:firstLine="640" w:firstLineChars="200"/>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cs="仿宋_GB2312"/>
          <w:color w:val="auto"/>
          <w:kern w:val="0"/>
          <w:sz w:val="32"/>
          <w:szCs w:val="32"/>
          <w:highlight w:val="none"/>
          <w:u w:val="none"/>
          <w:shd w:val="clear" w:color="auto" w:fill="FFFFFF"/>
          <w:lang w:val="en-US" w:eastAsia="zh-CN"/>
        </w:rPr>
        <w:t>‌</w:t>
      </w:r>
      <w:r>
        <w:rPr>
          <w:rFonts w:hint="eastAsia" w:ascii="仿宋_GB2312" w:hAnsi="仿宋_GB2312" w:eastAsia="仿宋_GB2312" w:cs="仿宋_GB2312"/>
          <w:color w:val="auto"/>
          <w:kern w:val="0"/>
          <w:sz w:val="32"/>
          <w:szCs w:val="32"/>
          <w:highlight w:val="none"/>
          <w:u w:val="none"/>
          <w:shd w:val="clear" w:color="auto" w:fill="FFFFFF"/>
          <w:lang w:val="en-US" w:eastAsia="zh-CN"/>
        </w:rPr>
        <w:t>农村饮水安全‌：保障饮水工程维修养护，确保农村供水稳定。</w:t>
      </w:r>
    </w:p>
    <w:p w14:paraId="39B5E757">
      <w:pPr>
        <w:keepNext w:val="0"/>
        <w:keepLines w:val="0"/>
        <w:pageBreakBefore w:val="0"/>
        <w:widowControl w:val="0"/>
        <w:kinsoku/>
        <w:wordWrap w:val="0"/>
        <w:overflowPunct/>
        <w:topLinePunct w:val="0"/>
        <w:autoSpaceDE/>
        <w:autoSpaceDN/>
        <w:bidi w:val="0"/>
        <w:adjustRightInd/>
        <w:snapToGrid/>
        <w:spacing w:line="590" w:lineRule="exact"/>
        <w:ind w:left="0" w:leftChars="0" w:right="0" w:rightChars="0" w:firstLine="640" w:firstLineChars="200"/>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cs="仿宋_GB2312"/>
          <w:color w:val="auto"/>
          <w:kern w:val="0"/>
          <w:sz w:val="32"/>
          <w:szCs w:val="32"/>
          <w:highlight w:val="none"/>
          <w:u w:val="none"/>
          <w:shd w:val="clear" w:color="auto" w:fill="FFFFFF"/>
          <w:lang w:val="en-US" w:eastAsia="zh-CN"/>
        </w:rPr>
        <w:t>‌</w:t>
      </w:r>
      <w:r>
        <w:rPr>
          <w:rFonts w:hint="eastAsia" w:ascii="仿宋_GB2312" w:hAnsi="仿宋_GB2312" w:eastAsia="仿宋_GB2312" w:cs="仿宋_GB2312"/>
          <w:color w:val="auto"/>
          <w:kern w:val="0"/>
          <w:sz w:val="32"/>
          <w:szCs w:val="32"/>
          <w:highlight w:val="none"/>
          <w:u w:val="none"/>
          <w:shd w:val="clear" w:color="auto" w:fill="FFFFFF"/>
          <w:lang w:val="en-US" w:eastAsia="zh-CN"/>
        </w:rPr>
        <w:t>小型水利工程管护‌：支持小型水库、泵站等设施的日常维护及白蚁防治。</w:t>
      </w:r>
    </w:p>
    <w:p w14:paraId="14CA54A2">
      <w:pPr>
        <w:keepNext w:val="0"/>
        <w:keepLines w:val="0"/>
        <w:pageBreakBefore w:val="0"/>
        <w:widowControl w:val="0"/>
        <w:numPr>
          <w:ilvl w:val="0"/>
          <w:numId w:val="0"/>
        </w:numPr>
        <w:kinsoku/>
        <w:wordWrap w:val="0"/>
        <w:overflowPunct/>
        <w:topLinePunct w:val="0"/>
        <w:autoSpaceDE/>
        <w:autoSpaceDN/>
        <w:bidi w:val="0"/>
        <w:adjustRightInd/>
        <w:snapToGrid/>
        <w:spacing w:line="590" w:lineRule="exact"/>
        <w:ind w:left="0" w:leftChars="0" w:right="0" w:rightChars="0" w:firstLine="643"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zh-CN"/>
        </w:rPr>
      </w:pPr>
      <w:r>
        <w:rPr>
          <w:rFonts w:hint="eastAsia" w:ascii="楷体_GB2312" w:hAnsi="宋体" w:eastAsia="楷体_GB2312" w:cs="Times New Roman"/>
          <w:b/>
          <w:color w:val="auto"/>
          <w:sz w:val="32"/>
          <w:szCs w:val="32"/>
          <w:highlight w:val="none"/>
          <w:u w:val="none"/>
          <w:lang w:val="zh-CN" w:eastAsia="zh-CN"/>
        </w:rPr>
        <w:t>（三）</w:t>
      </w:r>
      <w:r>
        <w:rPr>
          <w:rFonts w:hint="default" w:ascii="楷体_GB2312" w:hAnsi="宋体" w:eastAsia="楷体_GB2312" w:cs="Times New Roman"/>
          <w:b/>
          <w:color w:val="auto"/>
          <w:sz w:val="32"/>
          <w:szCs w:val="32"/>
          <w:highlight w:val="none"/>
          <w:u w:val="none"/>
          <w:lang w:val="en-US" w:eastAsia="zh-CN"/>
        </w:rPr>
        <w:t>预算安排及分配管理</w:t>
      </w:r>
      <w:r>
        <w:rPr>
          <w:rFonts w:hint="eastAsia" w:ascii="楷体_GB2312" w:hAnsi="宋体" w:eastAsia="楷体_GB2312" w:cs="Times New Roman"/>
          <w:b/>
          <w:color w:val="auto"/>
          <w:sz w:val="32"/>
          <w:szCs w:val="32"/>
          <w:highlight w:val="none"/>
          <w:u w:val="none"/>
          <w:lang w:val="zh-CN" w:eastAsia="zh-CN"/>
        </w:rPr>
        <w:t>。</w:t>
      </w:r>
      <w:r>
        <w:rPr>
          <w:rFonts w:hint="eastAsia" w:ascii="仿宋_GB2312" w:hAnsi="仿宋_GB2312" w:eastAsia="仿宋_GB2312" w:cs="仿宋_GB2312"/>
          <w:color w:val="auto"/>
          <w:kern w:val="0"/>
          <w:sz w:val="32"/>
          <w:szCs w:val="32"/>
          <w:highlight w:val="none"/>
          <w:u w:val="none"/>
          <w:shd w:val="clear" w:color="auto" w:fill="FFFFFF"/>
          <w:lang w:val="zh-CN" w:eastAsia="zh-CN"/>
        </w:rPr>
        <w:t>项目预算安排情况，项目</w:t>
      </w:r>
      <w:r>
        <w:rPr>
          <w:rFonts w:hint="eastAsia" w:ascii="仿宋_GB2312" w:hAnsi="仿宋_GB2312" w:eastAsia="仿宋_GB2312" w:cs="仿宋_GB2312"/>
          <w:color w:val="auto"/>
          <w:kern w:val="0"/>
          <w:sz w:val="32"/>
          <w:szCs w:val="32"/>
          <w:highlight w:val="none"/>
          <w:u w:val="none"/>
          <w:shd w:val="clear" w:color="auto" w:fill="FFFFFF"/>
          <w:lang w:val="zh-CN"/>
        </w:rPr>
        <w:t>资金分配原则及考虑因素，项目资金分配情况。</w:t>
      </w:r>
    </w:p>
    <w:p w14:paraId="779A6B4E">
      <w:pPr>
        <w:keepNext w:val="0"/>
        <w:keepLines w:val="0"/>
        <w:pageBreakBefore w:val="0"/>
        <w:widowControl w:val="0"/>
        <w:kinsoku/>
        <w:wordWrap w:val="0"/>
        <w:overflowPunct/>
        <w:topLinePunct w:val="0"/>
        <w:autoSpaceDE/>
        <w:autoSpaceDN/>
        <w:bidi w:val="0"/>
        <w:adjustRightInd/>
        <w:snapToGrid/>
        <w:spacing w:line="590" w:lineRule="exact"/>
        <w:ind w:left="0" w:leftChars="0" w:right="0" w:rightChars="0" w:firstLine="640" w:firstLineChars="200"/>
        <w:textAlignment w:val="auto"/>
        <w:rPr>
          <w:rFonts w:hint="eastAsia" w:eastAsia="仿宋_GB2312"/>
          <w:sz w:val="32"/>
          <w:szCs w:val="32"/>
          <w:lang w:val="en-US" w:eastAsia="zh-CN"/>
        </w:rPr>
      </w:pPr>
      <w:r>
        <w:rPr>
          <w:rFonts w:hint="eastAsia" w:eastAsia="仿宋_GB2312"/>
          <w:sz w:val="32"/>
          <w:szCs w:val="32"/>
          <w:lang w:val="zh-CN"/>
        </w:rPr>
        <w:t>51090425T000012588138-2024年安居区再生水配置建设项目</w:t>
      </w:r>
      <w:r>
        <w:rPr>
          <w:rFonts w:hint="eastAsia" w:eastAsia="仿宋_GB2312"/>
          <w:sz w:val="32"/>
          <w:szCs w:val="32"/>
          <w:lang w:val="en-US" w:eastAsia="zh-CN"/>
        </w:rPr>
        <w:t>2024年度预算数20000000.00元（含预算调剂）；</w:t>
      </w:r>
    </w:p>
    <w:p w14:paraId="677AFF79">
      <w:pPr>
        <w:keepNext w:val="0"/>
        <w:keepLines w:val="0"/>
        <w:pageBreakBefore w:val="0"/>
        <w:widowControl w:val="0"/>
        <w:kinsoku/>
        <w:wordWrap w:val="0"/>
        <w:overflowPunct/>
        <w:topLinePunct w:val="0"/>
        <w:autoSpaceDE/>
        <w:autoSpaceDN/>
        <w:bidi w:val="0"/>
        <w:adjustRightInd/>
        <w:snapToGrid/>
        <w:spacing w:line="590" w:lineRule="exact"/>
        <w:ind w:left="0" w:leftChars="0" w:right="0" w:rightChars="0"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zh-CN" w:eastAsia="zh-CN"/>
        </w:rPr>
        <w:t>项目</w:t>
      </w:r>
      <w:r>
        <w:rPr>
          <w:rFonts w:hint="eastAsia" w:ascii="Times New Roman" w:hAnsi="Times New Roman" w:eastAsia="仿宋_GB2312" w:cs="Times New Roman"/>
          <w:sz w:val="32"/>
          <w:szCs w:val="32"/>
          <w:lang w:val="zh-CN"/>
        </w:rPr>
        <w:t>资金分配原则及考虑因素：</w:t>
      </w:r>
      <w:r>
        <w:rPr>
          <w:rFonts w:hint="eastAsia" w:ascii="Times New Roman" w:hAnsi="Times New Roman" w:eastAsia="仿宋_GB2312" w:cs="Times New Roman"/>
          <w:sz w:val="32"/>
          <w:szCs w:val="32"/>
          <w:lang w:val="en-US" w:eastAsia="zh-CN"/>
        </w:rPr>
        <w:t>项目资金分配由遂宁市财政局、</w:t>
      </w:r>
      <w:r>
        <w:rPr>
          <w:rFonts w:hint="eastAsia" w:eastAsia="仿宋_GB2312" w:cs="Times New Roman"/>
          <w:sz w:val="32"/>
          <w:szCs w:val="32"/>
          <w:lang w:val="en-US" w:eastAsia="zh-CN"/>
        </w:rPr>
        <w:t>安居区</w:t>
      </w:r>
      <w:r>
        <w:rPr>
          <w:rFonts w:hint="eastAsia" w:ascii="Times New Roman" w:hAnsi="Times New Roman" w:eastAsia="仿宋_GB2312" w:cs="Times New Roman"/>
          <w:sz w:val="32"/>
          <w:szCs w:val="32"/>
          <w:lang w:val="en-US" w:eastAsia="zh-CN"/>
        </w:rPr>
        <w:t>财政局根据相关规定与要求分配。</w:t>
      </w:r>
    </w:p>
    <w:p w14:paraId="2D779B57">
      <w:pPr>
        <w:keepNext w:val="0"/>
        <w:keepLines w:val="0"/>
        <w:pageBreakBefore w:val="0"/>
        <w:widowControl w:val="0"/>
        <w:kinsoku/>
        <w:wordWrap w:val="0"/>
        <w:overflowPunct/>
        <w:topLinePunct w:val="0"/>
        <w:autoSpaceDE/>
        <w:autoSpaceDN/>
        <w:bidi w:val="0"/>
        <w:adjustRightInd/>
        <w:snapToGrid/>
        <w:spacing w:line="590" w:lineRule="exact"/>
        <w:ind w:left="0" w:leftChars="0" w:right="0" w:rightChars="0" w:firstLine="640" w:firstLineChars="2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项目资金分配：</w:t>
      </w:r>
      <w:r>
        <w:rPr>
          <w:rFonts w:hint="eastAsia" w:eastAsia="仿宋_GB2312"/>
          <w:sz w:val="32"/>
          <w:szCs w:val="32"/>
          <w:lang w:val="en-US" w:eastAsia="zh-CN"/>
        </w:rPr>
        <w:t>2024年度我局该项目资金实际分配20000000.00元（含预算调剂）。</w:t>
      </w:r>
    </w:p>
    <w:p w14:paraId="7D363A80">
      <w:pPr>
        <w:keepNext w:val="0"/>
        <w:keepLines w:val="0"/>
        <w:pageBreakBefore w:val="0"/>
        <w:widowControl w:val="0"/>
        <w:kinsoku/>
        <w:wordWrap w:val="0"/>
        <w:overflowPunct/>
        <w:topLinePunct w:val="0"/>
        <w:autoSpaceDE/>
        <w:autoSpaceDN/>
        <w:bidi w:val="0"/>
        <w:adjustRightInd/>
        <w:snapToGrid/>
        <w:spacing w:line="590" w:lineRule="exact"/>
        <w:ind w:left="0" w:leftChars="0" w:right="0" w:rightChars="0" w:firstLine="643" w:firstLineChars="200"/>
        <w:textAlignment w:val="auto"/>
        <w:rPr>
          <w:rFonts w:hint="eastAsia" w:ascii="仿宋_GB2312" w:hAnsi="仿宋_GB2312" w:eastAsia="仿宋_GB2312" w:cs="仿宋_GB2312"/>
          <w:color w:val="auto"/>
          <w:kern w:val="0"/>
          <w:sz w:val="32"/>
          <w:szCs w:val="32"/>
          <w:highlight w:val="none"/>
          <w:u w:val="none"/>
          <w:shd w:val="clear" w:color="auto" w:fill="FFFFFF"/>
          <w:lang w:val="zh-CN" w:eastAsia="zh-CN"/>
        </w:rPr>
      </w:pPr>
      <w:r>
        <w:rPr>
          <w:rFonts w:hint="eastAsia" w:ascii="楷体_GB2312" w:hAnsi="宋体" w:eastAsia="楷体_GB2312" w:cs="Times New Roman"/>
          <w:b/>
          <w:color w:val="auto"/>
          <w:sz w:val="32"/>
          <w:szCs w:val="32"/>
          <w:highlight w:val="none"/>
          <w:u w:val="none"/>
          <w:lang w:val="zh-CN" w:eastAsia="zh-CN"/>
        </w:rPr>
        <w:t>（四）项目绩效目标设置。</w:t>
      </w:r>
      <w:r>
        <w:rPr>
          <w:rFonts w:hint="eastAsia" w:ascii="仿宋_GB2312" w:hAnsi="仿宋_GB2312" w:eastAsia="仿宋_GB2312" w:cs="仿宋_GB2312"/>
          <w:color w:val="auto"/>
          <w:kern w:val="0"/>
          <w:sz w:val="32"/>
          <w:szCs w:val="32"/>
          <w:highlight w:val="none"/>
          <w:u w:val="none"/>
          <w:shd w:val="clear" w:color="auto" w:fill="FFFFFF"/>
          <w:lang w:val="zh-CN" w:eastAsia="zh-CN"/>
        </w:rPr>
        <w:t>项目整体、区域和具体绩效目标设置情况，项目自评工作开展情况。</w:t>
      </w:r>
    </w:p>
    <w:p w14:paraId="60707FA4">
      <w:pPr>
        <w:keepNext w:val="0"/>
        <w:keepLines w:val="0"/>
        <w:pageBreakBefore w:val="0"/>
        <w:widowControl w:val="0"/>
        <w:kinsoku/>
        <w:wordWrap w:val="0"/>
        <w:overflowPunct/>
        <w:topLinePunct w:val="0"/>
        <w:autoSpaceDE/>
        <w:autoSpaceDN/>
        <w:bidi w:val="0"/>
        <w:adjustRightInd/>
        <w:snapToGrid/>
        <w:spacing w:line="590" w:lineRule="exact"/>
        <w:ind w:left="0" w:leftChars="0" w:right="0" w:rightChars="0"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2024年度该项目资金下达后，遂宁市财政局设定该项目绩效目标：</w:t>
      </w:r>
    </w:p>
    <w:p w14:paraId="22C37376">
      <w:pPr>
        <w:keepNext w:val="0"/>
        <w:keepLines w:val="0"/>
        <w:pageBreakBefore w:val="0"/>
        <w:widowControl w:val="0"/>
        <w:kinsoku/>
        <w:wordWrap w:val="0"/>
        <w:overflowPunct/>
        <w:topLinePunct w:val="0"/>
        <w:autoSpaceDE/>
        <w:autoSpaceDN/>
        <w:bidi w:val="0"/>
        <w:adjustRightInd/>
        <w:snapToGrid/>
        <w:spacing w:line="590" w:lineRule="exact"/>
        <w:ind w:left="0" w:leftChars="0" w:right="0" w:rightChars="0"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完成新建日处理量10000立方米的再生水厂1座，新建DN600再生水管网11.3千米，确保13个月工期按期完工</w:t>
      </w:r>
      <w:r>
        <w:rPr>
          <w:rFonts w:hint="eastAsia" w:eastAsia="仿宋_GB2312" w:cs="Times New Roman"/>
          <w:sz w:val="32"/>
          <w:szCs w:val="32"/>
          <w:lang w:val="en-US" w:eastAsia="zh-CN"/>
        </w:rPr>
        <w:t>。</w:t>
      </w:r>
    </w:p>
    <w:p w14:paraId="1784B295">
      <w:pPr>
        <w:keepNext w:val="0"/>
        <w:keepLines w:val="0"/>
        <w:pageBreakBefore w:val="0"/>
        <w:widowControl w:val="0"/>
        <w:kinsoku/>
        <w:wordWrap w:val="0"/>
        <w:overflowPunct/>
        <w:topLinePunct w:val="0"/>
        <w:autoSpaceDE/>
        <w:autoSpaceDN/>
        <w:bidi w:val="0"/>
        <w:adjustRightInd/>
        <w:snapToGrid/>
        <w:spacing w:line="590" w:lineRule="exact"/>
        <w:ind w:left="0" w:leftChars="0" w:right="0" w:rightChars="0"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分阶段实现再生水利用率指标：2024年达46%，2025年提升至49%</w:t>
      </w:r>
      <w:r>
        <w:rPr>
          <w:rFonts w:hint="eastAsia" w:eastAsia="仿宋_GB2312" w:cs="Times New Roman"/>
          <w:sz w:val="32"/>
          <w:szCs w:val="32"/>
          <w:lang w:val="en-US" w:eastAsia="zh-CN"/>
        </w:rPr>
        <w:t>。</w:t>
      </w:r>
    </w:p>
    <w:p w14:paraId="21FEE12C">
      <w:pPr>
        <w:keepNext w:val="0"/>
        <w:keepLines w:val="0"/>
        <w:pageBreakBefore w:val="0"/>
        <w:widowControl w:val="0"/>
        <w:kinsoku/>
        <w:wordWrap w:val="0"/>
        <w:overflowPunct/>
        <w:topLinePunct w:val="0"/>
        <w:autoSpaceDE/>
        <w:autoSpaceDN/>
        <w:bidi w:val="0"/>
        <w:adjustRightInd/>
        <w:snapToGrid/>
        <w:spacing w:line="590" w:lineRule="exact"/>
        <w:ind w:left="0" w:leftChars="0" w:right="0" w:rightChars="0"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经济效益目标‌</w:t>
      </w:r>
      <w:r>
        <w:rPr>
          <w:rFonts w:hint="eastAsia" w:eastAsia="仿宋_GB2312" w:cs="Times New Roman"/>
          <w:sz w:val="32"/>
          <w:szCs w:val="32"/>
          <w:lang w:val="en-US" w:eastAsia="zh-CN"/>
        </w:rPr>
        <w:t>：</w:t>
      </w:r>
      <w:r>
        <w:rPr>
          <w:rFonts w:hint="eastAsia" w:ascii="Times New Roman" w:hAnsi="Times New Roman" w:eastAsia="仿宋_GB2312" w:cs="Times New Roman"/>
          <w:sz w:val="32"/>
          <w:szCs w:val="32"/>
          <w:lang w:val="en-US" w:eastAsia="zh-CN"/>
        </w:rPr>
        <w:t>减少新鲜水取水量，降低市政排水设施投资和运行费用，项目总投资5851万元（上级资金及区级财政配套）资金执行率达100%。</w:t>
      </w:r>
    </w:p>
    <w:p w14:paraId="6544C3CD">
      <w:pPr>
        <w:keepNext w:val="0"/>
        <w:keepLines w:val="0"/>
        <w:pageBreakBefore w:val="0"/>
        <w:widowControl w:val="0"/>
        <w:kinsoku/>
        <w:wordWrap w:val="0"/>
        <w:overflowPunct/>
        <w:topLinePunct w:val="0"/>
        <w:autoSpaceDE/>
        <w:autoSpaceDN/>
        <w:bidi w:val="0"/>
        <w:adjustRightInd/>
        <w:snapToGrid/>
        <w:spacing w:line="590" w:lineRule="exact"/>
        <w:ind w:left="0" w:leftChars="0" w:right="0" w:rightChars="0"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通过再生水定价政策和企业激励措施，推动水资源循环利用的经济效益。</w:t>
      </w:r>
    </w:p>
    <w:p w14:paraId="00E657D3">
      <w:pPr>
        <w:keepNext w:val="0"/>
        <w:keepLines w:val="0"/>
        <w:pageBreakBefore w:val="0"/>
        <w:widowControl w:val="0"/>
        <w:kinsoku/>
        <w:wordWrap w:val="0"/>
        <w:overflowPunct/>
        <w:topLinePunct w:val="0"/>
        <w:autoSpaceDE/>
        <w:autoSpaceDN/>
        <w:bidi w:val="0"/>
        <w:adjustRightInd/>
        <w:snapToGrid/>
        <w:spacing w:line="590" w:lineRule="exact"/>
        <w:ind w:left="0" w:leftChars="0" w:right="0" w:rightChars="0"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cs="Times New Roman"/>
          <w:sz w:val="32"/>
          <w:szCs w:val="32"/>
          <w:lang w:val="en-US" w:eastAsia="zh-CN"/>
        </w:rPr>
        <w:t>‌</w:t>
      </w:r>
      <w:r>
        <w:rPr>
          <w:rFonts w:hint="eastAsia" w:ascii="Times New Roman" w:hAnsi="Times New Roman" w:eastAsia="仿宋_GB2312" w:cs="Times New Roman"/>
          <w:sz w:val="32"/>
          <w:szCs w:val="32"/>
          <w:lang w:val="en-US" w:eastAsia="zh-CN"/>
        </w:rPr>
        <w:t>生态与社会效益目标‌</w:t>
      </w:r>
      <w:r>
        <w:rPr>
          <w:rFonts w:hint="eastAsia" w:eastAsia="仿宋_GB2312" w:cs="Times New Roman"/>
          <w:sz w:val="32"/>
          <w:szCs w:val="32"/>
          <w:lang w:val="en-US" w:eastAsia="zh-CN"/>
        </w:rPr>
        <w:t>：</w:t>
      </w:r>
      <w:r>
        <w:rPr>
          <w:rFonts w:hint="eastAsia" w:ascii="Times New Roman" w:hAnsi="Times New Roman" w:eastAsia="仿宋_GB2312" w:cs="Times New Roman"/>
          <w:sz w:val="32"/>
          <w:szCs w:val="32"/>
          <w:lang w:val="en-US" w:eastAsia="zh-CN"/>
        </w:rPr>
        <w:t>改善区域水环境，减少污水排放量，提升自然水体水质</w:t>
      </w:r>
      <w:r>
        <w:rPr>
          <w:rFonts w:hint="eastAsia" w:eastAsia="仿宋_GB2312" w:cs="Times New Roman"/>
          <w:sz w:val="32"/>
          <w:szCs w:val="32"/>
          <w:lang w:val="en-US" w:eastAsia="zh-CN"/>
        </w:rPr>
        <w:t>；</w:t>
      </w:r>
      <w:r>
        <w:rPr>
          <w:rFonts w:hint="eastAsia" w:ascii="Times New Roman" w:hAnsi="Times New Roman" w:eastAsia="仿宋_GB2312" w:cs="Times New Roman"/>
          <w:sz w:val="32"/>
          <w:szCs w:val="32"/>
          <w:lang w:val="en-US" w:eastAsia="zh-CN"/>
        </w:rPr>
        <w:t>保障工业园区生产用水和市政杂用需求，缓解水资源短缺问题。</w:t>
      </w:r>
    </w:p>
    <w:p w14:paraId="3D1AFC72">
      <w:pPr>
        <w:keepNext w:val="0"/>
        <w:keepLines w:val="0"/>
        <w:pageBreakBefore w:val="0"/>
        <w:widowControl w:val="0"/>
        <w:kinsoku/>
        <w:wordWrap w:val="0"/>
        <w:overflowPunct/>
        <w:topLinePunct w:val="0"/>
        <w:autoSpaceDE/>
        <w:autoSpaceDN/>
        <w:bidi w:val="0"/>
        <w:adjustRightInd/>
        <w:snapToGrid/>
        <w:spacing w:line="590" w:lineRule="exact"/>
        <w:ind w:left="0" w:leftChars="0" w:right="0" w:rightChars="0"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cs="Times New Roman"/>
          <w:sz w:val="32"/>
          <w:szCs w:val="32"/>
          <w:lang w:val="en-US" w:eastAsia="zh-CN"/>
        </w:rPr>
        <w:t>‌</w:t>
      </w:r>
      <w:r>
        <w:rPr>
          <w:rFonts w:hint="eastAsia" w:ascii="Times New Roman" w:hAnsi="Times New Roman" w:eastAsia="仿宋_GB2312" w:cs="Times New Roman"/>
          <w:sz w:val="32"/>
          <w:szCs w:val="32"/>
          <w:lang w:val="en-US" w:eastAsia="zh-CN"/>
        </w:rPr>
        <w:t>管理效能目标‌</w:t>
      </w:r>
    </w:p>
    <w:p w14:paraId="3C611D07">
      <w:pPr>
        <w:keepNext w:val="0"/>
        <w:keepLines w:val="0"/>
        <w:pageBreakBefore w:val="0"/>
        <w:widowControl w:val="0"/>
        <w:kinsoku/>
        <w:wordWrap w:val="0"/>
        <w:overflowPunct/>
        <w:topLinePunct w:val="0"/>
        <w:autoSpaceDE/>
        <w:autoSpaceDN/>
        <w:bidi w:val="0"/>
        <w:adjustRightInd/>
        <w:snapToGrid/>
        <w:spacing w:line="590" w:lineRule="exact"/>
        <w:ind w:left="0" w:leftChars="0" w:right="0" w:rightChars="0" w:firstLine="640" w:firstLineChars="2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严格执行招标投标规范，落实公平竞争审查和绩效评价机制</w:t>
      </w:r>
      <w:r>
        <w:rPr>
          <w:rFonts w:hint="eastAsia" w:eastAsia="仿宋_GB2312" w:cs="Times New Roman"/>
          <w:sz w:val="32"/>
          <w:szCs w:val="32"/>
          <w:lang w:val="en-US" w:eastAsia="zh-CN"/>
        </w:rPr>
        <w:t>；</w:t>
      </w:r>
      <w:r>
        <w:rPr>
          <w:rFonts w:hint="eastAsia" w:ascii="Times New Roman" w:hAnsi="Times New Roman" w:eastAsia="仿宋_GB2312" w:cs="Times New Roman"/>
          <w:sz w:val="32"/>
          <w:szCs w:val="32"/>
          <w:lang w:val="en-US" w:eastAsia="zh-CN"/>
        </w:rPr>
        <w:t>建立再生水配置利用长效管理政策，纳入部门考核体系</w:t>
      </w:r>
    </w:p>
    <w:p w14:paraId="4BAF934E">
      <w:pPr>
        <w:keepNext w:val="0"/>
        <w:keepLines w:val="0"/>
        <w:pageBreakBefore w:val="0"/>
        <w:widowControl w:val="0"/>
        <w:kinsoku/>
        <w:wordWrap w:val="0"/>
        <w:overflowPunct/>
        <w:topLinePunct w:val="0"/>
        <w:autoSpaceDE/>
        <w:autoSpaceDN/>
        <w:bidi w:val="0"/>
        <w:adjustRightInd/>
        <w:snapToGrid/>
        <w:spacing w:line="590" w:lineRule="exact"/>
        <w:ind w:right="0" w:rightChars="0" w:firstLine="640" w:firstLineChars="200"/>
        <w:textAlignment w:val="auto"/>
        <w:outlineLvl w:val="9"/>
        <w:rPr>
          <w:rFonts w:hint="eastAsia" w:ascii="黑体" w:hAnsi="宋体" w:eastAsia="黑体"/>
          <w:sz w:val="32"/>
          <w:szCs w:val="32"/>
          <w:highlight w:val="none"/>
          <w:lang w:eastAsia="zh-CN"/>
        </w:rPr>
      </w:pPr>
      <w:r>
        <w:rPr>
          <w:rFonts w:hint="eastAsia" w:ascii="黑体" w:hAnsi="宋体" w:eastAsia="黑体"/>
          <w:sz w:val="32"/>
          <w:szCs w:val="32"/>
          <w:highlight w:val="none"/>
        </w:rPr>
        <w:t>二、</w:t>
      </w:r>
      <w:r>
        <w:rPr>
          <w:rFonts w:hint="eastAsia" w:ascii="黑体" w:hAnsi="宋体" w:eastAsia="黑体"/>
          <w:sz w:val="32"/>
          <w:szCs w:val="32"/>
          <w:highlight w:val="none"/>
          <w:lang w:eastAsia="zh-CN"/>
        </w:rPr>
        <w:t>评价实施</w:t>
      </w:r>
    </w:p>
    <w:p w14:paraId="1738022E">
      <w:pPr>
        <w:keepNext w:val="0"/>
        <w:keepLines w:val="0"/>
        <w:pageBreakBefore w:val="0"/>
        <w:widowControl w:val="0"/>
        <w:kinsoku/>
        <w:wordWrap w:val="0"/>
        <w:overflowPunct/>
        <w:topLinePunct w:val="0"/>
        <w:autoSpaceDE/>
        <w:autoSpaceDN/>
        <w:bidi w:val="0"/>
        <w:adjustRightInd/>
        <w:snapToGrid/>
        <w:spacing w:line="590" w:lineRule="exact"/>
        <w:ind w:right="0" w:rightChars="0" w:firstLine="640"/>
        <w:textAlignment w:val="auto"/>
        <w:outlineLvl w:val="9"/>
        <w:rPr>
          <w:rFonts w:hint="eastAsia" w:eastAsia="仿宋_GB2312" w:cs="Times New Roman"/>
          <w:sz w:val="32"/>
          <w:szCs w:val="32"/>
          <w:lang w:eastAsia="zh-CN"/>
        </w:rPr>
      </w:pPr>
      <w:r>
        <w:rPr>
          <w:rFonts w:hint="eastAsia" w:ascii="楷体_GB2312" w:hAnsi="宋体" w:eastAsia="楷体_GB2312"/>
          <w:b/>
          <w:color w:val="auto"/>
          <w:sz w:val="32"/>
          <w:szCs w:val="32"/>
          <w:highlight w:val="none"/>
          <w:u w:val="none"/>
          <w:lang w:val="zh-CN"/>
        </w:rPr>
        <w:t>（一）评价目的。</w:t>
      </w:r>
      <w:r>
        <w:rPr>
          <w:rFonts w:eastAsia="仿宋_GB2312" w:cs="Times New Roman"/>
          <w:sz w:val="32"/>
          <w:szCs w:val="32"/>
        </w:rPr>
        <w:t>通过</w:t>
      </w:r>
      <w:r>
        <w:rPr>
          <w:rFonts w:hint="eastAsia" w:eastAsia="仿宋_GB2312" w:cs="Times New Roman"/>
          <w:sz w:val="32"/>
          <w:szCs w:val="32"/>
          <w:lang w:eastAsia="zh-CN"/>
        </w:rPr>
        <w:t>项目</w:t>
      </w:r>
      <w:r>
        <w:rPr>
          <w:rFonts w:hint="eastAsia" w:eastAsia="仿宋_GB2312" w:cs="Times New Roman"/>
          <w:sz w:val="32"/>
          <w:szCs w:val="32"/>
        </w:rPr>
        <w:t>绩效</w:t>
      </w:r>
      <w:r>
        <w:rPr>
          <w:rFonts w:hint="eastAsia" w:eastAsia="仿宋_GB2312" w:cs="Times New Roman"/>
          <w:sz w:val="32"/>
          <w:szCs w:val="32"/>
          <w:lang w:eastAsia="zh-CN"/>
        </w:rPr>
        <w:t>自评要实现的目的。</w:t>
      </w:r>
    </w:p>
    <w:p w14:paraId="3D2EBDA9">
      <w:pPr>
        <w:keepNext w:val="0"/>
        <w:keepLines w:val="0"/>
        <w:pageBreakBefore w:val="0"/>
        <w:widowControl w:val="0"/>
        <w:kinsoku/>
        <w:wordWrap w:val="0"/>
        <w:overflowPunct/>
        <w:topLinePunct w:val="0"/>
        <w:autoSpaceDE/>
        <w:autoSpaceDN/>
        <w:bidi w:val="0"/>
        <w:adjustRightInd/>
        <w:snapToGrid/>
        <w:spacing w:line="590" w:lineRule="exact"/>
        <w:ind w:left="0" w:leftChars="0" w:right="0" w:rightChars="0"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该项目开展绩效自评的目的是</w:t>
      </w:r>
      <w:r>
        <w:rPr>
          <w:rFonts w:hint="default" w:ascii="Times New Roman" w:hAnsi="Times New Roman" w:eastAsia="仿宋_GB2312" w:cs="Times New Roman"/>
          <w:sz w:val="32"/>
          <w:szCs w:val="32"/>
          <w:lang w:val="en-US" w:eastAsia="zh-CN"/>
        </w:rPr>
        <w:t>贯彻落实全面实施预算绩效管理，将绩效理念和方法</w:t>
      </w:r>
      <w:r>
        <w:rPr>
          <w:rFonts w:hint="eastAsia" w:ascii="Times New Roman" w:hAnsi="Times New Roman" w:eastAsia="仿宋_GB2312" w:cs="Times New Roman"/>
          <w:sz w:val="32"/>
          <w:szCs w:val="32"/>
          <w:lang w:val="en-US" w:eastAsia="zh-CN"/>
        </w:rPr>
        <w:t>深度融入预算编制、执行、监督全过程，实现预算和绩效管理一体化，不断提高财政资金使用效益。</w:t>
      </w:r>
    </w:p>
    <w:p w14:paraId="3692BB4A">
      <w:pPr>
        <w:keepNext w:val="0"/>
        <w:keepLines w:val="0"/>
        <w:pageBreakBefore w:val="0"/>
        <w:widowControl w:val="0"/>
        <w:kinsoku/>
        <w:wordWrap w:val="0"/>
        <w:overflowPunct/>
        <w:topLinePunct w:val="0"/>
        <w:autoSpaceDE/>
        <w:autoSpaceDN/>
        <w:bidi w:val="0"/>
        <w:adjustRightInd/>
        <w:snapToGrid/>
        <w:spacing w:line="590" w:lineRule="exact"/>
        <w:ind w:left="0" w:leftChars="0" w:right="0" w:rightChars="0" w:firstLine="640" w:firstLineChars="200"/>
        <w:textAlignment w:val="auto"/>
        <w:rPr>
          <w:rFonts w:hint="default" w:eastAsia="仿宋_GB2312"/>
          <w:sz w:val="32"/>
          <w:szCs w:val="32"/>
          <w:lang w:val="en-US" w:eastAsia="zh-CN"/>
        </w:rPr>
      </w:pPr>
      <w:r>
        <w:rPr>
          <w:rFonts w:hint="eastAsia" w:eastAsia="仿宋_GB2312"/>
          <w:sz w:val="32"/>
          <w:szCs w:val="32"/>
          <w:lang w:val="en-US" w:eastAsia="zh-CN"/>
        </w:rPr>
        <w:t>同时，针对该项目开展执行结果、效果分析，剖析单位自身项目实施的管理责任落实情况，不断提高我局项目管理水平。</w:t>
      </w:r>
    </w:p>
    <w:p w14:paraId="55D4B730">
      <w:pPr>
        <w:keepNext w:val="0"/>
        <w:keepLines w:val="0"/>
        <w:pageBreakBefore w:val="0"/>
        <w:widowControl w:val="0"/>
        <w:kinsoku/>
        <w:wordWrap w:val="0"/>
        <w:overflowPunct/>
        <w:topLinePunct w:val="0"/>
        <w:autoSpaceDE/>
        <w:autoSpaceDN/>
        <w:bidi w:val="0"/>
        <w:adjustRightInd/>
        <w:snapToGrid/>
        <w:spacing w:line="590" w:lineRule="exact"/>
        <w:ind w:left="0" w:leftChars="0" w:right="0" w:rightChars="0" w:firstLine="643" w:firstLineChars="200"/>
        <w:textAlignment w:val="auto"/>
        <w:outlineLvl w:val="9"/>
        <w:rPr>
          <w:rFonts w:hint="eastAsia" w:eastAsia="仿宋_GB2312" w:cs="Times New Roman"/>
          <w:sz w:val="32"/>
          <w:szCs w:val="32"/>
          <w:lang w:eastAsia="zh-CN"/>
        </w:rPr>
      </w:pPr>
      <w:r>
        <w:rPr>
          <w:rFonts w:hint="eastAsia" w:ascii="楷体_GB2312" w:hAnsi="宋体" w:eastAsia="楷体_GB2312"/>
          <w:b/>
          <w:color w:val="auto"/>
          <w:sz w:val="32"/>
          <w:szCs w:val="32"/>
          <w:highlight w:val="none"/>
          <w:u w:val="none"/>
          <w:lang w:val="zh-CN"/>
        </w:rPr>
        <w:t>（二）预设问题及评价重点。</w:t>
      </w:r>
      <w:r>
        <w:rPr>
          <w:rFonts w:hint="eastAsia" w:eastAsia="仿宋_GB2312" w:cs="Times New Roman"/>
          <w:sz w:val="32"/>
          <w:szCs w:val="32"/>
        </w:rPr>
        <w:t>按照绩效评价指标体系，对资金支出使用全过程及其实施效果进行综合评价和判断</w:t>
      </w:r>
      <w:r>
        <w:rPr>
          <w:rFonts w:hint="eastAsia" w:eastAsia="仿宋_GB2312" w:cs="Times New Roman"/>
          <w:sz w:val="32"/>
          <w:szCs w:val="32"/>
          <w:lang w:eastAsia="zh-CN"/>
        </w:rPr>
        <w:t>。</w:t>
      </w:r>
    </w:p>
    <w:p w14:paraId="6C9F1A65">
      <w:pPr>
        <w:keepNext w:val="0"/>
        <w:keepLines w:val="0"/>
        <w:pageBreakBefore w:val="0"/>
        <w:widowControl w:val="0"/>
        <w:kinsoku/>
        <w:wordWrap w:val="0"/>
        <w:overflowPunct/>
        <w:topLinePunct w:val="0"/>
        <w:autoSpaceDE/>
        <w:autoSpaceDN/>
        <w:bidi w:val="0"/>
        <w:adjustRightInd/>
        <w:snapToGrid/>
        <w:spacing w:line="590" w:lineRule="exact"/>
        <w:ind w:left="0" w:leftChars="0" w:right="0" w:rightChars="0"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预设问题：项目实施效果中目标完成情况；</w:t>
      </w:r>
    </w:p>
    <w:p w14:paraId="79AEEE75">
      <w:pPr>
        <w:keepNext w:val="0"/>
        <w:keepLines w:val="0"/>
        <w:pageBreakBefore w:val="0"/>
        <w:widowControl w:val="0"/>
        <w:kinsoku/>
        <w:wordWrap w:val="0"/>
        <w:overflowPunct/>
        <w:topLinePunct w:val="0"/>
        <w:autoSpaceDE/>
        <w:autoSpaceDN/>
        <w:bidi w:val="0"/>
        <w:adjustRightInd/>
        <w:snapToGrid/>
        <w:spacing w:line="590" w:lineRule="exact"/>
        <w:ind w:left="0" w:leftChars="0" w:right="0" w:rightChars="0" w:firstLine="640" w:firstLineChars="2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评价重点：项目实施（预算执行、资金使用）、项目效果（目标完成、完成时效）。</w:t>
      </w:r>
    </w:p>
    <w:p w14:paraId="5ABB1398">
      <w:pPr>
        <w:keepNext w:val="0"/>
        <w:keepLines w:val="0"/>
        <w:pageBreakBefore w:val="0"/>
        <w:widowControl w:val="0"/>
        <w:kinsoku/>
        <w:wordWrap w:val="0"/>
        <w:overflowPunct/>
        <w:topLinePunct w:val="0"/>
        <w:autoSpaceDE/>
        <w:autoSpaceDN/>
        <w:bidi w:val="0"/>
        <w:adjustRightInd/>
        <w:snapToGrid/>
        <w:spacing w:line="590" w:lineRule="exact"/>
        <w:ind w:left="0" w:leftChars="0" w:right="0" w:rightChars="0" w:firstLine="643" w:firstLineChars="200"/>
        <w:textAlignment w:val="auto"/>
        <w:outlineLvl w:val="9"/>
        <w:rPr>
          <w:rFonts w:hint="eastAsia" w:eastAsia="仿宋_GB2312" w:cs="Times New Roman"/>
          <w:sz w:val="32"/>
          <w:szCs w:val="32"/>
          <w:lang w:val="zh-CN" w:eastAsia="zh-CN"/>
        </w:rPr>
      </w:pPr>
      <w:r>
        <w:rPr>
          <w:rFonts w:hint="eastAsia" w:ascii="楷体_GB2312" w:hAnsi="宋体" w:eastAsia="楷体_GB2312"/>
          <w:b/>
          <w:color w:val="auto"/>
          <w:sz w:val="32"/>
          <w:szCs w:val="32"/>
          <w:highlight w:val="none"/>
          <w:u w:val="none"/>
          <w:lang w:val="zh-CN"/>
        </w:rPr>
        <w:t>（三）评价选点。</w:t>
      </w:r>
      <w:r>
        <w:rPr>
          <w:rFonts w:hint="eastAsia" w:eastAsia="仿宋_GB2312" w:cs="Times New Roman"/>
          <w:sz w:val="32"/>
          <w:szCs w:val="32"/>
          <w:lang w:val="zh-CN" w:eastAsia="zh-CN"/>
        </w:rPr>
        <w:t>项目绩效自评所抽样点位情况。</w:t>
      </w:r>
    </w:p>
    <w:p w14:paraId="544B5172">
      <w:pPr>
        <w:keepNext w:val="0"/>
        <w:keepLines w:val="0"/>
        <w:pageBreakBefore w:val="0"/>
        <w:widowControl w:val="0"/>
        <w:kinsoku/>
        <w:wordWrap w:val="0"/>
        <w:overflowPunct/>
        <w:topLinePunct w:val="0"/>
        <w:autoSpaceDE/>
        <w:autoSpaceDN/>
        <w:bidi w:val="0"/>
        <w:adjustRightInd/>
        <w:snapToGrid/>
        <w:spacing w:line="590" w:lineRule="exact"/>
        <w:ind w:left="0" w:leftChars="0" w:right="0" w:rightChars="0" w:firstLine="640" w:firstLineChars="200"/>
        <w:textAlignment w:val="auto"/>
        <w:rPr>
          <w:rFonts w:hint="default" w:eastAsia="仿宋_GB2312"/>
          <w:sz w:val="32"/>
          <w:szCs w:val="32"/>
          <w:lang w:val="en-US" w:eastAsia="zh-CN"/>
        </w:rPr>
      </w:pPr>
      <w:r>
        <w:rPr>
          <w:rFonts w:hint="eastAsia" w:eastAsia="仿宋_GB2312"/>
          <w:sz w:val="32"/>
          <w:szCs w:val="32"/>
          <w:lang w:val="en-US" w:eastAsia="zh-CN"/>
        </w:rPr>
        <w:t>本次项目绩效自评抽样选择2024年10月25日下达指标20000000.00元后的支付情况，包括所支付的所有范围。</w:t>
      </w:r>
    </w:p>
    <w:p w14:paraId="3E703B6A">
      <w:pPr>
        <w:keepNext w:val="0"/>
        <w:keepLines w:val="0"/>
        <w:pageBreakBefore w:val="0"/>
        <w:widowControl w:val="0"/>
        <w:kinsoku/>
        <w:wordWrap w:val="0"/>
        <w:overflowPunct/>
        <w:topLinePunct w:val="0"/>
        <w:autoSpaceDE/>
        <w:autoSpaceDN/>
        <w:bidi w:val="0"/>
        <w:adjustRightInd/>
        <w:snapToGrid/>
        <w:spacing w:line="590" w:lineRule="exact"/>
        <w:ind w:right="0" w:rightChars="0" w:firstLine="640"/>
        <w:textAlignment w:val="auto"/>
        <w:outlineLvl w:val="9"/>
        <w:rPr>
          <w:rFonts w:hint="eastAsia" w:eastAsia="仿宋_GB2312" w:cs="Times New Roman"/>
          <w:sz w:val="32"/>
          <w:szCs w:val="32"/>
          <w:lang w:eastAsia="zh-CN"/>
        </w:rPr>
      </w:pPr>
      <w:r>
        <w:rPr>
          <w:rFonts w:hint="eastAsia" w:ascii="楷体_GB2312" w:hAnsi="宋体" w:eastAsia="楷体_GB2312"/>
          <w:b/>
          <w:color w:val="auto"/>
          <w:sz w:val="32"/>
          <w:szCs w:val="32"/>
          <w:highlight w:val="none"/>
          <w:u w:val="none"/>
          <w:lang w:val="zh-CN"/>
        </w:rPr>
        <w:t>（四）评价方法。</w:t>
      </w:r>
      <w:r>
        <w:rPr>
          <w:rFonts w:eastAsia="仿宋_GB2312" w:cs="Times New Roman"/>
          <w:sz w:val="32"/>
          <w:szCs w:val="32"/>
        </w:rPr>
        <w:t>根据项目情况和评价重点，</w:t>
      </w:r>
      <w:r>
        <w:rPr>
          <w:rFonts w:hint="eastAsia" w:eastAsia="仿宋_GB2312" w:cs="Times New Roman"/>
          <w:sz w:val="32"/>
          <w:szCs w:val="32"/>
          <w:lang w:eastAsia="zh-CN"/>
        </w:rPr>
        <w:t>用来</w:t>
      </w:r>
      <w:r>
        <w:rPr>
          <w:rFonts w:eastAsia="仿宋_GB2312" w:cs="Times New Roman"/>
          <w:sz w:val="32"/>
          <w:szCs w:val="32"/>
        </w:rPr>
        <w:t>收集相关材料和开展具体评价</w:t>
      </w:r>
      <w:r>
        <w:rPr>
          <w:rFonts w:hint="eastAsia" w:eastAsia="仿宋_GB2312" w:cs="Times New Roman"/>
          <w:sz w:val="32"/>
          <w:szCs w:val="32"/>
          <w:lang w:eastAsia="zh-CN"/>
        </w:rPr>
        <w:t>的方法</w:t>
      </w:r>
      <w:r>
        <w:rPr>
          <w:rFonts w:eastAsia="仿宋_GB2312" w:cs="Times New Roman"/>
          <w:sz w:val="32"/>
          <w:szCs w:val="32"/>
        </w:rPr>
        <w:t>。</w:t>
      </w:r>
      <w:r>
        <w:rPr>
          <w:rFonts w:hint="eastAsia" w:eastAsia="仿宋_GB2312" w:cs="Times New Roman"/>
          <w:sz w:val="32"/>
          <w:szCs w:val="32"/>
          <w:lang w:eastAsia="zh-CN"/>
        </w:rPr>
        <w:t>包括：</w:t>
      </w:r>
      <w:r>
        <w:rPr>
          <w:rFonts w:eastAsia="仿宋_GB2312" w:cs="Times New Roman"/>
          <w:sz w:val="32"/>
          <w:szCs w:val="32"/>
        </w:rPr>
        <w:t>采用</w:t>
      </w:r>
      <w:r>
        <w:rPr>
          <w:rFonts w:hint="eastAsia" w:eastAsia="仿宋_GB2312" w:cs="Times New Roman"/>
          <w:sz w:val="32"/>
          <w:szCs w:val="32"/>
        </w:rPr>
        <w:t>成本效益分析法、标杆管理法、</w:t>
      </w:r>
      <w:r>
        <w:rPr>
          <w:rFonts w:eastAsia="仿宋_GB2312" w:cs="Times New Roman"/>
          <w:sz w:val="32"/>
          <w:szCs w:val="32"/>
        </w:rPr>
        <w:t>案卷研究法、单位自评法、实地勘察法、问卷调查法、座谈调研法等多种方法</w:t>
      </w:r>
      <w:r>
        <w:rPr>
          <w:rFonts w:hint="eastAsia" w:eastAsia="仿宋_GB2312" w:cs="Times New Roman"/>
          <w:sz w:val="32"/>
          <w:szCs w:val="32"/>
          <w:lang w:eastAsia="zh-CN"/>
        </w:rPr>
        <w:t>。</w:t>
      </w:r>
    </w:p>
    <w:p w14:paraId="285BE39D">
      <w:pPr>
        <w:keepNext w:val="0"/>
        <w:keepLines w:val="0"/>
        <w:pageBreakBefore w:val="0"/>
        <w:widowControl w:val="0"/>
        <w:kinsoku/>
        <w:wordWrap w:val="0"/>
        <w:overflowPunct/>
        <w:topLinePunct w:val="0"/>
        <w:autoSpaceDE/>
        <w:autoSpaceDN/>
        <w:bidi w:val="0"/>
        <w:adjustRightInd/>
        <w:snapToGrid/>
        <w:spacing w:line="590" w:lineRule="exact"/>
        <w:ind w:left="0" w:leftChars="0" w:right="0" w:rightChars="0" w:firstLine="640" w:firstLineChars="200"/>
        <w:textAlignment w:val="auto"/>
        <w:rPr>
          <w:rFonts w:hint="eastAsia" w:eastAsia="仿宋_GB2312"/>
          <w:sz w:val="32"/>
          <w:szCs w:val="32"/>
          <w:lang w:eastAsia="zh-CN"/>
        </w:rPr>
      </w:pPr>
      <w:r>
        <w:rPr>
          <w:rFonts w:hint="default" w:ascii="Times New Roman" w:hAnsi="Times New Roman" w:eastAsia="仿宋_GB2312" w:cs="Times New Roman"/>
          <w:sz w:val="32"/>
          <w:szCs w:val="32"/>
          <w:lang w:val="en-US" w:eastAsia="zh-CN"/>
        </w:rPr>
        <w:t>采用定性描述、定量分析法，客观确定项目预期绩效目</w:t>
      </w:r>
      <w:r>
        <w:rPr>
          <w:rFonts w:hint="eastAsia" w:ascii="Times New Roman" w:hAnsi="Times New Roman" w:eastAsia="仿宋_GB2312" w:cs="Times New Roman"/>
          <w:sz w:val="32"/>
          <w:szCs w:val="32"/>
          <w:lang w:val="en-US" w:eastAsia="zh-CN"/>
        </w:rPr>
        <w:t>标的实现程度。采用比较法，对比实际成效与绩效目标的偏差，进行效益分析。</w:t>
      </w:r>
    </w:p>
    <w:p w14:paraId="47BDC2FE">
      <w:pPr>
        <w:keepNext w:val="0"/>
        <w:keepLines w:val="0"/>
        <w:pageBreakBefore w:val="0"/>
        <w:widowControl w:val="0"/>
        <w:kinsoku/>
        <w:wordWrap w:val="0"/>
        <w:overflowPunct/>
        <w:topLinePunct w:val="0"/>
        <w:autoSpaceDE/>
        <w:autoSpaceDN/>
        <w:bidi w:val="0"/>
        <w:adjustRightInd/>
        <w:snapToGrid/>
        <w:spacing w:line="590" w:lineRule="exact"/>
        <w:ind w:right="0" w:rightChars="0" w:firstLine="640"/>
        <w:textAlignment w:val="auto"/>
        <w:outlineLvl w:val="9"/>
        <w:rPr>
          <w:rFonts w:hint="eastAsia" w:eastAsia="仿宋_GB2312" w:cs="Times New Roman"/>
          <w:sz w:val="32"/>
          <w:szCs w:val="32"/>
          <w:lang w:eastAsia="zh-CN"/>
        </w:rPr>
      </w:pPr>
      <w:r>
        <w:rPr>
          <w:rFonts w:hint="eastAsia" w:ascii="楷体_GB2312" w:hAnsi="宋体" w:eastAsia="楷体_GB2312"/>
          <w:b/>
          <w:color w:val="auto"/>
          <w:sz w:val="32"/>
          <w:szCs w:val="32"/>
          <w:highlight w:val="none"/>
          <w:u w:val="none"/>
          <w:lang w:val="zh-CN"/>
        </w:rPr>
        <w:t>（五）评价组织。</w:t>
      </w:r>
      <w:r>
        <w:rPr>
          <w:rFonts w:eastAsia="仿宋_GB2312" w:cs="Times New Roman"/>
          <w:sz w:val="32"/>
          <w:szCs w:val="32"/>
        </w:rPr>
        <w:t>评价组人员构成</w:t>
      </w:r>
      <w:r>
        <w:rPr>
          <w:rFonts w:hint="eastAsia" w:eastAsia="仿宋_GB2312" w:cs="Times New Roman"/>
          <w:sz w:val="32"/>
          <w:szCs w:val="32"/>
          <w:lang w:eastAsia="zh-CN"/>
        </w:rPr>
        <w:t>和</w:t>
      </w:r>
      <w:r>
        <w:rPr>
          <w:rFonts w:eastAsia="仿宋_GB2312" w:cs="Times New Roman"/>
          <w:sz w:val="32"/>
          <w:szCs w:val="32"/>
        </w:rPr>
        <w:t>职责分工</w:t>
      </w:r>
      <w:r>
        <w:rPr>
          <w:rFonts w:hint="eastAsia" w:eastAsia="仿宋_GB2312" w:cs="Times New Roman"/>
          <w:sz w:val="32"/>
          <w:szCs w:val="32"/>
          <w:lang w:eastAsia="zh-CN"/>
        </w:rPr>
        <w:t>。</w:t>
      </w:r>
    </w:p>
    <w:p w14:paraId="04DD123B">
      <w:pPr>
        <w:keepNext w:val="0"/>
        <w:keepLines w:val="0"/>
        <w:pageBreakBefore w:val="0"/>
        <w:widowControl w:val="0"/>
        <w:kinsoku/>
        <w:wordWrap w:val="0"/>
        <w:overflowPunct/>
        <w:topLinePunct w:val="0"/>
        <w:autoSpaceDE/>
        <w:autoSpaceDN/>
        <w:bidi w:val="0"/>
        <w:adjustRightInd/>
        <w:snapToGrid/>
        <w:spacing w:line="590" w:lineRule="exact"/>
        <w:ind w:left="0" w:leftChars="0" w:right="0" w:rightChars="0" w:firstLine="640" w:firstLineChars="200"/>
        <w:textAlignment w:val="auto"/>
        <w:rPr>
          <w:rFonts w:hint="default" w:eastAsia="仿宋_GB2312"/>
          <w:sz w:val="32"/>
          <w:szCs w:val="32"/>
          <w:lang w:val="en-US" w:eastAsia="zh-CN"/>
        </w:rPr>
      </w:pPr>
      <w:r>
        <w:rPr>
          <w:rFonts w:hint="eastAsia" w:eastAsia="仿宋_GB2312"/>
          <w:sz w:val="32"/>
          <w:szCs w:val="32"/>
          <w:lang w:val="en-US" w:eastAsia="zh-CN"/>
        </w:rPr>
        <w:t>本次绩效自评由</w:t>
      </w:r>
      <w:r>
        <w:rPr>
          <w:rFonts w:hint="eastAsia" w:eastAsia="仿宋_GB2312" w:cs="Times New Roman"/>
          <w:sz w:val="32"/>
          <w:szCs w:val="32"/>
          <w:lang w:val="en-US" w:eastAsia="zh-CN"/>
        </w:rPr>
        <w:t>办公室</w:t>
      </w:r>
      <w:r>
        <w:rPr>
          <w:rFonts w:hint="eastAsia" w:ascii="Times New Roman" w:hAnsi="Times New Roman" w:eastAsia="仿宋_GB2312" w:cs="Times New Roman"/>
          <w:sz w:val="32"/>
          <w:szCs w:val="32"/>
          <w:lang w:val="en-US" w:eastAsia="zh-CN"/>
        </w:rPr>
        <w:t>牵头开展，河湖管理与水旱灾害防御股</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lang w:val="en-US" w:eastAsia="zh-CN"/>
        </w:rPr>
        <w:t>移民股</w:t>
      </w:r>
      <w:r>
        <w:rPr>
          <w:rFonts w:hint="eastAsia" w:eastAsia="仿宋_GB2312" w:cs="Times New Roman"/>
          <w:sz w:val="32"/>
          <w:szCs w:val="32"/>
          <w:lang w:val="en-US" w:eastAsia="zh-CN"/>
        </w:rPr>
        <w:t>、</w:t>
      </w:r>
      <w:r>
        <w:rPr>
          <w:rFonts w:hint="eastAsia" w:ascii="Times New Roman" w:hAnsi="Times New Roman" w:eastAsia="仿宋_GB2312" w:cs="Times New Roman"/>
          <w:sz w:val="32"/>
          <w:szCs w:val="32"/>
          <w:lang w:val="en-US" w:eastAsia="zh-CN"/>
        </w:rPr>
        <w:t>规划建设管理与政策法规监督股</w:t>
      </w:r>
      <w:r>
        <w:rPr>
          <w:rFonts w:hint="eastAsia" w:eastAsia="仿宋_GB2312" w:cs="Times New Roman"/>
          <w:sz w:val="32"/>
          <w:szCs w:val="32"/>
          <w:lang w:val="en-US" w:eastAsia="zh-CN"/>
        </w:rPr>
        <w:t>等股室</w:t>
      </w:r>
      <w:r>
        <w:rPr>
          <w:rFonts w:hint="eastAsia" w:ascii="Times New Roman" w:hAnsi="Times New Roman" w:eastAsia="仿宋_GB2312" w:cs="Times New Roman"/>
          <w:sz w:val="32"/>
          <w:szCs w:val="32"/>
          <w:lang w:val="en-US" w:eastAsia="zh-CN"/>
        </w:rPr>
        <w:t>开展基础资料收集与初步自评打分，</w:t>
      </w:r>
      <w:r>
        <w:rPr>
          <w:rFonts w:hint="eastAsia" w:eastAsia="仿宋_GB2312" w:cs="Times New Roman"/>
          <w:sz w:val="32"/>
          <w:szCs w:val="32"/>
          <w:lang w:val="en-US" w:eastAsia="zh-CN"/>
        </w:rPr>
        <w:t>内控监督小组</w:t>
      </w:r>
      <w:r>
        <w:rPr>
          <w:rFonts w:hint="eastAsia" w:ascii="Times New Roman" w:hAnsi="Times New Roman" w:eastAsia="仿宋_GB2312" w:cs="Times New Roman"/>
          <w:sz w:val="32"/>
          <w:szCs w:val="32"/>
          <w:lang w:val="en-US" w:eastAsia="zh-CN"/>
        </w:rPr>
        <w:t>开展项目绩效自评监督；自评参与人员：</w:t>
      </w:r>
      <w:r>
        <w:rPr>
          <w:rFonts w:hint="eastAsia" w:eastAsia="仿宋_GB2312" w:cs="Times New Roman"/>
          <w:sz w:val="32"/>
          <w:szCs w:val="32"/>
          <w:lang w:val="en-US" w:eastAsia="zh-CN"/>
        </w:rPr>
        <w:t>阳振宇、李发祥、刘皓、肖静、</w:t>
      </w:r>
      <w:r>
        <w:rPr>
          <w:rFonts w:hint="eastAsia" w:ascii="Times New Roman" w:hAnsi="Times New Roman" w:eastAsia="仿宋_GB2312" w:cs="Times New Roman"/>
          <w:sz w:val="32"/>
          <w:szCs w:val="32"/>
          <w:lang w:val="en-US" w:eastAsia="zh-CN"/>
        </w:rPr>
        <w:t>符晓玲</w:t>
      </w:r>
      <w:r>
        <w:rPr>
          <w:rFonts w:hint="eastAsia" w:eastAsia="仿宋_GB2312" w:cs="Times New Roman"/>
          <w:sz w:val="32"/>
          <w:szCs w:val="32"/>
          <w:lang w:val="en-US" w:eastAsia="zh-CN"/>
        </w:rPr>
        <w:t>等</w:t>
      </w:r>
      <w:r>
        <w:rPr>
          <w:rFonts w:hint="eastAsia" w:ascii="Times New Roman" w:hAnsi="Times New Roman" w:eastAsia="仿宋_GB2312" w:cs="Times New Roman"/>
          <w:sz w:val="32"/>
          <w:szCs w:val="32"/>
          <w:lang w:val="en-US" w:eastAsia="zh-CN"/>
        </w:rPr>
        <w:t>。</w:t>
      </w:r>
    </w:p>
    <w:p w14:paraId="0C93C89D">
      <w:pPr>
        <w:keepNext w:val="0"/>
        <w:keepLines w:val="0"/>
        <w:pageBreakBefore w:val="0"/>
        <w:widowControl w:val="0"/>
        <w:kinsoku/>
        <w:wordWrap w:val="0"/>
        <w:overflowPunct/>
        <w:topLinePunct w:val="0"/>
        <w:autoSpaceDE/>
        <w:autoSpaceDN/>
        <w:bidi w:val="0"/>
        <w:adjustRightInd/>
        <w:snapToGrid/>
        <w:spacing w:line="590" w:lineRule="exact"/>
        <w:ind w:right="0" w:rightChars="0" w:firstLine="640" w:firstLineChars="200"/>
        <w:textAlignment w:val="auto"/>
        <w:rPr>
          <w:rFonts w:ascii="仿宋_GB2312" w:hAnsi="宋体" w:eastAsia="仿宋_GB2312"/>
          <w:color w:val="auto"/>
          <w:sz w:val="32"/>
          <w:szCs w:val="32"/>
          <w:highlight w:val="none"/>
          <w:u w:val="none"/>
          <w:lang w:val="zh-CN"/>
        </w:rPr>
      </w:pPr>
      <w:r>
        <w:rPr>
          <w:rFonts w:hint="eastAsia" w:ascii="黑体" w:hAnsi="宋体" w:eastAsia="黑体"/>
          <w:color w:val="auto"/>
          <w:sz w:val="32"/>
          <w:szCs w:val="32"/>
          <w:highlight w:val="none"/>
          <w:u w:val="none"/>
        </w:rPr>
        <w:t>三、</w:t>
      </w:r>
      <w:r>
        <w:rPr>
          <w:rFonts w:hint="eastAsia" w:ascii="黑体" w:hAnsi="宋体" w:eastAsia="黑体"/>
          <w:color w:val="auto"/>
          <w:sz w:val="32"/>
          <w:szCs w:val="32"/>
          <w:highlight w:val="none"/>
          <w:u w:val="none"/>
          <w:lang w:eastAsia="zh-CN"/>
        </w:rPr>
        <w:t>绩效分析</w:t>
      </w:r>
      <w:r>
        <w:rPr>
          <w:rFonts w:hint="eastAsia" w:ascii="仿宋_GB2312" w:hAnsi="宋体" w:eastAsia="仿宋_GB2312"/>
          <w:color w:val="auto"/>
          <w:sz w:val="32"/>
          <w:szCs w:val="32"/>
          <w:highlight w:val="none"/>
          <w:u w:val="none"/>
          <w:lang w:val="zh-CN"/>
        </w:rPr>
        <w:tab/>
      </w:r>
    </w:p>
    <w:p w14:paraId="40608D08">
      <w:pPr>
        <w:keepNext w:val="0"/>
        <w:keepLines w:val="0"/>
        <w:pageBreakBefore w:val="0"/>
        <w:widowControl w:val="0"/>
        <w:kinsoku/>
        <w:wordWrap w:val="0"/>
        <w:overflowPunct/>
        <w:topLinePunct w:val="0"/>
        <w:autoSpaceDE/>
        <w:autoSpaceDN/>
        <w:bidi w:val="0"/>
        <w:adjustRightInd/>
        <w:snapToGrid/>
        <w:spacing w:line="590" w:lineRule="exact"/>
        <w:ind w:right="0" w:rightChars="0" w:firstLine="640"/>
        <w:textAlignment w:val="auto"/>
        <w:outlineLvl w:val="9"/>
        <w:rPr>
          <w:rFonts w:hint="eastAsia" w:eastAsia="仿宋_GB2312" w:cs="Times New Roman"/>
          <w:sz w:val="32"/>
          <w:szCs w:val="32"/>
          <w:lang w:val="en-US" w:eastAsia="zh-CN"/>
        </w:rPr>
      </w:pPr>
      <w:r>
        <w:rPr>
          <w:rFonts w:hint="default" w:eastAsia="仿宋_GB2312" w:cs="Times New Roman"/>
          <w:sz w:val="32"/>
          <w:szCs w:val="32"/>
          <w:lang w:val="zh-CN" w:eastAsia="zh-CN"/>
        </w:rPr>
        <w:t>根据</w:t>
      </w:r>
      <w:r>
        <w:rPr>
          <w:rFonts w:hint="eastAsia" w:eastAsia="仿宋_GB2312" w:cs="Times New Roman"/>
          <w:sz w:val="32"/>
          <w:szCs w:val="32"/>
          <w:lang w:val="zh-CN" w:eastAsia="zh-CN"/>
        </w:rPr>
        <w:t>项目</w:t>
      </w:r>
      <w:r>
        <w:rPr>
          <w:rFonts w:hint="default" w:eastAsia="仿宋_GB2312" w:cs="Times New Roman"/>
          <w:sz w:val="32"/>
          <w:szCs w:val="32"/>
          <w:lang w:val="zh-CN" w:eastAsia="zh-CN"/>
        </w:rPr>
        <w:t>预算绩效评价指标体系“</w:t>
      </w:r>
      <w:r>
        <w:rPr>
          <w:rFonts w:hint="eastAsia" w:eastAsia="仿宋_GB2312" w:cs="Times New Roman"/>
          <w:sz w:val="32"/>
          <w:szCs w:val="32"/>
          <w:lang w:val="zh-CN" w:eastAsia="zh-CN"/>
        </w:rPr>
        <w:t>通用指标</w:t>
      </w:r>
      <w:r>
        <w:rPr>
          <w:rFonts w:hint="default" w:eastAsia="仿宋_GB2312" w:cs="Times New Roman"/>
          <w:sz w:val="32"/>
          <w:szCs w:val="32"/>
          <w:lang w:val="zh-CN" w:eastAsia="zh-CN"/>
        </w:rPr>
        <w:t>”</w:t>
      </w:r>
      <w:r>
        <w:rPr>
          <w:rFonts w:hint="eastAsia" w:eastAsia="仿宋_GB2312" w:cs="Times New Roman"/>
          <w:sz w:val="32"/>
          <w:szCs w:val="32"/>
          <w:lang w:val="zh-CN" w:eastAsia="zh-CN"/>
        </w:rPr>
        <w:t>“专用指标”“个性指标”</w:t>
      </w:r>
      <w:r>
        <w:rPr>
          <w:rFonts w:hint="default" w:eastAsia="仿宋_GB2312" w:cs="Times New Roman"/>
          <w:sz w:val="32"/>
          <w:szCs w:val="32"/>
          <w:lang w:val="zh-CN" w:eastAsia="zh-CN"/>
        </w:rPr>
        <w:t>涉及</w:t>
      </w:r>
      <w:r>
        <w:rPr>
          <w:rFonts w:hint="eastAsia" w:eastAsia="仿宋_GB2312" w:cs="Times New Roman"/>
          <w:sz w:val="32"/>
          <w:szCs w:val="32"/>
          <w:lang w:val="zh-CN" w:eastAsia="zh-CN"/>
        </w:rPr>
        <w:t>二、三级</w:t>
      </w:r>
      <w:r>
        <w:rPr>
          <w:rFonts w:hint="default" w:eastAsia="仿宋_GB2312" w:cs="Times New Roman"/>
          <w:sz w:val="32"/>
          <w:szCs w:val="32"/>
          <w:lang w:val="zh-CN" w:eastAsia="zh-CN"/>
        </w:rPr>
        <w:t>指标进行</w:t>
      </w:r>
      <w:r>
        <w:rPr>
          <w:rFonts w:hint="eastAsia" w:eastAsia="仿宋_GB2312" w:cs="Times New Roman"/>
          <w:sz w:val="32"/>
          <w:szCs w:val="32"/>
          <w:lang w:val="zh-CN" w:eastAsia="zh-CN"/>
        </w:rPr>
        <w:t>逐项</w:t>
      </w:r>
      <w:r>
        <w:rPr>
          <w:rFonts w:hint="default" w:eastAsia="仿宋_GB2312" w:cs="Times New Roman"/>
          <w:sz w:val="32"/>
          <w:szCs w:val="32"/>
          <w:lang w:val="zh-CN" w:eastAsia="zh-CN"/>
        </w:rPr>
        <w:t>绩效分析</w:t>
      </w:r>
      <w:r>
        <w:rPr>
          <w:rFonts w:hint="eastAsia" w:eastAsia="仿宋_GB2312" w:cs="Times New Roman"/>
          <w:sz w:val="32"/>
          <w:szCs w:val="32"/>
          <w:lang w:val="zh-CN" w:eastAsia="zh-CN"/>
        </w:rPr>
        <w:t>并评分</w:t>
      </w:r>
      <w:r>
        <w:rPr>
          <w:rFonts w:hint="eastAsia" w:eastAsia="仿宋_GB2312" w:cs="Times New Roman"/>
          <w:sz w:val="32"/>
          <w:szCs w:val="32"/>
          <w:lang w:val="en-US" w:eastAsia="zh-CN"/>
        </w:rPr>
        <w:t>。</w:t>
      </w:r>
    </w:p>
    <w:p w14:paraId="696A6B56">
      <w:pPr>
        <w:keepNext w:val="0"/>
        <w:keepLines w:val="0"/>
        <w:pageBreakBefore w:val="0"/>
        <w:widowControl w:val="0"/>
        <w:kinsoku/>
        <w:wordWrap w:val="0"/>
        <w:overflowPunct/>
        <w:topLinePunct w:val="0"/>
        <w:autoSpaceDE/>
        <w:autoSpaceDN/>
        <w:bidi w:val="0"/>
        <w:adjustRightInd/>
        <w:snapToGrid/>
        <w:spacing w:line="590" w:lineRule="exact"/>
        <w:ind w:right="0" w:rightChars="0" w:firstLine="640"/>
        <w:textAlignment w:val="auto"/>
        <w:outlineLvl w:val="9"/>
        <w:rPr>
          <w:rFonts w:hint="eastAsia" w:ascii="楷体_GB2312" w:hAnsi="宋体" w:eastAsia="楷体_GB2312" w:cs="Times New Roman"/>
          <w:b/>
          <w:color w:val="auto"/>
          <w:sz w:val="32"/>
          <w:szCs w:val="32"/>
          <w:highlight w:val="none"/>
          <w:u w:val="none"/>
          <w:lang w:val="en-US" w:eastAsia="zh-CN"/>
        </w:rPr>
      </w:pPr>
      <w:r>
        <w:rPr>
          <w:rFonts w:hint="eastAsia" w:ascii="楷体_GB2312" w:hAnsi="宋体" w:eastAsia="楷体_GB2312" w:cs="Times New Roman"/>
          <w:b/>
          <w:color w:val="auto"/>
          <w:sz w:val="32"/>
          <w:szCs w:val="32"/>
          <w:highlight w:val="none"/>
          <w:u w:val="none"/>
          <w:lang w:val="zh-CN"/>
        </w:rPr>
        <w:t>（一）</w:t>
      </w:r>
      <w:r>
        <w:rPr>
          <w:rFonts w:hint="eastAsia" w:ascii="楷体_GB2312" w:hAnsi="宋体" w:eastAsia="楷体_GB2312" w:cs="Times New Roman"/>
          <w:b/>
          <w:color w:val="auto"/>
          <w:sz w:val="32"/>
          <w:szCs w:val="32"/>
          <w:highlight w:val="none"/>
          <w:u w:val="none"/>
          <w:lang w:val="en-US" w:eastAsia="zh-CN"/>
        </w:rPr>
        <w:t>通用指标</w:t>
      </w:r>
      <w:r>
        <w:rPr>
          <w:rFonts w:hint="default" w:ascii="Times New Roman" w:hAnsi="Times New Roman" w:eastAsia="楷体_GB2312" w:cs="Times New Roman"/>
          <w:b/>
          <w:bCs/>
          <w:color w:val="000000"/>
          <w:kern w:val="0"/>
          <w:sz w:val="32"/>
          <w:szCs w:val="32"/>
          <w:highlight w:val="none"/>
          <w:shd w:val="clear" w:color="auto" w:fill="FFFFFF"/>
          <w:lang w:val="zh-CN"/>
        </w:rPr>
        <w:t>绩效分析。</w:t>
      </w:r>
    </w:p>
    <w:p w14:paraId="16563ABF">
      <w:pPr>
        <w:keepNext w:val="0"/>
        <w:keepLines w:val="0"/>
        <w:pageBreakBefore w:val="0"/>
        <w:widowControl w:val="0"/>
        <w:kinsoku/>
        <w:wordWrap w:val="0"/>
        <w:overflowPunct/>
        <w:topLinePunct w:val="0"/>
        <w:autoSpaceDE/>
        <w:autoSpaceDN/>
        <w:bidi w:val="0"/>
        <w:adjustRightInd/>
        <w:snapToGrid/>
        <w:spacing w:line="590" w:lineRule="exact"/>
        <w:ind w:right="0" w:rightChars="0" w:firstLine="640"/>
        <w:textAlignment w:val="auto"/>
        <w:outlineLvl w:val="9"/>
        <w:rPr>
          <w:rFonts w:hint="eastAsia" w:ascii="Times New Roman" w:hAnsi="Times New Roman" w:eastAsia="仿宋_GB2312" w:cs="Times New Roman"/>
          <w:color w:val="auto"/>
          <w:sz w:val="32"/>
          <w:szCs w:val="32"/>
          <w:lang w:eastAsia="zh-CN"/>
        </w:rPr>
      </w:pPr>
      <w:r>
        <w:rPr>
          <w:rFonts w:hint="eastAsia" w:ascii="楷体_GB2312" w:hAnsi="楷体_GB2312" w:eastAsia="楷体_GB2312" w:cs="楷体_GB2312"/>
          <w:color w:val="auto"/>
          <w:sz w:val="32"/>
          <w:szCs w:val="32"/>
          <w:lang w:val="en-US" w:eastAsia="zh-CN"/>
        </w:rPr>
        <w:t xml:space="preserve">1. </w:t>
      </w:r>
      <w:r>
        <w:rPr>
          <w:rFonts w:hint="eastAsia" w:ascii="楷体_GB2312" w:hAnsi="楷体_GB2312" w:eastAsia="楷体_GB2312" w:cs="楷体_GB2312"/>
          <w:color w:val="auto"/>
          <w:sz w:val="32"/>
          <w:szCs w:val="32"/>
          <w:lang w:eastAsia="zh-CN"/>
        </w:rPr>
        <w:t>项目决策。</w:t>
      </w:r>
      <w:r>
        <w:rPr>
          <w:rFonts w:hint="eastAsia" w:ascii="Times New Roman" w:hAnsi="Times New Roman" w:eastAsia="仿宋_GB2312" w:cs="Times New Roman"/>
          <w:color w:val="auto"/>
          <w:sz w:val="32"/>
          <w:szCs w:val="32"/>
          <w:lang w:eastAsia="zh-CN"/>
        </w:rPr>
        <w:t>围绕决策程序、规划论证、资金投向进行绩效分析。</w:t>
      </w:r>
    </w:p>
    <w:p w14:paraId="73236219">
      <w:pPr>
        <w:keepNext w:val="0"/>
        <w:keepLines w:val="0"/>
        <w:pageBreakBefore w:val="0"/>
        <w:widowControl w:val="0"/>
        <w:kinsoku/>
        <w:wordWrap w:val="0"/>
        <w:overflowPunct/>
        <w:topLinePunct w:val="0"/>
        <w:autoSpaceDE/>
        <w:autoSpaceDN/>
        <w:bidi w:val="0"/>
        <w:adjustRightInd/>
        <w:snapToGrid/>
        <w:spacing w:line="590" w:lineRule="exact"/>
        <w:ind w:left="0" w:leftChars="0" w:right="0" w:rightChars="0" w:firstLine="640" w:firstLineChars="2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（1）决策程序：</w:t>
      </w:r>
      <w:r>
        <w:rPr>
          <w:rFonts w:hint="eastAsia" w:eastAsia="仿宋_GB2312" w:cs="Times New Roman"/>
          <w:sz w:val="32"/>
          <w:szCs w:val="32"/>
          <w:lang w:val="en-US" w:eastAsia="zh-CN"/>
        </w:rPr>
        <w:t>该项目中央下达资金，根据遂财建（2024）122号文件下达，我局资金支付时已召开党组会议</w:t>
      </w:r>
      <w:r>
        <w:rPr>
          <w:rFonts w:hint="eastAsia" w:ascii="Times New Roman" w:hAnsi="Times New Roman" w:eastAsia="仿宋_GB2312" w:cs="Times New Roman"/>
          <w:sz w:val="32"/>
          <w:szCs w:val="32"/>
          <w:lang w:val="en-US" w:eastAsia="zh-CN"/>
        </w:rPr>
        <w:t>；自评6分。</w:t>
      </w:r>
    </w:p>
    <w:p w14:paraId="41A7F2D9">
      <w:pPr>
        <w:keepNext w:val="0"/>
        <w:keepLines w:val="0"/>
        <w:pageBreakBefore w:val="0"/>
        <w:widowControl w:val="0"/>
        <w:kinsoku/>
        <w:wordWrap w:val="0"/>
        <w:overflowPunct/>
        <w:topLinePunct w:val="0"/>
        <w:autoSpaceDE/>
        <w:autoSpaceDN/>
        <w:bidi w:val="0"/>
        <w:adjustRightInd/>
        <w:snapToGrid/>
        <w:spacing w:line="590" w:lineRule="exact"/>
        <w:ind w:left="0" w:leftChars="0" w:right="0" w:rightChars="0" w:firstLine="640" w:firstLineChars="2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（2）规划论证：该项目设立符合</w:t>
      </w:r>
      <w:r>
        <w:rPr>
          <w:rFonts w:hint="eastAsia" w:eastAsia="仿宋_GB2312" w:cs="Times New Roman"/>
          <w:sz w:val="32"/>
          <w:szCs w:val="32"/>
          <w:lang w:val="en-US" w:eastAsia="zh-CN"/>
        </w:rPr>
        <w:t>中央、省委</w:t>
      </w:r>
      <w:r>
        <w:rPr>
          <w:rFonts w:hint="eastAsia" w:ascii="Times New Roman" w:hAnsi="Times New Roman" w:eastAsia="仿宋_GB2312" w:cs="Times New Roman"/>
          <w:sz w:val="32"/>
          <w:szCs w:val="32"/>
          <w:lang w:val="en-US" w:eastAsia="zh-CN"/>
        </w:rPr>
        <w:t>、市关于</w:t>
      </w:r>
      <w:r>
        <w:rPr>
          <w:rFonts w:hint="eastAsia" w:eastAsia="仿宋_GB2312" w:cs="Times New Roman"/>
          <w:sz w:val="32"/>
          <w:szCs w:val="32"/>
          <w:lang w:val="en-US" w:eastAsia="zh-CN"/>
        </w:rPr>
        <w:t>水利建设</w:t>
      </w:r>
      <w:r>
        <w:rPr>
          <w:rFonts w:hint="eastAsia" w:ascii="Times New Roman" w:hAnsi="Times New Roman" w:eastAsia="仿宋_GB2312" w:cs="Times New Roman"/>
          <w:sz w:val="32"/>
          <w:szCs w:val="32"/>
          <w:lang w:val="en-US" w:eastAsia="zh-CN"/>
        </w:rPr>
        <w:t>决策部署安排，符合</w:t>
      </w:r>
      <w:r>
        <w:rPr>
          <w:rFonts w:hint="eastAsia" w:eastAsia="仿宋_GB2312" w:cs="Times New Roman"/>
          <w:sz w:val="32"/>
          <w:szCs w:val="32"/>
          <w:lang w:val="en-US" w:eastAsia="zh-CN"/>
        </w:rPr>
        <w:t>安居区“推进乡村振兴，实现农业强区跨越式发展”“十四五”规划要求和加快推进水利工程建设筑牢民生“堤坝”任务要求</w:t>
      </w:r>
      <w:r>
        <w:rPr>
          <w:rFonts w:hint="eastAsia" w:ascii="仿宋_GB2312" w:hAnsi="仿宋_GB2312" w:eastAsia="仿宋_GB2312" w:cs="仿宋_GB2312"/>
          <w:color w:val="auto"/>
          <w:kern w:val="0"/>
          <w:sz w:val="32"/>
          <w:szCs w:val="32"/>
          <w:highlight w:val="none"/>
          <w:u w:val="none"/>
          <w:shd w:val="clear" w:color="auto" w:fill="FFFFFF"/>
          <w:lang w:val="en-US" w:eastAsia="zh-CN"/>
        </w:rPr>
        <w:t>。2024年度我局该项目绩效目标由“</w:t>
      </w:r>
      <w:r>
        <w:rPr>
          <w:rFonts w:hint="eastAsia" w:eastAsia="仿宋_GB2312" w:cs="Times New Roman"/>
          <w:sz w:val="32"/>
          <w:szCs w:val="32"/>
          <w:lang w:val="en-US" w:eastAsia="zh-CN"/>
        </w:rPr>
        <w:t>遂财建（2024）122号</w:t>
      </w:r>
      <w:r>
        <w:rPr>
          <w:rFonts w:hint="eastAsia" w:ascii="仿宋_GB2312" w:hAnsi="仿宋_GB2312" w:eastAsia="仿宋_GB2312" w:cs="仿宋_GB2312"/>
          <w:color w:val="auto"/>
          <w:kern w:val="0"/>
          <w:sz w:val="32"/>
          <w:szCs w:val="32"/>
          <w:highlight w:val="none"/>
          <w:u w:val="none"/>
          <w:shd w:val="clear" w:color="auto" w:fill="FFFFFF"/>
          <w:lang w:val="en-US" w:eastAsia="zh-CN"/>
        </w:rPr>
        <w:t>”文件设定，设定的年度绩效目标符合要求；设定的数量、质量、时效、效益、经济成本、满意度等指标基本完整、量化；自评得6分。</w:t>
      </w:r>
    </w:p>
    <w:p w14:paraId="2F8D89B0">
      <w:pPr>
        <w:keepNext w:val="0"/>
        <w:keepLines w:val="0"/>
        <w:pageBreakBefore w:val="0"/>
        <w:widowControl w:val="0"/>
        <w:kinsoku/>
        <w:wordWrap w:val="0"/>
        <w:overflowPunct/>
        <w:topLinePunct w:val="0"/>
        <w:autoSpaceDE/>
        <w:autoSpaceDN/>
        <w:bidi w:val="0"/>
        <w:adjustRightInd/>
        <w:snapToGrid/>
        <w:spacing w:line="590" w:lineRule="exact"/>
        <w:ind w:left="0" w:leftChars="0" w:right="0" w:rightChars="0" w:firstLine="640" w:firstLineChars="2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（3）资金投向：该项目属于</w:t>
      </w:r>
      <w:r>
        <w:rPr>
          <w:rFonts w:hint="eastAsia" w:eastAsia="仿宋_GB2312" w:cs="Times New Roman"/>
          <w:sz w:val="32"/>
          <w:szCs w:val="32"/>
          <w:lang w:val="en-US" w:eastAsia="zh-CN"/>
        </w:rPr>
        <w:t>安居区“推进乡村振兴，实现农业强区跨越式发展”“十四五”规划</w:t>
      </w:r>
      <w:r>
        <w:rPr>
          <w:rFonts w:hint="eastAsia" w:ascii="Times New Roman" w:hAnsi="Times New Roman" w:eastAsia="仿宋_GB2312" w:cs="Times New Roman"/>
          <w:sz w:val="32"/>
          <w:szCs w:val="32"/>
          <w:lang w:val="en-US" w:eastAsia="zh-CN"/>
        </w:rPr>
        <w:t>内容，属于政府支持范围，且符合财政事权支出责任划分规定；资金投向与项目总体规划、</w:t>
      </w:r>
      <w:r>
        <w:rPr>
          <w:rFonts w:hint="eastAsia" w:eastAsia="仿宋_GB2312" w:cs="Times New Roman"/>
          <w:sz w:val="32"/>
          <w:szCs w:val="32"/>
          <w:lang w:val="en-US" w:eastAsia="zh-CN"/>
        </w:rPr>
        <w:t>水利</w:t>
      </w:r>
      <w:r>
        <w:rPr>
          <w:rFonts w:hint="eastAsia" w:ascii="Times New Roman" w:hAnsi="Times New Roman" w:eastAsia="仿宋_GB2312" w:cs="Times New Roman"/>
          <w:sz w:val="32"/>
          <w:szCs w:val="32"/>
          <w:lang w:val="en-US" w:eastAsia="zh-CN"/>
        </w:rPr>
        <w:t>事业发展相匹配；项目实施聚焦</w:t>
      </w:r>
      <w:r>
        <w:rPr>
          <w:rFonts w:hint="eastAsia" w:eastAsia="仿宋_GB2312" w:cs="Times New Roman"/>
          <w:sz w:val="32"/>
          <w:szCs w:val="32"/>
          <w:lang w:val="en-US" w:eastAsia="zh-CN"/>
        </w:rPr>
        <w:t>加快推进水利工程建设筑牢民生“堤坝”</w:t>
      </w:r>
      <w:r>
        <w:rPr>
          <w:rFonts w:hint="eastAsia" w:ascii="Times New Roman" w:hAnsi="Times New Roman" w:eastAsia="仿宋_GB2312" w:cs="Times New Roman"/>
          <w:sz w:val="32"/>
          <w:szCs w:val="32"/>
          <w:lang w:val="en-US" w:eastAsia="zh-CN"/>
        </w:rPr>
        <w:t>的原则；自评得6分。</w:t>
      </w:r>
    </w:p>
    <w:p w14:paraId="0237E098">
      <w:pPr>
        <w:keepNext w:val="0"/>
        <w:keepLines w:val="0"/>
        <w:pageBreakBefore w:val="0"/>
        <w:widowControl w:val="0"/>
        <w:kinsoku/>
        <w:wordWrap w:val="0"/>
        <w:overflowPunct/>
        <w:topLinePunct w:val="0"/>
        <w:autoSpaceDE/>
        <w:autoSpaceDN/>
        <w:bidi w:val="0"/>
        <w:adjustRightInd/>
        <w:snapToGrid/>
        <w:spacing w:line="590" w:lineRule="exact"/>
        <w:ind w:right="0" w:rightChars="0" w:firstLine="640"/>
        <w:textAlignment w:val="auto"/>
        <w:outlineLvl w:val="9"/>
        <w:rPr>
          <w:rFonts w:hint="eastAsia" w:ascii="Times New Roman" w:hAnsi="Times New Roman" w:eastAsia="仿宋_GB2312" w:cs="Times New Roman"/>
          <w:color w:val="auto"/>
          <w:sz w:val="32"/>
          <w:szCs w:val="32"/>
          <w:lang w:eastAsia="zh-CN"/>
        </w:rPr>
      </w:pPr>
      <w:r>
        <w:rPr>
          <w:rFonts w:hint="eastAsia" w:ascii="楷体_GB2312" w:hAnsi="楷体_GB2312" w:eastAsia="楷体_GB2312" w:cs="楷体_GB2312"/>
          <w:color w:val="auto"/>
          <w:sz w:val="32"/>
          <w:szCs w:val="32"/>
          <w:lang w:val="en-US" w:eastAsia="zh-CN"/>
        </w:rPr>
        <w:t>2.</w:t>
      </w:r>
      <w:r>
        <w:rPr>
          <w:rFonts w:hint="eastAsia" w:ascii="楷体_GB2312" w:hAnsi="楷体_GB2312" w:eastAsia="楷体_GB2312" w:cs="楷体_GB2312"/>
          <w:color w:val="auto"/>
          <w:sz w:val="32"/>
          <w:szCs w:val="32"/>
          <w:lang w:eastAsia="zh-CN"/>
        </w:rPr>
        <w:t>项目管理。</w:t>
      </w:r>
      <w:r>
        <w:rPr>
          <w:rFonts w:hint="eastAsia" w:ascii="Times New Roman" w:hAnsi="Times New Roman" w:eastAsia="仿宋_GB2312" w:cs="Times New Roman"/>
          <w:color w:val="auto"/>
          <w:sz w:val="32"/>
          <w:szCs w:val="32"/>
          <w:lang w:eastAsia="zh-CN"/>
        </w:rPr>
        <w:t>围绕制度办法、分配管理、绩效监管进行绩效分析。</w:t>
      </w:r>
    </w:p>
    <w:p w14:paraId="2E656441">
      <w:pPr>
        <w:keepNext w:val="0"/>
        <w:keepLines w:val="0"/>
        <w:pageBreakBefore w:val="0"/>
        <w:widowControl w:val="0"/>
        <w:kinsoku/>
        <w:wordWrap w:val="0"/>
        <w:overflowPunct/>
        <w:topLinePunct w:val="0"/>
        <w:autoSpaceDE/>
        <w:autoSpaceDN/>
        <w:bidi w:val="0"/>
        <w:adjustRightInd/>
        <w:snapToGrid/>
        <w:spacing w:line="590" w:lineRule="exact"/>
        <w:ind w:left="0" w:leftChars="0" w:right="0" w:rightChars="0" w:firstLine="640" w:firstLineChars="2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（1）制度办法：该项目严格按照</w:t>
      </w:r>
      <w:r>
        <w:rPr>
          <w:rFonts w:hint="eastAsia" w:eastAsia="仿宋_GB2312" w:cs="Times New Roman"/>
          <w:sz w:val="32"/>
          <w:szCs w:val="32"/>
          <w:lang w:val="en-US" w:eastAsia="zh-CN"/>
        </w:rPr>
        <w:t>《四川省财政厅 四川省水利厅关于印发&lt;四川省水利发展资金管理办法&gt;的通知》（川财农〔2023〕29号）《遂宁市水利监督管理实施办法（试行）》</w:t>
      </w:r>
      <w:r>
        <w:rPr>
          <w:rFonts w:hint="eastAsia" w:ascii="Times New Roman" w:hAnsi="Times New Roman" w:eastAsia="仿宋_GB2312" w:cs="Times New Roman"/>
          <w:sz w:val="32"/>
          <w:szCs w:val="32"/>
          <w:lang w:val="en-US" w:eastAsia="zh-CN"/>
        </w:rPr>
        <w:t>专项资金管理办法</w:t>
      </w:r>
      <w:r>
        <w:rPr>
          <w:rFonts w:hint="eastAsia" w:eastAsia="仿宋_GB2312" w:cs="Times New Roman"/>
          <w:sz w:val="32"/>
          <w:szCs w:val="32"/>
          <w:lang w:val="en-US" w:eastAsia="zh-CN"/>
        </w:rPr>
        <w:t>开展</w:t>
      </w:r>
      <w:r>
        <w:rPr>
          <w:rFonts w:hint="eastAsia" w:ascii="Times New Roman" w:hAnsi="Times New Roman" w:eastAsia="仿宋_GB2312" w:cs="Times New Roman"/>
          <w:sz w:val="32"/>
          <w:szCs w:val="32"/>
          <w:lang w:val="en-US" w:eastAsia="zh-CN"/>
        </w:rPr>
        <w:t>，并严格按照“</w:t>
      </w:r>
      <w:r>
        <w:rPr>
          <w:rFonts w:hint="eastAsia" w:eastAsia="仿宋_GB2312" w:cs="Times New Roman"/>
          <w:sz w:val="32"/>
          <w:szCs w:val="32"/>
          <w:lang w:val="en-US" w:eastAsia="zh-CN"/>
        </w:rPr>
        <w:t>遂财建（2024）122号</w:t>
      </w:r>
      <w:r>
        <w:rPr>
          <w:rFonts w:hint="eastAsia" w:ascii="Times New Roman" w:hAnsi="Times New Roman" w:eastAsia="仿宋_GB2312" w:cs="Times New Roman"/>
          <w:sz w:val="32"/>
          <w:szCs w:val="32"/>
          <w:lang w:val="en-US" w:eastAsia="zh-CN"/>
        </w:rPr>
        <w:t>”文件规定执行；项目资金支付严格按照我局财务报销管理</w:t>
      </w:r>
      <w:r>
        <w:rPr>
          <w:rFonts w:hint="eastAsia" w:eastAsia="仿宋_GB2312" w:cs="Times New Roman"/>
          <w:sz w:val="32"/>
          <w:szCs w:val="32"/>
          <w:lang w:val="en-US" w:eastAsia="zh-CN"/>
        </w:rPr>
        <w:t>、收支业务管理</w:t>
      </w:r>
      <w:r>
        <w:rPr>
          <w:rFonts w:hint="eastAsia" w:ascii="Times New Roman" w:hAnsi="Times New Roman" w:eastAsia="仿宋_GB2312" w:cs="Times New Roman"/>
          <w:sz w:val="32"/>
          <w:szCs w:val="32"/>
          <w:lang w:val="en-US" w:eastAsia="zh-CN"/>
        </w:rPr>
        <w:t>制度执行，不存在管理制度缺失、管理办法过期情况；自评得2分。</w:t>
      </w:r>
    </w:p>
    <w:p w14:paraId="21F3276F">
      <w:pPr>
        <w:keepNext w:val="0"/>
        <w:keepLines w:val="0"/>
        <w:pageBreakBefore w:val="0"/>
        <w:widowControl w:val="0"/>
        <w:kinsoku/>
        <w:wordWrap w:val="0"/>
        <w:overflowPunct/>
        <w:topLinePunct w:val="0"/>
        <w:autoSpaceDE/>
        <w:autoSpaceDN/>
        <w:bidi w:val="0"/>
        <w:adjustRightInd/>
        <w:snapToGrid/>
        <w:spacing w:line="590" w:lineRule="exact"/>
        <w:ind w:left="0" w:leftChars="0" w:right="0" w:rightChars="0"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（2）分配管理：</w:t>
      </w:r>
    </w:p>
    <w:p w14:paraId="3AEAF189">
      <w:pPr>
        <w:keepNext w:val="0"/>
        <w:keepLines w:val="0"/>
        <w:pageBreakBefore w:val="0"/>
        <w:widowControl w:val="0"/>
        <w:kinsoku/>
        <w:wordWrap w:val="0"/>
        <w:overflowPunct/>
        <w:topLinePunct w:val="0"/>
        <w:autoSpaceDE/>
        <w:autoSpaceDN/>
        <w:bidi w:val="0"/>
        <w:adjustRightInd/>
        <w:snapToGrid/>
        <w:spacing w:line="590" w:lineRule="exact"/>
        <w:ind w:left="0" w:leftChars="0" w:right="0" w:rightChars="0"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资金分配因素：该项目由“</w:t>
      </w:r>
      <w:r>
        <w:rPr>
          <w:rFonts w:hint="eastAsia" w:eastAsia="仿宋_GB2312" w:cs="Times New Roman"/>
          <w:sz w:val="32"/>
          <w:szCs w:val="32"/>
          <w:lang w:val="en-US" w:eastAsia="zh-CN"/>
        </w:rPr>
        <w:t>遂财建（2024）122号</w:t>
      </w:r>
      <w:r>
        <w:rPr>
          <w:rFonts w:hint="eastAsia" w:ascii="Times New Roman" w:hAnsi="Times New Roman" w:eastAsia="仿宋_GB2312" w:cs="Times New Roman"/>
          <w:sz w:val="32"/>
          <w:szCs w:val="32"/>
          <w:lang w:val="en-US" w:eastAsia="zh-CN"/>
        </w:rPr>
        <w:t>”文件分配，上级部门及财政部门选取充分考虑相关行业事业发展实际和发展需求，自评得2分；</w:t>
      </w:r>
    </w:p>
    <w:p w14:paraId="0186A0B3">
      <w:pPr>
        <w:keepNext w:val="0"/>
        <w:keepLines w:val="0"/>
        <w:pageBreakBefore w:val="0"/>
        <w:widowControl w:val="0"/>
        <w:kinsoku/>
        <w:wordWrap w:val="0"/>
        <w:overflowPunct/>
        <w:topLinePunct w:val="0"/>
        <w:autoSpaceDE/>
        <w:autoSpaceDN/>
        <w:bidi w:val="0"/>
        <w:adjustRightInd/>
        <w:snapToGrid/>
        <w:spacing w:line="590" w:lineRule="exact"/>
        <w:ind w:left="0" w:leftChars="0" w:right="0" w:rightChars="0"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资金分配因素的权重设置：有效突出了遂宁市各县区实际，自评得2分；</w:t>
      </w:r>
    </w:p>
    <w:p w14:paraId="4D5BDC12">
      <w:pPr>
        <w:keepNext w:val="0"/>
        <w:keepLines w:val="0"/>
        <w:pageBreakBefore w:val="0"/>
        <w:widowControl w:val="0"/>
        <w:kinsoku/>
        <w:wordWrap w:val="0"/>
        <w:overflowPunct/>
        <w:topLinePunct w:val="0"/>
        <w:autoSpaceDE/>
        <w:autoSpaceDN/>
        <w:bidi w:val="0"/>
        <w:adjustRightInd/>
        <w:snapToGrid/>
        <w:spacing w:line="590" w:lineRule="exact"/>
        <w:ind w:left="0" w:leftChars="0" w:right="0" w:rightChars="0"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资金区域分布结果公平合理，不存在仅为1个地区，自评得2分。</w:t>
      </w:r>
    </w:p>
    <w:p w14:paraId="60C870F8">
      <w:pPr>
        <w:keepNext w:val="0"/>
        <w:keepLines w:val="0"/>
        <w:pageBreakBefore w:val="0"/>
        <w:widowControl w:val="0"/>
        <w:kinsoku/>
        <w:wordWrap w:val="0"/>
        <w:overflowPunct/>
        <w:topLinePunct w:val="0"/>
        <w:autoSpaceDE/>
        <w:autoSpaceDN/>
        <w:bidi w:val="0"/>
        <w:adjustRightInd/>
        <w:snapToGrid/>
        <w:spacing w:line="590" w:lineRule="exact"/>
        <w:ind w:left="0" w:leftChars="0" w:right="0" w:rightChars="0"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该项目资金分配严格</w:t>
      </w:r>
      <w:r>
        <w:rPr>
          <w:rFonts w:hint="eastAsia" w:eastAsia="仿宋_GB2312" w:cs="Times New Roman"/>
          <w:sz w:val="32"/>
          <w:szCs w:val="32"/>
          <w:lang w:val="en-US" w:eastAsia="zh-CN"/>
        </w:rPr>
        <w:t>按遂财建（2024）122号</w:t>
      </w:r>
      <w:r>
        <w:rPr>
          <w:rFonts w:hint="eastAsia" w:ascii="Times New Roman" w:hAnsi="Times New Roman" w:eastAsia="仿宋_GB2312" w:cs="Times New Roman"/>
          <w:sz w:val="32"/>
          <w:szCs w:val="32"/>
          <w:lang w:val="en-US" w:eastAsia="zh-CN"/>
        </w:rPr>
        <w:t>执行，决策程序符合管理要求，及时高效，自评得4分。</w:t>
      </w:r>
    </w:p>
    <w:p w14:paraId="661C094D">
      <w:pPr>
        <w:keepNext w:val="0"/>
        <w:keepLines w:val="0"/>
        <w:pageBreakBefore w:val="0"/>
        <w:widowControl w:val="0"/>
        <w:kinsoku/>
        <w:wordWrap w:val="0"/>
        <w:overflowPunct/>
        <w:topLinePunct w:val="0"/>
        <w:autoSpaceDE/>
        <w:autoSpaceDN/>
        <w:bidi w:val="0"/>
        <w:adjustRightInd/>
        <w:snapToGrid/>
        <w:spacing w:line="590" w:lineRule="exact"/>
        <w:ind w:left="0" w:leftChars="0" w:right="0" w:rightChars="0"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（3）绩效监管：该项目严格按照</w:t>
      </w:r>
      <w:r>
        <w:rPr>
          <w:rFonts w:hint="eastAsia" w:eastAsia="仿宋_GB2312" w:cs="Times New Roman"/>
          <w:sz w:val="32"/>
          <w:szCs w:val="32"/>
          <w:lang w:val="en-US" w:eastAsia="zh-CN"/>
        </w:rPr>
        <w:t>中央、省委</w:t>
      </w:r>
      <w:r>
        <w:rPr>
          <w:rFonts w:hint="eastAsia" w:ascii="Times New Roman" w:hAnsi="Times New Roman" w:eastAsia="仿宋_GB2312" w:cs="Times New Roman"/>
          <w:sz w:val="32"/>
          <w:szCs w:val="32"/>
          <w:lang w:val="en-US" w:eastAsia="zh-CN"/>
        </w:rPr>
        <w:t>、市要求全面完成绩效目标（含事前评估）、绩效评价、以前年度问题整改等预算绩效管理工作要求开展，设定了项目绩效目标（含事前评估），本次进行了绩效自评，自评得4分</w:t>
      </w:r>
    </w:p>
    <w:p w14:paraId="54263030">
      <w:pPr>
        <w:keepNext w:val="0"/>
        <w:keepLines w:val="0"/>
        <w:pageBreakBefore w:val="0"/>
        <w:widowControl w:val="0"/>
        <w:kinsoku/>
        <w:wordWrap w:val="0"/>
        <w:overflowPunct/>
        <w:topLinePunct w:val="0"/>
        <w:autoSpaceDE/>
        <w:autoSpaceDN/>
        <w:bidi w:val="0"/>
        <w:adjustRightInd/>
        <w:snapToGrid/>
        <w:spacing w:line="590" w:lineRule="exact"/>
        <w:ind w:left="0" w:leftChars="0" w:right="0" w:rightChars="0" w:firstLine="640" w:firstLineChars="2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遂宁市财政局发布了“</w:t>
      </w:r>
      <w:r>
        <w:rPr>
          <w:rFonts w:hint="eastAsia" w:eastAsia="仿宋_GB2312" w:cs="Times New Roman"/>
          <w:sz w:val="32"/>
          <w:szCs w:val="32"/>
          <w:lang w:val="en-US" w:eastAsia="zh-CN"/>
        </w:rPr>
        <w:t>遂财建（2024）122号</w:t>
      </w:r>
      <w:r>
        <w:rPr>
          <w:rFonts w:hint="eastAsia" w:ascii="Times New Roman" w:hAnsi="Times New Roman" w:eastAsia="仿宋_GB2312" w:cs="Times New Roman"/>
          <w:sz w:val="32"/>
          <w:szCs w:val="32"/>
          <w:lang w:val="en-US" w:eastAsia="zh-CN"/>
        </w:rPr>
        <w:t>”文件，对县级主管部门预算绩效管理要求到位，不存在对县级资金分配和项目管理指导力度不够情况，已对县级开展评价、监督、指导等工作，自评得2分。</w:t>
      </w:r>
    </w:p>
    <w:p w14:paraId="05A4EE0E">
      <w:pPr>
        <w:keepNext w:val="0"/>
        <w:keepLines w:val="0"/>
        <w:pageBreakBefore w:val="0"/>
        <w:widowControl w:val="0"/>
        <w:kinsoku/>
        <w:wordWrap w:val="0"/>
        <w:overflowPunct/>
        <w:topLinePunct w:val="0"/>
        <w:autoSpaceDE/>
        <w:autoSpaceDN/>
        <w:bidi w:val="0"/>
        <w:adjustRightInd/>
        <w:snapToGrid/>
        <w:spacing w:line="590" w:lineRule="exact"/>
        <w:ind w:left="420" w:leftChars="200" w:right="0" w:rightChars="0" w:firstLine="0" w:firstLineChars="0"/>
        <w:textAlignment w:val="auto"/>
        <w:outlineLvl w:val="9"/>
        <w:rPr>
          <w:rFonts w:hint="eastAsia" w:ascii="Times New Roman" w:hAnsi="Times New Roman" w:eastAsia="仿宋_GB2312" w:cs="Times New Roman"/>
          <w:color w:val="auto"/>
          <w:sz w:val="32"/>
          <w:szCs w:val="32"/>
          <w:lang w:eastAsia="zh-CN"/>
        </w:rPr>
      </w:pPr>
      <w:r>
        <w:rPr>
          <w:rFonts w:hint="eastAsia" w:ascii="楷体_GB2312" w:hAnsi="楷体_GB2312" w:eastAsia="楷体_GB2312" w:cs="楷体_GB2312"/>
          <w:color w:val="auto"/>
          <w:sz w:val="32"/>
          <w:szCs w:val="32"/>
          <w:lang w:val="en-US" w:eastAsia="zh-CN"/>
        </w:rPr>
        <w:t>3.项目实施。</w:t>
      </w:r>
      <w:r>
        <w:rPr>
          <w:rFonts w:hint="eastAsia" w:ascii="Times New Roman" w:hAnsi="Times New Roman" w:eastAsia="仿宋_GB2312" w:cs="Times New Roman"/>
          <w:color w:val="auto"/>
          <w:sz w:val="32"/>
          <w:szCs w:val="32"/>
          <w:lang w:eastAsia="zh-CN"/>
        </w:rPr>
        <w:t>围绕预算</w:t>
      </w:r>
      <w:r>
        <w:rPr>
          <w:rFonts w:hint="eastAsia" w:eastAsia="仿宋_GB2312" w:cs="Times New Roman"/>
          <w:color w:val="auto"/>
          <w:sz w:val="32"/>
          <w:szCs w:val="32"/>
          <w:lang w:val="zh-CN" w:eastAsia="zh-CN"/>
        </w:rPr>
        <w:t>执行</w:t>
      </w:r>
      <w:r>
        <w:rPr>
          <w:rFonts w:hint="eastAsia" w:ascii="Times New Roman" w:hAnsi="Times New Roman" w:eastAsia="仿宋_GB2312" w:cs="Times New Roman"/>
          <w:color w:val="auto"/>
          <w:sz w:val="32"/>
          <w:szCs w:val="32"/>
          <w:lang w:eastAsia="zh-CN"/>
        </w:rPr>
        <w:t>、资金使用进行绩效分析。</w:t>
      </w:r>
    </w:p>
    <w:p w14:paraId="7BFF0AA3">
      <w:pPr>
        <w:keepNext w:val="0"/>
        <w:keepLines w:val="0"/>
        <w:pageBreakBefore w:val="0"/>
        <w:widowControl w:val="0"/>
        <w:kinsoku/>
        <w:wordWrap w:val="0"/>
        <w:overflowPunct/>
        <w:topLinePunct w:val="0"/>
        <w:autoSpaceDE/>
        <w:autoSpaceDN/>
        <w:bidi w:val="0"/>
        <w:adjustRightInd/>
        <w:snapToGrid/>
        <w:spacing w:line="590" w:lineRule="exact"/>
        <w:ind w:left="0" w:leftChars="0" w:right="0" w:rightChars="0" w:firstLine="640" w:firstLineChars="2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（1）预算执行：根据“财政资金拨付率×100%×2+单位资金使用率×100%×2+地方资金到位率×100%×2”自评指标；该项目2024年度预算数</w:t>
      </w:r>
      <w:r>
        <w:rPr>
          <w:rFonts w:hint="eastAsia" w:eastAsia="仿宋_GB2312" w:cs="Times New Roman"/>
          <w:sz w:val="32"/>
          <w:szCs w:val="32"/>
          <w:lang w:val="en-US" w:eastAsia="zh-CN"/>
        </w:rPr>
        <w:t>20000000.00</w:t>
      </w:r>
      <w:r>
        <w:rPr>
          <w:rFonts w:hint="eastAsia" w:ascii="Times New Roman" w:hAnsi="Times New Roman" w:eastAsia="仿宋_GB2312" w:cs="Times New Roman"/>
          <w:sz w:val="32"/>
          <w:szCs w:val="32"/>
          <w:lang w:val="en-US" w:eastAsia="zh-CN"/>
        </w:rPr>
        <w:t>元，单位资金使用</w:t>
      </w:r>
      <w:r>
        <w:rPr>
          <w:rFonts w:hint="eastAsia" w:eastAsia="仿宋_GB2312" w:cs="Times New Roman"/>
          <w:sz w:val="32"/>
          <w:szCs w:val="32"/>
          <w:lang w:val="en-US" w:eastAsia="zh-CN"/>
        </w:rPr>
        <w:t>20000000.00</w:t>
      </w:r>
      <w:r>
        <w:rPr>
          <w:rFonts w:hint="eastAsia" w:ascii="Times New Roman" w:hAnsi="Times New Roman" w:eastAsia="仿宋_GB2312" w:cs="Times New Roman"/>
          <w:sz w:val="32"/>
          <w:szCs w:val="32"/>
          <w:lang w:val="en-US" w:eastAsia="zh-CN"/>
        </w:rPr>
        <w:t>元，预算执行率=100%*100%*2+</w:t>
      </w:r>
      <w:r>
        <w:rPr>
          <w:rFonts w:hint="eastAsia" w:eastAsia="仿宋_GB2312" w:cs="Times New Roman"/>
          <w:sz w:val="32"/>
          <w:szCs w:val="32"/>
          <w:lang w:val="en-US" w:eastAsia="zh-CN"/>
        </w:rPr>
        <w:t>20000000.00</w:t>
      </w:r>
      <w:r>
        <w:rPr>
          <w:rFonts w:hint="eastAsia" w:ascii="Times New Roman" w:hAnsi="Times New Roman" w:eastAsia="仿宋_GB2312" w:cs="Times New Roman"/>
          <w:sz w:val="32"/>
          <w:szCs w:val="32"/>
          <w:lang w:val="en-US" w:eastAsia="zh-CN"/>
        </w:rPr>
        <w:t>/</w:t>
      </w:r>
      <w:r>
        <w:rPr>
          <w:rFonts w:hint="eastAsia" w:eastAsia="仿宋_GB2312"/>
          <w:sz w:val="32"/>
          <w:szCs w:val="32"/>
          <w:lang w:val="en-US" w:eastAsia="zh-CN"/>
        </w:rPr>
        <w:t>20000000.00</w:t>
      </w:r>
      <w:r>
        <w:rPr>
          <w:rFonts w:hint="eastAsia" w:ascii="Times New Roman" w:hAnsi="Times New Roman" w:eastAsia="仿宋_GB2312" w:cs="Times New Roman"/>
          <w:sz w:val="32"/>
          <w:szCs w:val="32"/>
          <w:lang w:val="en-US" w:eastAsia="zh-CN"/>
        </w:rPr>
        <w:t>*100%*2+2=</w:t>
      </w:r>
      <w:r>
        <w:rPr>
          <w:rFonts w:hint="eastAsia" w:eastAsia="仿宋_GB2312" w:cs="Times New Roman"/>
          <w:sz w:val="32"/>
          <w:szCs w:val="32"/>
          <w:lang w:val="en-US" w:eastAsia="zh-CN"/>
        </w:rPr>
        <w:t>6</w:t>
      </w:r>
      <w:r>
        <w:rPr>
          <w:rFonts w:hint="eastAsia" w:ascii="Times New Roman" w:hAnsi="Times New Roman" w:eastAsia="仿宋_GB2312" w:cs="Times New Roman"/>
          <w:sz w:val="32"/>
          <w:szCs w:val="32"/>
          <w:lang w:val="en-US" w:eastAsia="zh-CN"/>
        </w:rPr>
        <w:t>分。</w:t>
      </w:r>
    </w:p>
    <w:p w14:paraId="4450548F">
      <w:pPr>
        <w:keepNext w:val="0"/>
        <w:keepLines w:val="0"/>
        <w:pageBreakBefore w:val="0"/>
        <w:widowControl w:val="0"/>
        <w:kinsoku/>
        <w:wordWrap w:val="0"/>
        <w:overflowPunct/>
        <w:topLinePunct w:val="0"/>
        <w:autoSpaceDE/>
        <w:autoSpaceDN/>
        <w:bidi w:val="0"/>
        <w:adjustRightInd/>
        <w:snapToGrid/>
        <w:spacing w:line="590" w:lineRule="exact"/>
        <w:ind w:left="0" w:leftChars="0" w:right="0" w:rightChars="0" w:firstLine="640" w:firstLineChars="2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（2）资金使用：2024年度，该项目在项目资金使用、拨付中严格按照</w:t>
      </w:r>
      <w:r>
        <w:rPr>
          <w:rFonts w:hint="eastAsia" w:eastAsia="仿宋_GB2312" w:cs="Times New Roman"/>
          <w:sz w:val="32"/>
          <w:szCs w:val="32"/>
          <w:lang w:val="en-US" w:eastAsia="zh-CN"/>
        </w:rPr>
        <w:t>《四川省财政厅 四川省水利厅关于印发&lt;四川省水利发展资金管理办法&gt;的通知》（川财农〔2023〕29号）《遂宁市水利监督管理实施办法（试行）》</w:t>
      </w:r>
      <w:r>
        <w:rPr>
          <w:rFonts w:hint="eastAsia" w:ascii="Times New Roman" w:hAnsi="Times New Roman" w:eastAsia="仿宋_GB2312" w:cs="Times New Roman"/>
          <w:sz w:val="32"/>
          <w:szCs w:val="32"/>
          <w:lang w:val="en-US" w:eastAsia="zh-CN"/>
        </w:rPr>
        <w:t>、“</w:t>
      </w:r>
      <w:r>
        <w:rPr>
          <w:rFonts w:hint="eastAsia" w:eastAsia="仿宋_GB2312" w:cs="Times New Roman"/>
          <w:sz w:val="32"/>
          <w:szCs w:val="32"/>
          <w:lang w:val="en-US" w:eastAsia="zh-CN"/>
        </w:rPr>
        <w:t>遂财建（2024）122号</w:t>
      </w:r>
      <w:r>
        <w:rPr>
          <w:rFonts w:hint="eastAsia" w:ascii="Times New Roman" w:hAnsi="Times New Roman" w:eastAsia="仿宋_GB2312" w:cs="Times New Roman"/>
          <w:sz w:val="32"/>
          <w:szCs w:val="32"/>
          <w:lang w:val="en-US" w:eastAsia="zh-CN"/>
        </w:rPr>
        <w:t>”文件执行，不存在不符合国家财经法规情况；项目资金支付</w:t>
      </w:r>
      <w:r>
        <w:rPr>
          <w:rFonts w:hint="eastAsia" w:eastAsia="仿宋_GB2312" w:cs="Times New Roman"/>
          <w:sz w:val="32"/>
          <w:szCs w:val="32"/>
          <w:lang w:val="en-US" w:eastAsia="zh-CN"/>
        </w:rPr>
        <w:t>20000000.00</w:t>
      </w:r>
      <w:r>
        <w:rPr>
          <w:rFonts w:hint="eastAsia" w:ascii="Times New Roman" w:hAnsi="Times New Roman" w:eastAsia="仿宋_GB2312" w:cs="Times New Roman"/>
          <w:sz w:val="32"/>
          <w:szCs w:val="32"/>
          <w:lang w:val="en-US" w:eastAsia="zh-CN"/>
        </w:rPr>
        <w:t>元，共</w:t>
      </w:r>
      <w:r>
        <w:rPr>
          <w:rFonts w:hint="eastAsia" w:eastAsia="仿宋_GB2312" w:cs="Times New Roman"/>
          <w:sz w:val="32"/>
          <w:szCs w:val="32"/>
          <w:lang w:val="en-US" w:eastAsia="zh-CN"/>
        </w:rPr>
        <w:t>1</w:t>
      </w:r>
      <w:r>
        <w:rPr>
          <w:rFonts w:hint="eastAsia" w:ascii="Times New Roman" w:hAnsi="Times New Roman" w:eastAsia="仿宋_GB2312" w:cs="Times New Roman"/>
          <w:sz w:val="32"/>
          <w:szCs w:val="32"/>
          <w:lang w:val="en-US" w:eastAsia="zh-CN"/>
        </w:rPr>
        <w:t>笔，严格按照单位财务报销管理制度执行、严格履行资金支付审批程序，不存在超范围、超标准、超进度使用专项资金情况，不存在资金损失浪费、长期沉淀、截留、挤占、挪用、虚列支出等情况；自评得3分。</w:t>
      </w:r>
    </w:p>
    <w:p w14:paraId="502A4422">
      <w:pPr>
        <w:keepNext w:val="0"/>
        <w:keepLines w:val="0"/>
        <w:pageBreakBefore w:val="0"/>
        <w:widowControl w:val="0"/>
        <w:kinsoku/>
        <w:wordWrap w:val="0"/>
        <w:overflowPunct/>
        <w:topLinePunct w:val="0"/>
        <w:autoSpaceDE/>
        <w:autoSpaceDN/>
        <w:bidi w:val="0"/>
        <w:adjustRightInd/>
        <w:snapToGrid/>
        <w:spacing w:line="590" w:lineRule="exact"/>
        <w:ind w:left="420" w:leftChars="200" w:right="0" w:rightChars="0" w:firstLine="0" w:firstLineChars="0"/>
        <w:textAlignment w:val="auto"/>
        <w:outlineLvl w:val="9"/>
        <w:rPr>
          <w:rFonts w:hint="eastAsia" w:ascii="Times New Roman" w:hAnsi="Times New Roman" w:eastAsia="仿宋_GB2312" w:cs="Times New Roman"/>
          <w:color w:val="auto"/>
          <w:sz w:val="32"/>
          <w:szCs w:val="32"/>
          <w:lang w:eastAsia="zh-CN"/>
        </w:rPr>
      </w:pPr>
      <w:r>
        <w:rPr>
          <w:rFonts w:hint="eastAsia" w:ascii="楷体_GB2312" w:hAnsi="楷体_GB2312" w:eastAsia="楷体_GB2312" w:cs="楷体_GB2312"/>
          <w:color w:val="auto"/>
          <w:sz w:val="32"/>
          <w:szCs w:val="32"/>
          <w:lang w:val="en-US" w:eastAsia="zh-CN"/>
        </w:rPr>
        <w:t>4. 项目结果。</w:t>
      </w:r>
      <w:r>
        <w:rPr>
          <w:rFonts w:hint="eastAsia" w:ascii="Times New Roman" w:hAnsi="Times New Roman" w:eastAsia="仿宋_GB2312" w:cs="Times New Roman"/>
          <w:color w:val="auto"/>
          <w:sz w:val="32"/>
          <w:szCs w:val="32"/>
          <w:lang w:val="en-US" w:eastAsia="zh-CN"/>
        </w:rPr>
        <w:t>围绕</w:t>
      </w:r>
      <w:r>
        <w:rPr>
          <w:rFonts w:hint="eastAsia" w:ascii="Times New Roman" w:hAnsi="Times New Roman" w:eastAsia="仿宋_GB2312" w:cs="Times New Roman"/>
          <w:color w:val="auto"/>
          <w:sz w:val="32"/>
          <w:szCs w:val="32"/>
          <w:lang w:eastAsia="zh-CN"/>
        </w:rPr>
        <w:t>目标完成、完成时效进行绩效分析。</w:t>
      </w:r>
    </w:p>
    <w:p w14:paraId="08BB6EA6">
      <w:pPr>
        <w:keepNext w:val="0"/>
        <w:keepLines w:val="0"/>
        <w:pageBreakBefore w:val="0"/>
        <w:widowControl w:val="0"/>
        <w:kinsoku/>
        <w:wordWrap w:val="0"/>
        <w:overflowPunct/>
        <w:topLinePunct w:val="0"/>
        <w:autoSpaceDE/>
        <w:autoSpaceDN/>
        <w:bidi w:val="0"/>
        <w:adjustRightInd/>
        <w:snapToGrid/>
        <w:spacing w:line="590" w:lineRule="exact"/>
        <w:ind w:left="0" w:leftChars="0" w:right="0" w:rightChars="0"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（1）目标完成：</w:t>
      </w:r>
    </w:p>
    <w:p w14:paraId="0A7F6FC5">
      <w:pPr>
        <w:keepNext w:val="0"/>
        <w:keepLines w:val="0"/>
        <w:pageBreakBefore w:val="0"/>
        <w:widowControl w:val="0"/>
        <w:kinsoku/>
        <w:wordWrap w:val="0"/>
        <w:overflowPunct/>
        <w:topLinePunct w:val="0"/>
        <w:autoSpaceDE/>
        <w:autoSpaceDN/>
        <w:bidi w:val="0"/>
        <w:adjustRightInd/>
        <w:snapToGrid/>
        <w:spacing w:line="590" w:lineRule="exact"/>
        <w:ind w:left="0" w:leftChars="0" w:right="0" w:rightChars="0"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完成新建日处理量10000立方米的再生水厂1座，新建DN600再生水管网11.3千米，确保13个月工期按期完工</w:t>
      </w:r>
      <w:r>
        <w:rPr>
          <w:rFonts w:hint="eastAsia" w:eastAsia="仿宋_GB2312" w:cs="Times New Roman"/>
          <w:sz w:val="32"/>
          <w:szCs w:val="32"/>
          <w:lang w:val="en-US" w:eastAsia="zh-CN"/>
        </w:rPr>
        <w:t>。</w:t>
      </w:r>
    </w:p>
    <w:p w14:paraId="2E930E48">
      <w:pPr>
        <w:keepNext w:val="0"/>
        <w:keepLines w:val="0"/>
        <w:pageBreakBefore w:val="0"/>
        <w:widowControl w:val="0"/>
        <w:kinsoku/>
        <w:wordWrap w:val="0"/>
        <w:overflowPunct/>
        <w:topLinePunct w:val="0"/>
        <w:autoSpaceDE/>
        <w:autoSpaceDN/>
        <w:bidi w:val="0"/>
        <w:adjustRightInd/>
        <w:snapToGrid/>
        <w:spacing w:line="590" w:lineRule="exact"/>
        <w:ind w:left="0" w:leftChars="0" w:right="0" w:rightChars="0"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分阶段实现再生水利用率指标：2024年达46%，2025年提升至49%</w:t>
      </w:r>
      <w:r>
        <w:rPr>
          <w:rFonts w:hint="eastAsia" w:eastAsia="仿宋_GB2312" w:cs="Times New Roman"/>
          <w:sz w:val="32"/>
          <w:szCs w:val="32"/>
          <w:lang w:val="en-US" w:eastAsia="zh-CN"/>
        </w:rPr>
        <w:t>。</w:t>
      </w:r>
    </w:p>
    <w:p w14:paraId="1E017657">
      <w:pPr>
        <w:keepNext w:val="0"/>
        <w:keepLines w:val="0"/>
        <w:pageBreakBefore w:val="0"/>
        <w:widowControl w:val="0"/>
        <w:kinsoku/>
        <w:wordWrap w:val="0"/>
        <w:overflowPunct/>
        <w:topLinePunct w:val="0"/>
        <w:autoSpaceDE/>
        <w:autoSpaceDN/>
        <w:bidi w:val="0"/>
        <w:adjustRightInd/>
        <w:snapToGrid/>
        <w:spacing w:line="590" w:lineRule="exact"/>
        <w:ind w:left="0" w:leftChars="0" w:right="0" w:rightChars="0"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经济效益目标‌</w:t>
      </w:r>
      <w:r>
        <w:rPr>
          <w:rFonts w:hint="eastAsia" w:eastAsia="仿宋_GB2312" w:cs="Times New Roman"/>
          <w:sz w:val="32"/>
          <w:szCs w:val="32"/>
          <w:lang w:val="en-US" w:eastAsia="zh-CN"/>
        </w:rPr>
        <w:t>：</w:t>
      </w:r>
      <w:r>
        <w:rPr>
          <w:rFonts w:hint="eastAsia" w:ascii="Times New Roman" w:hAnsi="Times New Roman" w:eastAsia="仿宋_GB2312" w:cs="Times New Roman"/>
          <w:sz w:val="32"/>
          <w:szCs w:val="32"/>
          <w:lang w:val="en-US" w:eastAsia="zh-CN"/>
        </w:rPr>
        <w:t>减少新鲜水取水量，降低市政排水设施投资和运行费用，项目总投资5851万元（上级资金及区级财政配套）资金执行率达100%。</w:t>
      </w:r>
    </w:p>
    <w:p w14:paraId="3F4BFD92">
      <w:pPr>
        <w:keepNext w:val="0"/>
        <w:keepLines w:val="0"/>
        <w:pageBreakBefore w:val="0"/>
        <w:widowControl w:val="0"/>
        <w:kinsoku/>
        <w:wordWrap w:val="0"/>
        <w:overflowPunct/>
        <w:topLinePunct w:val="0"/>
        <w:autoSpaceDE/>
        <w:autoSpaceDN/>
        <w:bidi w:val="0"/>
        <w:adjustRightInd/>
        <w:snapToGrid/>
        <w:spacing w:line="590" w:lineRule="exact"/>
        <w:ind w:left="0" w:leftChars="0" w:right="0" w:rightChars="0"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通过再生水定价政策和企业激励措施，推动水资源循环利用的经济效益。</w:t>
      </w:r>
    </w:p>
    <w:p w14:paraId="3DA5FE72">
      <w:pPr>
        <w:keepNext w:val="0"/>
        <w:keepLines w:val="0"/>
        <w:pageBreakBefore w:val="0"/>
        <w:widowControl w:val="0"/>
        <w:kinsoku/>
        <w:wordWrap w:val="0"/>
        <w:overflowPunct/>
        <w:topLinePunct w:val="0"/>
        <w:autoSpaceDE/>
        <w:autoSpaceDN/>
        <w:bidi w:val="0"/>
        <w:adjustRightInd/>
        <w:snapToGrid/>
        <w:spacing w:line="590" w:lineRule="exact"/>
        <w:ind w:left="0" w:leftChars="0" w:right="0" w:rightChars="0"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cs="Times New Roman"/>
          <w:sz w:val="32"/>
          <w:szCs w:val="32"/>
          <w:lang w:val="en-US" w:eastAsia="zh-CN"/>
        </w:rPr>
        <w:t>‌</w:t>
      </w:r>
      <w:r>
        <w:rPr>
          <w:rFonts w:hint="eastAsia" w:ascii="Times New Roman" w:hAnsi="Times New Roman" w:eastAsia="仿宋_GB2312" w:cs="Times New Roman"/>
          <w:sz w:val="32"/>
          <w:szCs w:val="32"/>
          <w:lang w:val="en-US" w:eastAsia="zh-CN"/>
        </w:rPr>
        <w:t>生态与社会效益目标‌</w:t>
      </w:r>
      <w:r>
        <w:rPr>
          <w:rFonts w:hint="eastAsia" w:eastAsia="仿宋_GB2312" w:cs="Times New Roman"/>
          <w:sz w:val="32"/>
          <w:szCs w:val="32"/>
          <w:lang w:val="en-US" w:eastAsia="zh-CN"/>
        </w:rPr>
        <w:t>：</w:t>
      </w:r>
      <w:r>
        <w:rPr>
          <w:rFonts w:hint="eastAsia" w:ascii="Times New Roman" w:hAnsi="Times New Roman" w:eastAsia="仿宋_GB2312" w:cs="Times New Roman"/>
          <w:sz w:val="32"/>
          <w:szCs w:val="32"/>
          <w:lang w:val="en-US" w:eastAsia="zh-CN"/>
        </w:rPr>
        <w:t>改善区域水环境，减少污水排放量，提升自然水体水质</w:t>
      </w:r>
      <w:r>
        <w:rPr>
          <w:rFonts w:hint="eastAsia" w:eastAsia="仿宋_GB2312" w:cs="Times New Roman"/>
          <w:sz w:val="32"/>
          <w:szCs w:val="32"/>
          <w:lang w:val="en-US" w:eastAsia="zh-CN"/>
        </w:rPr>
        <w:t>；</w:t>
      </w:r>
      <w:r>
        <w:rPr>
          <w:rFonts w:hint="eastAsia" w:ascii="Times New Roman" w:hAnsi="Times New Roman" w:eastAsia="仿宋_GB2312" w:cs="Times New Roman"/>
          <w:sz w:val="32"/>
          <w:szCs w:val="32"/>
          <w:lang w:val="en-US" w:eastAsia="zh-CN"/>
        </w:rPr>
        <w:t>保障工业园区生产用水和市政杂用需求，缓解水资源短缺问题。</w:t>
      </w:r>
    </w:p>
    <w:p w14:paraId="49B08A76">
      <w:pPr>
        <w:keepNext w:val="0"/>
        <w:keepLines w:val="0"/>
        <w:pageBreakBefore w:val="0"/>
        <w:widowControl w:val="0"/>
        <w:kinsoku/>
        <w:wordWrap w:val="0"/>
        <w:overflowPunct/>
        <w:topLinePunct w:val="0"/>
        <w:autoSpaceDE/>
        <w:autoSpaceDN/>
        <w:bidi w:val="0"/>
        <w:adjustRightInd/>
        <w:snapToGrid/>
        <w:spacing w:line="590" w:lineRule="exact"/>
        <w:ind w:left="0" w:leftChars="0" w:right="0" w:rightChars="0"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cs="Times New Roman"/>
          <w:sz w:val="32"/>
          <w:szCs w:val="32"/>
          <w:lang w:val="en-US" w:eastAsia="zh-CN"/>
        </w:rPr>
        <w:t>‌</w:t>
      </w:r>
      <w:r>
        <w:rPr>
          <w:rFonts w:hint="eastAsia" w:ascii="Times New Roman" w:hAnsi="Times New Roman" w:eastAsia="仿宋_GB2312" w:cs="Times New Roman"/>
          <w:sz w:val="32"/>
          <w:szCs w:val="32"/>
          <w:lang w:val="en-US" w:eastAsia="zh-CN"/>
        </w:rPr>
        <w:t>管理效能目标‌</w:t>
      </w:r>
    </w:p>
    <w:p w14:paraId="434557A5">
      <w:pPr>
        <w:keepNext w:val="0"/>
        <w:keepLines w:val="0"/>
        <w:pageBreakBefore w:val="0"/>
        <w:widowControl w:val="0"/>
        <w:kinsoku/>
        <w:wordWrap w:val="0"/>
        <w:overflowPunct/>
        <w:topLinePunct w:val="0"/>
        <w:autoSpaceDE/>
        <w:autoSpaceDN/>
        <w:bidi w:val="0"/>
        <w:adjustRightInd/>
        <w:snapToGrid/>
        <w:spacing w:line="590" w:lineRule="exact"/>
        <w:ind w:left="0" w:leftChars="0" w:right="0" w:rightChars="0" w:firstLine="640" w:firstLineChars="200"/>
        <w:textAlignment w:val="auto"/>
        <w:rPr>
          <w:rFonts w:hint="default"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严格执行招标投标规范，落实公平竞争审查和绩效评价机制</w:t>
      </w:r>
      <w:r>
        <w:rPr>
          <w:rFonts w:hint="eastAsia" w:eastAsia="仿宋_GB2312" w:cs="Times New Roman"/>
          <w:sz w:val="32"/>
          <w:szCs w:val="32"/>
          <w:lang w:val="en-US" w:eastAsia="zh-CN"/>
        </w:rPr>
        <w:t>；</w:t>
      </w:r>
      <w:r>
        <w:rPr>
          <w:rFonts w:hint="eastAsia" w:ascii="Times New Roman" w:hAnsi="Times New Roman" w:eastAsia="仿宋_GB2312" w:cs="Times New Roman"/>
          <w:sz w:val="32"/>
          <w:szCs w:val="32"/>
          <w:lang w:val="en-US" w:eastAsia="zh-CN"/>
        </w:rPr>
        <w:t>建立再生水配置利用长效管理政策，纳入部门考核体系</w:t>
      </w:r>
      <w:r>
        <w:rPr>
          <w:rFonts w:hint="eastAsia" w:eastAsia="仿宋_GB2312" w:cs="Times New Roman"/>
          <w:sz w:val="32"/>
          <w:szCs w:val="32"/>
          <w:lang w:val="en-US" w:eastAsia="zh-CN"/>
        </w:rPr>
        <w:t>。</w:t>
      </w:r>
    </w:p>
    <w:p w14:paraId="115B356E">
      <w:pPr>
        <w:keepNext w:val="0"/>
        <w:keepLines w:val="0"/>
        <w:pageBreakBefore w:val="0"/>
        <w:widowControl w:val="0"/>
        <w:kinsoku/>
        <w:wordWrap w:val="0"/>
        <w:overflowPunct/>
        <w:topLinePunct w:val="0"/>
        <w:autoSpaceDE/>
        <w:autoSpaceDN/>
        <w:bidi w:val="0"/>
        <w:adjustRightInd/>
        <w:snapToGrid/>
        <w:spacing w:line="590" w:lineRule="exact"/>
        <w:ind w:left="0" w:leftChars="0" w:right="0" w:rightChars="0" w:firstLine="640" w:firstLineChars="2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自评得</w:t>
      </w:r>
      <w:r>
        <w:rPr>
          <w:rFonts w:hint="eastAsia" w:eastAsia="仿宋_GB2312" w:cs="Times New Roman"/>
          <w:sz w:val="32"/>
          <w:szCs w:val="32"/>
          <w:lang w:val="en-US" w:eastAsia="zh-CN"/>
        </w:rPr>
        <w:t>6</w:t>
      </w:r>
      <w:r>
        <w:rPr>
          <w:rFonts w:hint="eastAsia" w:ascii="Times New Roman" w:hAnsi="Times New Roman" w:eastAsia="仿宋_GB2312" w:cs="Times New Roman"/>
          <w:sz w:val="32"/>
          <w:szCs w:val="32"/>
          <w:lang w:val="en-US" w:eastAsia="zh-CN"/>
        </w:rPr>
        <w:t>分。</w:t>
      </w:r>
    </w:p>
    <w:p w14:paraId="5C8A30A8">
      <w:pPr>
        <w:keepNext w:val="0"/>
        <w:keepLines w:val="0"/>
        <w:pageBreakBefore w:val="0"/>
        <w:widowControl w:val="0"/>
        <w:kinsoku/>
        <w:wordWrap w:val="0"/>
        <w:overflowPunct/>
        <w:topLinePunct w:val="0"/>
        <w:autoSpaceDE/>
        <w:autoSpaceDN/>
        <w:bidi w:val="0"/>
        <w:adjustRightInd/>
        <w:snapToGrid/>
        <w:spacing w:line="590" w:lineRule="exact"/>
        <w:ind w:left="0" w:leftChars="0" w:right="0" w:rightChars="0" w:firstLine="640" w:firstLineChars="200"/>
        <w:textAlignment w:val="auto"/>
        <w:rPr>
          <w:rFonts w:hint="default"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color w:val="auto"/>
          <w:sz w:val="32"/>
          <w:szCs w:val="32"/>
          <w:lang w:val="en-US" w:eastAsia="zh-CN"/>
        </w:rPr>
        <w:t>（2）完成时效</w:t>
      </w:r>
    </w:p>
    <w:p w14:paraId="5F55F809">
      <w:pPr>
        <w:keepNext w:val="0"/>
        <w:keepLines w:val="0"/>
        <w:pageBreakBefore w:val="0"/>
        <w:widowControl w:val="0"/>
        <w:kinsoku/>
        <w:wordWrap w:val="0"/>
        <w:overflowPunct/>
        <w:topLinePunct w:val="0"/>
        <w:autoSpaceDE/>
        <w:autoSpaceDN/>
        <w:bidi w:val="0"/>
        <w:adjustRightInd/>
        <w:snapToGrid/>
        <w:spacing w:line="590" w:lineRule="exact"/>
        <w:ind w:left="0" w:leftChars="0" w:right="0" w:rightChars="0" w:firstLine="640" w:firstLineChars="200"/>
        <w:textAlignment w:val="auto"/>
        <w:rPr>
          <w:rFonts w:hint="default" w:ascii="Times New Roman" w:hAnsi="Times New Roman" w:eastAsia="仿宋_GB2312" w:cs="Times New Roman"/>
          <w:sz w:val="32"/>
          <w:szCs w:val="32"/>
          <w:lang w:val="en-US" w:eastAsia="zh-CN"/>
        </w:rPr>
      </w:pPr>
      <w:r>
        <w:rPr>
          <w:rFonts w:hint="eastAsia" w:eastAsia="仿宋_GB2312" w:cs="Times New Roman"/>
          <w:sz w:val="32"/>
          <w:szCs w:val="32"/>
          <w:lang w:val="en-US" w:eastAsia="zh-CN"/>
        </w:rPr>
        <w:t>截止2024年12月底投资完成比例100%</w:t>
      </w:r>
      <w:r>
        <w:rPr>
          <w:rFonts w:hint="eastAsia" w:ascii="Times New Roman" w:hAnsi="Times New Roman" w:eastAsia="仿宋_GB2312" w:cs="Times New Roman"/>
          <w:sz w:val="32"/>
          <w:szCs w:val="32"/>
          <w:lang w:val="en-US" w:eastAsia="zh-CN"/>
        </w:rPr>
        <w:t>，</w:t>
      </w:r>
      <w:r>
        <w:rPr>
          <w:rFonts w:hint="eastAsia" w:eastAsia="仿宋_GB2312" w:cs="Times New Roman"/>
          <w:sz w:val="32"/>
          <w:szCs w:val="32"/>
          <w:lang w:val="en-US" w:eastAsia="zh-CN"/>
        </w:rPr>
        <w:t>实际投资完成=20000000.00/20000000*100%*3=3</w:t>
      </w:r>
      <w:r>
        <w:rPr>
          <w:rFonts w:hint="eastAsia" w:ascii="Times New Roman" w:hAnsi="Times New Roman" w:eastAsia="仿宋_GB2312" w:cs="Times New Roman"/>
          <w:sz w:val="32"/>
          <w:szCs w:val="32"/>
          <w:lang w:val="en-US" w:eastAsia="zh-CN"/>
        </w:rPr>
        <w:t>；自评</w:t>
      </w:r>
      <w:r>
        <w:rPr>
          <w:rFonts w:hint="eastAsia" w:eastAsia="仿宋_GB2312" w:cs="Times New Roman"/>
          <w:sz w:val="32"/>
          <w:szCs w:val="32"/>
          <w:lang w:val="en-US" w:eastAsia="zh-CN"/>
        </w:rPr>
        <w:t>3</w:t>
      </w:r>
      <w:r>
        <w:rPr>
          <w:rFonts w:hint="eastAsia" w:ascii="Times New Roman" w:hAnsi="Times New Roman" w:eastAsia="仿宋_GB2312" w:cs="Times New Roman"/>
          <w:sz w:val="32"/>
          <w:szCs w:val="32"/>
          <w:lang w:val="en-US" w:eastAsia="zh-CN"/>
        </w:rPr>
        <w:t>分。</w:t>
      </w:r>
    </w:p>
    <w:p w14:paraId="59992191">
      <w:pPr>
        <w:keepNext w:val="0"/>
        <w:keepLines w:val="0"/>
        <w:pageBreakBefore w:val="0"/>
        <w:widowControl w:val="0"/>
        <w:kinsoku/>
        <w:wordWrap w:val="0"/>
        <w:overflowPunct/>
        <w:topLinePunct w:val="0"/>
        <w:autoSpaceDE/>
        <w:autoSpaceDN/>
        <w:bidi w:val="0"/>
        <w:adjustRightInd/>
        <w:snapToGrid/>
        <w:spacing w:line="590" w:lineRule="exact"/>
        <w:ind w:right="0" w:rightChars="0" w:firstLine="643" w:firstLineChars="200"/>
        <w:textAlignment w:val="auto"/>
        <w:outlineLvl w:val="9"/>
        <w:rPr>
          <w:rFonts w:hint="eastAsia" w:ascii="楷体_GB2312" w:hAnsi="楷体_GB2312" w:eastAsia="楷体_GB2312" w:cs="楷体_GB2312"/>
          <w:color w:val="auto"/>
          <w:sz w:val="32"/>
          <w:szCs w:val="32"/>
          <w:lang w:val="zh-CN" w:eastAsia="zh-CN"/>
        </w:rPr>
      </w:pPr>
      <w:r>
        <w:rPr>
          <w:rFonts w:hint="eastAsia" w:ascii="楷体_GB2312" w:hAnsi="宋体" w:eastAsia="楷体_GB2312" w:cs="Times New Roman"/>
          <w:b/>
          <w:color w:val="auto"/>
          <w:sz w:val="32"/>
          <w:szCs w:val="32"/>
          <w:highlight w:val="none"/>
          <w:u w:val="none"/>
          <w:lang w:val="zh-CN"/>
        </w:rPr>
        <w:t>（二）</w:t>
      </w:r>
      <w:r>
        <w:rPr>
          <w:rFonts w:hint="eastAsia" w:ascii="楷体_GB2312" w:hAnsi="宋体" w:eastAsia="楷体_GB2312" w:cs="Times New Roman"/>
          <w:b/>
          <w:color w:val="auto"/>
          <w:sz w:val="32"/>
          <w:szCs w:val="32"/>
          <w:highlight w:val="none"/>
          <w:u w:val="none"/>
          <w:lang w:val="en-US" w:eastAsia="zh-CN"/>
        </w:rPr>
        <w:t>专用指标</w:t>
      </w:r>
      <w:r>
        <w:rPr>
          <w:rFonts w:hint="default" w:ascii="Times New Roman" w:hAnsi="Times New Roman" w:eastAsia="楷体_GB2312" w:cs="Times New Roman"/>
          <w:b/>
          <w:bCs/>
          <w:color w:val="000000"/>
          <w:kern w:val="0"/>
          <w:sz w:val="32"/>
          <w:szCs w:val="32"/>
          <w:highlight w:val="none"/>
          <w:shd w:val="clear" w:color="auto" w:fill="FFFFFF"/>
          <w:lang w:val="zh-CN"/>
        </w:rPr>
        <w:t>绩效分析。</w:t>
      </w:r>
      <w:r>
        <w:rPr>
          <w:rFonts w:hint="eastAsia" w:ascii="Times New Roman" w:hAnsi="Times New Roman" w:eastAsia="仿宋_GB2312" w:cs="Times New Roman"/>
          <w:color w:val="auto"/>
          <w:sz w:val="32"/>
          <w:szCs w:val="32"/>
          <w:lang w:val="zh-CN" w:eastAsia="zh-CN"/>
        </w:rPr>
        <w:t>根据</w:t>
      </w:r>
      <w:r>
        <w:rPr>
          <w:rFonts w:hint="eastAsia" w:ascii="Times New Roman" w:hAnsi="Times New Roman" w:eastAsia="仿宋_GB2312" w:cs="Times New Roman"/>
          <w:color w:val="auto"/>
          <w:sz w:val="32"/>
          <w:szCs w:val="32"/>
          <w:lang w:val="en-US" w:eastAsia="zh-CN"/>
        </w:rPr>
        <w:t>专项</w:t>
      </w:r>
      <w:r>
        <w:rPr>
          <w:rFonts w:hint="eastAsia" w:eastAsia="仿宋_GB2312" w:cs="Times New Roman"/>
          <w:color w:val="auto"/>
          <w:sz w:val="32"/>
          <w:szCs w:val="32"/>
          <w:lang w:val="en-US" w:eastAsia="zh-CN"/>
        </w:rPr>
        <w:t>资金资金支持对象</w:t>
      </w:r>
      <w:r>
        <w:rPr>
          <w:rFonts w:hint="eastAsia" w:ascii="Times New Roman" w:hAnsi="Times New Roman" w:eastAsia="仿宋_GB2312" w:cs="Times New Roman"/>
          <w:color w:val="auto"/>
          <w:sz w:val="32"/>
          <w:szCs w:val="32"/>
          <w:lang w:val="en-US" w:eastAsia="zh-CN"/>
        </w:rPr>
        <w:t>选择所属指标进行绩效分析。</w:t>
      </w:r>
      <w:r>
        <w:rPr>
          <w:rFonts w:hint="eastAsia" w:eastAsia="仿宋_GB2312" w:cs="Times New Roman"/>
          <w:color w:val="auto"/>
          <w:sz w:val="32"/>
          <w:szCs w:val="32"/>
          <w:lang w:val="en-US" w:eastAsia="zh-CN"/>
        </w:rPr>
        <w:t>支持对象</w:t>
      </w:r>
      <w:r>
        <w:rPr>
          <w:rFonts w:hint="eastAsia" w:ascii="Times New Roman" w:hAnsi="Times New Roman" w:eastAsia="仿宋_GB2312" w:cs="Times New Roman"/>
          <w:color w:val="auto"/>
          <w:sz w:val="32"/>
          <w:szCs w:val="32"/>
          <w:lang w:val="zh-CN" w:eastAsia="zh-CN"/>
        </w:rPr>
        <w:t>包括产业发展、民生保障、基础设施、行政运转等方面。</w:t>
      </w:r>
    </w:p>
    <w:p w14:paraId="0E57BBE6">
      <w:pPr>
        <w:keepNext w:val="0"/>
        <w:keepLines w:val="0"/>
        <w:pageBreakBefore w:val="0"/>
        <w:widowControl w:val="0"/>
        <w:kinsoku/>
        <w:wordWrap w:val="0"/>
        <w:overflowPunct/>
        <w:topLinePunct w:val="0"/>
        <w:autoSpaceDE/>
        <w:autoSpaceDN/>
        <w:bidi w:val="0"/>
        <w:adjustRightInd/>
        <w:snapToGrid/>
        <w:spacing w:line="590" w:lineRule="exact"/>
        <w:ind w:left="0" w:leftChars="0" w:right="0" w:rightChars="0" w:firstLine="640" w:firstLineChars="200"/>
        <w:textAlignment w:val="auto"/>
        <w:outlineLvl w:val="9"/>
        <w:rPr>
          <w:rFonts w:hint="eastAsia" w:eastAsia="仿宋_GB2312" w:cs="Times New Roman"/>
          <w:color w:val="auto"/>
          <w:sz w:val="32"/>
          <w:szCs w:val="32"/>
          <w:lang w:eastAsia="zh-CN"/>
        </w:rPr>
      </w:pPr>
      <w:r>
        <w:rPr>
          <w:rFonts w:hint="eastAsia" w:ascii="楷体_GB2312" w:hAnsi="楷体_GB2312" w:eastAsia="楷体_GB2312" w:cs="楷体_GB2312"/>
          <w:color w:val="auto"/>
          <w:sz w:val="32"/>
          <w:szCs w:val="32"/>
          <w:lang w:val="en-US" w:eastAsia="zh-CN"/>
        </w:rPr>
        <w:t>1.产业发展。</w:t>
      </w:r>
      <w:r>
        <w:rPr>
          <w:rFonts w:hint="eastAsia" w:ascii="Times New Roman" w:hAnsi="Times New Roman" w:eastAsia="仿宋_GB2312" w:cs="Times New Roman"/>
          <w:color w:val="auto"/>
          <w:sz w:val="32"/>
          <w:szCs w:val="32"/>
          <w:lang w:eastAsia="zh-CN"/>
        </w:rPr>
        <w:t>围绕</w:t>
      </w:r>
      <w:r>
        <w:rPr>
          <w:rFonts w:hint="eastAsia" w:eastAsia="仿宋_GB2312" w:cs="Times New Roman"/>
          <w:color w:val="auto"/>
          <w:sz w:val="32"/>
          <w:szCs w:val="32"/>
          <w:lang w:eastAsia="zh-CN"/>
        </w:rPr>
        <w:t>符合性、成长性、经济性进行绩效分析。</w:t>
      </w:r>
    </w:p>
    <w:p w14:paraId="51E3547B">
      <w:pPr>
        <w:keepNext w:val="0"/>
        <w:keepLines w:val="0"/>
        <w:pageBreakBefore w:val="0"/>
        <w:widowControl w:val="0"/>
        <w:kinsoku/>
        <w:wordWrap w:val="0"/>
        <w:overflowPunct/>
        <w:topLinePunct w:val="0"/>
        <w:autoSpaceDE/>
        <w:autoSpaceDN/>
        <w:bidi w:val="0"/>
        <w:adjustRightInd/>
        <w:snapToGrid/>
        <w:spacing w:line="590" w:lineRule="exact"/>
        <w:ind w:left="0" w:leftChars="0" w:right="0" w:rightChars="0" w:firstLine="640" w:firstLineChars="2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该项目实施属于</w:t>
      </w:r>
      <w:r>
        <w:rPr>
          <w:rFonts w:hint="eastAsia" w:eastAsia="仿宋_GB2312" w:cs="Times New Roman"/>
          <w:sz w:val="32"/>
          <w:szCs w:val="32"/>
          <w:lang w:val="en-US" w:eastAsia="zh-CN"/>
        </w:rPr>
        <w:t>安居区“推进乡村振兴，实现农业强区跨越式发展”“十四五”规划</w:t>
      </w:r>
      <w:r>
        <w:rPr>
          <w:rFonts w:hint="eastAsia" w:ascii="Times New Roman" w:hAnsi="Times New Roman" w:eastAsia="仿宋_GB2312" w:cs="Times New Roman"/>
          <w:sz w:val="32"/>
          <w:szCs w:val="32"/>
          <w:lang w:val="en-US" w:eastAsia="zh-CN"/>
        </w:rPr>
        <w:t>内容，属于政府支持范围，且符合财政事权支出责任划分规定；资金投向与项目总体规划、</w:t>
      </w:r>
      <w:r>
        <w:rPr>
          <w:rFonts w:hint="eastAsia" w:eastAsia="仿宋_GB2312" w:cs="Times New Roman"/>
          <w:sz w:val="32"/>
          <w:szCs w:val="32"/>
          <w:lang w:val="en-US" w:eastAsia="zh-CN"/>
        </w:rPr>
        <w:t>水利建设</w:t>
      </w:r>
      <w:r>
        <w:rPr>
          <w:rFonts w:hint="eastAsia" w:ascii="Times New Roman" w:hAnsi="Times New Roman" w:eastAsia="仿宋_GB2312" w:cs="Times New Roman"/>
          <w:sz w:val="32"/>
          <w:szCs w:val="32"/>
          <w:lang w:val="en-US" w:eastAsia="zh-CN"/>
        </w:rPr>
        <w:t>事业发展相匹配；自评得5分。</w:t>
      </w:r>
    </w:p>
    <w:p w14:paraId="79335B06">
      <w:pPr>
        <w:keepNext w:val="0"/>
        <w:keepLines w:val="0"/>
        <w:pageBreakBefore w:val="0"/>
        <w:widowControl w:val="0"/>
        <w:kinsoku/>
        <w:wordWrap w:val="0"/>
        <w:overflowPunct/>
        <w:topLinePunct w:val="0"/>
        <w:autoSpaceDE/>
        <w:autoSpaceDN/>
        <w:bidi w:val="0"/>
        <w:adjustRightInd/>
        <w:snapToGrid/>
        <w:spacing w:line="590" w:lineRule="exact"/>
        <w:ind w:left="0" w:leftChars="0" w:right="0" w:rightChars="0" w:firstLine="640" w:firstLineChars="200"/>
        <w:textAlignment w:val="auto"/>
        <w:outlineLvl w:val="9"/>
        <w:rPr>
          <w:rFonts w:hint="eastAsia" w:eastAsia="仿宋_GB2312" w:cs="Times New Roman"/>
          <w:color w:val="auto"/>
          <w:sz w:val="32"/>
          <w:szCs w:val="32"/>
          <w:lang w:eastAsia="zh-CN"/>
        </w:rPr>
      </w:pPr>
      <w:r>
        <w:rPr>
          <w:rFonts w:hint="eastAsia" w:ascii="楷体_GB2312" w:hAnsi="楷体_GB2312" w:eastAsia="楷体_GB2312" w:cs="楷体_GB2312"/>
          <w:color w:val="auto"/>
          <w:sz w:val="32"/>
          <w:szCs w:val="32"/>
          <w:lang w:val="en-US" w:eastAsia="zh-CN"/>
        </w:rPr>
        <w:t>2.</w:t>
      </w:r>
      <w:r>
        <w:rPr>
          <w:rFonts w:hint="eastAsia" w:ascii="楷体_GB2312" w:hAnsi="楷体_GB2312" w:eastAsia="楷体_GB2312" w:cs="楷体_GB2312"/>
          <w:color w:val="auto"/>
          <w:sz w:val="32"/>
          <w:szCs w:val="32"/>
          <w:lang w:val="zh-CN" w:eastAsia="zh-CN"/>
        </w:rPr>
        <w:t>民生保障。</w:t>
      </w:r>
      <w:r>
        <w:rPr>
          <w:rFonts w:hint="eastAsia" w:ascii="Times New Roman" w:hAnsi="Times New Roman" w:eastAsia="仿宋_GB2312" w:cs="Times New Roman"/>
          <w:color w:val="auto"/>
          <w:sz w:val="32"/>
          <w:szCs w:val="32"/>
          <w:lang w:eastAsia="zh-CN"/>
        </w:rPr>
        <w:t>围绕</w:t>
      </w:r>
      <w:r>
        <w:rPr>
          <w:rFonts w:hint="eastAsia" w:eastAsia="仿宋_GB2312" w:cs="Times New Roman"/>
          <w:color w:val="auto"/>
          <w:sz w:val="32"/>
          <w:szCs w:val="32"/>
          <w:lang w:eastAsia="zh-CN"/>
        </w:rPr>
        <w:t>区域均衡性、对象精准性、标准合理性、群总满意度进行绩效分析。</w:t>
      </w:r>
    </w:p>
    <w:p w14:paraId="635CA64C">
      <w:pPr>
        <w:keepNext w:val="0"/>
        <w:keepLines w:val="0"/>
        <w:pageBreakBefore w:val="0"/>
        <w:widowControl w:val="0"/>
        <w:kinsoku/>
        <w:wordWrap w:val="0"/>
        <w:overflowPunct/>
        <w:topLinePunct w:val="0"/>
        <w:autoSpaceDE/>
        <w:autoSpaceDN/>
        <w:bidi w:val="0"/>
        <w:adjustRightInd/>
        <w:snapToGrid/>
        <w:spacing w:line="590" w:lineRule="exact"/>
        <w:ind w:left="0" w:leftChars="0" w:right="0" w:rightChars="0"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（1）区域均衡性：该项目由“</w:t>
      </w:r>
      <w:r>
        <w:rPr>
          <w:rFonts w:hint="eastAsia" w:eastAsia="仿宋_GB2312" w:cs="Times New Roman"/>
          <w:sz w:val="32"/>
          <w:szCs w:val="32"/>
          <w:lang w:val="en-US" w:eastAsia="zh-CN"/>
        </w:rPr>
        <w:t>遂财建（2024）122号</w:t>
      </w:r>
      <w:r>
        <w:rPr>
          <w:rFonts w:hint="eastAsia" w:ascii="Times New Roman" w:hAnsi="Times New Roman" w:eastAsia="仿宋_GB2312" w:cs="Times New Roman"/>
          <w:sz w:val="32"/>
          <w:szCs w:val="32"/>
          <w:lang w:val="en-US" w:eastAsia="zh-CN"/>
        </w:rPr>
        <w:t>”文件分配，我局所属地区分配符合实际，自评得5分。</w:t>
      </w:r>
    </w:p>
    <w:p w14:paraId="61E23D68">
      <w:pPr>
        <w:keepNext w:val="0"/>
        <w:keepLines w:val="0"/>
        <w:pageBreakBefore w:val="0"/>
        <w:widowControl w:val="0"/>
        <w:kinsoku/>
        <w:wordWrap w:val="0"/>
        <w:overflowPunct/>
        <w:topLinePunct w:val="0"/>
        <w:autoSpaceDE/>
        <w:autoSpaceDN/>
        <w:bidi w:val="0"/>
        <w:adjustRightInd/>
        <w:snapToGrid/>
        <w:spacing w:line="590" w:lineRule="exact"/>
        <w:ind w:left="0" w:leftChars="0" w:right="0" w:rightChars="0" w:firstLine="640" w:firstLineChars="200"/>
        <w:textAlignment w:val="auto"/>
        <w:rPr>
          <w:rFonts w:hint="default" w:eastAsia="仿宋_GB2312"/>
          <w:sz w:val="32"/>
          <w:szCs w:val="32"/>
          <w:lang w:val="en-US" w:eastAsia="zh-CN"/>
        </w:rPr>
      </w:pPr>
      <w:r>
        <w:rPr>
          <w:rFonts w:hint="eastAsia" w:ascii="Times New Roman" w:hAnsi="Times New Roman" w:eastAsia="仿宋_GB2312" w:cs="Times New Roman"/>
          <w:sz w:val="32"/>
          <w:szCs w:val="32"/>
          <w:lang w:val="en-US" w:eastAsia="zh-CN"/>
        </w:rPr>
        <w:t>（2）标准合理性：该项目针对项目实施支付的</w:t>
      </w:r>
      <w:r>
        <w:rPr>
          <w:rFonts w:hint="eastAsia" w:eastAsia="仿宋_GB2312" w:cs="Times New Roman"/>
          <w:sz w:val="32"/>
          <w:szCs w:val="32"/>
          <w:lang w:val="en-US" w:eastAsia="zh-CN"/>
        </w:rPr>
        <w:t>1</w:t>
      </w:r>
      <w:r>
        <w:rPr>
          <w:rFonts w:hint="eastAsia" w:ascii="Times New Roman" w:hAnsi="Times New Roman" w:eastAsia="仿宋_GB2312" w:cs="Times New Roman"/>
          <w:sz w:val="32"/>
          <w:szCs w:val="32"/>
          <w:lang w:val="en-US" w:eastAsia="zh-CN"/>
        </w:rPr>
        <w:t>笔</w:t>
      </w:r>
      <w:r>
        <w:rPr>
          <w:rFonts w:hint="eastAsia" w:eastAsia="仿宋_GB2312" w:cs="Times New Roman"/>
          <w:sz w:val="32"/>
          <w:szCs w:val="32"/>
          <w:lang w:val="en-US" w:eastAsia="zh-CN"/>
        </w:rPr>
        <w:t>20000000.00</w:t>
      </w:r>
      <w:r>
        <w:rPr>
          <w:rFonts w:hint="eastAsia" w:ascii="Times New Roman" w:hAnsi="Times New Roman" w:eastAsia="仿宋_GB2312" w:cs="Times New Roman"/>
          <w:sz w:val="32"/>
          <w:szCs w:val="32"/>
          <w:lang w:val="en-US" w:eastAsia="zh-CN"/>
        </w:rPr>
        <w:t>元，进行了抽样调查，未发现</w:t>
      </w:r>
      <w:r>
        <w:rPr>
          <w:rFonts w:hint="eastAsia" w:eastAsia="仿宋_GB2312" w:cs="Times New Roman"/>
          <w:sz w:val="32"/>
          <w:szCs w:val="32"/>
          <w:lang w:val="en-US" w:eastAsia="zh-CN"/>
        </w:rPr>
        <w:t>惠及乡镇水利区域、人群</w:t>
      </w:r>
      <w:r>
        <w:rPr>
          <w:rFonts w:hint="eastAsia" w:ascii="Times New Roman" w:hAnsi="Times New Roman" w:eastAsia="仿宋_GB2312" w:cs="Times New Roman"/>
          <w:sz w:val="32"/>
          <w:szCs w:val="32"/>
          <w:lang w:val="en-US" w:eastAsia="zh-CN"/>
        </w:rPr>
        <w:t>存在异常情况，自评得5分</w:t>
      </w:r>
      <w:r>
        <w:rPr>
          <w:rFonts w:hint="eastAsia" w:eastAsia="仿宋_GB2312" w:cs="Times New Roman"/>
          <w:sz w:val="32"/>
          <w:szCs w:val="32"/>
          <w:lang w:val="en-US" w:eastAsia="zh-CN"/>
        </w:rPr>
        <w:t>。</w:t>
      </w:r>
    </w:p>
    <w:p w14:paraId="5C66DDA0">
      <w:pPr>
        <w:keepNext w:val="0"/>
        <w:keepLines w:val="0"/>
        <w:pageBreakBefore w:val="0"/>
        <w:widowControl w:val="0"/>
        <w:numPr>
          <w:ilvl w:val="0"/>
          <w:numId w:val="0"/>
        </w:numPr>
        <w:kinsoku/>
        <w:wordWrap w:val="0"/>
        <w:overflowPunct/>
        <w:topLinePunct w:val="0"/>
        <w:autoSpaceDE/>
        <w:autoSpaceDN/>
        <w:bidi w:val="0"/>
        <w:adjustRightInd w:val="0"/>
        <w:snapToGrid w:val="0"/>
        <w:spacing w:beforeLines="0" w:afterLines="0" w:line="576" w:lineRule="exact"/>
        <w:ind w:firstLine="640" w:firstLineChars="200"/>
        <w:textAlignment w:val="auto"/>
        <w:outlineLvl w:val="9"/>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（3）群</w:t>
      </w:r>
      <w:r>
        <w:rPr>
          <w:rFonts w:hint="eastAsia" w:eastAsia="仿宋_GB2312" w:cs="Times New Roman"/>
          <w:sz w:val="32"/>
          <w:szCs w:val="32"/>
          <w:lang w:val="en-US" w:eastAsia="zh-CN"/>
        </w:rPr>
        <w:t>众</w:t>
      </w:r>
      <w:r>
        <w:rPr>
          <w:rFonts w:hint="eastAsia" w:ascii="Times New Roman" w:hAnsi="Times New Roman" w:eastAsia="仿宋_GB2312" w:cs="Times New Roman"/>
          <w:sz w:val="32"/>
          <w:szCs w:val="32"/>
          <w:lang w:val="en-US" w:eastAsia="zh-CN"/>
        </w:rPr>
        <w:t>满意度：群众满意度9</w:t>
      </w:r>
      <w:r>
        <w:rPr>
          <w:rFonts w:hint="eastAsia" w:eastAsia="仿宋_GB2312" w:cs="Times New Roman"/>
          <w:sz w:val="32"/>
          <w:szCs w:val="32"/>
          <w:lang w:val="en-US" w:eastAsia="zh-CN"/>
        </w:rPr>
        <w:t>0</w:t>
      </w:r>
      <w:r>
        <w:rPr>
          <w:rFonts w:hint="eastAsia" w:ascii="Times New Roman" w:hAnsi="Times New Roman" w:eastAsia="仿宋_GB2312" w:cs="Times New Roman"/>
          <w:sz w:val="32"/>
          <w:szCs w:val="32"/>
          <w:lang w:val="en-US" w:eastAsia="zh-CN"/>
        </w:rPr>
        <w:t>%，</w:t>
      </w:r>
      <w:r>
        <w:rPr>
          <w:rFonts w:hint="eastAsia" w:eastAsia="仿宋_GB2312" w:cs="Times New Roman"/>
          <w:sz w:val="32"/>
          <w:szCs w:val="32"/>
          <w:lang w:val="en-US" w:eastAsia="zh-CN"/>
        </w:rPr>
        <w:t>项目实施过程中</w:t>
      </w:r>
      <w:r>
        <w:rPr>
          <w:rFonts w:hint="eastAsia" w:ascii="Times New Roman" w:hAnsi="Times New Roman" w:eastAsia="仿宋_GB2312" w:cs="Times New Roman"/>
          <w:sz w:val="32"/>
          <w:szCs w:val="32"/>
          <w:lang w:val="en-US" w:eastAsia="zh-CN"/>
        </w:rPr>
        <w:t>，</w:t>
      </w:r>
      <w:r>
        <w:rPr>
          <w:rFonts w:hint="eastAsia" w:eastAsia="仿宋_GB2312" w:cs="Times New Roman"/>
          <w:sz w:val="32"/>
          <w:szCs w:val="32"/>
          <w:lang w:val="en-US" w:eastAsia="zh-CN"/>
        </w:rPr>
        <w:t>未发现存在群众不满意、投诉等情况，</w:t>
      </w:r>
      <w:r>
        <w:rPr>
          <w:rFonts w:hint="eastAsia" w:ascii="Times New Roman" w:hAnsi="Times New Roman" w:eastAsia="仿宋_GB2312" w:cs="Times New Roman"/>
          <w:sz w:val="32"/>
          <w:szCs w:val="32"/>
          <w:lang w:val="en-US" w:eastAsia="zh-CN"/>
        </w:rPr>
        <w:t>自评得</w:t>
      </w:r>
      <w:r>
        <w:rPr>
          <w:rFonts w:hint="eastAsia" w:eastAsia="仿宋_GB2312" w:cs="Times New Roman"/>
          <w:sz w:val="32"/>
          <w:szCs w:val="32"/>
          <w:lang w:val="en-US" w:eastAsia="zh-CN"/>
        </w:rPr>
        <w:t>2</w:t>
      </w:r>
      <w:r>
        <w:rPr>
          <w:rFonts w:hint="eastAsia" w:ascii="Times New Roman" w:hAnsi="Times New Roman" w:eastAsia="仿宋_GB2312" w:cs="Times New Roman"/>
          <w:sz w:val="32"/>
          <w:szCs w:val="32"/>
          <w:lang w:val="en-US" w:eastAsia="zh-CN"/>
        </w:rPr>
        <w:t>分。</w:t>
      </w:r>
    </w:p>
    <w:p w14:paraId="79CF5A3E">
      <w:pPr>
        <w:keepNext w:val="0"/>
        <w:keepLines w:val="0"/>
        <w:pageBreakBefore w:val="0"/>
        <w:widowControl w:val="0"/>
        <w:kinsoku/>
        <w:wordWrap w:val="0"/>
        <w:overflowPunct/>
        <w:topLinePunct w:val="0"/>
        <w:autoSpaceDE/>
        <w:autoSpaceDN/>
        <w:bidi w:val="0"/>
        <w:adjustRightInd/>
        <w:snapToGrid/>
        <w:spacing w:line="590" w:lineRule="exact"/>
        <w:ind w:left="0" w:leftChars="0" w:right="0" w:rightChars="0" w:firstLine="640" w:firstLineChars="200"/>
        <w:textAlignment w:val="auto"/>
        <w:outlineLvl w:val="9"/>
        <w:rPr>
          <w:rFonts w:hint="eastAsia" w:eastAsia="仿宋_GB2312" w:cs="Times New Roman"/>
          <w:color w:val="auto"/>
          <w:sz w:val="32"/>
          <w:szCs w:val="32"/>
          <w:lang w:val="zh-CN" w:eastAsia="zh-CN"/>
        </w:rPr>
      </w:pPr>
      <w:r>
        <w:rPr>
          <w:rFonts w:hint="eastAsia" w:ascii="楷体_GB2312" w:hAnsi="楷体_GB2312" w:eastAsia="楷体_GB2312" w:cs="楷体_GB2312"/>
          <w:color w:val="auto"/>
          <w:sz w:val="32"/>
          <w:szCs w:val="32"/>
          <w:lang w:val="en-US" w:eastAsia="zh-CN"/>
        </w:rPr>
        <w:t>4.</w:t>
      </w:r>
      <w:r>
        <w:rPr>
          <w:rFonts w:hint="eastAsia" w:ascii="楷体_GB2312" w:hAnsi="楷体_GB2312" w:eastAsia="楷体_GB2312" w:cs="楷体_GB2312"/>
          <w:color w:val="auto"/>
          <w:sz w:val="32"/>
          <w:szCs w:val="32"/>
          <w:lang w:val="zh-CN" w:eastAsia="zh-CN"/>
        </w:rPr>
        <w:t>行政运转。</w:t>
      </w:r>
      <w:r>
        <w:rPr>
          <w:rFonts w:hint="eastAsia" w:eastAsia="仿宋_GB2312" w:cs="Times New Roman"/>
          <w:color w:val="auto"/>
          <w:sz w:val="32"/>
          <w:szCs w:val="32"/>
          <w:lang w:val="zh-CN" w:eastAsia="zh-CN"/>
        </w:rPr>
        <w:t>围绕用途合规性、程序合规性、标准合规性进行绩效分析。</w:t>
      </w:r>
    </w:p>
    <w:p w14:paraId="44439C81">
      <w:pPr>
        <w:keepNext w:val="0"/>
        <w:keepLines w:val="0"/>
        <w:pageBreakBefore w:val="0"/>
        <w:widowControl w:val="0"/>
        <w:kinsoku/>
        <w:wordWrap w:val="0"/>
        <w:overflowPunct/>
        <w:topLinePunct w:val="0"/>
        <w:autoSpaceDE/>
        <w:autoSpaceDN/>
        <w:bidi w:val="0"/>
        <w:adjustRightInd/>
        <w:snapToGrid/>
        <w:spacing w:line="590" w:lineRule="exact"/>
        <w:ind w:left="0" w:leftChars="0" w:right="0" w:rightChars="0" w:firstLine="640" w:firstLineChars="2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用途合规：该项目用途符合“</w:t>
      </w:r>
      <w:r>
        <w:rPr>
          <w:rFonts w:hint="eastAsia" w:eastAsia="仿宋_GB2312" w:cs="Times New Roman"/>
          <w:sz w:val="32"/>
          <w:szCs w:val="32"/>
          <w:lang w:val="en-US" w:eastAsia="zh-CN"/>
        </w:rPr>
        <w:t>遂财建（2024）122号</w:t>
      </w:r>
      <w:r>
        <w:rPr>
          <w:rFonts w:hint="eastAsia" w:ascii="Times New Roman" w:hAnsi="Times New Roman" w:eastAsia="仿宋_GB2312" w:cs="Times New Roman"/>
          <w:sz w:val="32"/>
          <w:szCs w:val="32"/>
          <w:lang w:val="en-US" w:eastAsia="zh-CN"/>
        </w:rPr>
        <w:t>”文件规定内容</w:t>
      </w:r>
      <w:r>
        <w:rPr>
          <w:rFonts w:hint="eastAsia" w:eastAsia="仿宋_GB2312" w:cs="Times New Roman"/>
          <w:sz w:val="32"/>
          <w:szCs w:val="32"/>
          <w:lang w:val="en-US" w:eastAsia="zh-CN"/>
        </w:rPr>
        <w:t>，</w:t>
      </w:r>
      <w:r>
        <w:rPr>
          <w:rFonts w:hint="eastAsia" w:ascii="Times New Roman" w:hAnsi="Times New Roman" w:eastAsia="仿宋_GB2312" w:cs="Times New Roman"/>
          <w:sz w:val="32"/>
          <w:szCs w:val="32"/>
          <w:lang w:val="en-US" w:eastAsia="zh-CN"/>
        </w:rPr>
        <w:t>自评得</w:t>
      </w:r>
      <w:r>
        <w:rPr>
          <w:rFonts w:hint="eastAsia" w:eastAsia="仿宋_GB2312" w:cs="Times New Roman"/>
          <w:sz w:val="32"/>
          <w:szCs w:val="32"/>
          <w:lang w:val="en-US" w:eastAsia="zh-CN"/>
        </w:rPr>
        <w:t>3</w:t>
      </w:r>
      <w:r>
        <w:rPr>
          <w:rFonts w:hint="eastAsia" w:ascii="Times New Roman" w:hAnsi="Times New Roman" w:eastAsia="仿宋_GB2312" w:cs="Times New Roman"/>
          <w:sz w:val="32"/>
          <w:szCs w:val="32"/>
          <w:lang w:val="en-US" w:eastAsia="zh-CN"/>
        </w:rPr>
        <w:t>分。</w:t>
      </w:r>
    </w:p>
    <w:p w14:paraId="231A1C0D">
      <w:pPr>
        <w:keepNext w:val="0"/>
        <w:keepLines w:val="0"/>
        <w:pageBreakBefore w:val="0"/>
        <w:widowControl w:val="0"/>
        <w:kinsoku/>
        <w:wordWrap w:val="0"/>
        <w:overflowPunct/>
        <w:topLinePunct w:val="0"/>
        <w:autoSpaceDE/>
        <w:autoSpaceDN/>
        <w:bidi w:val="0"/>
        <w:adjustRightInd/>
        <w:snapToGrid/>
        <w:spacing w:line="590" w:lineRule="exact"/>
        <w:ind w:right="0" w:rightChars="0" w:firstLine="640"/>
        <w:textAlignment w:val="auto"/>
        <w:outlineLvl w:val="9"/>
        <w:rPr>
          <w:rFonts w:hint="eastAsia" w:eastAsia="仿宋_GB2312" w:cs="Times New Roman"/>
          <w:color w:val="auto"/>
          <w:sz w:val="32"/>
          <w:szCs w:val="32"/>
          <w:lang w:val="zh-CN" w:eastAsia="zh-CN"/>
        </w:rPr>
      </w:pPr>
      <w:r>
        <w:rPr>
          <w:rFonts w:hint="eastAsia" w:ascii="楷体_GB2312" w:hAnsi="宋体" w:eastAsia="楷体_GB2312" w:cs="Times New Roman"/>
          <w:b/>
          <w:color w:val="auto"/>
          <w:sz w:val="32"/>
          <w:szCs w:val="32"/>
          <w:highlight w:val="none"/>
          <w:u w:val="none"/>
          <w:lang w:val="zh-CN"/>
        </w:rPr>
        <w:t>（三）</w:t>
      </w:r>
      <w:r>
        <w:rPr>
          <w:rFonts w:hint="eastAsia" w:ascii="楷体_GB2312" w:hAnsi="宋体" w:eastAsia="楷体_GB2312" w:cs="Times New Roman"/>
          <w:b/>
          <w:color w:val="auto"/>
          <w:sz w:val="32"/>
          <w:szCs w:val="32"/>
          <w:highlight w:val="none"/>
          <w:u w:val="none"/>
          <w:lang w:val="en-US" w:eastAsia="zh-CN"/>
        </w:rPr>
        <w:t>个性指标</w:t>
      </w:r>
      <w:r>
        <w:rPr>
          <w:rFonts w:hint="default" w:ascii="Times New Roman" w:hAnsi="Times New Roman" w:eastAsia="楷体_GB2312" w:cs="Times New Roman"/>
          <w:b/>
          <w:bCs/>
          <w:color w:val="000000"/>
          <w:kern w:val="0"/>
          <w:sz w:val="32"/>
          <w:szCs w:val="32"/>
          <w:highlight w:val="none"/>
          <w:shd w:val="clear" w:color="auto" w:fill="FFFFFF"/>
          <w:lang w:val="zh-CN"/>
        </w:rPr>
        <w:t>绩效分析。</w:t>
      </w:r>
      <w:r>
        <w:rPr>
          <w:rFonts w:hint="eastAsia" w:eastAsia="仿宋_GB2312" w:cs="Times New Roman"/>
          <w:color w:val="auto"/>
          <w:sz w:val="32"/>
          <w:szCs w:val="32"/>
          <w:lang w:val="zh-CN" w:eastAsia="zh-CN"/>
        </w:rPr>
        <w:t>根据项目个性自行设定部分指标，反映该项指标执行完成情况。</w:t>
      </w:r>
    </w:p>
    <w:p w14:paraId="562E195A">
      <w:pPr>
        <w:keepNext w:val="0"/>
        <w:keepLines w:val="0"/>
        <w:pageBreakBefore w:val="0"/>
        <w:widowControl w:val="0"/>
        <w:kinsoku/>
        <w:wordWrap w:val="0"/>
        <w:overflowPunct/>
        <w:topLinePunct w:val="0"/>
        <w:autoSpaceDE/>
        <w:autoSpaceDN/>
        <w:bidi w:val="0"/>
        <w:adjustRightInd/>
        <w:snapToGrid/>
        <w:spacing w:line="590" w:lineRule="exact"/>
        <w:ind w:left="0" w:leftChars="0" w:right="0" w:rightChars="0"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完成新建日处理量10000立方米的再生水厂1座，新建DN600再生水管网11.3千米，确保13个月工期按期完工</w:t>
      </w:r>
      <w:r>
        <w:rPr>
          <w:rFonts w:hint="eastAsia" w:eastAsia="仿宋_GB2312" w:cs="Times New Roman"/>
          <w:sz w:val="32"/>
          <w:szCs w:val="32"/>
          <w:lang w:val="en-US" w:eastAsia="zh-CN"/>
        </w:rPr>
        <w:t>。</w:t>
      </w:r>
    </w:p>
    <w:p w14:paraId="1BC4722D">
      <w:pPr>
        <w:keepNext w:val="0"/>
        <w:keepLines w:val="0"/>
        <w:pageBreakBefore w:val="0"/>
        <w:widowControl w:val="0"/>
        <w:kinsoku/>
        <w:wordWrap w:val="0"/>
        <w:overflowPunct/>
        <w:topLinePunct w:val="0"/>
        <w:autoSpaceDE/>
        <w:autoSpaceDN/>
        <w:bidi w:val="0"/>
        <w:adjustRightInd/>
        <w:snapToGrid/>
        <w:spacing w:line="590" w:lineRule="exact"/>
        <w:ind w:left="0" w:leftChars="0" w:right="0" w:rightChars="0"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分阶段实现再生水利用率指标：2024年达46%，2025年提升至49%</w:t>
      </w:r>
      <w:r>
        <w:rPr>
          <w:rFonts w:hint="eastAsia" w:eastAsia="仿宋_GB2312" w:cs="Times New Roman"/>
          <w:sz w:val="32"/>
          <w:szCs w:val="32"/>
          <w:lang w:val="en-US" w:eastAsia="zh-CN"/>
        </w:rPr>
        <w:t>。</w:t>
      </w:r>
    </w:p>
    <w:p w14:paraId="2D4DA3F5">
      <w:pPr>
        <w:keepNext w:val="0"/>
        <w:keepLines w:val="0"/>
        <w:pageBreakBefore w:val="0"/>
        <w:widowControl w:val="0"/>
        <w:kinsoku/>
        <w:wordWrap w:val="0"/>
        <w:overflowPunct/>
        <w:topLinePunct w:val="0"/>
        <w:autoSpaceDE/>
        <w:autoSpaceDN/>
        <w:bidi w:val="0"/>
        <w:adjustRightInd/>
        <w:snapToGrid/>
        <w:spacing w:line="590" w:lineRule="exact"/>
        <w:ind w:left="0" w:leftChars="0" w:right="0" w:rightChars="0"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经济效益目标‌</w:t>
      </w:r>
      <w:r>
        <w:rPr>
          <w:rFonts w:hint="eastAsia" w:eastAsia="仿宋_GB2312" w:cs="Times New Roman"/>
          <w:sz w:val="32"/>
          <w:szCs w:val="32"/>
          <w:lang w:val="en-US" w:eastAsia="zh-CN"/>
        </w:rPr>
        <w:t>：</w:t>
      </w:r>
      <w:r>
        <w:rPr>
          <w:rFonts w:hint="eastAsia" w:ascii="Times New Roman" w:hAnsi="Times New Roman" w:eastAsia="仿宋_GB2312" w:cs="Times New Roman"/>
          <w:sz w:val="32"/>
          <w:szCs w:val="32"/>
          <w:lang w:val="en-US" w:eastAsia="zh-CN"/>
        </w:rPr>
        <w:t>减少新鲜水取水量，降低市政排水设施投资和运行费用，项目总投资5851万元（上级资金及区级财政配套）资金执行率达100%。</w:t>
      </w:r>
    </w:p>
    <w:p w14:paraId="1AA0C572">
      <w:pPr>
        <w:keepNext w:val="0"/>
        <w:keepLines w:val="0"/>
        <w:pageBreakBefore w:val="0"/>
        <w:widowControl w:val="0"/>
        <w:kinsoku/>
        <w:wordWrap w:val="0"/>
        <w:overflowPunct/>
        <w:topLinePunct w:val="0"/>
        <w:autoSpaceDE/>
        <w:autoSpaceDN/>
        <w:bidi w:val="0"/>
        <w:adjustRightInd/>
        <w:snapToGrid/>
        <w:spacing w:line="590" w:lineRule="exact"/>
        <w:ind w:left="0" w:leftChars="0" w:right="0" w:rightChars="0"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通过再生水定价政策和企业激励措施，推动水资源循环利用的经济效益。</w:t>
      </w:r>
    </w:p>
    <w:p w14:paraId="363DC601">
      <w:pPr>
        <w:keepNext w:val="0"/>
        <w:keepLines w:val="0"/>
        <w:pageBreakBefore w:val="0"/>
        <w:widowControl w:val="0"/>
        <w:kinsoku/>
        <w:wordWrap w:val="0"/>
        <w:overflowPunct/>
        <w:topLinePunct w:val="0"/>
        <w:autoSpaceDE/>
        <w:autoSpaceDN/>
        <w:bidi w:val="0"/>
        <w:adjustRightInd/>
        <w:snapToGrid/>
        <w:spacing w:line="590" w:lineRule="exact"/>
        <w:ind w:left="0" w:leftChars="0" w:right="0" w:rightChars="0"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cs="Times New Roman"/>
          <w:sz w:val="32"/>
          <w:szCs w:val="32"/>
          <w:lang w:val="en-US" w:eastAsia="zh-CN"/>
        </w:rPr>
        <w:t>‌</w:t>
      </w:r>
      <w:r>
        <w:rPr>
          <w:rFonts w:hint="eastAsia" w:ascii="Times New Roman" w:hAnsi="Times New Roman" w:eastAsia="仿宋_GB2312" w:cs="Times New Roman"/>
          <w:sz w:val="32"/>
          <w:szCs w:val="32"/>
          <w:lang w:val="en-US" w:eastAsia="zh-CN"/>
        </w:rPr>
        <w:t>生态与社会效益目标‌</w:t>
      </w:r>
      <w:r>
        <w:rPr>
          <w:rFonts w:hint="eastAsia" w:eastAsia="仿宋_GB2312" w:cs="Times New Roman"/>
          <w:sz w:val="32"/>
          <w:szCs w:val="32"/>
          <w:lang w:val="en-US" w:eastAsia="zh-CN"/>
        </w:rPr>
        <w:t>：</w:t>
      </w:r>
      <w:r>
        <w:rPr>
          <w:rFonts w:hint="eastAsia" w:ascii="Times New Roman" w:hAnsi="Times New Roman" w:eastAsia="仿宋_GB2312" w:cs="Times New Roman"/>
          <w:sz w:val="32"/>
          <w:szCs w:val="32"/>
          <w:lang w:val="en-US" w:eastAsia="zh-CN"/>
        </w:rPr>
        <w:t>改善区域水环境，减少污水排放量，提升自然水体水质</w:t>
      </w:r>
      <w:r>
        <w:rPr>
          <w:rFonts w:hint="eastAsia" w:eastAsia="仿宋_GB2312" w:cs="Times New Roman"/>
          <w:sz w:val="32"/>
          <w:szCs w:val="32"/>
          <w:lang w:val="en-US" w:eastAsia="zh-CN"/>
        </w:rPr>
        <w:t>；</w:t>
      </w:r>
      <w:r>
        <w:rPr>
          <w:rFonts w:hint="eastAsia" w:ascii="Times New Roman" w:hAnsi="Times New Roman" w:eastAsia="仿宋_GB2312" w:cs="Times New Roman"/>
          <w:sz w:val="32"/>
          <w:szCs w:val="32"/>
          <w:lang w:val="en-US" w:eastAsia="zh-CN"/>
        </w:rPr>
        <w:t>保障工业园区生产用水和市政杂用需求，缓解水资源短缺问题。</w:t>
      </w:r>
    </w:p>
    <w:p w14:paraId="1A62FD8B">
      <w:pPr>
        <w:keepNext w:val="0"/>
        <w:keepLines w:val="0"/>
        <w:pageBreakBefore w:val="0"/>
        <w:widowControl w:val="0"/>
        <w:kinsoku/>
        <w:wordWrap w:val="0"/>
        <w:overflowPunct/>
        <w:topLinePunct w:val="0"/>
        <w:autoSpaceDE/>
        <w:autoSpaceDN/>
        <w:bidi w:val="0"/>
        <w:adjustRightInd/>
        <w:snapToGrid/>
        <w:spacing w:line="590" w:lineRule="exact"/>
        <w:ind w:left="0" w:leftChars="0" w:right="0" w:rightChars="0" w:firstLine="640" w:firstLineChars="200"/>
        <w:textAlignment w:val="auto"/>
        <w:rPr>
          <w:rFonts w:hint="eastAsia" w:ascii="Times New Roman" w:hAnsi="Times New Roman" w:eastAsia="仿宋_GB2312" w:cs="Times New Roman"/>
          <w:sz w:val="32"/>
          <w:szCs w:val="32"/>
          <w:lang w:val="en-US" w:eastAsia="zh-CN"/>
        </w:rPr>
      </w:pPr>
      <w:r>
        <w:rPr>
          <w:rFonts w:hint="eastAsia" w:eastAsia="仿宋_GB2312" w:cs="Times New Roman"/>
          <w:sz w:val="32"/>
          <w:szCs w:val="32"/>
          <w:lang w:val="en-US" w:eastAsia="zh-CN"/>
        </w:rPr>
        <w:t>自评得10分</w:t>
      </w:r>
      <w:r>
        <w:rPr>
          <w:rFonts w:hint="eastAsia" w:ascii="Times New Roman" w:hAnsi="Times New Roman" w:eastAsia="仿宋_GB2312" w:cs="Times New Roman"/>
          <w:sz w:val="32"/>
          <w:szCs w:val="32"/>
          <w:lang w:val="en-US" w:eastAsia="zh-CN"/>
        </w:rPr>
        <w:t>。</w:t>
      </w:r>
    </w:p>
    <w:p w14:paraId="7C51E1A9">
      <w:pPr>
        <w:keepNext w:val="0"/>
        <w:keepLines w:val="0"/>
        <w:pageBreakBefore w:val="0"/>
        <w:widowControl w:val="0"/>
        <w:kinsoku/>
        <w:wordWrap w:val="0"/>
        <w:overflowPunct/>
        <w:topLinePunct w:val="0"/>
        <w:autoSpaceDE/>
        <w:autoSpaceDN/>
        <w:bidi w:val="0"/>
        <w:adjustRightInd/>
        <w:snapToGrid/>
        <w:spacing w:line="590" w:lineRule="exact"/>
        <w:ind w:left="0" w:leftChars="0" w:right="0" w:rightChars="0"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cs="Times New Roman"/>
          <w:sz w:val="32"/>
          <w:szCs w:val="32"/>
          <w:lang w:val="en-US" w:eastAsia="zh-CN"/>
        </w:rPr>
        <w:t>‌</w:t>
      </w:r>
      <w:r>
        <w:rPr>
          <w:rFonts w:hint="eastAsia" w:ascii="Times New Roman" w:hAnsi="Times New Roman" w:eastAsia="仿宋_GB2312" w:cs="Times New Roman"/>
          <w:sz w:val="32"/>
          <w:szCs w:val="32"/>
          <w:lang w:val="en-US" w:eastAsia="zh-CN"/>
        </w:rPr>
        <w:t>管理效能目标‌</w:t>
      </w:r>
    </w:p>
    <w:p w14:paraId="4949D060">
      <w:pPr>
        <w:keepNext w:val="0"/>
        <w:keepLines w:val="0"/>
        <w:pageBreakBefore w:val="0"/>
        <w:widowControl w:val="0"/>
        <w:kinsoku/>
        <w:wordWrap w:val="0"/>
        <w:overflowPunct/>
        <w:topLinePunct w:val="0"/>
        <w:autoSpaceDE/>
        <w:autoSpaceDN/>
        <w:bidi w:val="0"/>
        <w:adjustRightInd/>
        <w:snapToGrid/>
        <w:spacing w:line="590" w:lineRule="exact"/>
        <w:ind w:left="0" w:leftChars="0" w:right="0" w:rightChars="0" w:firstLine="640" w:firstLineChars="2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严格执行招标投标规范，落实公平竞争审查和绩效评价机制</w:t>
      </w:r>
      <w:r>
        <w:rPr>
          <w:rFonts w:hint="eastAsia" w:eastAsia="仿宋_GB2312" w:cs="Times New Roman"/>
          <w:sz w:val="32"/>
          <w:szCs w:val="32"/>
          <w:lang w:val="en-US" w:eastAsia="zh-CN"/>
        </w:rPr>
        <w:t>；</w:t>
      </w:r>
      <w:r>
        <w:rPr>
          <w:rFonts w:hint="eastAsia" w:ascii="Times New Roman" w:hAnsi="Times New Roman" w:eastAsia="仿宋_GB2312" w:cs="Times New Roman"/>
          <w:sz w:val="32"/>
          <w:szCs w:val="32"/>
          <w:lang w:val="en-US" w:eastAsia="zh-CN"/>
        </w:rPr>
        <w:t>建立再生水配置利用长效管理政策，纳入部门考核体系</w:t>
      </w:r>
    </w:p>
    <w:p w14:paraId="6C36B3AA">
      <w:pPr>
        <w:keepNext w:val="0"/>
        <w:keepLines w:val="0"/>
        <w:pageBreakBefore w:val="0"/>
        <w:widowControl w:val="0"/>
        <w:kinsoku/>
        <w:wordWrap w:val="0"/>
        <w:overflowPunct/>
        <w:topLinePunct w:val="0"/>
        <w:autoSpaceDE/>
        <w:autoSpaceDN/>
        <w:bidi w:val="0"/>
        <w:adjustRightInd/>
        <w:snapToGrid/>
        <w:spacing w:line="590" w:lineRule="exact"/>
        <w:ind w:left="0" w:leftChars="0" w:right="0" w:rightChars="0" w:firstLine="640" w:firstLineChars="200"/>
        <w:textAlignment w:val="auto"/>
        <w:rPr>
          <w:rFonts w:hint="default" w:ascii="Times New Roman" w:hAnsi="Times New Roman" w:eastAsia="仿宋_GB2312" w:cs="Times New Roman"/>
          <w:sz w:val="32"/>
          <w:szCs w:val="32"/>
          <w:lang w:val="en-US" w:eastAsia="zh-CN"/>
        </w:rPr>
      </w:pPr>
      <w:r>
        <w:rPr>
          <w:rFonts w:hint="eastAsia" w:eastAsia="仿宋_GB2312" w:cs="Times New Roman"/>
          <w:sz w:val="32"/>
          <w:szCs w:val="32"/>
          <w:lang w:val="en-US" w:eastAsia="zh-CN"/>
        </w:rPr>
        <w:t>自评得10分</w:t>
      </w:r>
      <w:r>
        <w:rPr>
          <w:rFonts w:hint="eastAsia" w:ascii="Times New Roman" w:hAnsi="Times New Roman" w:eastAsia="仿宋_GB2312" w:cs="Times New Roman"/>
          <w:sz w:val="32"/>
          <w:szCs w:val="32"/>
          <w:lang w:val="en-US" w:eastAsia="zh-CN"/>
        </w:rPr>
        <w:t>。</w:t>
      </w:r>
    </w:p>
    <w:p w14:paraId="5576C4FC">
      <w:pPr>
        <w:pStyle w:val="12"/>
        <w:keepNext w:val="0"/>
        <w:keepLines w:val="0"/>
        <w:pageBreakBefore w:val="0"/>
        <w:widowControl w:val="0"/>
        <w:numPr>
          <w:ilvl w:val="0"/>
          <w:numId w:val="0"/>
        </w:numPr>
        <w:tabs>
          <w:tab w:val="left" w:pos="2160"/>
        </w:tabs>
        <w:kinsoku/>
        <w:wordWrap w:val="0"/>
        <w:overflowPunct/>
        <w:topLinePunct w:val="0"/>
        <w:autoSpaceDE/>
        <w:autoSpaceDN/>
        <w:bidi w:val="0"/>
        <w:adjustRightInd/>
        <w:snapToGrid/>
        <w:spacing w:line="590" w:lineRule="exact"/>
        <w:ind w:right="0" w:rightChars="0" w:firstLine="640" w:firstLineChars="200"/>
        <w:textAlignment w:val="auto"/>
        <w:rPr>
          <w:rFonts w:hint="eastAsia" w:ascii="黑体" w:hAnsi="宋体" w:eastAsia="黑体"/>
          <w:color w:val="auto"/>
          <w:sz w:val="32"/>
          <w:szCs w:val="32"/>
          <w:highlight w:val="none"/>
          <w:u w:val="none"/>
        </w:rPr>
      </w:pPr>
      <w:r>
        <w:rPr>
          <w:rFonts w:hint="eastAsia" w:ascii="黑体" w:hAnsi="宋体" w:eastAsia="黑体"/>
          <w:color w:val="auto"/>
          <w:sz w:val="32"/>
          <w:szCs w:val="32"/>
          <w:highlight w:val="none"/>
          <w:u w:val="none"/>
          <w:lang w:eastAsia="zh-CN"/>
        </w:rPr>
        <w:t>四</w:t>
      </w:r>
      <w:r>
        <w:rPr>
          <w:rFonts w:hint="eastAsia" w:ascii="黑体" w:hAnsi="宋体" w:eastAsia="黑体"/>
          <w:color w:val="auto"/>
          <w:sz w:val="32"/>
          <w:szCs w:val="32"/>
          <w:highlight w:val="none"/>
          <w:u w:val="none"/>
        </w:rPr>
        <w:t>、评价结论</w:t>
      </w:r>
    </w:p>
    <w:p w14:paraId="21D642C2">
      <w:pPr>
        <w:keepNext w:val="0"/>
        <w:keepLines w:val="0"/>
        <w:pageBreakBefore w:val="0"/>
        <w:widowControl w:val="0"/>
        <w:kinsoku/>
        <w:wordWrap w:val="0"/>
        <w:overflowPunct/>
        <w:topLinePunct w:val="0"/>
        <w:autoSpaceDE/>
        <w:autoSpaceDN/>
        <w:bidi w:val="0"/>
        <w:adjustRightInd/>
        <w:snapToGrid/>
        <w:spacing w:line="590" w:lineRule="exact"/>
        <w:ind w:left="0" w:leftChars="0" w:right="0" w:rightChars="0" w:firstLine="640" w:firstLineChars="200"/>
        <w:textAlignment w:val="auto"/>
        <w:rPr>
          <w:rFonts w:hint="eastAsia" w:ascii="Times New Roman" w:hAnsi="Times New Roman" w:eastAsia="仿宋_GB2312" w:cs="Times New Roman"/>
          <w:sz w:val="32"/>
          <w:szCs w:val="32"/>
          <w:lang w:val="zh-CN" w:eastAsia="zh-CN"/>
        </w:rPr>
      </w:pPr>
      <w:r>
        <w:rPr>
          <w:rFonts w:hint="eastAsia" w:ascii="Times New Roman" w:hAnsi="Times New Roman" w:eastAsia="仿宋_GB2312" w:cs="Times New Roman"/>
          <w:sz w:val="32"/>
          <w:szCs w:val="32"/>
          <w:lang w:val="en-US" w:eastAsia="zh-CN"/>
        </w:rPr>
        <w:t>我局按照既定的评价指标和评价方法，从决策、过程、产出、效益四方面对</w:t>
      </w:r>
      <w:r>
        <w:rPr>
          <w:rFonts w:hint="eastAsia" w:ascii="仿宋_GB2312" w:hAnsi="仿宋_GB2312" w:eastAsia="仿宋_GB2312" w:cs="仿宋_GB2312"/>
          <w:color w:val="auto"/>
          <w:kern w:val="0"/>
          <w:sz w:val="32"/>
          <w:szCs w:val="32"/>
          <w:highlight w:val="none"/>
          <w:u w:val="none"/>
          <w:shd w:val="clear" w:color="auto" w:fill="FFFFFF"/>
          <w:lang w:val="en-US" w:eastAsia="zh-CN"/>
        </w:rPr>
        <w:t>51090425T000012588138-2024年安居区再生水配置建设项目</w:t>
      </w:r>
      <w:r>
        <w:rPr>
          <w:rFonts w:hint="eastAsia" w:ascii="Times New Roman" w:hAnsi="Times New Roman" w:eastAsia="仿宋_GB2312" w:cs="Times New Roman"/>
          <w:sz w:val="32"/>
          <w:szCs w:val="32"/>
          <w:lang w:val="en-US" w:eastAsia="zh-CN"/>
        </w:rPr>
        <w:t>项目进行绩效评价，最终确定绩效评价得分</w:t>
      </w:r>
      <w:r>
        <w:rPr>
          <w:rFonts w:hint="eastAsia" w:eastAsia="仿宋_GB2312" w:cs="Times New Roman"/>
          <w:sz w:val="32"/>
          <w:szCs w:val="32"/>
          <w:lang w:val="en-US" w:eastAsia="zh-CN"/>
        </w:rPr>
        <w:t>96.00</w:t>
      </w:r>
      <w:r>
        <w:rPr>
          <w:rFonts w:hint="eastAsia" w:ascii="Times New Roman" w:hAnsi="Times New Roman" w:eastAsia="仿宋_GB2312" w:cs="Times New Roman"/>
          <w:sz w:val="32"/>
          <w:szCs w:val="32"/>
          <w:lang w:val="en-US" w:eastAsia="zh-CN"/>
        </w:rPr>
        <w:t>分；评价等级为</w:t>
      </w:r>
      <w:r>
        <w:rPr>
          <w:rFonts w:hint="eastAsia" w:eastAsia="仿宋_GB2312" w:cs="Times New Roman"/>
          <w:sz w:val="32"/>
          <w:szCs w:val="32"/>
          <w:lang w:val="en-US" w:eastAsia="zh-CN"/>
        </w:rPr>
        <w:t>优</w:t>
      </w:r>
      <w:r>
        <w:rPr>
          <w:rFonts w:hint="eastAsia" w:ascii="Times New Roman" w:hAnsi="Times New Roman" w:eastAsia="仿宋_GB2312" w:cs="Times New Roman"/>
          <w:sz w:val="32"/>
          <w:szCs w:val="32"/>
          <w:lang w:val="zh-CN" w:eastAsia="zh-CN"/>
        </w:rPr>
        <w:t>。</w:t>
      </w:r>
    </w:p>
    <w:p w14:paraId="390907CD">
      <w:pPr>
        <w:keepNext w:val="0"/>
        <w:keepLines w:val="0"/>
        <w:pageBreakBefore w:val="0"/>
        <w:widowControl w:val="0"/>
        <w:kinsoku/>
        <w:wordWrap w:val="0"/>
        <w:overflowPunct/>
        <w:topLinePunct w:val="0"/>
        <w:autoSpaceDE/>
        <w:autoSpaceDN/>
        <w:bidi w:val="0"/>
        <w:adjustRightInd/>
        <w:snapToGrid/>
        <w:spacing w:line="590" w:lineRule="exact"/>
        <w:ind w:left="0" w:leftChars="0" w:right="0" w:rightChars="0"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总体上，</w:t>
      </w:r>
      <w:r>
        <w:rPr>
          <w:rFonts w:hint="eastAsia" w:ascii="仿宋_GB2312" w:hAnsi="仿宋_GB2312" w:eastAsia="仿宋_GB2312" w:cs="仿宋_GB2312"/>
          <w:color w:val="auto"/>
          <w:kern w:val="0"/>
          <w:sz w:val="32"/>
          <w:szCs w:val="32"/>
          <w:highlight w:val="none"/>
          <w:u w:val="none"/>
          <w:shd w:val="clear" w:color="auto" w:fill="FFFFFF"/>
          <w:lang w:val="en-US" w:eastAsia="zh-CN"/>
        </w:rPr>
        <w:t>51090425T000012588138-2024年安居区再生水配置建设项目项目</w:t>
      </w:r>
      <w:r>
        <w:rPr>
          <w:rFonts w:hint="eastAsia" w:ascii="Times New Roman" w:hAnsi="Times New Roman" w:eastAsia="仿宋_GB2312" w:cs="Times New Roman"/>
          <w:sz w:val="32"/>
          <w:szCs w:val="32"/>
          <w:lang w:val="en-US" w:eastAsia="zh-CN"/>
        </w:rPr>
        <w:t>申报依据充分，程序规范，预算编制合理，资金到位及时，资金分配合理，管理制度健全，资金支出进度合理，项目计划内容均已按照预期目标基本完成。</w:t>
      </w:r>
    </w:p>
    <w:p w14:paraId="11324B11">
      <w:pPr>
        <w:pStyle w:val="12"/>
        <w:keepNext w:val="0"/>
        <w:keepLines w:val="0"/>
        <w:pageBreakBefore w:val="0"/>
        <w:widowControl w:val="0"/>
        <w:numPr>
          <w:ilvl w:val="0"/>
          <w:numId w:val="0"/>
        </w:numPr>
        <w:tabs>
          <w:tab w:val="left" w:pos="2160"/>
        </w:tabs>
        <w:kinsoku/>
        <w:wordWrap w:val="0"/>
        <w:overflowPunct/>
        <w:topLinePunct w:val="0"/>
        <w:autoSpaceDE/>
        <w:autoSpaceDN/>
        <w:bidi w:val="0"/>
        <w:adjustRightInd/>
        <w:snapToGrid/>
        <w:spacing w:line="590" w:lineRule="exact"/>
        <w:ind w:right="0" w:rightChars="0" w:firstLine="640" w:firstLineChars="200"/>
        <w:textAlignment w:val="auto"/>
        <w:rPr>
          <w:rFonts w:hint="eastAsia" w:ascii="黑体" w:hAnsi="宋体" w:eastAsia="黑体"/>
          <w:color w:val="auto"/>
          <w:sz w:val="32"/>
          <w:szCs w:val="32"/>
          <w:highlight w:val="none"/>
          <w:u w:val="none"/>
          <w:lang w:val="en-US" w:eastAsia="zh-CN"/>
        </w:rPr>
      </w:pPr>
      <w:r>
        <w:rPr>
          <w:rFonts w:hint="eastAsia" w:ascii="黑体" w:hAnsi="宋体" w:eastAsia="黑体"/>
          <w:color w:val="auto"/>
          <w:sz w:val="32"/>
          <w:szCs w:val="32"/>
          <w:highlight w:val="none"/>
          <w:u w:val="none"/>
          <w:lang w:val="en-US" w:eastAsia="zh-CN"/>
        </w:rPr>
        <w:t>五、存在主要问题</w:t>
      </w:r>
    </w:p>
    <w:p w14:paraId="64B52F37">
      <w:pPr>
        <w:keepNext w:val="0"/>
        <w:keepLines w:val="0"/>
        <w:pageBreakBefore w:val="0"/>
        <w:widowControl w:val="0"/>
        <w:kinsoku/>
        <w:wordWrap w:val="0"/>
        <w:overflowPunct/>
        <w:topLinePunct w:val="0"/>
        <w:autoSpaceDE/>
        <w:autoSpaceDN/>
        <w:bidi w:val="0"/>
        <w:adjustRightInd/>
        <w:snapToGrid/>
        <w:spacing w:line="590" w:lineRule="exact"/>
        <w:ind w:left="0" w:leftChars="0" w:right="0" w:rightChars="0" w:firstLine="640" w:firstLineChars="200"/>
        <w:textAlignment w:val="auto"/>
        <w:rPr>
          <w:rFonts w:hint="default" w:eastAsia="仿宋_GB2312" w:cs="Times New Roman"/>
          <w:sz w:val="32"/>
          <w:szCs w:val="32"/>
          <w:lang w:val="zh-CN" w:eastAsia="zh-CN"/>
        </w:rPr>
      </w:pPr>
      <w:r>
        <w:rPr>
          <w:rFonts w:hint="eastAsia" w:eastAsia="仿宋_GB2312" w:cs="Times New Roman"/>
          <w:sz w:val="32"/>
          <w:szCs w:val="32"/>
          <w:lang w:val="en-US" w:eastAsia="zh-CN"/>
        </w:rPr>
        <w:t>无</w:t>
      </w:r>
      <w:r>
        <w:rPr>
          <w:rFonts w:hint="eastAsia" w:eastAsia="仿宋_GB2312" w:cs="Times New Roman"/>
          <w:sz w:val="32"/>
          <w:szCs w:val="32"/>
          <w:lang w:val="zh-CN" w:eastAsia="zh-CN"/>
        </w:rPr>
        <w:t>。</w:t>
      </w:r>
    </w:p>
    <w:p w14:paraId="4D7B9C40">
      <w:pPr>
        <w:pStyle w:val="12"/>
        <w:keepNext w:val="0"/>
        <w:keepLines w:val="0"/>
        <w:pageBreakBefore w:val="0"/>
        <w:widowControl w:val="0"/>
        <w:numPr>
          <w:ilvl w:val="0"/>
          <w:numId w:val="0"/>
        </w:numPr>
        <w:tabs>
          <w:tab w:val="left" w:pos="2160"/>
        </w:tabs>
        <w:kinsoku/>
        <w:wordWrap w:val="0"/>
        <w:overflowPunct/>
        <w:topLinePunct w:val="0"/>
        <w:autoSpaceDE/>
        <w:autoSpaceDN/>
        <w:bidi w:val="0"/>
        <w:adjustRightInd/>
        <w:snapToGrid/>
        <w:spacing w:line="590" w:lineRule="exact"/>
        <w:ind w:right="0" w:rightChars="0" w:firstLine="640" w:firstLineChars="200"/>
        <w:textAlignment w:val="auto"/>
        <w:rPr>
          <w:rFonts w:hint="eastAsia" w:ascii="黑体" w:hAnsi="宋体" w:eastAsia="黑体"/>
          <w:color w:val="auto"/>
          <w:sz w:val="32"/>
          <w:szCs w:val="32"/>
          <w:highlight w:val="none"/>
          <w:u w:val="none"/>
          <w:lang w:val="zh-CN" w:eastAsia="zh-CN"/>
        </w:rPr>
      </w:pPr>
      <w:r>
        <w:rPr>
          <w:rFonts w:hint="eastAsia" w:ascii="黑体" w:hAnsi="宋体" w:eastAsia="黑体"/>
          <w:color w:val="auto"/>
          <w:sz w:val="32"/>
          <w:szCs w:val="32"/>
          <w:highlight w:val="none"/>
          <w:u w:val="none"/>
          <w:lang w:val="zh-CN" w:eastAsia="zh-CN"/>
        </w:rPr>
        <w:t>六、改进建议</w:t>
      </w:r>
    </w:p>
    <w:p w14:paraId="70131756">
      <w:pPr>
        <w:keepNext w:val="0"/>
        <w:keepLines w:val="0"/>
        <w:pageBreakBefore w:val="0"/>
        <w:widowControl w:val="0"/>
        <w:kinsoku/>
        <w:wordWrap w:val="0"/>
        <w:overflowPunct/>
        <w:topLinePunct w:val="0"/>
        <w:autoSpaceDE/>
        <w:autoSpaceDN/>
        <w:bidi w:val="0"/>
        <w:adjustRightInd/>
        <w:snapToGrid/>
        <w:spacing w:line="590" w:lineRule="exact"/>
        <w:ind w:left="0" w:leftChars="0" w:right="0" w:rightChars="0" w:firstLine="640" w:firstLineChars="200"/>
        <w:textAlignment w:val="auto"/>
        <w:outlineLvl w:val="9"/>
        <w:rPr>
          <w:rFonts w:hint="eastAsia" w:eastAsia="仿宋_GB2312" w:cs="Times New Roman"/>
          <w:sz w:val="32"/>
          <w:szCs w:val="32"/>
          <w:lang w:val="en-US" w:eastAsia="zh-CN"/>
        </w:rPr>
      </w:pPr>
      <w:r>
        <w:rPr>
          <w:rFonts w:hint="eastAsia" w:eastAsia="仿宋_GB2312" w:cs="Times New Roman"/>
          <w:sz w:val="32"/>
          <w:szCs w:val="32"/>
          <w:lang w:val="en-US" w:eastAsia="zh-CN"/>
        </w:rPr>
        <w:t>无。</w:t>
      </w:r>
    </w:p>
    <w:p w14:paraId="7A52A966">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outlineLvl w:val="9"/>
        <w:rPr>
          <w:rFonts w:hint="eastAsia" w:ascii="Times New Roman" w:hAnsi="Times New Roman" w:eastAsia="仿宋_GB2312" w:cs="Times New Roman"/>
          <w:color w:val="000000"/>
          <w:kern w:val="0"/>
          <w:sz w:val="32"/>
          <w:szCs w:val="32"/>
          <w:highlight w:val="none"/>
          <w:shd w:val="clear" w:color="auto" w:fill="FFFFFF"/>
          <w:lang w:val="en-US" w:eastAsia="zh-CN"/>
        </w:rPr>
      </w:pPr>
      <w:r>
        <w:rPr>
          <w:rFonts w:hint="eastAsia" w:ascii="Times New Roman" w:hAnsi="Times New Roman" w:eastAsia="仿宋_GB2312" w:cs="Times New Roman"/>
          <w:color w:val="000000"/>
          <w:kern w:val="0"/>
          <w:sz w:val="32"/>
          <w:szCs w:val="32"/>
          <w:highlight w:val="none"/>
          <w:shd w:val="clear" w:color="auto" w:fill="FFFFFF"/>
          <w:lang w:val="en-US" w:eastAsia="zh-CN"/>
        </w:rPr>
        <w:t>附表：1.</w:t>
      </w:r>
      <w:r>
        <w:rPr>
          <w:rFonts w:hint="eastAsia" w:eastAsia="仿宋_GB2312" w:cs="Times New Roman"/>
          <w:color w:val="000000"/>
          <w:kern w:val="0"/>
          <w:sz w:val="32"/>
          <w:szCs w:val="32"/>
          <w:highlight w:val="none"/>
          <w:shd w:val="clear" w:color="auto" w:fill="FFFFFF"/>
          <w:lang w:val="en-US" w:eastAsia="zh-CN"/>
        </w:rPr>
        <w:t xml:space="preserve"> </w:t>
      </w:r>
      <w:r>
        <w:rPr>
          <w:rFonts w:hint="eastAsia" w:ascii="Times New Roman" w:hAnsi="Times New Roman" w:eastAsia="仿宋_GB2312" w:cs="Times New Roman"/>
          <w:color w:val="000000"/>
          <w:kern w:val="0"/>
          <w:sz w:val="32"/>
          <w:szCs w:val="32"/>
          <w:highlight w:val="none"/>
          <w:shd w:val="clear" w:color="auto" w:fill="FFFFFF"/>
          <w:lang w:val="en-US" w:eastAsia="zh-CN"/>
        </w:rPr>
        <w:t>项目资金分配涉及所有点位自评得分情况表</w:t>
      </w:r>
    </w:p>
    <w:p w14:paraId="37D1D7DC">
      <w:pPr>
        <w:keepNext w:val="0"/>
        <w:keepLines w:val="0"/>
        <w:pageBreakBefore w:val="0"/>
        <w:kinsoku/>
        <w:wordWrap/>
        <w:overflowPunct/>
        <w:topLinePunct w:val="0"/>
        <w:autoSpaceDE/>
        <w:autoSpaceDN/>
        <w:bidi w:val="0"/>
        <w:adjustRightInd/>
        <w:snapToGrid/>
        <w:spacing w:line="590" w:lineRule="exact"/>
        <w:ind w:left="0" w:leftChars="0" w:right="0" w:rightChars="0" w:firstLine="1600" w:firstLineChars="500"/>
        <w:textAlignment w:val="auto"/>
        <w:outlineLvl w:val="9"/>
        <w:rPr>
          <w:rFonts w:hint="default" w:ascii="Times New Roman" w:hAnsi="Times New Roman" w:eastAsia="仿宋_GB2312" w:cs="Times New Roman"/>
          <w:color w:val="000000"/>
          <w:kern w:val="0"/>
          <w:sz w:val="32"/>
          <w:szCs w:val="32"/>
          <w:highlight w:val="none"/>
          <w:shd w:val="clear" w:color="auto" w:fill="FFFFFF"/>
          <w:lang w:val="en-US" w:eastAsia="zh-CN"/>
        </w:rPr>
      </w:pPr>
      <w:r>
        <w:rPr>
          <w:rFonts w:hint="eastAsia" w:ascii="Times New Roman" w:hAnsi="Times New Roman" w:eastAsia="仿宋_GB2312" w:cs="Times New Roman"/>
          <w:color w:val="000000"/>
          <w:kern w:val="0"/>
          <w:sz w:val="32"/>
          <w:szCs w:val="32"/>
          <w:highlight w:val="none"/>
          <w:shd w:val="clear" w:color="auto" w:fill="FFFFFF"/>
          <w:lang w:val="en-US" w:eastAsia="zh-CN"/>
        </w:rPr>
        <w:t>2.</w:t>
      </w:r>
      <w:r>
        <w:rPr>
          <w:rFonts w:hint="eastAsia" w:eastAsia="仿宋_GB2312" w:cs="Times New Roman"/>
          <w:color w:val="000000"/>
          <w:kern w:val="0"/>
          <w:sz w:val="32"/>
          <w:szCs w:val="32"/>
          <w:highlight w:val="none"/>
          <w:shd w:val="clear" w:color="auto" w:fill="FFFFFF"/>
          <w:lang w:val="en-US" w:eastAsia="zh-CN"/>
        </w:rPr>
        <w:t xml:space="preserve"> </w:t>
      </w:r>
      <w:r>
        <w:rPr>
          <w:rFonts w:hint="eastAsia" w:ascii="Times New Roman" w:hAnsi="Times New Roman" w:eastAsia="仿宋_GB2312" w:cs="Times New Roman"/>
          <w:color w:val="000000"/>
          <w:kern w:val="0"/>
          <w:sz w:val="32"/>
          <w:szCs w:val="32"/>
          <w:highlight w:val="none"/>
          <w:shd w:val="clear" w:color="auto" w:fill="FFFFFF"/>
          <w:lang w:val="en-US" w:eastAsia="zh-CN"/>
        </w:rPr>
        <w:t>专项</w:t>
      </w:r>
      <w:r>
        <w:rPr>
          <w:rFonts w:hint="eastAsia" w:eastAsia="仿宋_GB2312" w:cs="Times New Roman"/>
          <w:color w:val="000000"/>
          <w:kern w:val="0"/>
          <w:sz w:val="32"/>
          <w:szCs w:val="32"/>
          <w:highlight w:val="none"/>
          <w:shd w:val="clear" w:color="auto" w:fill="FFFFFF"/>
          <w:lang w:val="en-US" w:eastAsia="zh-CN"/>
        </w:rPr>
        <w:t>资金</w:t>
      </w:r>
      <w:r>
        <w:rPr>
          <w:rFonts w:hint="eastAsia" w:ascii="Times New Roman" w:hAnsi="Times New Roman" w:eastAsia="仿宋_GB2312" w:cs="Times New Roman"/>
          <w:color w:val="000000"/>
          <w:kern w:val="0"/>
          <w:sz w:val="32"/>
          <w:szCs w:val="32"/>
          <w:highlight w:val="none"/>
          <w:shd w:val="clear" w:color="auto" w:fill="FFFFFF"/>
          <w:lang w:val="en-US" w:eastAsia="zh-CN"/>
        </w:rPr>
        <w:t>绩效目标完成情况自评表</w:t>
      </w:r>
    </w:p>
    <w:p w14:paraId="2C8F0194">
      <w:pPr>
        <w:keepNext w:val="0"/>
        <w:keepLines w:val="0"/>
        <w:pageBreakBefore w:val="0"/>
        <w:kinsoku/>
        <w:wordWrap/>
        <w:overflowPunct/>
        <w:topLinePunct w:val="0"/>
        <w:autoSpaceDE/>
        <w:autoSpaceDN/>
        <w:bidi w:val="0"/>
        <w:adjustRightInd/>
        <w:snapToGrid/>
        <w:spacing w:line="590" w:lineRule="exact"/>
        <w:ind w:left="0" w:leftChars="0" w:right="0" w:rightChars="0" w:firstLine="420" w:firstLineChars="200"/>
        <w:textAlignment w:val="auto"/>
        <w:outlineLvl w:val="9"/>
        <w:rPr>
          <w:rFonts w:hint="eastAsia" w:ascii="Times New Roman" w:hAnsi="Times New Roman" w:eastAsia="仿宋_GB2312" w:cs="Times New Roman"/>
          <w:color w:val="000000"/>
          <w:kern w:val="0"/>
          <w:szCs w:val="32"/>
          <w:highlight w:val="none"/>
          <w:shd w:val="clear" w:color="auto" w:fill="FFFFFF"/>
          <w:lang w:val="zh-CN" w:eastAsia="zh-CN"/>
        </w:rPr>
      </w:pPr>
      <w:r>
        <w:rPr>
          <w:rFonts w:hint="eastAsia" w:ascii="Times New Roman" w:hAnsi="Times New Roman" w:eastAsia="仿宋_GB2312" w:cs="Times New Roman"/>
          <w:color w:val="000000"/>
          <w:kern w:val="0"/>
          <w:szCs w:val="32"/>
          <w:highlight w:val="none"/>
          <w:shd w:val="clear" w:color="auto" w:fill="FFFFFF"/>
          <w:lang w:val="zh-CN" w:eastAsia="zh-CN"/>
        </w:rPr>
        <w:br w:type="page"/>
      </w:r>
    </w:p>
    <w:p w14:paraId="5C9F5CEC">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contextualSpacing/>
        <w:jc w:val="left"/>
        <w:textAlignment w:val="auto"/>
        <w:rPr>
          <w:rFonts w:hint="eastAsia" w:ascii="黑体" w:hAnsi="黑体" w:eastAsia="黑体" w:cs="黑体"/>
          <w:b w:val="0"/>
          <w:bCs w:val="0"/>
          <w:color w:val="auto"/>
          <w:kern w:val="0"/>
          <w:sz w:val="32"/>
          <w:szCs w:val="32"/>
          <w:highlight w:val="none"/>
          <w:u w:val="none"/>
          <w:shd w:val="clear" w:color="auto" w:fill="FFFFFF"/>
          <w:lang w:val="zh-CN" w:eastAsia="zh-CN"/>
        </w:rPr>
      </w:pPr>
      <w:r>
        <w:rPr>
          <w:rFonts w:hint="eastAsia" w:ascii="黑体" w:hAnsi="黑体" w:eastAsia="黑体" w:cs="黑体"/>
          <w:b w:val="0"/>
          <w:bCs w:val="0"/>
          <w:color w:val="auto"/>
          <w:kern w:val="0"/>
          <w:sz w:val="32"/>
          <w:szCs w:val="32"/>
          <w:highlight w:val="none"/>
          <w:u w:val="none"/>
          <w:shd w:val="clear" w:color="auto" w:fill="FFFFFF"/>
          <w:lang w:val="zh-CN" w:eastAsia="zh-CN"/>
        </w:rPr>
        <w:t>附表</w:t>
      </w:r>
      <w:r>
        <w:rPr>
          <w:rFonts w:hint="eastAsia" w:ascii="黑体" w:hAnsi="黑体" w:eastAsia="黑体" w:cs="黑体"/>
          <w:b w:val="0"/>
          <w:bCs w:val="0"/>
          <w:color w:val="auto"/>
          <w:kern w:val="0"/>
          <w:sz w:val="32"/>
          <w:szCs w:val="32"/>
          <w:highlight w:val="none"/>
          <w:u w:val="none"/>
          <w:shd w:val="clear" w:color="auto" w:fill="FFFFFF"/>
          <w:lang w:val="en-US" w:eastAsia="zh-CN"/>
        </w:rPr>
        <w:t>1</w:t>
      </w:r>
    </w:p>
    <w:p w14:paraId="353C340E">
      <w:pPr>
        <w:keepNext w:val="0"/>
        <w:keepLines w:val="0"/>
        <w:pageBreakBefore w:val="0"/>
        <w:kinsoku/>
        <w:wordWrap/>
        <w:overflowPunct/>
        <w:topLinePunct w:val="0"/>
        <w:autoSpaceDE/>
        <w:autoSpaceDN/>
        <w:bidi w:val="0"/>
        <w:spacing w:line="578" w:lineRule="exact"/>
        <w:ind w:left="0" w:leftChars="0"/>
        <w:jc w:val="center"/>
        <w:textAlignment w:val="auto"/>
        <w:rPr>
          <w:rFonts w:hint="eastAsia" w:ascii="方正小标宋_GBK" w:hAnsi="方正小标宋_GBK" w:eastAsia="方正小标宋_GBK" w:cs="方正小标宋_GBK"/>
          <w:b w:val="0"/>
          <w:bCs w:val="0"/>
          <w:color w:val="auto"/>
          <w:sz w:val="40"/>
          <w:szCs w:val="40"/>
          <w:highlight w:val="none"/>
          <w:u w:val="none"/>
          <w:lang w:val="en-US" w:eastAsia="zh-CN"/>
        </w:rPr>
      </w:pPr>
      <w:r>
        <w:rPr>
          <w:rFonts w:hint="eastAsia" w:ascii="方正小标宋_GBK" w:hAnsi="方正小标宋_GBK" w:eastAsia="方正小标宋_GBK" w:cs="方正小标宋_GBK"/>
          <w:b w:val="0"/>
          <w:bCs w:val="0"/>
          <w:color w:val="auto"/>
          <w:sz w:val="40"/>
          <w:szCs w:val="40"/>
          <w:highlight w:val="none"/>
          <w:u w:val="none"/>
          <w:lang w:val="en-US" w:eastAsia="zh-CN"/>
        </w:rPr>
        <w:t>项目资金分配涉及所有点位自评得分情况表</w:t>
      </w:r>
    </w:p>
    <w:tbl>
      <w:tblPr>
        <w:tblStyle w:val="24"/>
        <w:tblW w:w="88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3"/>
        <w:gridCol w:w="3843"/>
        <w:gridCol w:w="2861"/>
        <w:gridCol w:w="993"/>
      </w:tblGrid>
      <w:tr w14:paraId="1CCE4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top"/>
          </w:tcPr>
          <w:p w14:paraId="4EA6E697">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黑体" w:hAnsi="黑体" w:eastAsia="黑体" w:cs="黑体"/>
                <w:b w:val="0"/>
                <w:bCs w:val="0"/>
                <w:color w:val="auto"/>
                <w:sz w:val="24"/>
                <w:szCs w:val="24"/>
                <w:highlight w:val="none"/>
                <w:u w:val="none"/>
                <w:vertAlign w:val="baseline"/>
                <w:lang w:val="en-US" w:eastAsia="zh-CN"/>
              </w:rPr>
            </w:pPr>
            <w:r>
              <w:rPr>
                <w:rFonts w:hint="eastAsia" w:ascii="黑体" w:hAnsi="黑体" w:eastAsia="黑体" w:cs="黑体"/>
                <w:b w:val="0"/>
                <w:bCs w:val="0"/>
                <w:color w:val="auto"/>
                <w:sz w:val="24"/>
                <w:szCs w:val="24"/>
                <w:highlight w:val="none"/>
                <w:u w:val="none"/>
                <w:vertAlign w:val="baseline"/>
                <w:lang w:val="en-US" w:eastAsia="zh-CN"/>
              </w:rPr>
              <w:t>序号</w:t>
            </w:r>
          </w:p>
        </w:tc>
        <w:tc>
          <w:tcPr>
            <w:tcW w:w="3843" w:type="dxa"/>
            <w:vAlign w:val="top"/>
          </w:tcPr>
          <w:p w14:paraId="35E3CBC7">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黑体" w:hAnsi="黑体" w:eastAsia="黑体" w:cs="黑体"/>
                <w:b w:val="0"/>
                <w:bCs w:val="0"/>
                <w:color w:val="auto"/>
                <w:sz w:val="24"/>
                <w:szCs w:val="24"/>
                <w:highlight w:val="none"/>
                <w:u w:val="none"/>
                <w:vertAlign w:val="baseline"/>
                <w:lang w:val="en" w:eastAsia="zh-CN"/>
              </w:rPr>
            </w:pPr>
            <w:r>
              <w:rPr>
                <w:rFonts w:hint="eastAsia" w:ascii="黑体" w:hAnsi="黑体" w:eastAsia="黑体" w:cs="黑体"/>
                <w:b w:val="0"/>
                <w:bCs w:val="0"/>
                <w:color w:val="auto"/>
                <w:sz w:val="24"/>
                <w:szCs w:val="24"/>
                <w:highlight w:val="none"/>
                <w:u w:val="none"/>
                <w:vertAlign w:val="baseline"/>
                <w:lang w:val="en-US" w:eastAsia="zh-CN"/>
              </w:rPr>
              <w:t>项目资金末端分配点位</w:t>
            </w:r>
          </w:p>
        </w:tc>
        <w:tc>
          <w:tcPr>
            <w:tcW w:w="2861" w:type="dxa"/>
            <w:vAlign w:val="top"/>
          </w:tcPr>
          <w:p w14:paraId="43085682">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黑体" w:hAnsi="黑体" w:eastAsia="黑体" w:cs="黑体"/>
                <w:b w:val="0"/>
                <w:bCs w:val="0"/>
                <w:color w:val="auto"/>
                <w:sz w:val="24"/>
                <w:szCs w:val="24"/>
                <w:highlight w:val="none"/>
                <w:u w:val="none"/>
                <w:vertAlign w:val="baseline"/>
                <w:lang w:val="en-US" w:eastAsia="zh-CN"/>
              </w:rPr>
            </w:pPr>
            <w:r>
              <w:rPr>
                <w:rFonts w:hint="eastAsia" w:ascii="黑体" w:hAnsi="黑体" w:eastAsia="黑体" w:cs="黑体"/>
                <w:b w:val="0"/>
                <w:bCs w:val="0"/>
                <w:color w:val="auto"/>
                <w:sz w:val="24"/>
                <w:szCs w:val="24"/>
                <w:highlight w:val="none"/>
                <w:u w:val="none"/>
                <w:vertAlign w:val="baseline"/>
                <w:lang w:val="en" w:eastAsia="zh-CN"/>
              </w:rPr>
              <w:t>自评得分（百分制）</w:t>
            </w:r>
          </w:p>
        </w:tc>
        <w:tc>
          <w:tcPr>
            <w:tcW w:w="993" w:type="dxa"/>
            <w:vAlign w:val="top"/>
          </w:tcPr>
          <w:p w14:paraId="38D7CFA7">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黑体" w:hAnsi="黑体" w:eastAsia="黑体" w:cs="黑体"/>
                <w:b w:val="0"/>
                <w:bCs w:val="0"/>
                <w:color w:val="auto"/>
                <w:sz w:val="24"/>
                <w:szCs w:val="24"/>
                <w:highlight w:val="none"/>
                <w:u w:val="none"/>
                <w:vertAlign w:val="baseline"/>
                <w:lang w:val="en-US" w:eastAsia="zh-CN"/>
              </w:rPr>
            </w:pPr>
            <w:r>
              <w:rPr>
                <w:rFonts w:hint="eastAsia" w:ascii="黑体" w:hAnsi="黑体" w:eastAsia="黑体" w:cs="黑体"/>
                <w:b w:val="0"/>
                <w:bCs w:val="0"/>
                <w:color w:val="auto"/>
                <w:sz w:val="24"/>
                <w:szCs w:val="24"/>
                <w:highlight w:val="none"/>
                <w:u w:val="none"/>
                <w:vertAlign w:val="baseline"/>
                <w:lang w:val="en-US" w:eastAsia="zh-CN"/>
              </w:rPr>
              <w:t>备注</w:t>
            </w:r>
          </w:p>
        </w:tc>
      </w:tr>
      <w:tr w14:paraId="2974A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exact"/>
          <w:jc w:val="center"/>
        </w:trPr>
        <w:tc>
          <w:tcPr>
            <w:tcW w:w="1123" w:type="dxa"/>
            <w:vAlign w:val="top"/>
          </w:tcPr>
          <w:p w14:paraId="5E28E576">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宋体" w:hAnsi="宋体" w:eastAsia="宋体" w:cs="宋体"/>
                <w:b w:val="0"/>
                <w:bCs w:val="0"/>
                <w:color w:val="auto"/>
                <w:sz w:val="24"/>
                <w:szCs w:val="24"/>
                <w:highlight w:val="none"/>
                <w:u w:val="none"/>
                <w:lang w:val="en-US" w:eastAsia="zh-CN"/>
              </w:rPr>
            </w:pPr>
            <w:r>
              <w:rPr>
                <w:rFonts w:hint="eastAsia" w:ascii="宋体" w:hAnsi="宋体" w:eastAsia="仿宋_GB2312" w:cs="宋体"/>
                <w:b w:val="0"/>
                <w:bCs w:val="0"/>
                <w:color w:val="auto"/>
                <w:sz w:val="24"/>
                <w:szCs w:val="24"/>
                <w:highlight w:val="none"/>
                <w:u w:val="none"/>
                <w:lang w:val="en-US" w:eastAsia="zh-CN"/>
              </w:rPr>
              <w:t>1</w:t>
            </w:r>
          </w:p>
        </w:tc>
        <w:tc>
          <w:tcPr>
            <w:tcW w:w="3843" w:type="dxa"/>
            <w:vAlign w:val="top"/>
          </w:tcPr>
          <w:p w14:paraId="58A3D776">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default" w:ascii="宋体" w:hAnsi="宋体" w:cs="宋体"/>
                <w:color w:val="auto"/>
                <w:sz w:val="24"/>
                <w:szCs w:val="24"/>
                <w:highlight w:val="none"/>
                <w:u w:val="none"/>
                <w:vertAlign w:val="baseline"/>
                <w:lang w:val="en-US" w:eastAsia="zh-CN"/>
              </w:rPr>
            </w:pPr>
            <w:r>
              <w:rPr>
                <w:rFonts w:hint="eastAsia" w:ascii="宋体" w:hAnsi="宋体" w:eastAsia="仿宋_GB2312" w:cs="宋体"/>
                <w:color w:val="auto"/>
                <w:sz w:val="24"/>
                <w:szCs w:val="24"/>
                <w:highlight w:val="none"/>
                <w:u w:val="none"/>
                <w:vertAlign w:val="baseline"/>
                <w:lang w:val="en-US" w:eastAsia="zh-CN"/>
              </w:rPr>
              <w:t>安居区水利局2024年安居区再生水配置建设项目</w:t>
            </w:r>
          </w:p>
        </w:tc>
        <w:tc>
          <w:tcPr>
            <w:tcW w:w="2861" w:type="dxa"/>
            <w:vAlign w:val="top"/>
          </w:tcPr>
          <w:p w14:paraId="16D91AF1">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default" w:ascii="宋体" w:hAnsi="宋体" w:cs="宋体"/>
                <w:color w:val="auto"/>
                <w:sz w:val="24"/>
                <w:szCs w:val="24"/>
                <w:highlight w:val="none"/>
                <w:u w:val="none"/>
                <w:vertAlign w:val="baseline"/>
                <w:lang w:val="en-US" w:eastAsia="zh-CN"/>
              </w:rPr>
            </w:pPr>
            <w:r>
              <w:rPr>
                <w:rFonts w:hint="eastAsia" w:ascii="宋体" w:hAnsi="宋体" w:eastAsia="仿宋_GB2312" w:cs="宋体"/>
                <w:color w:val="auto"/>
                <w:sz w:val="24"/>
                <w:szCs w:val="24"/>
                <w:highlight w:val="none"/>
                <w:u w:val="none"/>
                <w:vertAlign w:val="baseline"/>
                <w:lang w:val="en-US" w:eastAsia="zh-CN"/>
              </w:rPr>
              <w:t>96.00</w:t>
            </w:r>
          </w:p>
        </w:tc>
        <w:tc>
          <w:tcPr>
            <w:tcW w:w="993" w:type="dxa"/>
            <w:vAlign w:val="top"/>
          </w:tcPr>
          <w:p w14:paraId="6BE73800">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US" w:eastAsia="zh-CN"/>
              </w:rPr>
            </w:pPr>
          </w:p>
        </w:tc>
      </w:tr>
      <w:tr w14:paraId="1D429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top"/>
          </w:tcPr>
          <w:p w14:paraId="62CCE7D4">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宋体" w:hAnsi="宋体" w:eastAsia="宋体" w:cs="宋体"/>
                <w:b w:val="0"/>
                <w:bCs w:val="0"/>
                <w:color w:val="auto"/>
                <w:sz w:val="24"/>
                <w:szCs w:val="24"/>
                <w:highlight w:val="none"/>
                <w:u w:val="none"/>
                <w:lang w:val="en-US" w:eastAsia="zh-CN"/>
              </w:rPr>
            </w:pPr>
            <w:r>
              <w:rPr>
                <w:rFonts w:hint="eastAsia" w:ascii="宋体" w:hAnsi="宋体" w:eastAsia="仿宋_GB2312" w:cs="宋体"/>
                <w:b w:val="0"/>
                <w:bCs w:val="0"/>
                <w:color w:val="auto"/>
                <w:sz w:val="24"/>
                <w:szCs w:val="24"/>
                <w:highlight w:val="none"/>
                <w:u w:val="none"/>
                <w:lang w:val="en-US" w:eastAsia="zh-CN"/>
              </w:rPr>
              <w:t>2</w:t>
            </w:r>
          </w:p>
        </w:tc>
        <w:tc>
          <w:tcPr>
            <w:tcW w:w="3843" w:type="dxa"/>
            <w:vAlign w:val="top"/>
          </w:tcPr>
          <w:p w14:paraId="5D7D6175">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 w:eastAsia="zh-CN"/>
              </w:rPr>
            </w:pPr>
          </w:p>
        </w:tc>
        <w:tc>
          <w:tcPr>
            <w:tcW w:w="2861" w:type="dxa"/>
            <w:vAlign w:val="top"/>
          </w:tcPr>
          <w:p w14:paraId="74068BBB">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 w:eastAsia="zh-CN"/>
              </w:rPr>
            </w:pPr>
          </w:p>
        </w:tc>
        <w:tc>
          <w:tcPr>
            <w:tcW w:w="993" w:type="dxa"/>
            <w:vAlign w:val="top"/>
          </w:tcPr>
          <w:p w14:paraId="4BE2C92C">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US" w:eastAsia="zh-CN"/>
              </w:rPr>
            </w:pPr>
          </w:p>
        </w:tc>
      </w:tr>
      <w:tr w14:paraId="064D5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top"/>
          </w:tcPr>
          <w:p w14:paraId="15F984C0">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宋体" w:hAnsi="宋体" w:eastAsia="宋体" w:cs="宋体"/>
                <w:b w:val="0"/>
                <w:bCs w:val="0"/>
                <w:color w:val="auto"/>
                <w:sz w:val="24"/>
                <w:szCs w:val="24"/>
                <w:highlight w:val="none"/>
                <w:u w:val="none"/>
                <w:lang w:val="en-US" w:eastAsia="zh-CN"/>
              </w:rPr>
            </w:pPr>
            <w:r>
              <w:rPr>
                <w:rFonts w:hint="eastAsia" w:ascii="宋体" w:hAnsi="宋体" w:eastAsia="仿宋_GB2312" w:cs="宋体"/>
                <w:b w:val="0"/>
                <w:bCs w:val="0"/>
                <w:color w:val="auto"/>
                <w:sz w:val="24"/>
                <w:szCs w:val="24"/>
                <w:highlight w:val="none"/>
                <w:u w:val="none"/>
                <w:lang w:val="en-US" w:eastAsia="zh-CN"/>
              </w:rPr>
              <w:t>3</w:t>
            </w:r>
          </w:p>
        </w:tc>
        <w:tc>
          <w:tcPr>
            <w:tcW w:w="3843" w:type="dxa"/>
            <w:vAlign w:val="top"/>
          </w:tcPr>
          <w:p w14:paraId="1F4CC7FC">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 w:eastAsia="zh-CN"/>
              </w:rPr>
            </w:pPr>
          </w:p>
        </w:tc>
        <w:tc>
          <w:tcPr>
            <w:tcW w:w="2861" w:type="dxa"/>
            <w:vAlign w:val="top"/>
          </w:tcPr>
          <w:p w14:paraId="2553BDC8">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 w:eastAsia="zh-CN"/>
              </w:rPr>
            </w:pPr>
          </w:p>
        </w:tc>
        <w:tc>
          <w:tcPr>
            <w:tcW w:w="993" w:type="dxa"/>
            <w:vAlign w:val="top"/>
          </w:tcPr>
          <w:p w14:paraId="0DCB9991">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US" w:eastAsia="zh-CN"/>
              </w:rPr>
            </w:pPr>
          </w:p>
        </w:tc>
      </w:tr>
      <w:tr w14:paraId="65E20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top"/>
          </w:tcPr>
          <w:p w14:paraId="7200D820">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宋体" w:hAnsi="宋体" w:eastAsia="宋体" w:cs="宋体"/>
                <w:b w:val="0"/>
                <w:bCs w:val="0"/>
                <w:color w:val="auto"/>
                <w:sz w:val="24"/>
                <w:szCs w:val="24"/>
                <w:highlight w:val="none"/>
                <w:u w:val="none"/>
                <w:lang w:val="en-US" w:eastAsia="zh-CN"/>
              </w:rPr>
            </w:pPr>
            <w:r>
              <w:rPr>
                <w:rFonts w:hint="eastAsia" w:ascii="宋体" w:hAnsi="宋体" w:eastAsia="仿宋_GB2312" w:cs="宋体"/>
                <w:b w:val="0"/>
                <w:bCs w:val="0"/>
                <w:color w:val="auto"/>
                <w:sz w:val="24"/>
                <w:szCs w:val="24"/>
                <w:highlight w:val="none"/>
                <w:u w:val="none"/>
                <w:lang w:val="en-US" w:eastAsia="zh-CN"/>
              </w:rPr>
              <w:t>4</w:t>
            </w:r>
          </w:p>
        </w:tc>
        <w:tc>
          <w:tcPr>
            <w:tcW w:w="3843" w:type="dxa"/>
            <w:vAlign w:val="top"/>
          </w:tcPr>
          <w:p w14:paraId="1B4AA3AC">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 w:eastAsia="zh-CN"/>
              </w:rPr>
            </w:pPr>
          </w:p>
        </w:tc>
        <w:tc>
          <w:tcPr>
            <w:tcW w:w="2861" w:type="dxa"/>
            <w:vAlign w:val="top"/>
          </w:tcPr>
          <w:p w14:paraId="24F0634C">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 w:eastAsia="zh-CN"/>
              </w:rPr>
            </w:pPr>
          </w:p>
        </w:tc>
        <w:tc>
          <w:tcPr>
            <w:tcW w:w="993" w:type="dxa"/>
            <w:vAlign w:val="top"/>
          </w:tcPr>
          <w:p w14:paraId="3616A76A">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US" w:eastAsia="zh-CN"/>
              </w:rPr>
            </w:pPr>
          </w:p>
        </w:tc>
      </w:tr>
      <w:tr w14:paraId="46202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top"/>
          </w:tcPr>
          <w:p w14:paraId="27155154">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宋体" w:hAnsi="宋体" w:eastAsia="宋体" w:cs="宋体"/>
                <w:b w:val="0"/>
                <w:bCs w:val="0"/>
                <w:color w:val="auto"/>
                <w:sz w:val="24"/>
                <w:szCs w:val="24"/>
                <w:highlight w:val="none"/>
                <w:u w:val="none"/>
                <w:lang w:val="en-US" w:eastAsia="zh-CN"/>
              </w:rPr>
            </w:pPr>
            <w:r>
              <w:rPr>
                <w:rFonts w:hint="eastAsia" w:ascii="宋体" w:hAnsi="宋体" w:eastAsia="仿宋_GB2312" w:cs="宋体"/>
                <w:b w:val="0"/>
                <w:bCs w:val="0"/>
                <w:color w:val="auto"/>
                <w:sz w:val="24"/>
                <w:szCs w:val="24"/>
                <w:highlight w:val="none"/>
                <w:u w:val="none"/>
                <w:lang w:val="en-US" w:eastAsia="zh-CN"/>
              </w:rPr>
              <w:t>5</w:t>
            </w:r>
          </w:p>
        </w:tc>
        <w:tc>
          <w:tcPr>
            <w:tcW w:w="3843" w:type="dxa"/>
            <w:vAlign w:val="top"/>
          </w:tcPr>
          <w:p w14:paraId="10089FE9">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 w:eastAsia="zh-CN"/>
              </w:rPr>
            </w:pPr>
          </w:p>
        </w:tc>
        <w:tc>
          <w:tcPr>
            <w:tcW w:w="2861" w:type="dxa"/>
            <w:vAlign w:val="top"/>
          </w:tcPr>
          <w:p w14:paraId="06613B03">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 w:eastAsia="zh-CN"/>
              </w:rPr>
            </w:pPr>
          </w:p>
        </w:tc>
        <w:tc>
          <w:tcPr>
            <w:tcW w:w="993" w:type="dxa"/>
            <w:vAlign w:val="top"/>
          </w:tcPr>
          <w:p w14:paraId="6A656642">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US" w:eastAsia="zh-CN"/>
              </w:rPr>
            </w:pPr>
          </w:p>
        </w:tc>
      </w:tr>
      <w:tr w14:paraId="3FC0F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top"/>
          </w:tcPr>
          <w:p w14:paraId="643169CC">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宋体" w:hAnsi="宋体" w:eastAsia="宋体" w:cs="宋体"/>
                <w:b w:val="0"/>
                <w:bCs w:val="0"/>
                <w:color w:val="auto"/>
                <w:sz w:val="24"/>
                <w:szCs w:val="24"/>
                <w:highlight w:val="none"/>
                <w:u w:val="none"/>
                <w:lang w:val="en-US" w:eastAsia="zh-CN"/>
              </w:rPr>
            </w:pPr>
            <w:r>
              <w:rPr>
                <w:rFonts w:hint="eastAsia" w:ascii="宋体" w:hAnsi="宋体" w:eastAsia="仿宋_GB2312" w:cs="宋体"/>
                <w:b w:val="0"/>
                <w:bCs w:val="0"/>
                <w:color w:val="auto"/>
                <w:sz w:val="24"/>
                <w:szCs w:val="24"/>
                <w:highlight w:val="none"/>
                <w:u w:val="none"/>
                <w:lang w:val="en-US" w:eastAsia="zh-CN"/>
              </w:rPr>
              <w:t>6</w:t>
            </w:r>
          </w:p>
        </w:tc>
        <w:tc>
          <w:tcPr>
            <w:tcW w:w="3843" w:type="dxa"/>
            <w:vAlign w:val="top"/>
          </w:tcPr>
          <w:p w14:paraId="4E3F08BD">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 w:eastAsia="zh-CN"/>
              </w:rPr>
            </w:pPr>
          </w:p>
        </w:tc>
        <w:tc>
          <w:tcPr>
            <w:tcW w:w="2861" w:type="dxa"/>
            <w:vAlign w:val="top"/>
          </w:tcPr>
          <w:p w14:paraId="74DECDE6">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 w:eastAsia="zh-CN"/>
              </w:rPr>
            </w:pPr>
          </w:p>
        </w:tc>
        <w:tc>
          <w:tcPr>
            <w:tcW w:w="993" w:type="dxa"/>
            <w:vAlign w:val="top"/>
          </w:tcPr>
          <w:p w14:paraId="053BC3DF">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US" w:eastAsia="zh-CN"/>
              </w:rPr>
            </w:pPr>
          </w:p>
        </w:tc>
      </w:tr>
      <w:tr w14:paraId="525AD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top"/>
          </w:tcPr>
          <w:p w14:paraId="6FEA1080">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宋体" w:hAnsi="宋体" w:eastAsia="宋体" w:cs="宋体"/>
                <w:b w:val="0"/>
                <w:bCs w:val="0"/>
                <w:color w:val="auto"/>
                <w:sz w:val="24"/>
                <w:szCs w:val="24"/>
                <w:highlight w:val="none"/>
                <w:u w:val="none"/>
                <w:lang w:val="en-US" w:eastAsia="zh-CN"/>
              </w:rPr>
            </w:pPr>
            <w:r>
              <w:rPr>
                <w:rFonts w:hint="eastAsia" w:ascii="宋体" w:hAnsi="宋体" w:eastAsia="仿宋_GB2312" w:cs="宋体"/>
                <w:b w:val="0"/>
                <w:bCs w:val="0"/>
                <w:color w:val="auto"/>
                <w:sz w:val="24"/>
                <w:szCs w:val="24"/>
                <w:highlight w:val="none"/>
                <w:u w:val="none"/>
                <w:lang w:val="en-US" w:eastAsia="zh-CN"/>
              </w:rPr>
              <w:t>7</w:t>
            </w:r>
          </w:p>
        </w:tc>
        <w:tc>
          <w:tcPr>
            <w:tcW w:w="3843" w:type="dxa"/>
            <w:vAlign w:val="top"/>
          </w:tcPr>
          <w:p w14:paraId="64CE3834">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 w:eastAsia="zh-CN"/>
              </w:rPr>
            </w:pPr>
          </w:p>
        </w:tc>
        <w:tc>
          <w:tcPr>
            <w:tcW w:w="2861" w:type="dxa"/>
            <w:vAlign w:val="top"/>
          </w:tcPr>
          <w:p w14:paraId="47CADA6F">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 w:eastAsia="zh-CN"/>
              </w:rPr>
            </w:pPr>
          </w:p>
        </w:tc>
        <w:tc>
          <w:tcPr>
            <w:tcW w:w="993" w:type="dxa"/>
            <w:vAlign w:val="top"/>
          </w:tcPr>
          <w:p w14:paraId="765D103B">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US" w:eastAsia="zh-CN"/>
              </w:rPr>
            </w:pPr>
          </w:p>
        </w:tc>
      </w:tr>
      <w:tr w14:paraId="68203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top"/>
          </w:tcPr>
          <w:p w14:paraId="33E507BC">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宋体" w:hAnsi="宋体" w:eastAsia="宋体" w:cs="宋体"/>
                <w:b w:val="0"/>
                <w:bCs w:val="0"/>
                <w:color w:val="auto"/>
                <w:sz w:val="24"/>
                <w:szCs w:val="24"/>
                <w:highlight w:val="none"/>
                <w:u w:val="none"/>
                <w:lang w:val="en-US" w:eastAsia="zh-CN"/>
              </w:rPr>
            </w:pPr>
            <w:r>
              <w:rPr>
                <w:rFonts w:hint="eastAsia" w:ascii="宋体" w:hAnsi="宋体" w:eastAsia="仿宋_GB2312" w:cs="宋体"/>
                <w:b w:val="0"/>
                <w:bCs w:val="0"/>
                <w:color w:val="auto"/>
                <w:sz w:val="24"/>
                <w:szCs w:val="24"/>
                <w:highlight w:val="none"/>
                <w:u w:val="none"/>
                <w:lang w:val="en-US" w:eastAsia="zh-CN"/>
              </w:rPr>
              <w:t>8</w:t>
            </w:r>
          </w:p>
        </w:tc>
        <w:tc>
          <w:tcPr>
            <w:tcW w:w="3843" w:type="dxa"/>
            <w:vAlign w:val="top"/>
          </w:tcPr>
          <w:p w14:paraId="2F9BC126">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 w:eastAsia="zh-CN"/>
              </w:rPr>
            </w:pPr>
          </w:p>
        </w:tc>
        <w:tc>
          <w:tcPr>
            <w:tcW w:w="2861" w:type="dxa"/>
            <w:vAlign w:val="top"/>
          </w:tcPr>
          <w:p w14:paraId="1BD6CC4F">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 w:eastAsia="zh-CN"/>
              </w:rPr>
            </w:pPr>
          </w:p>
        </w:tc>
        <w:tc>
          <w:tcPr>
            <w:tcW w:w="993" w:type="dxa"/>
            <w:vAlign w:val="top"/>
          </w:tcPr>
          <w:p w14:paraId="4F50E60A">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US" w:eastAsia="zh-CN"/>
              </w:rPr>
            </w:pPr>
          </w:p>
        </w:tc>
      </w:tr>
      <w:tr w14:paraId="06BF9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top"/>
          </w:tcPr>
          <w:p w14:paraId="36C2F0A5">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宋体" w:hAnsi="宋体" w:eastAsia="宋体" w:cs="宋体"/>
                <w:color w:val="auto"/>
                <w:sz w:val="24"/>
                <w:szCs w:val="24"/>
                <w:highlight w:val="none"/>
                <w:u w:val="none"/>
                <w:lang w:val="en-US" w:eastAsia="zh-CN"/>
              </w:rPr>
            </w:pPr>
            <w:r>
              <w:rPr>
                <w:rFonts w:hint="eastAsia" w:ascii="宋体" w:hAnsi="宋体" w:eastAsia="仿宋_GB2312" w:cs="宋体"/>
                <w:color w:val="auto"/>
                <w:sz w:val="24"/>
                <w:szCs w:val="24"/>
                <w:highlight w:val="none"/>
                <w:u w:val="none"/>
                <w:lang w:val="en-US" w:eastAsia="zh-CN"/>
              </w:rPr>
              <w:t>……</w:t>
            </w:r>
          </w:p>
        </w:tc>
        <w:tc>
          <w:tcPr>
            <w:tcW w:w="3843" w:type="dxa"/>
            <w:vAlign w:val="top"/>
          </w:tcPr>
          <w:p w14:paraId="1BF1CA4D">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 w:eastAsia="zh-CN"/>
              </w:rPr>
            </w:pPr>
          </w:p>
        </w:tc>
        <w:tc>
          <w:tcPr>
            <w:tcW w:w="2861" w:type="dxa"/>
            <w:vAlign w:val="top"/>
          </w:tcPr>
          <w:p w14:paraId="4A42FBCC">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 w:eastAsia="zh-CN"/>
              </w:rPr>
            </w:pPr>
          </w:p>
        </w:tc>
        <w:tc>
          <w:tcPr>
            <w:tcW w:w="993" w:type="dxa"/>
            <w:vAlign w:val="top"/>
          </w:tcPr>
          <w:p w14:paraId="21F9FE7D">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US" w:eastAsia="zh-CN"/>
              </w:rPr>
            </w:pPr>
          </w:p>
        </w:tc>
      </w:tr>
    </w:tbl>
    <w:p w14:paraId="6ABE391F">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宋体" w:hAnsi="宋体" w:eastAsia="仿宋_GB2312" w:cs="宋体"/>
          <w:b w:val="0"/>
          <w:bCs w:val="0"/>
          <w:color w:val="auto"/>
          <w:sz w:val="21"/>
          <w:szCs w:val="21"/>
          <w:highlight w:val="none"/>
          <w:u w:val="none"/>
          <w:vertAlign w:val="baseline"/>
          <w:lang w:val="en-US" w:eastAsia="zh-CN"/>
        </w:rPr>
      </w:pPr>
      <w:r>
        <w:rPr>
          <w:rFonts w:hint="eastAsia" w:ascii="宋体" w:hAnsi="宋体" w:eastAsia="仿宋_GB2312" w:cs="宋体"/>
          <w:b w:val="0"/>
          <w:bCs w:val="0"/>
          <w:color w:val="auto"/>
          <w:sz w:val="21"/>
          <w:szCs w:val="21"/>
          <w:highlight w:val="none"/>
          <w:u w:val="none"/>
          <w:vertAlign w:val="baseline"/>
          <w:lang w:val="en-US" w:eastAsia="zh-CN"/>
        </w:rPr>
        <w:t>备注：1.项目资金末端分配点位包括县（市、区）、市级部门下属单位及一次性单位等。</w:t>
      </w:r>
    </w:p>
    <w:p w14:paraId="651ED978">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630" w:firstLineChars="300"/>
        <w:jc w:val="left"/>
        <w:textAlignment w:val="auto"/>
        <w:rPr>
          <w:rFonts w:hint="eastAsia" w:ascii="宋体" w:hAnsi="宋体" w:eastAsia="仿宋_GB2312" w:cs="宋体"/>
          <w:b w:val="0"/>
          <w:bCs w:val="0"/>
          <w:color w:val="auto"/>
          <w:sz w:val="21"/>
          <w:szCs w:val="21"/>
          <w:highlight w:val="none"/>
          <w:u w:val="none"/>
          <w:vertAlign w:val="baseline"/>
          <w:lang w:val="en-US" w:eastAsia="zh-CN"/>
        </w:rPr>
      </w:pPr>
      <w:r>
        <w:rPr>
          <w:rFonts w:hint="eastAsia" w:ascii="宋体" w:hAnsi="宋体" w:eastAsia="仿宋_GB2312" w:cs="宋体"/>
          <w:b w:val="0"/>
          <w:bCs w:val="0"/>
          <w:color w:val="auto"/>
          <w:sz w:val="21"/>
          <w:szCs w:val="21"/>
          <w:highlight w:val="none"/>
          <w:u w:val="none"/>
          <w:vertAlign w:val="baseline"/>
          <w:lang w:val="en-US" w:eastAsia="zh-CN"/>
        </w:rPr>
        <w:t>2.自评得分（百分制）从高到低划分为优、良、中、差四个档次，各个档次数量占比分别为20%、20%、55%、5%，且不同档次间得分分值应体现差异化，同档次得分分值相同的比例不超过该档次总数量的10%。</w:t>
      </w:r>
    </w:p>
    <w:p w14:paraId="1F7FD939">
      <w:pPr>
        <w:rPr>
          <w:rFonts w:hint="eastAsia" w:ascii="Times New Roman" w:hAnsi="Times New Roman" w:eastAsia="仿宋_GB2312" w:cs="Times New Roman"/>
          <w:kern w:val="2"/>
          <w:sz w:val="32"/>
          <w:szCs w:val="24"/>
          <w:highlight w:val="none"/>
          <w:lang w:val="en-US" w:eastAsia="zh-CN" w:bidi="ar-SA"/>
        </w:rPr>
      </w:pPr>
      <w:r>
        <w:rPr>
          <w:rFonts w:hint="eastAsia" w:ascii="Times New Roman" w:hAnsi="Times New Roman" w:eastAsia="仿宋_GB2312" w:cs="Times New Roman"/>
          <w:kern w:val="2"/>
          <w:sz w:val="32"/>
          <w:szCs w:val="24"/>
          <w:highlight w:val="none"/>
          <w:lang w:val="en-US" w:eastAsia="zh-CN" w:bidi="ar-SA"/>
        </w:rPr>
        <w:br w:type="page"/>
      </w:r>
    </w:p>
    <w:p w14:paraId="75BF8BD4">
      <w:pPr>
        <w:pStyle w:val="3"/>
        <w:keepNext w:val="0"/>
        <w:keepLines w:val="0"/>
        <w:pageBreakBefore w:val="0"/>
        <w:kinsoku/>
        <w:wordWrap/>
        <w:overflowPunct/>
        <w:topLinePunct w:val="0"/>
        <w:autoSpaceDE/>
        <w:autoSpaceDN/>
        <w:bidi w:val="0"/>
        <w:spacing w:after="0" w:line="578" w:lineRule="exact"/>
        <w:ind w:left="0" w:leftChars="0" w:firstLine="0" w:firstLineChars="0"/>
        <w:rPr>
          <w:rFonts w:hint="default" w:ascii="Times New Roman" w:hAnsi="Times New Roman" w:eastAsia="黑体" w:cs="Times New Roman"/>
          <w:kern w:val="2"/>
          <w:sz w:val="32"/>
          <w:szCs w:val="24"/>
          <w:highlight w:val="none"/>
          <w:lang w:val="en-US" w:eastAsia="zh-CN" w:bidi="ar-SA"/>
        </w:rPr>
      </w:pPr>
      <w:r>
        <w:rPr>
          <w:rFonts w:hint="default" w:ascii="Times New Roman" w:hAnsi="Times New Roman" w:eastAsia="黑体" w:cs="Times New Roman"/>
          <w:kern w:val="2"/>
          <w:sz w:val="32"/>
          <w:szCs w:val="24"/>
          <w:highlight w:val="none"/>
          <w:lang w:val="en-US" w:eastAsia="zh-CN" w:bidi="ar-SA"/>
        </w:rPr>
        <w:t>附表2</w:t>
      </w:r>
    </w:p>
    <w:p w14:paraId="2CD2B2F7">
      <w:pPr>
        <w:pStyle w:val="3"/>
        <w:keepNext w:val="0"/>
        <w:keepLines w:val="0"/>
        <w:pageBreakBefore w:val="0"/>
        <w:kinsoku/>
        <w:wordWrap/>
        <w:overflowPunct/>
        <w:topLinePunct w:val="0"/>
        <w:autoSpaceDE/>
        <w:autoSpaceDN/>
        <w:bidi w:val="0"/>
        <w:spacing w:after="0" w:line="578" w:lineRule="exact"/>
        <w:ind w:left="0" w:leftChars="0"/>
        <w:rPr>
          <w:rFonts w:hint="default" w:ascii="黑体" w:hAnsi="黑体" w:eastAsia="黑体" w:cs="黑体"/>
          <w:sz w:val="24"/>
          <w:szCs w:val="24"/>
          <w:highlight w:val="none"/>
          <w:lang w:val="en-US" w:eastAsia="zh-CN"/>
        </w:rPr>
      </w:pPr>
    </w:p>
    <w:tbl>
      <w:tblPr>
        <w:tblStyle w:val="2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06"/>
        <w:gridCol w:w="727"/>
        <w:gridCol w:w="732"/>
        <w:gridCol w:w="1986"/>
        <w:gridCol w:w="1078"/>
        <w:gridCol w:w="1028"/>
        <w:gridCol w:w="854"/>
        <w:gridCol w:w="864"/>
        <w:gridCol w:w="1086"/>
      </w:tblGrid>
      <w:tr w14:paraId="0FD4E1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000"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5A0EF0B">
            <w:pPr>
              <w:keepNext w:val="0"/>
              <w:keepLines w:val="0"/>
              <w:widowControl/>
              <w:suppressLineNumbers w:val="0"/>
              <w:jc w:val="center"/>
              <w:textAlignment w:val="center"/>
              <w:rPr>
                <w:rFonts w:ascii="方正小标宋简体" w:hAnsi="方正小标宋简体" w:eastAsia="方正小标宋简体" w:cs="方正小标宋简体"/>
                <w:i w:val="0"/>
                <w:iCs w:val="0"/>
                <w:color w:val="000000"/>
                <w:sz w:val="40"/>
                <w:szCs w:val="40"/>
                <w:u w:val="none"/>
              </w:rPr>
            </w:pPr>
            <w:r>
              <w:rPr>
                <w:rFonts w:hint="eastAsia" w:ascii="方正小标宋简体" w:hAnsi="方正小标宋简体" w:eastAsia="方正小标宋简体" w:cs="方正小标宋简体"/>
                <w:i w:val="0"/>
                <w:iCs w:val="0"/>
                <w:color w:val="000000"/>
                <w:kern w:val="0"/>
                <w:sz w:val="40"/>
                <w:szCs w:val="40"/>
                <w:u w:val="none"/>
                <w:lang w:val="en-US" w:eastAsia="zh-CN" w:bidi="ar"/>
              </w:rPr>
              <w:t>专项资金绩效目标完成情况自评表</w:t>
            </w:r>
          </w:p>
        </w:tc>
      </w:tr>
      <w:tr w14:paraId="46B0EF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2291"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620A2B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项目名称</w:t>
            </w:r>
          </w:p>
        </w:tc>
        <w:tc>
          <w:tcPr>
            <w:tcW w:w="270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5D56B8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51090425T000012588138-2024年安居区再生水配置建设项目</w:t>
            </w:r>
          </w:p>
        </w:tc>
      </w:tr>
      <w:tr w14:paraId="430441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2291"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F34C2C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预算单位</w:t>
            </w:r>
          </w:p>
        </w:tc>
        <w:tc>
          <w:tcPr>
            <w:tcW w:w="270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29911F0">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仿宋_GB2312" w:cs="宋体"/>
                <w:i w:val="0"/>
                <w:iCs w:val="0"/>
                <w:color w:val="000000"/>
                <w:kern w:val="0"/>
                <w:sz w:val="24"/>
                <w:szCs w:val="24"/>
                <w:u w:val="none"/>
                <w:lang w:val="en-US" w:eastAsia="zh-CN" w:bidi="ar"/>
              </w:rPr>
              <w:t>遂宁市安居区水利局</w:t>
            </w:r>
          </w:p>
        </w:tc>
      </w:tr>
      <w:tr w14:paraId="2441BC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2291"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9AD190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项目类型</w:t>
            </w:r>
          </w:p>
        </w:tc>
        <w:tc>
          <w:tcPr>
            <w:tcW w:w="270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8008FB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阶段性项目</w:t>
            </w:r>
          </w:p>
        </w:tc>
      </w:tr>
      <w:tr w14:paraId="229BA3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39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9FD7C3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项目 概况</w:t>
            </w:r>
          </w:p>
        </w:tc>
        <w:tc>
          <w:tcPr>
            <w:tcW w:w="1900"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4D1B0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中长期规划（名称、文号，仅指常年项目）</w:t>
            </w:r>
          </w:p>
        </w:tc>
        <w:tc>
          <w:tcPr>
            <w:tcW w:w="2708" w:type="pct"/>
            <w:gridSpan w:val="5"/>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295E1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《四川省财政厅 四川省水利厅关于印发&lt;四川省水利发展资金管理办法&gt;的通知》（川财农〔2023〕29号）《遂宁市水利监督管理实施办法（试行）》，遂财建（2024）122号</w:t>
            </w:r>
          </w:p>
        </w:tc>
      </w:tr>
      <w:tr w14:paraId="6B5C71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B053B6">
            <w:pPr>
              <w:jc w:val="center"/>
              <w:rPr>
                <w:rFonts w:hint="eastAsia" w:ascii="宋体" w:hAnsi="宋体" w:eastAsia="宋体" w:cs="宋体"/>
                <w:i w:val="0"/>
                <w:iCs w:val="0"/>
                <w:color w:val="000000"/>
                <w:sz w:val="24"/>
                <w:szCs w:val="24"/>
                <w:u w:val="none"/>
              </w:rPr>
            </w:pPr>
          </w:p>
        </w:tc>
        <w:tc>
          <w:tcPr>
            <w:tcW w:w="1900"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2D5AEA">
            <w:pPr>
              <w:jc w:val="center"/>
              <w:rPr>
                <w:rFonts w:hint="eastAsia" w:ascii="宋体" w:hAnsi="宋体" w:eastAsia="宋体" w:cs="宋体"/>
                <w:i w:val="0"/>
                <w:iCs w:val="0"/>
                <w:color w:val="000000"/>
                <w:sz w:val="24"/>
                <w:szCs w:val="24"/>
                <w:u w:val="none"/>
              </w:rPr>
            </w:pPr>
          </w:p>
        </w:tc>
        <w:tc>
          <w:tcPr>
            <w:tcW w:w="2708" w:type="pct"/>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695253">
            <w:pPr>
              <w:jc w:val="center"/>
              <w:rPr>
                <w:rFonts w:hint="eastAsia" w:ascii="宋体" w:hAnsi="宋体" w:eastAsia="宋体" w:cs="宋体"/>
                <w:i w:val="0"/>
                <w:iCs w:val="0"/>
                <w:color w:val="000000"/>
                <w:sz w:val="24"/>
                <w:szCs w:val="24"/>
                <w:u w:val="none"/>
              </w:rPr>
            </w:pPr>
          </w:p>
        </w:tc>
      </w:tr>
      <w:tr w14:paraId="7264C7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7C3DCB">
            <w:pPr>
              <w:jc w:val="center"/>
              <w:rPr>
                <w:rFonts w:hint="eastAsia" w:ascii="宋体" w:hAnsi="宋体" w:eastAsia="宋体" w:cs="宋体"/>
                <w:i w:val="0"/>
                <w:iCs w:val="0"/>
                <w:color w:val="000000"/>
                <w:sz w:val="24"/>
                <w:szCs w:val="24"/>
                <w:u w:val="none"/>
              </w:rPr>
            </w:pPr>
          </w:p>
        </w:tc>
        <w:tc>
          <w:tcPr>
            <w:tcW w:w="190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C65385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资金管理办法（名称、文号）</w:t>
            </w:r>
          </w:p>
        </w:tc>
        <w:tc>
          <w:tcPr>
            <w:tcW w:w="270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3C71C2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遂财建（2024）122号、《单位内部控制管理制度》</w:t>
            </w:r>
          </w:p>
        </w:tc>
      </w:tr>
      <w:tr w14:paraId="7D4CFC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0" w:hRule="atLeast"/>
        </w:trPr>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0AAA71">
            <w:pPr>
              <w:jc w:val="center"/>
              <w:rPr>
                <w:rFonts w:hint="eastAsia" w:ascii="宋体" w:hAnsi="宋体" w:eastAsia="宋体" w:cs="宋体"/>
                <w:i w:val="0"/>
                <w:iCs w:val="0"/>
                <w:color w:val="000000"/>
                <w:sz w:val="24"/>
                <w:szCs w:val="24"/>
                <w:u w:val="none"/>
              </w:rPr>
            </w:pPr>
          </w:p>
        </w:tc>
        <w:tc>
          <w:tcPr>
            <w:tcW w:w="190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62876F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绩效分配方式</w:t>
            </w:r>
          </w:p>
        </w:tc>
        <w:tc>
          <w:tcPr>
            <w:tcW w:w="5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20CE02">
            <w:pPr>
              <w:keepNext w:val="0"/>
              <w:keepLines w:val="0"/>
              <w:widowControl/>
              <w:suppressLineNumbers w:val="0"/>
              <w:jc w:val="center"/>
              <w:textAlignment w:val="center"/>
              <w:rPr>
                <w:rFonts w:ascii="Wingdings 2" w:hAnsi="Wingdings 2" w:eastAsia="Wingdings 2" w:cs="Wingdings 2"/>
                <w:i w:val="0"/>
                <w:iCs w:val="0"/>
                <w:color w:val="000000"/>
                <w:sz w:val="24"/>
                <w:szCs w:val="24"/>
                <w:u w:val="none"/>
              </w:rPr>
            </w:pPr>
            <w:r>
              <w:rPr>
                <w:rStyle w:val="53"/>
                <w:lang w:val="en-US" w:eastAsia="zh-CN" w:bidi="ar"/>
              </w:rPr>
              <w:t>£</w:t>
            </w:r>
            <w:r>
              <w:rPr>
                <w:rStyle w:val="54"/>
                <w:rFonts w:eastAsia="仿宋_GB2312"/>
                <w:lang w:val="en-US" w:eastAsia="zh-CN" w:bidi="ar"/>
              </w:rPr>
              <w:t>因素法</w:t>
            </w:r>
          </w:p>
        </w:tc>
        <w:tc>
          <w:tcPr>
            <w:tcW w:w="103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C79086D">
            <w:pPr>
              <w:keepNext w:val="0"/>
              <w:keepLines w:val="0"/>
              <w:widowControl/>
              <w:suppressLineNumbers w:val="0"/>
              <w:jc w:val="center"/>
              <w:textAlignment w:val="center"/>
              <w:rPr>
                <w:rFonts w:hint="default" w:ascii="Wingdings 2" w:hAnsi="Wingdings 2" w:eastAsia="Wingdings 2" w:cs="Wingdings 2"/>
                <w:i w:val="0"/>
                <w:iCs w:val="0"/>
                <w:color w:val="000000"/>
                <w:sz w:val="24"/>
                <w:szCs w:val="24"/>
                <w:u w:val="none"/>
              </w:rPr>
            </w:pPr>
            <w:r>
              <w:rPr>
                <w:rFonts w:hint="default" w:ascii="Wingdings 2" w:hAnsi="Wingdings 2" w:eastAsia="Wingdings 2" w:cs="Wingdings 2"/>
                <w:i w:val="0"/>
                <w:iCs w:val="0"/>
                <w:color w:val="000000"/>
                <w:kern w:val="0"/>
                <w:sz w:val="24"/>
                <w:szCs w:val="24"/>
                <w:u w:val="none"/>
                <w:lang w:val="en-US" w:eastAsia="zh-CN" w:bidi="ar"/>
              </w:rPr>
              <w:t>£项目法</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2E58FE">
            <w:pPr>
              <w:keepNext w:val="0"/>
              <w:keepLines w:val="0"/>
              <w:widowControl/>
              <w:suppressLineNumbers w:val="0"/>
              <w:jc w:val="center"/>
              <w:textAlignment w:val="center"/>
              <w:rPr>
                <w:rFonts w:hint="default" w:ascii="Wingdings 2" w:hAnsi="Wingdings 2" w:eastAsia="Wingdings 2" w:cs="Wingdings 2"/>
                <w:i w:val="0"/>
                <w:iCs w:val="0"/>
                <w:color w:val="000000"/>
                <w:sz w:val="24"/>
                <w:szCs w:val="24"/>
                <w:u w:val="none"/>
              </w:rPr>
            </w:pPr>
            <w:r>
              <w:rPr>
                <w:rStyle w:val="53"/>
                <w:lang w:val="en-US" w:eastAsia="zh-CN" w:bidi="ar"/>
              </w:rPr>
              <w:t>R</w:t>
            </w:r>
            <w:r>
              <w:rPr>
                <w:rStyle w:val="54"/>
                <w:rFonts w:eastAsia="仿宋_GB2312"/>
                <w:lang w:val="en-US" w:eastAsia="zh-CN" w:bidi="ar"/>
              </w:rPr>
              <w:t>据实据效</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46ED82">
            <w:pPr>
              <w:keepNext w:val="0"/>
              <w:keepLines w:val="0"/>
              <w:widowControl/>
              <w:suppressLineNumbers w:val="0"/>
              <w:jc w:val="center"/>
              <w:textAlignment w:val="center"/>
              <w:rPr>
                <w:rFonts w:hint="default" w:ascii="Wingdings 2" w:hAnsi="Wingdings 2" w:eastAsia="Wingdings 2" w:cs="Wingdings 2"/>
                <w:i w:val="0"/>
                <w:iCs w:val="0"/>
                <w:color w:val="000000"/>
                <w:sz w:val="24"/>
                <w:szCs w:val="24"/>
                <w:u w:val="none"/>
              </w:rPr>
            </w:pPr>
            <w:r>
              <w:rPr>
                <w:rStyle w:val="53"/>
                <w:lang w:val="en-US" w:eastAsia="zh-CN" w:bidi="ar"/>
              </w:rPr>
              <w:t>£</w:t>
            </w:r>
            <w:r>
              <w:rPr>
                <w:rStyle w:val="54"/>
                <w:rFonts w:eastAsia="仿宋_GB2312"/>
                <w:lang w:val="en-US" w:eastAsia="zh-CN" w:bidi="ar"/>
              </w:rPr>
              <w:t>因素法与项目法相结合</w:t>
            </w:r>
          </w:p>
        </w:tc>
      </w:tr>
      <w:tr w14:paraId="599871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669E00">
            <w:pPr>
              <w:jc w:val="center"/>
              <w:rPr>
                <w:rFonts w:hint="eastAsia" w:ascii="宋体" w:hAnsi="宋体" w:eastAsia="宋体" w:cs="宋体"/>
                <w:i w:val="0"/>
                <w:iCs w:val="0"/>
                <w:color w:val="000000"/>
                <w:sz w:val="24"/>
                <w:szCs w:val="24"/>
                <w:u w:val="none"/>
              </w:rPr>
            </w:pPr>
          </w:p>
        </w:tc>
        <w:tc>
          <w:tcPr>
            <w:tcW w:w="190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0E82B1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立项依据</w:t>
            </w:r>
          </w:p>
        </w:tc>
        <w:tc>
          <w:tcPr>
            <w:tcW w:w="270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0F5C3B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遂财建（2024）122号</w:t>
            </w:r>
          </w:p>
        </w:tc>
      </w:tr>
      <w:tr w14:paraId="224B0F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34C959">
            <w:pPr>
              <w:jc w:val="center"/>
              <w:rPr>
                <w:rFonts w:hint="eastAsia" w:ascii="宋体" w:hAnsi="宋体" w:eastAsia="宋体" w:cs="宋体"/>
                <w:i w:val="0"/>
                <w:iCs w:val="0"/>
                <w:color w:val="000000"/>
                <w:sz w:val="24"/>
                <w:szCs w:val="24"/>
                <w:u w:val="none"/>
              </w:rPr>
            </w:pPr>
          </w:p>
        </w:tc>
        <w:tc>
          <w:tcPr>
            <w:tcW w:w="190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E3AE9E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使用范围</w:t>
            </w:r>
          </w:p>
        </w:tc>
        <w:tc>
          <w:tcPr>
            <w:tcW w:w="270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0EA5E9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该项目支持方向主要为灌区续建配套与节水改造</w:t>
            </w:r>
          </w:p>
        </w:tc>
      </w:tr>
      <w:tr w14:paraId="65BB38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E5FCA4">
            <w:pPr>
              <w:jc w:val="center"/>
              <w:rPr>
                <w:rFonts w:hint="eastAsia" w:ascii="宋体" w:hAnsi="宋体" w:eastAsia="宋体" w:cs="宋体"/>
                <w:i w:val="0"/>
                <w:iCs w:val="0"/>
                <w:color w:val="000000"/>
                <w:sz w:val="24"/>
                <w:szCs w:val="24"/>
                <w:u w:val="none"/>
              </w:rPr>
            </w:pPr>
          </w:p>
        </w:tc>
        <w:tc>
          <w:tcPr>
            <w:tcW w:w="190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E5140A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申报（补助）条件</w:t>
            </w:r>
          </w:p>
        </w:tc>
        <w:tc>
          <w:tcPr>
            <w:tcW w:w="270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823E2A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上级安排项目</w:t>
            </w:r>
          </w:p>
        </w:tc>
      </w:tr>
      <w:tr w14:paraId="112C40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19E7DB">
            <w:pPr>
              <w:jc w:val="center"/>
              <w:rPr>
                <w:rFonts w:hint="eastAsia" w:ascii="宋体" w:hAnsi="宋体" w:eastAsia="宋体" w:cs="宋体"/>
                <w:i w:val="0"/>
                <w:iCs w:val="0"/>
                <w:color w:val="000000"/>
                <w:sz w:val="24"/>
                <w:szCs w:val="24"/>
                <w:u w:val="none"/>
              </w:rPr>
            </w:pPr>
          </w:p>
        </w:tc>
        <w:tc>
          <w:tcPr>
            <w:tcW w:w="190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D45036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项目起止年限</w:t>
            </w:r>
          </w:p>
        </w:tc>
        <w:tc>
          <w:tcPr>
            <w:tcW w:w="270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B4673D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2024.01.01-2024.12.31</w:t>
            </w:r>
          </w:p>
        </w:tc>
      </w:tr>
      <w:tr w14:paraId="478E07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791"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2060EF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项目资金</w:t>
            </w:r>
            <w:r>
              <w:rPr>
                <w:rFonts w:hint="eastAsia" w:ascii="宋体" w:hAnsi="宋体" w:eastAsia="仿宋_GB2312" w:cs="宋体"/>
                <w:i w:val="0"/>
                <w:iCs w:val="0"/>
                <w:color w:val="000000"/>
                <w:kern w:val="0"/>
                <w:sz w:val="24"/>
                <w:szCs w:val="24"/>
                <w:u w:val="none"/>
                <w:lang w:val="en-US" w:eastAsia="zh-CN" w:bidi="ar"/>
              </w:rPr>
              <w:br w:type="textWrapping"/>
            </w:r>
            <w:r>
              <w:rPr>
                <w:rFonts w:hint="eastAsia" w:ascii="宋体" w:hAnsi="宋体" w:eastAsia="仿宋_GB2312" w:cs="宋体"/>
                <w:i w:val="0"/>
                <w:iCs w:val="0"/>
                <w:color w:val="000000"/>
                <w:kern w:val="0"/>
                <w:sz w:val="24"/>
                <w:szCs w:val="24"/>
                <w:u w:val="none"/>
                <w:lang w:val="en-US" w:eastAsia="zh-CN" w:bidi="ar"/>
              </w:rPr>
              <w:t>（万元）</w:t>
            </w:r>
          </w:p>
        </w:tc>
        <w:tc>
          <w:tcPr>
            <w:tcW w:w="149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84375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 xml:space="preserve">  年度资金总额：</w:t>
            </w:r>
          </w:p>
        </w:tc>
        <w:tc>
          <w:tcPr>
            <w:tcW w:w="270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B411A55">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仿宋_GB2312" w:cs="宋体"/>
                <w:i w:val="0"/>
                <w:iCs w:val="0"/>
                <w:color w:val="000000"/>
                <w:kern w:val="0"/>
                <w:sz w:val="24"/>
                <w:szCs w:val="24"/>
                <w:u w:val="none"/>
                <w:lang w:val="en-US" w:eastAsia="zh-CN" w:bidi="ar"/>
              </w:rPr>
              <w:t>20000000.00</w:t>
            </w:r>
          </w:p>
        </w:tc>
      </w:tr>
      <w:tr w14:paraId="55C142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791"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7418C8">
            <w:pPr>
              <w:jc w:val="center"/>
              <w:rPr>
                <w:rFonts w:hint="eastAsia" w:ascii="宋体" w:hAnsi="宋体" w:eastAsia="宋体" w:cs="宋体"/>
                <w:i w:val="0"/>
                <w:iCs w:val="0"/>
                <w:color w:val="000000"/>
                <w:sz w:val="24"/>
                <w:szCs w:val="24"/>
                <w:u w:val="none"/>
              </w:rPr>
            </w:pPr>
          </w:p>
        </w:tc>
        <w:tc>
          <w:tcPr>
            <w:tcW w:w="149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3348FD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4"/>
                <w:rFonts w:eastAsia="仿宋_GB2312"/>
                <w:lang w:val="en-US" w:eastAsia="zh-CN" w:bidi="ar"/>
              </w:rPr>
              <w:t xml:space="preserve">      其中：财政拨款</w:t>
            </w:r>
          </w:p>
        </w:tc>
        <w:tc>
          <w:tcPr>
            <w:tcW w:w="270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12E314E">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仿宋_GB2312" w:cs="宋体"/>
                <w:i w:val="0"/>
                <w:iCs w:val="0"/>
                <w:color w:val="000000"/>
                <w:kern w:val="0"/>
                <w:sz w:val="24"/>
                <w:szCs w:val="24"/>
                <w:u w:val="none"/>
                <w:lang w:val="en-US" w:eastAsia="zh-CN" w:bidi="ar"/>
              </w:rPr>
              <w:t>20000000.00</w:t>
            </w:r>
          </w:p>
        </w:tc>
      </w:tr>
      <w:tr w14:paraId="3F4728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791"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C6F34F">
            <w:pPr>
              <w:jc w:val="center"/>
              <w:rPr>
                <w:rFonts w:hint="eastAsia" w:ascii="宋体" w:hAnsi="宋体" w:eastAsia="宋体" w:cs="宋体"/>
                <w:i w:val="0"/>
                <w:iCs w:val="0"/>
                <w:color w:val="000000"/>
                <w:sz w:val="24"/>
                <w:szCs w:val="24"/>
                <w:u w:val="none"/>
              </w:rPr>
            </w:pPr>
          </w:p>
        </w:tc>
        <w:tc>
          <w:tcPr>
            <w:tcW w:w="149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B39C9D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 xml:space="preserve">            其他资金</w:t>
            </w:r>
          </w:p>
        </w:tc>
        <w:tc>
          <w:tcPr>
            <w:tcW w:w="270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CCFE343">
            <w:pPr>
              <w:jc w:val="center"/>
              <w:rPr>
                <w:rFonts w:hint="eastAsia" w:ascii="宋体" w:hAnsi="宋体" w:eastAsia="宋体" w:cs="宋体"/>
                <w:i w:val="0"/>
                <w:iCs w:val="0"/>
                <w:color w:val="000000"/>
                <w:sz w:val="24"/>
                <w:szCs w:val="24"/>
                <w:u w:val="none"/>
              </w:rPr>
            </w:pPr>
          </w:p>
        </w:tc>
      </w:tr>
      <w:tr w14:paraId="33E9AE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39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9899ED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总体目标</w:t>
            </w:r>
          </w:p>
        </w:tc>
        <w:tc>
          <w:tcPr>
            <w:tcW w:w="4609"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D02A17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年度目标</w:t>
            </w:r>
          </w:p>
        </w:tc>
      </w:tr>
      <w:tr w14:paraId="4D9330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6" w:hRule="atLeast"/>
        </w:trPr>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0D7E37">
            <w:pPr>
              <w:jc w:val="center"/>
              <w:rPr>
                <w:rFonts w:hint="eastAsia" w:ascii="宋体" w:hAnsi="宋体" w:eastAsia="宋体" w:cs="宋体"/>
                <w:i w:val="0"/>
                <w:iCs w:val="0"/>
                <w:color w:val="000000"/>
                <w:sz w:val="24"/>
                <w:szCs w:val="24"/>
                <w:u w:val="none"/>
              </w:rPr>
            </w:pPr>
          </w:p>
        </w:tc>
        <w:tc>
          <w:tcPr>
            <w:tcW w:w="4609"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35DAB0C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新生水库灌区续建配套与节水改造</w:t>
            </w:r>
          </w:p>
        </w:tc>
      </w:tr>
      <w:tr w14:paraId="7F9DCD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0" w:hRule="atLeast"/>
        </w:trPr>
        <w:tc>
          <w:tcPr>
            <w:tcW w:w="39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3BB00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绩效 指标</w:t>
            </w:r>
          </w:p>
        </w:tc>
        <w:tc>
          <w:tcPr>
            <w:tcW w:w="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19D8B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一级指标</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BC250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二级指标</w:t>
            </w:r>
          </w:p>
        </w:tc>
        <w:tc>
          <w:tcPr>
            <w:tcW w:w="10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F527A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三级指标</w:t>
            </w:r>
          </w:p>
        </w:tc>
        <w:tc>
          <w:tcPr>
            <w:tcW w:w="5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E5A1B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指标性质</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C4A3D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指标值</w:t>
            </w: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9BA09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度量单位</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73221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权重</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013C7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实际完成指标值</w:t>
            </w:r>
          </w:p>
        </w:tc>
      </w:tr>
      <w:tr w14:paraId="03EDAF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4408EA">
            <w:pPr>
              <w:jc w:val="center"/>
              <w:rPr>
                <w:rFonts w:hint="eastAsia" w:ascii="宋体" w:hAnsi="宋体" w:eastAsia="宋体" w:cs="宋体"/>
                <w:i w:val="0"/>
                <w:iCs w:val="0"/>
                <w:color w:val="000000"/>
                <w:sz w:val="24"/>
                <w:szCs w:val="24"/>
                <w:u w:val="none"/>
              </w:rPr>
            </w:pPr>
          </w:p>
        </w:tc>
        <w:tc>
          <w:tcPr>
            <w:tcW w:w="40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91B0BC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产出指标</w:t>
            </w:r>
          </w:p>
        </w:tc>
        <w:tc>
          <w:tcPr>
            <w:tcW w:w="404" w:type="pct"/>
            <w:tcBorders>
              <w:top w:val="single" w:color="000000" w:sz="4" w:space="0"/>
              <w:left w:val="single" w:color="000000" w:sz="4" w:space="0"/>
              <w:right w:val="single" w:color="000000" w:sz="4" w:space="0"/>
            </w:tcBorders>
            <w:shd w:val="clear" w:color="auto" w:fill="auto"/>
            <w:vAlign w:val="center"/>
          </w:tcPr>
          <w:p w14:paraId="1CCA807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数量指标</w:t>
            </w:r>
          </w:p>
        </w:tc>
        <w:tc>
          <w:tcPr>
            <w:tcW w:w="10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07915E">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完成新建日处理量10000立方米的再生水厂</w:t>
            </w:r>
          </w:p>
        </w:tc>
        <w:tc>
          <w:tcPr>
            <w:tcW w:w="5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3181B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076DF1">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1</w:t>
            </w: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01A185">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座</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1C9F8C">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10</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FA5D56">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1座</w:t>
            </w:r>
          </w:p>
        </w:tc>
      </w:tr>
      <w:tr w14:paraId="0B3506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17ED4C">
            <w:pPr>
              <w:jc w:val="center"/>
              <w:rPr>
                <w:rFonts w:hint="eastAsia" w:ascii="宋体" w:hAnsi="宋体" w:eastAsia="宋体" w:cs="宋体"/>
                <w:i w:val="0"/>
                <w:iCs w:val="0"/>
                <w:color w:val="000000"/>
                <w:sz w:val="24"/>
                <w:szCs w:val="24"/>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BF1000">
            <w:pPr>
              <w:jc w:val="center"/>
              <w:rPr>
                <w:rFonts w:hint="eastAsia" w:ascii="宋体" w:hAnsi="宋体" w:eastAsia="宋体" w:cs="宋体"/>
                <w:i w:val="0"/>
                <w:iCs w:val="0"/>
                <w:color w:val="000000"/>
                <w:sz w:val="24"/>
                <w:szCs w:val="24"/>
                <w:u w:val="none"/>
              </w:rPr>
            </w:pP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C191D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数量指标</w:t>
            </w:r>
          </w:p>
        </w:tc>
        <w:tc>
          <w:tcPr>
            <w:tcW w:w="10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FD24C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新建DN600再生水管网</w:t>
            </w:r>
          </w:p>
        </w:tc>
        <w:tc>
          <w:tcPr>
            <w:tcW w:w="5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D7398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A3C2D6">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11.3</w:t>
            </w: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96449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千米</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91879A">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10</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2C2BDD">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11.3千米</w:t>
            </w:r>
          </w:p>
        </w:tc>
      </w:tr>
      <w:tr w14:paraId="797D5A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D6E29F">
            <w:pPr>
              <w:jc w:val="center"/>
              <w:rPr>
                <w:rFonts w:hint="eastAsia" w:ascii="宋体" w:hAnsi="宋体" w:eastAsia="宋体" w:cs="宋体"/>
                <w:i w:val="0"/>
                <w:iCs w:val="0"/>
                <w:color w:val="000000"/>
                <w:sz w:val="24"/>
                <w:szCs w:val="24"/>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EE6F19">
            <w:pPr>
              <w:jc w:val="center"/>
              <w:rPr>
                <w:rFonts w:hint="eastAsia" w:ascii="宋体" w:hAnsi="宋体" w:eastAsia="宋体" w:cs="宋体"/>
                <w:i w:val="0"/>
                <w:iCs w:val="0"/>
                <w:color w:val="000000"/>
                <w:sz w:val="24"/>
                <w:szCs w:val="24"/>
                <w:u w:val="none"/>
              </w:rPr>
            </w:pP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604375">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质量指标</w:t>
            </w:r>
          </w:p>
        </w:tc>
        <w:tc>
          <w:tcPr>
            <w:tcW w:w="10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3BD7E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截至2025年12月底,完工项目初步验收率≥100%</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C4465">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E51F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100</w:t>
            </w:r>
          </w:p>
        </w:tc>
        <w:tc>
          <w:tcPr>
            <w:tcW w:w="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05B2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w:t>
            </w:r>
          </w:p>
        </w:tc>
        <w:tc>
          <w:tcPr>
            <w:tcW w:w="8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C22A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10</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93577B">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100%</w:t>
            </w:r>
          </w:p>
        </w:tc>
      </w:tr>
      <w:tr w14:paraId="753A5B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7" w:hRule="atLeast"/>
        </w:trPr>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344904">
            <w:pPr>
              <w:jc w:val="center"/>
              <w:rPr>
                <w:rFonts w:hint="eastAsia" w:ascii="宋体" w:hAnsi="宋体" w:eastAsia="宋体" w:cs="宋体"/>
                <w:i w:val="0"/>
                <w:iCs w:val="0"/>
                <w:color w:val="000000"/>
                <w:sz w:val="24"/>
                <w:szCs w:val="24"/>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FA3950">
            <w:pPr>
              <w:jc w:val="center"/>
              <w:rPr>
                <w:rFonts w:hint="eastAsia" w:ascii="宋体" w:hAnsi="宋体" w:eastAsia="宋体" w:cs="宋体"/>
                <w:i w:val="0"/>
                <w:iCs w:val="0"/>
                <w:color w:val="000000"/>
                <w:sz w:val="24"/>
                <w:szCs w:val="24"/>
                <w:u w:val="none"/>
              </w:rPr>
            </w:pP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CEF1B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时效指标</w:t>
            </w:r>
          </w:p>
        </w:tc>
        <w:tc>
          <w:tcPr>
            <w:tcW w:w="10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EAFDB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截止2024年12月底投资完成比例100%</w:t>
            </w:r>
          </w:p>
        </w:tc>
        <w:tc>
          <w:tcPr>
            <w:tcW w:w="5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57983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009F7D">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100</w:t>
            </w: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027D6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C9C5FD">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10</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73C42E">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100%</w:t>
            </w:r>
          </w:p>
        </w:tc>
      </w:tr>
      <w:tr w14:paraId="6622FA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E0B2C9">
            <w:pPr>
              <w:jc w:val="center"/>
              <w:rPr>
                <w:rFonts w:hint="eastAsia" w:ascii="宋体" w:hAnsi="宋体" w:eastAsia="宋体" w:cs="宋体"/>
                <w:i w:val="0"/>
                <w:iCs w:val="0"/>
                <w:color w:val="000000"/>
                <w:sz w:val="24"/>
                <w:szCs w:val="24"/>
                <w:u w:val="none"/>
              </w:rPr>
            </w:pPr>
          </w:p>
        </w:tc>
        <w:tc>
          <w:tcPr>
            <w:tcW w:w="40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AC5ACA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效益指标</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51C7EB">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仿宋_GB2312" w:cs="宋体"/>
                <w:i w:val="0"/>
                <w:iCs w:val="0"/>
                <w:color w:val="000000"/>
                <w:kern w:val="0"/>
                <w:sz w:val="24"/>
                <w:szCs w:val="24"/>
                <w:u w:val="none"/>
                <w:lang w:val="en-US" w:eastAsia="zh-CN" w:bidi="ar"/>
              </w:rPr>
              <w:t>社会效益指标</w:t>
            </w:r>
          </w:p>
        </w:tc>
        <w:tc>
          <w:tcPr>
            <w:tcW w:w="1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18D7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改善区域水环境，减少污水排放量，提升自然水体水质</w:t>
            </w:r>
          </w:p>
        </w:tc>
        <w:tc>
          <w:tcPr>
            <w:tcW w:w="5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8451DA">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定性</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2BB06A">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63A9E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8D0F0F">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3EC350">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完成</w:t>
            </w:r>
          </w:p>
        </w:tc>
      </w:tr>
      <w:tr w14:paraId="7AFB34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4" w:hRule="atLeast"/>
        </w:trPr>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A8B6D8">
            <w:pPr>
              <w:jc w:val="center"/>
              <w:rPr>
                <w:rFonts w:hint="eastAsia" w:ascii="宋体" w:hAnsi="宋体" w:eastAsia="宋体" w:cs="宋体"/>
                <w:i w:val="0"/>
                <w:iCs w:val="0"/>
                <w:color w:val="000000"/>
                <w:sz w:val="24"/>
                <w:szCs w:val="24"/>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204CBF">
            <w:pPr>
              <w:jc w:val="center"/>
              <w:rPr>
                <w:rFonts w:hint="eastAsia" w:ascii="宋体" w:hAnsi="宋体" w:eastAsia="宋体" w:cs="宋体"/>
                <w:i w:val="0"/>
                <w:iCs w:val="0"/>
                <w:color w:val="000000"/>
                <w:sz w:val="24"/>
                <w:szCs w:val="24"/>
                <w:u w:val="none"/>
              </w:rPr>
            </w:pP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FD365E">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仿宋_GB2312" w:cs="宋体"/>
                <w:i w:val="0"/>
                <w:iCs w:val="0"/>
                <w:color w:val="000000"/>
                <w:kern w:val="0"/>
                <w:sz w:val="24"/>
                <w:szCs w:val="24"/>
                <w:u w:val="none"/>
                <w:lang w:val="en-US" w:eastAsia="zh-CN" w:bidi="ar"/>
              </w:rPr>
              <w:t>社会效益指标</w:t>
            </w:r>
          </w:p>
        </w:tc>
        <w:tc>
          <w:tcPr>
            <w:tcW w:w="1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71E67">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保障工业园区生产用水和市政杂用需求，缓解水资源短缺问题</w:t>
            </w:r>
          </w:p>
        </w:tc>
        <w:tc>
          <w:tcPr>
            <w:tcW w:w="5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E2148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定性</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422FE2">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BCD755">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2B2CEF">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8BA32F">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完成</w:t>
            </w:r>
          </w:p>
        </w:tc>
      </w:tr>
      <w:tr w14:paraId="610C4C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27C46F">
            <w:pPr>
              <w:jc w:val="center"/>
              <w:rPr>
                <w:rFonts w:hint="eastAsia" w:ascii="宋体" w:hAnsi="宋体" w:eastAsia="宋体" w:cs="宋体"/>
                <w:i w:val="0"/>
                <w:iCs w:val="0"/>
                <w:color w:val="000000"/>
                <w:sz w:val="24"/>
                <w:szCs w:val="24"/>
                <w:u w:val="none"/>
              </w:rPr>
            </w:pPr>
          </w:p>
        </w:tc>
        <w:tc>
          <w:tcPr>
            <w:tcW w:w="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48AC0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满意度指标</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25AD6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满意度指标</w:t>
            </w:r>
          </w:p>
        </w:tc>
        <w:tc>
          <w:tcPr>
            <w:tcW w:w="10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28ADE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受益群众满意度</w:t>
            </w:r>
          </w:p>
        </w:tc>
        <w:tc>
          <w:tcPr>
            <w:tcW w:w="5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7367FB">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7C2E67">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90</w:t>
            </w: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A23E3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6F5F9A">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10</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D44C97">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100%</w:t>
            </w:r>
          </w:p>
        </w:tc>
      </w:tr>
      <w:tr w14:paraId="09E7CA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322F0D">
            <w:pPr>
              <w:jc w:val="center"/>
              <w:rPr>
                <w:rFonts w:hint="eastAsia" w:ascii="宋体" w:hAnsi="宋体" w:eastAsia="宋体" w:cs="宋体"/>
                <w:i w:val="0"/>
                <w:iCs w:val="0"/>
                <w:color w:val="000000"/>
                <w:sz w:val="24"/>
                <w:szCs w:val="24"/>
                <w:u w:val="none"/>
              </w:rPr>
            </w:pPr>
          </w:p>
        </w:tc>
        <w:tc>
          <w:tcPr>
            <w:tcW w:w="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C6F92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成本指标</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AF84C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经济成本指标</w:t>
            </w:r>
          </w:p>
        </w:tc>
        <w:tc>
          <w:tcPr>
            <w:tcW w:w="10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D7830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总投资偏差率</w:t>
            </w:r>
          </w:p>
        </w:tc>
        <w:tc>
          <w:tcPr>
            <w:tcW w:w="5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5D828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ABABE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5</w:t>
            </w: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D8458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EE1B6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10</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903A94">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0.00%</w:t>
            </w:r>
          </w:p>
        </w:tc>
      </w:tr>
    </w:tbl>
    <w:p w14:paraId="067FBF06">
      <w:pPr>
        <w:pStyle w:val="3"/>
        <w:keepNext w:val="0"/>
        <w:keepLines w:val="0"/>
        <w:pageBreakBefore w:val="0"/>
        <w:kinsoku/>
        <w:wordWrap/>
        <w:overflowPunct/>
        <w:topLinePunct w:val="0"/>
        <w:autoSpaceDE/>
        <w:autoSpaceDN/>
        <w:bidi w:val="0"/>
        <w:spacing w:after="0" w:line="578" w:lineRule="exact"/>
        <w:ind w:left="0" w:leftChars="0" w:firstLine="0" w:firstLineChars="0"/>
        <w:rPr>
          <w:rFonts w:hint="default" w:ascii="黑体" w:hAnsi="黑体" w:eastAsia="黑体" w:cs="黑体"/>
          <w:sz w:val="24"/>
          <w:szCs w:val="24"/>
          <w:highlight w:val="none"/>
          <w:lang w:val="en-US" w:eastAsia="zh-CN"/>
        </w:rPr>
      </w:pPr>
    </w:p>
    <w:p w14:paraId="178B9ACC">
      <w:pPr>
        <w:widowControl/>
        <w:ind w:firstLine="643" w:firstLineChars="200"/>
        <w:jc w:val="left"/>
        <w:rPr>
          <w:rFonts w:ascii="仿宋_GB2312" w:eastAsia="仿宋_GB2312"/>
          <w:b/>
          <w:color w:val="auto"/>
          <w:sz w:val="32"/>
          <w:szCs w:val="32"/>
          <w:highlight w:val="none"/>
        </w:rPr>
      </w:pPr>
    </w:p>
    <w:p w14:paraId="158AB7BB">
      <w:pPr>
        <w:widowControl/>
        <w:ind w:firstLine="643" w:firstLineChars="200"/>
        <w:jc w:val="left"/>
        <w:rPr>
          <w:rFonts w:ascii="仿宋_GB2312" w:eastAsia="仿宋_GB2312"/>
          <w:b/>
          <w:color w:val="auto"/>
          <w:sz w:val="32"/>
          <w:szCs w:val="32"/>
          <w:highlight w:val="none"/>
        </w:rPr>
      </w:pPr>
    </w:p>
    <w:p w14:paraId="769B6A8A">
      <w:pPr>
        <w:spacing w:line="600" w:lineRule="exact"/>
        <w:jc w:val="center"/>
        <w:outlineLvl w:val="0"/>
        <w:rPr>
          <w:rFonts w:hint="eastAsia" w:ascii="黑体" w:hAnsi="黑体" w:eastAsia="黑体"/>
          <w:color w:val="auto"/>
          <w:sz w:val="44"/>
          <w:szCs w:val="44"/>
          <w:highlight w:val="none"/>
        </w:rPr>
      </w:pPr>
      <w:bookmarkStart w:id="189" w:name="_Toc2379_WPSOffice_Level1"/>
      <w:bookmarkStart w:id="190" w:name="_Toc20016"/>
    </w:p>
    <w:p w14:paraId="29335B73">
      <w:pPr>
        <w:spacing w:line="600" w:lineRule="exact"/>
        <w:jc w:val="center"/>
        <w:outlineLvl w:val="0"/>
        <w:rPr>
          <w:rFonts w:hint="eastAsia" w:ascii="黑体" w:hAnsi="黑体" w:eastAsia="黑体"/>
          <w:color w:val="auto"/>
          <w:sz w:val="44"/>
          <w:szCs w:val="44"/>
          <w:highlight w:val="none"/>
        </w:rPr>
      </w:pPr>
    </w:p>
    <w:p w14:paraId="5365D939">
      <w:pPr>
        <w:pStyle w:val="44"/>
        <w:keepNext w:val="0"/>
        <w:keepLines w:val="0"/>
        <w:pageBreakBefore w:val="0"/>
        <w:widowControl w:val="0"/>
        <w:kinsoku/>
        <w:wordWrap/>
        <w:overflowPunct/>
        <w:topLinePunct w:val="0"/>
        <w:autoSpaceDE/>
        <w:autoSpaceDN/>
        <w:bidi w:val="0"/>
        <w:spacing w:line="578" w:lineRule="exact"/>
        <w:ind w:left="0" w:leftChars="0"/>
        <w:jc w:val="both"/>
        <w:textAlignment w:val="auto"/>
        <w:rPr>
          <w:rFonts w:hint="eastAsia" w:ascii="方正小标宋简体" w:hAnsi="方正小标宋简体" w:eastAsia="方正小标宋简体" w:cs="方正小标宋简体"/>
          <w:color w:val="auto"/>
          <w:kern w:val="2"/>
          <w:sz w:val="44"/>
          <w:szCs w:val="44"/>
          <w:highlight w:val="none"/>
          <w:lang w:val="en-US" w:eastAsia="zh-CN"/>
        </w:rPr>
      </w:pPr>
    </w:p>
    <w:p w14:paraId="372E7665">
      <w:pPr>
        <w:pStyle w:val="5"/>
        <w:keepNext/>
        <w:keepLines/>
        <w:pageBreakBefore w:val="0"/>
        <w:widowControl w:val="0"/>
        <w:kinsoku/>
        <w:wordWrap/>
        <w:overflowPunct/>
        <w:topLinePunct w:val="0"/>
        <w:autoSpaceDE/>
        <w:autoSpaceDN/>
        <w:bidi w:val="0"/>
        <w:adjustRightInd/>
        <w:snapToGrid/>
        <w:spacing w:before="0" w:after="0"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191" w:name="_Toc14504"/>
      <w:r>
        <w:rPr>
          <w:rFonts w:hint="eastAsia" w:ascii="方正小标宋简体" w:hAnsi="方正小标宋简体" w:eastAsia="方正小标宋简体" w:cs="方正小标宋简体"/>
          <w:b w:val="0"/>
          <w:bCs w:val="0"/>
          <w:lang w:val="en-US" w:eastAsia="zh-CN"/>
        </w:rPr>
        <w:t>专项资金绩效自评报告</w:t>
      </w:r>
      <w:bookmarkEnd w:id="191"/>
    </w:p>
    <w:p w14:paraId="4C013525">
      <w:pPr>
        <w:pStyle w:val="5"/>
        <w:keepNext/>
        <w:keepLines/>
        <w:pageBreakBefore w:val="0"/>
        <w:widowControl w:val="0"/>
        <w:kinsoku/>
        <w:wordWrap/>
        <w:overflowPunct/>
        <w:topLinePunct w:val="0"/>
        <w:autoSpaceDE/>
        <w:autoSpaceDN/>
        <w:bidi w:val="0"/>
        <w:adjustRightInd/>
        <w:snapToGrid/>
        <w:spacing w:before="0" w:after="0"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192" w:name="_Toc31452"/>
      <w:r>
        <w:rPr>
          <w:rFonts w:hint="eastAsia" w:ascii="方正小标宋简体" w:hAnsi="方正小标宋简体" w:eastAsia="方正小标宋简体" w:cs="方正小标宋简体"/>
          <w:b w:val="0"/>
          <w:bCs w:val="0"/>
          <w:lang w:val="en-US" w:eastAsia="zh-CN"/>
        </w:rPr>
        <w:t>2024年第一批中央基建投资（麻子滩水库除险加固）</w:t>
      </w:r>
      <w:bookmarkEnd w:id="192"/>
    </w:p>
    <w:p w14:paraId="54DA5371">
      <w:pPr>
        <w:keepNext w:val="0"/>
        <w:keepLines w:val="0"/>
        <w:pageBreakBefore w:val="0"/>
        <w:widowControl w:val="0"/>
        <w:kinsoku/>
        <w:wordWrap/>
        <w:overflowPunct/>
        <w:topLinePunct w:val="0"/>
        <w:autoSpaceDE/>
        <w:autoSpaceDN/>
        <w:bidi w:val="0"/>
        <w:adjustRightInd/>
        <w:snapToGrid/>
        <w:spacing w:line="590" w:lineRule="exact"/>
        <w:ind w:right="0" w:rightChars="0" w:firstLine="420" w:firstLineChars="200"/>
        <w:textAlignment w:val="auto"/>
        <w:rPr>
          <w:rFonts w:ascii="黑体" w:hAnsi="宋体" w:eastAsia="黑体"/>
          <w:highlight w:val="none"/>
          <w:lang w:val="zh-CN"/>
        </w:rPr>
      </w:pPr>
      <w:r>
        <w:rPr>
          <w:rFonts w:hint="eastAsia" w:ascii="黑体" w:hAnsi="宋体" w:eastAsia="黑体"/>
          <w:highlight w:val="none"/>
        </w:rPr>
        <w:t>一、</w:t>
      </w:r>
      <w:r>
        <w:rPr>
          <w:rFonts w:hint="eastAsia" w:ascii="黑体" w:hAnsi="宋体" w:eastAsia="黑体"/>
          <w:highlight w:val="none"/>
          <w:lang w:val="zh-CN"/>
        </w:rPr>
        <w:t>项目概况</w:t>
      </w:r>
    </w:p>
    <w:p w14:paraId="29BC4FC6">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3" w:firstLineChars="200"/>
        <w:contextualSpacing/>
        <w:jc w:val="left"/>
        <w:textAlignment w:val="auto"/>
        <w:rPr>
          <w:rFonts w:hint="eastAsia" w:ascii="仿宋_GB2312" w:hAnsi="仿宋_GB2312" w:eastAsia="仿宋_GB2312" w:cs="仿宋_GB2312"/>
          <w:b w:val="0"/>
          <w:bCs w:val="0"/>
          <w:color w:val="auto"/>
          <w:kern w:val="0"/>
          <w:sz w:val="32"/>
          <w:szCs w:val="32"/>
          <w:highlight w:val="none"/>
          <w:u w:val="none"/>
          <w:shd w:val="clear" w:color="auto" w:fill="FFFFFF"/>
          <w:lang w:val="zh-CN" w:eastAsia="zh-CN"/>
        </w:rPr>
      </w:pPr>
      <w:r>
        <w:rPr>
          <w:rFonts w:hint="eastAsia" w:ascii="楷体_GB2312" w:hAnsi="宋体" w:eastAsia="楷体_GB2312"/>
          <w:b/>
          <w:color w:val="auto"/>
          <w:sz w:val="32"/>
          <w:szCs w:val="32"/>
          <w:highlight w:val="none"/>
          <w:u w:val="none"/>
          <w:lang w:val="zh-CN"/>
        </w:rPr>
        <w:t>（一）设立背景及基本情况。</w:t>
      </w:r>
      <w:r>
        <w:rPr>
          <w:rFonts w:hint="eastAsia" w:ascii="仿宋_GB2312" w:hAnsi="仿宋_GB2312" w:eastAsia="仿宋_GB2312" w:cs="仿宋_GB2312"/>
          <w:color w:val="auto"/>
          <w:kern w:val="0"/>
          <w:sz w:val="32"/>
          <w:szCs w:val="32"/>
          <w:highlight w:val="none"/>
          <w:u w:val="none"/>
          <w:shd w:val="clear" w:color="auto" w:fill="FFFFFF"/>
          <w:lang w:val="en-US" w:eastAsia="zh-CN"/>
        </w:rPr>
        <w:t>项目设立原因及背景，</w:t>
      </w:r>
      <w:r>
        <w:rPr>
          <w:rFonts w:hint="eastAsia" w:ascii="仿宋_GB2312" w:hAnsi="仿宋_GB2312" w:eastAsia="仿宋_GB2312" w:cs="仿宋_GB2312"/>
          <w:color w:val="auto"/>
          <w:kern w:val="0"/>
          <w:sz w:val="32"/>
          <w:szCs w:val="32"/>
          <w:highlight w:val="none"/>
          <w:u w:val="none"/>
          <w:shd w:val="clear" w:color="auto" w:fill="FFFFFF"/>
          <w:lang w:val="zh-CN"/>
        </w:rPr>
        <w:t>项目</w:t>
      </w:r>
      <w:r>
        <w:rPr>
          <w:rFonts w:hint="eastAsia" w:ascii="仿宋_GB2312" w:hAnsi="仿宋_GB2312" w:eastAsia="仿宋_GB2312" w:cs="仿宋_GB2312"/>
          <w:b w:val="0"/>
          <w:bCs w:val="0"/>
          <w:color w:val="auto"/>
          <w:kern w:val="0"/>
          <w:sz w:val="32"/>
          <w:szCs w:val="32"/>
          <w:highlight w:val="none"/>
          <w:u w:val="none"/>
          <w:shd w:val="clear" w:color="auto" w:fill="FFFFFF"/>
          <w:lang w:val="zh-CN" w:eastAsia="zh-CN"/>
        </w:rPr>
        <w:t>立项、资金申报的依据，项目主要内容</w:t>
      </w:r>
      <w:r>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t>。</w:t>
      </w:r>
      <w:r>
        <w:rPr>
          <w:rFonts w:hint="eastAsia" w:ascii="仿宋_GB2312" w:hAnsi="仿宋_GB2312" w:eastAsia="仿宋_GB2312" w:cs="仿宋_GB2312"/>
          <w:b w:val="0"/>
          <w:bCs w:val="0"/>
          <w:color w:val="auto"/>
          <w:kern w:val="0"/>
          <w:sz w:val="32"/>
          <w:szCs w:val="32"/>
          <w:highlight w:val="none"/>
          <w:u w:val="none"/>
          <w:shd w:val="clear" w:color="auto" w:fill="FFFFFF"/>
          <w:lang w:val="zh-CN" w:eastAsia="zh-CN"/>
        </w:rPr>
        <w:t>主管部门职能。</w:t>
      </w:r>
    </w:p>
    <w:p w14:paraId="5C7243BC">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default"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本项目自评范围为：51090425T000012122802-遂财建【2024】85号关于下达水利专项2024年第一批中央基建投资（麻子滩水库除险加固）（以下简称该项目）。</w:t>
      </w:r>
    </w:p>
    <w:p w14:paraId="2675E698">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3" w:firstLineChars="200"/>
        <w:contextualSpacing/>
        <w:jc w:val="left"/>
        <w:textAlignment w:val="auto"/>
        <w:rPr>
          <w:rFonts w:hint="default" w:ascii="仿宋_GB2312" w:hAnsi="仿宋_GB2312" w:eastAsia="仿宋_GB2312" w:cs="仿宋_GB2312"/>
          <w:b/>
          <w:bCs/>
          <w:color w:val="auto"/>
          <w:kern w:val="0"/>
          <w:sz w:val="32"/>
          <w:szCs w:val="32"/>
          <w:highlight w:val="none"/>
          <w:u w:val="none"/>
          <w:shd w:val="clear" w:color="auto" w:fill="FFFFFF"/>
          <w:lang w:val="en-US" w:eastAsia="zh-CN"/>
        </w:rPr>
      </w:pPr>
      <w:r>
        <w:rPr>
          <w:rFonts w:hint="eastAsia" w:ascii="仿宋_GB2312" w:hAnsi="仿宋_GB2312" w:eastAsia="仿宋_GB2312" w:cs="仿宋_GB2312"/>
          <w:b/>
          <w:bCs/>
          <w:color w:val="auto"/>
          <w:kern w:val="0"/>
          <w:sz w:val="32"/>
          <w:szCs w:val="32"/>
          <w:highlight w:val="none"/>
          <w:u w:val="none"/>
          <w:shd w:val="clear" w:color="auto" w:fill="FFFFFF"/>
          <w:lang w:val="en-US" w:eastAsia="zh-CN"/>
        </w:rPr>
        <w:t>1.主管部门职能</w:t>
      </w:r>
    </w:p>
    <w:p w14:paraId="08A07AC6">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1）负责水资源的合理开发利用和保护工作。拟定全区水利发展规划和政策，组织编制全区水资源综合规划、水资源保护规划、重要江河湖泊流域综合规划、防洪规划等重大水利规划。指导饮用水水源保护有关工作。指导地下水开发利用和地下水资源管理保护。</w:t>
      </w:r>
    </w:p>
    <w:p w14:paraId="137B1A44">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2）负责生活、生产经营和生态环境用水的统筹和保障。组织实施最严格水资源管理制度，实施水资源的统一监督管理。拟定全区中长期供求规划，水量分配方案并监督实施。负责重要流域、区域以及重要水工程的水资源调度。组织实施取水许可、水资源论证和防洪论证制度，指导实施水资源有偿使用工作。指导水利行业供水和乡镇供水工作。</w:t>
      </w:r>
    </w:p>
    <w:p w14:paraId="294E39F1">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（3）根据《四川省水利工程管理条例》，受市水利局委托，负责主管全区中型水利工程(包括麻子滩、跑马滩、新生水库和三仙湖水库);负责管理或委托乡镇政府管理全区的小[一]、[二]型水库。</w:t>
      </w:r>
    </w:p>
    <w:p w14:paraId="78C5AE65">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4）负责水利工程建设与运行管理，按管理权限制定水利工程建设有关制度并组织实施，负责提出水利固定资产投资规模、方向和区级财政资金安排的建议。提出区级水利建设投资安排建议并负责项目实施的监督管理。组织实施具有控制性的重要水利工程建设与运行管理。</w:t>
      </w:r>
    </w:p>
    <w:p w14:paraId="1548E4B0">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（5）负责节约用水工作。拟定全区节约用水政策，组织、指导和监督节约用水工作。组织编制节约用水规划并监督实施，组织实施用水总量控制等管理制度，指导和推动节水型社会建设工作。</w:t>
      </w:r>
    </w:p>
    <w:p w14:paraId="74238DBD">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（6）负责水资源的监督管理。对江河湖泊和地下水实施监测，发布水资源信息、情报预报和全区水资源公报。</w:t>
      </w:r>
    </w:p>
    <w:p w14:paraId="0006C2CF">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7）.指导全区水利设施、江河湖泊及其岸线的管理、保护与综合利用。组织指导水利基础设施网络建设。指导重要江河湖泊及滩涂的保护、治理和开发。指导河湖水生态保护与修复、河湖生态流量水量管理以及河湖水系连通工作。</w:t>
      </w:r>
    </w:p>
    <w:p w14:paraId="6BDD7AD7">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8）负责全区水土保持工作。拟订水土保持规划并监督实施，组织实施全区水土流失的综合防治、监测预报并定期公告。负责建设项目水土保持监督管理工作，指导重点水土保持建设项目的实施，指导水土保持监测站点建设工作。</w:t>
      </w:r>
    </w:p>
    <w:p w14:paraId="74498FFF">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9）指导农村水利工作。组织开展灌区灌排工程建设与改造。负责农村饮水安全工程建设管理工作;指导节水灌溉有关工作。负责农村水利改革创新和社会化服务体系建设，组织农村水能资源开发，指导小水电改造工作。</w:t>
      </w:r>
    </w:p>
    <w:p w14:paraId="437738BC">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（10）负责辖区内涉水违法事件的查处、协调水事纠纷，指导水政监察和水行政执法。依法负责水利行业安全生产工作。指导水利建设市场的监督检查，组织实施水利工程建设的监督检查。</w:t>
      </w:r>
    </w:p>
    <w:p w14:paraId="1464EFFC">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（11）开展水利科技对外合作交流工作。组织开展水利行业质量监督工作。组织水利科学研究、技术推广工作。组织全区水利系统的对外经济联络，技术经济合作。承担全区水利统计工作。</w:t>
      </w:r>
    </w:p>
    <w:p w14:paraId="6EE6F601">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12）负责落实综合防灾减灾规划相关要求，组织编制并实施全区洪水干旱灾害防治规划。承担水情旱情监测预警工作。按管理权限，组织编制全区重要江河湖泊和重要水工程的防御洪水、抗御旱灾调度及应急水量调度方案，按程序报批并组织实施。承担防御洪水应急抢险的技术保障工作。</w:t>
      </w:r>
    </w:p>
    <w:p w14:paraId="59F7216C">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（13）负责职责范围内的安全生产和职业健康、生态环境保护、审批服务便民化。</w:t>
      </w:r>
    </w:p>
    <w:p w14:paraId="5C4F8B50">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（14）完成区委和区政府交办的其他任务。</w:t>
      </w:r>
    </w:p>
    <w:p w14:paraId="742CC95D">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（15）职能转变。</w:t>
      </w:r>
    </w:p>
    <w:p w14:paraId="409F4A0A">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区水利局应切实加强水资源合理利用、优化配置和节约保护，加强跨流域跨区域水资源调配。坚持节水优先，从增加供给转向更加重视需求管理，严格控制用水总量和提高用水效率。坚持保护优先，加强水资源、水域和水利工程的管理保护，加强河湖管理，全面推进河湖长制，维护河湖生态健康。坚持统筹兼顾，保障合理用水需求和水资源的可持续利用，为全区经济社会发展提供水安全保障。加强水利政策研究，加强水利政策、决策部署和重点工程贯彻落实情况的监督检查，强化水利信息化工作。</w:t>
      </w:r>
    </w:p>
    <w:p w14:paraId="6114566A">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统筹承担行政职能的事业单位改革。区水土保持办公室不再承担水土保持工作监督管理和行政执法职责，上述行政职能交由区水利局承担。</w:t>
      </w:r>
    </w:p>
    <w:p w14:paraId="32B3038C">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（16）有关职责分工。</w:t>
      </w:r>
    </w:p>
    <w:p w14:paraId="76893D4E">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自然灾害防救的职责分工。区水利局负责落实综合防灾减灾规划相关要求，组织编制并实施全区洪水干旱灾害防治规划。承担水情旱情监测预警工作。组织编制全区重要江河湖泊和重要水工程的防御洪水、抗御旱灾调度及应急水量调度方案，按程序报批并组织实施。承担防御洪水应急抢险的技术保障工作。</w:t>
      </w:r>
    </w:p>
    <w:p w14:paraId="27C18C43">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区住建局负责在建工地、既有楼盘和小区的防洪防内涝工作。区水利局负责城市河道的防洪调度工作。区综合执法局负责城市市政公用设施的防汛防内涝工作。 区应急管理局负责统一组织、统一指挥、统一协调自然灾害类突发事件应急救援，救灾工作。</w:t>
      </w:r>
    </w:p>
    <w:p w14:paraId="505443CE">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水资源保护与水污染防治的职责分工。区水利局负责水资源保护，安居生态环境局负责水环境质量和水污染防治，区自然资源和规划局负责对地下水过量开采及引发的地面沉降等地质问题进行监督。三部门进一步加强协调与配合，建立部门协商机制，按要求通报水资源保护与水污染防治有关情况，协商解决有关重大问题。安居生态环境局发布水环境信息，对信息的准确性、及时性负责。区水利局发布的水资源信息中涉及环境质量的内容，应与安居生态环境局协商一致。</w:t>
      </w:r>
    </w:p>
    <w:p w14:paraId="30549083">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节约用水职责的分工。区水利局牵头负责全区节约用水、计划用水工作。区住建局具体负责城市规划区内的节约用水、计划用水、中水回用等行政管理。</w:t>
      </w:r>
    </w:p>
    <w:p w14:paraId="6F6279C8">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供水职责的分工。区水利局组织编制城市规划区外的村镇供水规划，指导村镇供水建设和管理，对村镇供水企业实行行业管理。区住建局负责城市规划区内的供水，对城市供水企业实行行业管理;负责城市规划区内由于工程施工、设备维修等原因确需停止供水的审批。对因城市规划区调整形成自来水供区交叉的问题，由两个部门协商解决。</w:t>
      </w:r>
    </w:p>
    <w:p w14:paraId="6F73B429">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3" w:firstLineChars="200"/>
        <w:contextualSpacing/>
        <w:jc w:val="left"/>
        <w:textAlignment w:val="auto"/>
        <w:rPr>
          <w:rFonts w:hint="eastAsia" w:ascii="仿宋_GB2312" w:hAnsi="仿宋_GB2312" w:eastAsia="仿宋_GB2312" w:cs="仿宋_GB2312"/>
          <w:b/>
          <w:bCs/>
          <w:color w:val="auto"/>
          <w:kern w:val="0"/>
          <w:sz w:val="32"/>
          <w:szCs w:val="32"/>
          <w:highlight w:val="none"/>
          <w:u w:val="none"/>
          <w:shd w:val="clear" w:color="auto" w:fill="FFFFFF"/>
          <w:lang w:val="en-US" w:eastAsia="zh-CN"/>
        </w:rPr>
      </w:pPr>
      <w:r>
        <w:rPr>
          <w:rFonts w:hint="eastAsia" w:ascii="仿宋_GB2312" w:hAnsi="仿宋_GB2312" w:eastAsia="仿宋_GB2312" w:cs="仿宋_GB2312"/>
          <w:b/>
          <w:bCs/>
          <w:color w:val="auto"/>
          <w:kern w:val="0"/>
          <w:sz w:val="32"/>
          <w:szCs w:val="32"/>
          <w:highlight w:val="none"/>
          <w:u w:val="none"/>
          <w:shd w:val="clear" w:color="auto" w:fill="FFFFFF"/>
          <w:lang w:val="en-US" w:eastAsia="zh-CN"/>
        </w:rPr>
        <w:t>2.项目设立原因及背景</w:t>
      </w:r>
    </w:p>
    <w:p w14:paraId="679BF594">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（1）保障水利工程安全运行</w:t>
      </w:r>
    </w:p>
    <w:p w14:paraId="0206998E">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cs="仿宋_GB2312"/>
          <w:color w:val="auto"/>
          <w:kern w:val="0"/>
          <w:sz w:val="32"/>
          <w:szCs w:val="32"/>
          <w:highlight w:val="none"/>
          <w:u w:val="none"/>
          <w:shd w:val="clear" w:color="auto" w:fill="FFFFFF"/>
          <w:lang w:val="en-US" w:eastAsia="zh-CN"/>
        </w:rPr>
        <w:t>‌</w:t>
      </w:r>
      <w:r>
        <w:rPr>
          <w:rFonts w:hint="eastAsia" w:ascii="仿宋_GB2312" w:hAnsi="仿宋_GB2312" w:eastAsia="仿宋_GB2312" w:cs="仿宋_GB2312"/>
          <w:color w:val="auto"/>
          <w:kern w:val="0"/>
          <w:sz w:val="32"/>
          <w:szCs w:val="32"/>
          <w:highlight w:val="none"/>
          <w:u w:val="none"/>
          <w:shd w:val="clear" w:color="auto" w:fill="FFFFFF"/>
          <w:lang w:val="en-US" w:eastAsia="zh-CN"/>
        </w:rPr>
        <w:t>病险水库治理需求迫切‌：区域内多座小型水库存在安全隐患，需通过除险加固消除风险。例如2022年对席家埝、东岳庙等水库实施加固，修复渗漏、结构缺陷等问题；2019年已对擦耳岩、朝天湾等4座水库开展类似工程。</w:t>
      </w:r>
    </w:p>
    <w:p w14:paraId="6FBCEA95">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cs="仿宋_GB2312"/>
          <w:color w:val="auto"/>
          <w:kern w:val="0"/>
          <w:sz w:val="32"/>
          <w:szCs w:val="32"/>
          <w:highlight w:val="none"/>
          <w:u w:val="none"/>
          <w:shd w:val="clear" w:color="auto" w:fill="FFFFFF"/>
          <w:lang w:val="en-US" w:eastAsia="zh-CN"/>
        </w:rPr>
        <w:t>‌</w:t>
      </w:r>
      <w:r>
        <w:rPr>
          <w:rFonts w:hint="eastAsia" w:ascii="仿宋_GB2312" w:hAnsi="仿宋_GB2312" w:eastAsia="仿宋_GB2312" w:cs="仿宋_GB2312"/>
          <w:color w:val="auto"/>
          <w:kern w:val="0"/>
          <w:sz w:val="32"/>
          <w:szCs w:val="32"/>
          <w:highlight w:val="none"/>
          <w:u w:val="none"/>
          <w:shd w:val="clear" w:color="auto" w:fill="FFFFFF"/>
          <w:lang w:val="en-US" w:eastAsia="zh-CN"/>
        </w:rPr>
        <w:t>设施维护常态化‌：2024年计划开展小型水库设施维修养护及白蚁防治项目，因供应商不足终止后仍需持续推进，反映工程后期管护的持续性需求。</w:t>
      </w:r>
    </w:p>
    <w:p w14:paraId="44EC546B">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（2）落实国家水利发展政策</w:t>
      </w:r>
    </w:p>
    <w:p w14:paraId="72D44139">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cs="仿宋_GB2312"/>
          <w:color w:val="auto"/>
          <w:kern w:val="0"/>
          <w:sz w:val="32"/>
          <w:szCs w:val="32"/>
          <w:highlight w:val="none"/>
          <w:u w:val="none"/>
          <w:shd w:val="clear" w:color="auto" w:fill="FFFFFF"/>
          <w:lang w:val="en-US" w:eastAsia="zh-CN"/>
        </w:rPr>
        <w:t>‌</w:t>
      </w:r>
      <w:r>
        <w:rPr>
          <w:rFonts w:hint="eastAsia" w:ascii="仿宋_GB2312" w:hAnsi="仿宋_GB2312" w:eastAsia="仿宋_GB2312" w:cs="仿宋_GB2312"/>
          <w:color w:val="auto"/>
          <w:kern w:val="0"/>
          <w:sz w:val="32"/>
          <w:szCs w:val="32"/>
          <w:highlight w:val="none"/>
          <w:u w:val="none"/>
          <w:shd w:val="clear" w:color="auto" w:fill="FFFFFF"/>
          <w:lang w:val="en-US" w:eastAsia="zh-CN"/>
        </w:rPr>
        <w:t>贯彻“补短板、强监管”总基调‌：严格遵循水利部“水利工程补短板、水利行业强监管”的部署，2021年出台《安居区水利行业强监管工作实施方案》，强化对工程运行、资金使用、水资源的监管。</w:t>
      </w:r>
    </w:p>
    <w:p w14:paraId="6ABFB867">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cs="仿宋_GB2312"/>
          <w:color w:val="auto"/>
          <w:kern w:val="0"/>
          <w:sz w:val="32"/>
          <w:szCs w:val="32"/>
          <w:highlight w:val="none"/>
          <w:u w:val="none"/>
          <w:shd w:val="clear" w:color="auto" w:fill="FFFFFF"/>
          <w:lang w:val="en-US" w:eastAsia="zh-CN"/>
        </w:rPr>
        <w:t>‌</w:t>
      </w:r>
      <w:r>
        <w:rPr>
          <w:rFonts w:hint="eastAsia" w:ascii="仿宋_GB2312" w:hAnsi="仿宋_GB2312" w:eastAsia="仿宋_GB2312" w:cs="仿宋_GB2312"/>
          <w:color w:val="auto"/>
          <w:kern w:val="0"/>
          <w:sz w:val="32"/>
          <w:szCs w:val="32"/>
          <w:highlight w:val="none"/>
          <w:u w:val="none"/>
          <w:shd w:val="clear" w:color="auto" w:fill="FFFFFF"/>
          <w:lang w:val="en-US" w:eastAsia="zh-CN"/>
        </w:rPr>
        <w:t>响应中央资金投向要求‌：中央预算内投资明确支持水利高质量发展项目，聚焦水资源优化配置、水生态修复及民生保障，安居区项目符合这一政策导向。</w:t>
      </w:r>
    </w:p>
    <w:p w14:paraId="27D2DB2F">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（3）促进区域经济与生态协同发展</w:t>
      </w:r>
    </w:p>
    <w:p w14:paraId="5287119D">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cs="仿宋_GB2312"/>
          <w:color w:val="auto"/>
          <w:kern w:val="0"/>
          <w:sz w:val="32"/>
          <w:szCs w:val="32"/>
          <w:highlight w:val="none"/>
          <w:u w:val="none"/>
          <w:shd w:val="clear" w:color="auto" w:fill="FFFFFF"/>
          <w:lang w:val="en-US" w:eastAsia="zh-CN"/>
        </w:rPr>
        <w:t>‌</w:t>
      </w:r>
      <w:r>
        <w:rPr>
          <w:rFonts w:hint="eastAsia" w:ascii="仿宋_GB2312" w:hAnsi="仿宋_GB2312" w:eastAsia="仿宋_GB2312" w:cs="仿宋_GB2312"/>
          <w:color w:val="auto"/>
          <w:kern w:val="0"/>
          <w:sz w:val="32"/>
          <w:szCs w:val="32"/>
          <w:highlight w:val="none"/>
          <w:u w:val="none"/>
          <w:shd w:val="clear" w:color="auto" w:fill="FFFFFF"/>
          <w:lang w:val="en-US" w:eastAsia="zh-CN"/>
        </w:rPr>
        <w:t>支撑农业生产‌：水利设施为农业灌溉提供保障，如2025年利用省级财政资金新建及改造提灌站，直接服务粮油产业增产。</w:t>
      </w:r>
    </w:p>
    <w:p w14:paraId="7DAA7B31">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cs="仿宋_GB2312"/>
          <w:color w:val="auto"/>
          <w:kern w:val="0"/>
          <w:sz w:val="32"/>
          <w:szCs w:val="32"/>
          <w:highlight w:val="none"/>
          <w:u w:val="none"/>
          <w:shd w:val="clear" w:color="auto" w:fill="FFFFFF"/>
          <w:lang w:val="en-US" w:eastAsia="zh-CN"/>
        </w:rPr>
        <w:t>‌</w:t>
      </w:r>
      <w:r>
        <w:rPr>
          <w:rFonts w:hint="eastAsia" w:ascii="仿宋_GB2312" w:hAnsi="仿宋_GB2312" w:eastAsia="仿宋_GB2312" w:cs="仿宋_GB2312"/>
          <w:color w:val="auto"/>
          <w:kern w:val="0"/>
          <w:sz w:val="32"/>
          <w:szCs w:val="32"/>
          <w:highlight w:val="none"/>
          <w:u w:val="none"/>
          <w:shd w:val="clear" w:color="auto" w:fill="FFFFFF"/>
          <w:lang w:val="en-US" w:eastAsia="zh-CN"/>
        </w:rPr>
        <w:t>兼顾生态保护‌：项目建设注重生态修复，通过科学设计减少对生态系统破坏，并提升水质保护、生物多样性维护能力。</w:t>
      </w:r>
    </w:p>
    <w:p w14:paraId="6E5B0E72">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（4）优化资金管理与项目实施机制</w:t>
      </w:r>
    </w:p>
    <w:p w14:paraId="1E78399C">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cs="仿宋_GB2312"/>
          <w:color w:val="auto"/>
          <w:kern w:val="0"/>
          <w:sz w:val="32"/>
          <w:szCs w:val="32"/>
          <w:highlight w:val="none"/>
          <w:u w:val="none"/>
          <w:shd w:val="clear" w:color="auto" w:fill="FFFFFF"/>
          <w:lang w:val="en-US" w:eastAsia="zh-CN"/>
        </w:rPr>
        <w:t>‌</w:t>
      </w:r>
      <w:r>
        <w:rPr>
          <w:rFonts w:hint="eastAsia" w:ascii="仿宋_GB2312" w:hAnsi="仿宋_GB2312" w:eastAsia="仿宋_GB2312" w:cs="仿宋_GB2312"/>
          <w:color w:val="auto"/>
          <w:kern w:val="0"/>
          <w:sz w:val="32"/>
          <w:szCs w:val="32"/>
          <w:highlight w:val="none"/>
          <w:u w:val="none"/>
          <w:shd w:val="clear" w:color="auto" w:fill="FFFFFF"/>
          <w:lang w:val="en-US" w:eastAsia="zh-CN"/>
        </w:rPr>
        <w:t>规范招投标流程‌：2024年发布新规强化招标文件公平竞争审查，明确要求消除地方保护壁垒，确保中央和省级资金项目的公开透明。</w:t>
      </w:r>
    </w:p>
    <w:p w14:paraId="68F3FC02">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default"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cs="仿宋_GB2312"/>
          <w:color w:val="auto"/>
          <w:kern w:val="0"/>
          <w:sz w:val="32"/>
          <w:szCs w:val="32"/>
          <w:highlight w:val="none"/>
          <w:u w:val="none"/>
          <w:shd w:val="clear" w:color="auto" w:fill="FFFFFF"/>
          <w:lang w:val="en-US" w:eastAsia="zh-CN"/>
        </w:rPr>
        <w:t>‌</w:t>
      </w:r>
      <w:r>
        <w:rPr>
          <w:rFonts w:hint="eastAsia" w:ascii="仿宋_GB2312" w:hAnsi="仿宋_GB2312" w:eastAsia="仿宋_GB2312" w:cs="仿宋_GB2312"/>
          <w:color w:val="auto"/>
          <w:kern w:val="0"/>
          <w:sz w:val="32"/>
          <w:szCs w:val="32"/>
          <w:highlight w:val="none"/>
          <w:u w:val="none"/>
          <w:shd w:val="clear" w:color="auto" w:fill="FFFFFF"/>
          <w:lang w:val="en-US" w:eastAsia="zh-CN"/>
        </w:rPr>
        <w:t>明确主体责任‌：强调项目业主（如三仙湖水库建设开发公司）和水利局的监管职责，保障资金高效合规使用。</w:t>
      </w:r>
    </w:p>
    <w:p w14:paraId="4E63E985">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3" w:firstLineChars="200"/>
        <w:contextualSpacing/>
        <w:jc w:val="left"/>
        <w:textAlignment w:val="auto"/>
        <w:rPr>
          <w:rFonts w:hint="eastAsia" w:ascii="仿宋_GB2312" w:hAnsi="仿宋_GB2312" w:eastAsia="仿宋_GB2312" w:cs="仿宋_GB2312"/>
          <w:b/>
          <w:bCs/>
          <w:color w:val="auto"/>
          <w:kern w:val="0"/>
          <w:sz w:val="32"/>
          <w:szCs w:val="32"/>
          <w:highlight w:val="none"/>
          <w:u w:val="none"/>
          <w:shd w:val="clear" w:color="auto" w:fill="FFFFFF"/>
          <w:lang w:val="zh-CN" w:eastAsia="zh-CN"/>
        </w:rPr>
      </w:pPr>
      <w:r>
        <w:rPr>
          <w:rFonts w:hint="eastAsia" w:ascii="仿宋_GB2312" w:hAnsi="仿宋_GB2312" w:eastAsia="仿宋_GB2312" w:cs="仿宋_GB2312"/>
          <w:b/>
          <w:bCs/>
          <w:color w:val="auto"/>
          <w:kern w:val="0"/>
          <w:sz w:val="32"/>
          <w:szCs w:val="32"/>
          <w:highlight w:val="none"/>
          <w:u w:val="none"/>
          <w:shd w:val="clear" w:color="auto" w:fill="FFFFFF"/>
          <w:lang w:val="en-US" w:eastAsia="zh-CN"/>
        </w:rPr>
        <w:t>3.</w:t>
      </w:r>
      <w:r>
        <w:rPr>
          <w:rFonts w:hint="eastAsia" w:ascii="仿宋_GB2312" w:hAnsi="仿宋_GB2312" w:eastAsia="仿宋_GB2312" w:cs="仿宋_GB2312"/>
          <w:b/>
          <w:bCs/>
          <w:color w:val="auto"/>
          <w:kern w:val="0"/>
          <w:sz w:val="32"/>
          <w:szCs w:val="32"/>
          <w:highlight w:val="none"/>
          <w:u w:val="none"/>
          <w:shd w:val="clear" w:color="auto" w:fill="FFFFFF"/>
          <w:lang w:val="zh-CN" w:eastAsia="zh-CN"/>
        </w:rPr>
        <w:t>项目立项、资金申报的依据</w:t>
      </w:r>
    </w:p>
    <w:p w14:paraId="440E999E">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default"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项目立项、资金申报文件为：遂财建【2024】85号。</w:t>
      </w:r>
    </w:p>
    <w:p w14:paraId="0167D7AE">
      <w:pPr>
        <w:keepNext w:val="0"/>
        <w:keepLines w:val="0"/>
        <w:pageBreakBefore w:val="0"/>
        <w:kinsoku/>
        <w:wordWrap/>
        <w:overflowPunct/>
        <w:topLinePunct w:val="0"/>
        <w:autoSpaceDE/>
        <w:autoSpaceDN/>
        <w:bidi w:val="0"/>
        <w:adjustRightInd/>
        <w:snapToGrid/>
        <w:spacing w:line="590" w:lineRule="exact"/>
        <w:ind w:left="0" w:leftChars="0" w:right="0" w:rightChars="0" w:firstLine="643" w:firstLineChars="200"/>
        <w:textAlignment w:val="auto"/>
        <w:rPr>
          <w:rFonts w:hint="eastAsia" w:ascii="仿宋_GB2312" w:hAnsi="仿宋_GB2312" w:eastAsia="仿宋_GB2312" w:cs="仿宋_GB2312"/>
          <w:color w:val="auto"/>
          <w:kern w:val="0"/>
          <w:sz w:val="32"/>
          <w:szCs w:val="32"/>
          <w:highlight w:val="none"/>
          <w:u w:val="none"/>
          <w:shd w:val="clear" w:color="auto" w:fill="FFFFFF"/>
          <w:lang w:val="zh-CN"/>
        </w:rPr>
      </w:pPr>
      <w:r>
        <w:rPr>
          <w:rFonts w:hint="eastAsia" w:ascii="楷体_GB2312" w:hAnsi="宋体" w:eastAsia="楷体_GB2312"/>
          <w:b/>
          <w:color w:val="auto"/>
          <w:sz w:val="32"/>
          <w:szCs w:val="32"/>
          <w:highlight w:val="none"/>
          <w:u w:val="none"/>
          <w:lang w:val="zh-CN"/>
        </w:rPr>
        <w:t>（</w:t>
      </w:r>
      <w:r>
        <w:rPr>
          <w:rFonts w:hint="eastAsia" w:ascii="楷体_GB2312" w:hAnsi="宋体" w:eastAsia="楷体_GB2312" w:cs="Times New Roman"/>
          <w:b/>
          <w:color w:val="auto"/>
          <w:sz w:val="32"/>
          <w:szCs w:val="32"/>
          <w:highlight w:val="none"/>
          <w:u w:val="none"/>
          <w:lang w:val="zh-CN"/>
        </w:rPr>
        <w:t>二）</w:t>
      </w:r>
      <w:r>
        <w:rPr>
          <w:rFonts w:hint="default" w:ascii="楷体_GB2312" w:hAnsi="宋体" w:eastAsia="楷体_GB2312" w:cs="Times New Roman"/>
          <w:b/>
          <w:color w:val="auto"/>
          <w:sz w:val="32"/>
          <w:szCs w:val="32"/>
          <w:highlight w:val="none"/>
          <w:u w:val="none"/>
          <w:lang w:val="en-US" w:eastAsia="zh-CN"/>
        </w:rPr>
        <w:t>实施目的及支持方向</w:t>
      </w:r>
      <w:r>
        <w:rPr>
          <w:rFonts w:hint="eastAsia" w:ascii="楷体_GB2312" w:hAnsi="宋体" w:eastAsia="楷体_GB2312" w:cs="Times New Roman"/>
          <w:b/>
          <w:color w:val="auto"/>
          <w:sz w:val="32"/>
          <w:szCs w:val="32"/>
          <w:highlight w:val="none"/>
          <w:u w:val="none"/>
          <w:lang w:val="en-US" w:eastAsia="zh-CN"/>
        </w:rPr>
        <w:t>。</w:t>
      </w:r>
      <w:r>
        <w:rPr>
          <w:rFonts w:hint="eastAsia" w:ascii="仿宋_GB2312" w:hAnsi="仿宋_GB2312" w:eastAsia="仿宋_GB2312" w:cs="仿宋_GB2312"/>
          <w:color w:val="auto"/>
          <w:kern w:val="0"/>
          <w:sz w:val="32"/>
          <w:szCs w:val="32"/>
          <w:highlight w:val="none"/>
          <w:u w:val="none"/>
          <w:shd w:val="clear" w:color="auto" w:fill="FFFFFF"/>
          <w:lang w:val="en-US" w:eastAsia="zh-CN"/>
        </w:rPr>
        <w:t>项目资金</w:t>
      </w:r>
      <w:r>
        <w:rPr>
          <w:rFonts w:hint="eastAsia" w:ascii="仿宋_GB2312" w:hAnsi="仿宋_GB2312" w:eastAsia="仿宋_GB2312" w:cs="仿宋_GB2312"/>
          <w:color w:val="auto"/>
          <w:kern w:val="0"/>
          <w:sz w:val="32"/>
          <w:szCs w:val="32"/>
          <w:highlight w:val="none"/>
          <w:u w:val="none"/>
          <w:shd w:val="clear" w:color="auto" w:fill="FFFFFF"/>
          <w:lang w:val="zh-CN"/>
        </w:rPr>
        <w:t>管理办法制定情况，项目实施目的和主要工作任务，项目支持方向。</w:t>
      </w:r>
    </w:p>
    <w:p w14:paraId="4BD2E36A">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3" w:firstLineChars="200"/>
        <w:contextualSpacing/>
        <w:jc w:val="left"/>
        <w:textAlignment w:val="auto"/>
        <w:rPr>
          <w:rFonts w:hint="eastAsia" w:ascii="仿宋_GB2312" w:hAnsi="仿宋_GB2312" w:eastAsia="仿宋_GB2312" w:cs="仿宋_GB2312"/>
          <w:b/>
          <w:bCs/>
          <w:color w:val="auto"/>
          <w:kern w:val="0"/>
          <w:sz w:val="32"/>
          <w:szCs w:val="32"/>
          <w:highlight w:val="none"/>
          <w:u w:val="none"/>
          <w:shd w:val="clear" w:color="auto" w:fill="FFFFFF"/>
          <w:lang w:val="zh-CN" w:eastAsia="zh-CN"/>
        </w:rPr>
      </w:pPr>
      <w:r>
        <w:rPr>
          <w:rFonts w:hint="eastAsia" w:ascii="仿宋_GB2312" w:hAnsi="仿宋_GB2312" w:eastAsia="仿宋_GB2312" w:cs="仿宋_GB2312"/>
          <w:b/>
          <w:bCs/>
          <w:color w:val="auto"/>
          <w:kern w:val="0"/>
          <w:sz w:val="32"/>
          <w:szCs w:val="32"/>
          <w:highlight w:val="none"/>
          <w:u w:val="none"/>
          <w:shd w:val="clear" w:color="auto" w:fill="FFFFFF"/>
          <w:lang w:val="en-US" w:eastAsia="zh-CN"/>
        </w:rPr>
        <w:t>1.项目资金</w:t>
      </w:r>
      <w:r>
        <w:rPr>
          <w:rFonts w:hint="eastAsia" w:ascii="仿宋_GB2312" w:hAnsi="仿宋_GB2312" w:eastAsia="仿宋_GB2312" w:cs="仿宋_GB2312"/>
          <w:b/>
          <w:bCs/>
          <w:color w:val="auto"/>
          <w:kern w:val="0"/>
          <w:sz w:val="32"/>
          <w:szCs w:val="32"/>
          <w:highlight w:val="none"/>
          <w:u w:val="none"/>
          <w:shd w:val="clear" w:color="auto" w:fill="FFFFFF"/>
          <w:lang w:val="zh-CN" w:eastAsia="zh-CN"/>
        </w:rPr>
        <w:t>管理办法</w:t>
      </w:r>
    </w:p>
    <w:p w14:paraId="210329F4">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default"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2022年中央和省级水利发展资金项目严格按照《四川省财政厅 四川省水利厅关于印发&lt;四川省水利发展资金管理办法&gt;的通知》（川财农〔2023〕29号）《遂宁市水利监督管理实施办法（试行）》开展，并严格按照“遂财建【2024】85号”文件规定执行，我局未单独针对该项目制定专门的项目资金管理办法。</w:t>
      </w:r>
    </w:p>
    <w:p w14:paraId="414CF938">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3" w:firstLineChars="200"/>
        <w:contextualSpacing/>
        <w:jc w:val="left"/>
        <w:textAlignment w:val="auto"/>
        <w:rPr>
          <w:rFonts w:hint="eastAsia" w:ascii="仿宋_GB2312" w:hAnsi="仿宋_GB2312" w:eastAsia="仿宋_GB2312" w:cs="仿宋_GB2312"/>
          <w:b/>
          <w:bCs/>
          <w:color w:val="auto"/>
          <w:kern w:val="0"/>
          <w:sz w:val="32"/>
          <w:szCs w:val="32"/>
          <w:highlight w:val="none"/>
          <w:u w:val="none"/>
          <w:shd w:val="clear" w:color="auto" w:fill="FFFFFF"/>
          <w:lang w:val="zh-CN" w:eastAsia="zh-CN"/>
        </w:rPr>
      </w:pPr>
      <w:r>
        <w:rPr>
          <w:rFonts w:hint="eastAsia" w:ascii="仿宋_GB2312" w:hAnsi="仿宋_GB2312" w:eastAsia="仿宋_GB2312" w:cs="仿宋_GB2312"/>
          <w:b/>
          <w:bCs/>
          <w:color w:val="auto"/>
          <w:kern w:val="0"/>
          <w:sz w:val="32"/>
          <w:szCs w:val="32"/>
          <w:highlight w:val="none"/>
          <w:u w:val="none"/>
          <w:shd w:val="clear" w:color="auto" w:fill="FFFFFF"/>
          <w:lang w:val="en-US" w:eastAsia="zh-CN"/>
        </w:rPr>
        <w:t>2.</w:t>
      </w:r>
      <w:r>
        <w:rPr>
          <w:rFonts w:hint="eastAsia" w:ascii="仿宋_GB2312" w:hAnsi="仿宋_GB2312" w:eastAsia="仿宋_GB2312" w:cs="仿宋_GB2312"/>
          <w:b/>
          <w:bCs/>
          <w:color w:val="auto"/>
          <w:kern w:val="0"/>
          <w:sz w:val="32"/>
          <w:szCs w:val="32"/>
          <w:highlight w:val="none"/>
          <w:u w:val="none"/>
          <w:shd w:val="clear" w:color="auto" w:fill="FFFFFF"/>
          <w:lang w:val="zh-CN" w:eastAsia="zh-CN"/>
        </w:rPr>
        <w:t>项目实施目的和主要工作任务</w:t>
      </w:r>
    </w:p>
    <w:p w14:paraId="10F36EAE">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项目实施主要内容为：通过中央基建投资专项实施琼江流域治理、病险水库除险加固等工程，年度完成投资7513400.00元，提升3个乡镇防洪能力至10年一遇标准，保障2万人口饮水安全及1.8万亩农田灌溉，资金执行率达95%以上。</w:t>
      </w:r>
    </w:p>
    <w:p w14:paraId="1D3724F6">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eastAsia" w:eastAsia="仿宋_GB2312"/>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项目主要工作任务：按照项目申报要求和“遂财建【2024】85号”文件规定通过中央基建投资专项实施琼江流域治理、病险水库除险加固等工程，年度完成投资7513400.00元，提升3个乡镇防洪能力至10年一遇标准，保障2万人口饮水安全及1.8万亩农田灌溉，资金执行率达95%以上。</w:t>
      </w:r>
    </w:p>
    <w:p w14:paraId="49889DCF">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3" w:firstLineChars="200"/>
        <w:contextualSpacing/>
        <w:jc w:val="left"/>
        <w:textAlignment w:val="auto"/>
        <w:rPr>
          <w:rFonts w:hint="eastAsia" w:ascii="仿宋_GB2312" w:hAnsi="仿宋_GB2312" w:eastAsia="仿宋_GB2312" w:cs="仿宋_GB2312"/>
          <w:b/>
          <w:bCs/>
          <w:color w:val="auto"/>
          <w:kern w:val="0"/>
          <w:sz w:val="32"/>
          <w:szCs w:val="32"/>
          <w:highlight w:val="none"/>
          <w:u w:val="none"/>
          <w:shd w:val="clear" w:color="auto" w:fill="FFFFFF"/>
          <w:lang w:val="en-US" w:eastAsia="zh-CN"/>
        </w:rPr>
      </w:pPr>
      <w:r>
        <w:rPr>
          <w:rFonts w:hint="eastAsia" w:ascii="仿宋_GB2312" w:hAnsi="仿宋_GB2312" w:eastAsia="仿宋_GB2312" w:cs="仿宋_GB2312"/>
          <w:b/>
          <w:bCs/>
          <w:color w:val="auto"/>
          <w:kern w:val="0"/>
          <w:sz w:val="32"/>
          <w:szCs w:val="32"/>
          <w:highlight w:val="none"/>
          <w:u w:val="none"/>
          <w:shd w:val="clear" w:color="auto" w:fill="FFFFFF"/>
          <w:lang w:val="en-US" w:eastAsia="zh-CN"/>
        </w:rPr>
        <w:t>3.项目支持方向</w:t>
      </w:r>
    </w:p>
    <w:p w14:paraId="566CE64B">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（1）水旱灾害防御：</w:t>
      </w:r>
    </w:p>
    <w:p w14:paraId="7B696458">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cs="仿宋_GB2312"/>
          <w:color w:val="auto"/>
          <w:kern w:val="0"/>
          <w:sz w:val="32"/>
          <w:szCs w:val="32"/>
          <w:highlight w:val="none"/>
          <w:u w:val="none"/>
          <w:shd w:val="clear" w:color="auto" w:fill="FFFFFF"/>
          <w:lang w:val="en-US" w:eastAsia="zh-CN"/>
        </w:rPr>
        <w:t>‌</w:t>
      </w:r>
      <w:r>
        <w:rPr>
          <w:rFonts w:hint="eastAsia" w:ascii="仿宋_GB2312" w:hAnsi="仿宋_GB2312" w:eastAsia="仿宋_GB2312" w:cs="仿宋_GB2312"/>
          <w:color w:val="auto"/>
          <w:kern w:val="0"/>
          <w:sz w:val="32"/>
          <w:szCs w:val="32"/>
          <w:highlight w:val="none"/>
          <w:u w:val="none"/>
          <w:shd w:val="clear" w:color="auto" w:fill="FFFFFF"/>
          <w:lang w:val="en-US" w:eastAsia="zh-CN"/>
        </w:rPr>
        <w:t>防汛救灾应急；采购防汛救灾物资，支持洪涝灾害应急抢险及水利工程水毁修复；强化防洪治理工程。</w:t>
      </w:r>
    </w:p>
    <w:p w14:paraId="3433D9C9">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cs="仿宋_GB2312"/>
          <w:color w:val="auto"/>
          <w:kern w:val="0"/>
          <w:sz w:val="32"/>
          <w:szCs w:val="32"/>
          <w:highlight w:val="none"/>
          <w:u w:val="none"/>
          <w:shd w:val="clear" w:color="auto" w:fill="FFFFFF"/>
          <w:lang w:val="en-US" w:eastAsia="zh-CN"/>
        </w:rPr>
        <w:t>‌</w:t>
      </w:r>
      <w:r>
        <w:rPr>
          <w:rFonts w:hint="eastAsia" w:ascii="仿宋_GB2312" w:hAnsi="仿宋_GB2312" w:eastAsia="仿宋_GB2312" w:cs="仿宋_GB2312"/>
          <w:color w:val="auto"/>
          <w:kern w:val="0"/>
          <w:sz w:val="32"/>
          <w:szCs w:val="32"/>
          <w:highlight w:val="none"/>
          <w:u w:val="none"/>
          <w:shd w:val="clear" w:color="auto" w:fill="FFFFFF"/>
          <w:lang w:val="en-US" w:eastAsia="zh-CN"/>
        </w:rPr>
        <w:t>防灾能力提升‌：支持山洪灾害防治、中小河流治理、病险水库除险加固等项目。</w:t>
      </w:r>
    </w:p>
    <w:p w14:paraId="389B4D41">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（2）水资源优化配置与利用</w:t>
      </w:r>
    </w:p>
    <w:p w14:paraId="6609B3DB">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cs="仿宋_GB2312"/>
          <w:color w:val="auto"/>
          <w:kern w:val="0"/>
          <w:sz w:val="32"/>
          <w:szCs w:val="32"/>
          <w:highlight w:val="none"/>
          <w:u w:val="none"/>
          <w:shd w:val="clear" w:color="auto" w:fill="FFFFFF"/>
          <w:lang w:val="en-US" w:eastAsia="zh-CN"/>
        </w:rPr>
        <w:t>‌</w:t>
      </w:r>
      <w:r>
        <w:rPr>
          <w:rFonts w:hint="eastAsia" w:ascii="仿宋_GB2312" w:hAnsi="仿宋_GB2312" w:eastAsia="仿宋_GB2312" w:cs="仿宋_GB2312"/>
          <w:color w:val="auto"/>
          <w:kern w:val="0"/>
          <w:sz w:val="32"/>
          <w:szCs w:val="32"/>
          <w:highlight w:val="none"/>
          <w:u w:val="none"/>
          <w:shd w:val="clear" w:color="auto" w:fill="FFFFFF"/>
          <w:lang w:val="en-US" w:eastAsia="zh-CN"/>
        </w:rPr>
        <w:t>骨干水利工程建设‌：重点支持灌区一期一步、大桥水库灌区等重大工程。</w:t>
      </w:r>
    </w:p>
    <w:p w14:paraId="42C56298">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cs="仿宋_GB2312"/>
          <w:color w:val="auto"/>
          <w:kern w:val="0"/>
          <w:sz w:val="32"/>
          <w:szCs w:val="32"/>
          <w:highlight w:val="none"/>
          <w:u w:val="none"/>
          <w:shd w:val="clear" w:color="auto" w:fill="FFFFFF"/>
          <w:lang w:val="en-US" w:eastAsia="zh-CN"/>
        </w:rPr>
        <w:t>‌</w:t>
      </w:r>
      <w:r>
        <w:rPr>
          <w:rFonts w:hint="eastAsia" w:ascii="仿宋_GB2312" w:hAnsi="仿宋_GB2312" w:eastAsia="仿宋_GB2312" w:cs="仿宋_GB2312"/>
          <w:color w:val="auto"/>
          <w:kern w:val="0"/>
          <w:sz w:val="32"/>
          <w:szCs w:val="32"/>
          <w:highlight w:val="none"/>
          <w:u w:val="none"/>
          <w:shd w:val="clear" w:color="auto" w:fill="FFFFFF"/>
          <w:lang w:val="en-US" w:eastAsia="zh-CN"/>
        </w:rPr>
        <w:t>节水增效‌：推动灌区节水改造，提高农田灌溉水有效利用系数。</w:t>
      </w:r>
    </w:p>
    <w:p w14:paraId="0FFBB85C">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推广智能灌溉系统及量测水设施。</w:t>
      </w:r>
    </w:p>
    <w:p w14:paraId="14564932">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（3）水资源保护与生态修复</w:t>
      </w:r>
    </w:p>
    <w:p w14:paraId="2AC877A0">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cs="仿宋_GB2312"/>
          <w:color w:val="auto"/>
          <w:kern w:val="0"/>
          <w:sz w:val="32"/>
          <w:szCs w:val="32"/>
          <w:highlight w:val="none"/>
          <w:u w:val="none"/>
          <w:shd w:val="clear" w:color="auto" w:fill="FFFFFF"/>
          <w:lang w:val="en-US" w:eastAsia="zh-CN"/>
        </w:rPr>
        <w:t>‌</w:t>
      </w:r>
      <w:r>
        <w:rPr>
          <w:rFonts w:hint="eastAsia" w:ascii="仿宋_GB2312" w:hAnsi="仿宋_GB2312" w:eastAsia="仿宋_GB2312" w:cs="仿宋_GB2312"/>
          <w:color w:val="auto"/>
          <w:kern w:val="0"/>
          <w:sz w:val="32"/>
          <w:szCs w:val="32"/>
          <w:highlight w:val="none"/>
          <w:u w:val="none"/>
          <w:shd w:val="clear" w:color="auto" w:fill="FFFFFF"/>
          <w:lang w:val="en-US" w:eastAsia="zh-CN"/>
        </w:rPr>
        <w:t>水生态治理‌：支持水土保持、河湖生态修复及水质提升工程。</w:t>
      </w:r>
    </w:p>
    <w:p w14:paraId="39C10F87">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cs="仿宋_GB2312"/>
          <w:color w:val="auto"/>
          <w:kern w:val="0"/>
          <w:sz w:val="32"/>
          <w:szCs w:val="32"/>
          <w:highlight w:val="none"/>
          <w:u w:val="none"/>
          <w:shd w:val="clear" w:color="auto" w:fill="FFFFFF"/>
          <w:lang w:val="en-US" w:eastAsia="zh-CN"/>
        </w:rPr>
        <w:t>‌</w:t>
      </w:r>
      <w:r>
        <w:rPr>
          <w:rFonts w:hint="eastAsia" w:ascii="仿宋_GB2312" w:hAnsi="仿宋_GB2312" w:eastAsia="仿宋_GB2312" w:cs="仿宋_GB2312"/>
          <w:color w:val="auto"/>
          <w:kern w:val="0"/>
          <w:sz w:val="32"/>
          <w:szCs w:val="32"/>
          <w:highlight w:val="none"/>
          <w:u w:val="none"/>
          <w:shd w:val="clear" w:color="auto" w:fill="FFFFFF"/>
          <w:lang w:val="en-US" w:eastAsia="zh-CN"/>
        </w:rPr>
        <w:t>水源保护‌：加强饮用水源地保护，配套水质监测设施。</w:t>
      </w:r>
    </w:p>
    <w:p w14:paraId="6181F29C">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（4）农村水利设施维护</w:t>
      </w:r>
    </w:p>
    <w:p w14:paraId="30DFC03E">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cs="仿宋_GB2312"/>
          <w:color w:val="auto"/>
          <w:kern w:val="0"/>
          <w:sz w:val="32"/>
          <w:szCs w:val="32"/>
          <w:highlight w:val="none"/>
          <w:u w:val="none"/>
          <w:shd w:val="clear" w:color="auto" w:fill="FFFFFF"/>
          <w:lang w:val="en-US" w:eastAsia="zh-CN"/>
        </w:rPr>
        <w:t>‌</w:t>
      </w:r>
      <w:r>
        <w:rPr>
          <w:rFonts w:hint="eastAsia" w:ascii="仿宋_GB2312" w:hAnsi="仿宋_GB2312" w:eastAsia="仿宋_GB2312" w:cs="仿宋_GB2312"/>
          <w:color w:val="auto"/>
          <w:kern w:val="0"/>
          <w:sz w:val="32"/>
          <w:szCs w:val="32"/>
          <w:highlight w:val="none"/>
          <w:u w:val="none"/>
          <w:shd w:val="clear" w:color="auto" w:fill="FFFFFF"/>
          <w:lang w:val="en-US" w:eastAsia="zh-CN"/>
        </w:rPr>
        <w:t>农村饮水安全‌：保障饮水工程维修养护，确保农村供水稳定。</w:t>
      </w:r>
    </w:p>
    <w:p w14:paraId="39BEE383">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cs="仿宋_GB2312"/>
          <w:color w:val="auto"/>
          <w:kern w:val="0"/>
          <w:sz w:val="32"/>
          <w:szCs w:val="32"/>
          <w:highlight w:val="none"/>
          <w:u w:val="none"/>
          <w:shd w:val="clear" w:color="auto" w:fill="FFFFFF"/>
          <w:lang w:val="en-US" w:eastAsia="zh-CN"/>
        </w:rPr>
        <w:t>‌</w:t>
      </w:r>
      <w:r>
        <w:rPr>
          <w:rFonts w:hint="eastAsia" w:ascii="仿宋_GB2312" w:hAnsi="仿宋_GB2312" w:eastAsia="仿宋_GB2312" w:cs="仿宋_GB2312"/>
          <w:color w:val="auto"/>
          <w:kern w:val="0"/>
          <w:sz w:val="32"/>
          <w:szCs w:val="32"/>
          <w:highlight w:val="none"/>
          <w:u w:val="none"/>
          <w:shd w:val="clear" w:color="auto" w:fill="FFFFFF"/>
          <w:lang w:val="en-US" w:eastAsia="zh-CN"/>
        </w:rPr>
        <w:t>小型水利工程管护‌：支持小型水库、泵站等设施的日常维护及白蚁防治。</w:t>
      </w:r>
    </w:p>
    <w:p w14:paraId="2ED75F04">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3"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zh-CN"/>
        </w:rPr>
      </w:pPr>
      <w:r>
        <w:rPr>
          <w:rFonts w:hint="eastAsia" w:ascii="楷体_GB2312" w:hAnsi="宋体" w:eastAsia="楷体_GB2312" w:cs="Times New Roman"/>
          <w:b/>
          <w:color w:val="auto"/>
          <w:sz w:val="32"/>
          <w:szCs w:val="32"/>
          <w:highlight w:val="none"/>
          <w:u w:val="none"/>
          <w:lang w:val="zh-CN" w:eastAsia="zh-CN"/>
        </w:rPr>
        <w:t>（三）</w:t>
      </w:r>
      <w:r>
        <w:rPr>
          <w:rFonts w:hint="default" w:ascii="楷体_GB2312" w:hAnsi="宋体" w:eastAsia="楷体_GB2312" w:cs="Times New Roman"/>
          <w:b/>
          <w:color w:val="auto"/>
          <w:sz w:val="32"/>
          <w:szCs w:val="32"/>
          <w:highlight w:val="none"/>
          <w:u w:val="none"/>
          <w:lang w:val="en-US" w:eastAsia="zh-CN"/>
        </w:rPr>
        <w:t>预算安排及分配管理</w:t>
      </w:r>
      <w:r>
        <w:rPr>
          <w:rFonts w:hint="eastAsia" w:ascii="楷体_GB2312" w:hAnsi="宋体" w:eastAsia="楷体_GB2312" w:cs="Times New Roman"/>
          <w:b/>
          <w:color w:val="auto"/>
          <w:sz w:val="32"/>
          <w:szCs w:val="32"/>
          <w:highlight w:val="none"/>
          <w:u w:val="none"/>
          <w:lang w:val="zh-CN" w:eastAsia="zh-CN"/>
        </w:rPr>
        <w:t>。</w:t>
      </w:r>
      <w:r>
        <w:rPr>
          <w:rFonts w:hint="eastAsia" w:ascii="仿宋_GB2312" w:hAnsi="仿宋_GB2312" w:eastAsia="仿宋_GB2312" w:cs="仿宋_GB2312"/>
          <w:color w:val="auto"/>
          <w:kern w:val="0"/>
          <w:sz w:val="32"/>
          <w:szCs w:val="32"/>
          <w:highlight w:val="none"/>
          <w:u w:val="none"/>
          <w:shd w:val="clear" w:color="auto" w:fill="FFFFFF"/>
          <w:lang w:val="zh-CN" w:eastAsia="zh-CN"/>
        </w:rPr>
        <w:t>项目预算安排情况，项目</w:t>
      </w:r>
      <w:r>
        <w:rPr>
          <w:rFonts w:hint="eastAsia" w:ascii="仿宋_GB2312" w:hAnsi="仿宋_GB2312" w:eastAsia="仿宋_GB2312" w:cs="仿宋_GB2312"/>
          <w:color w:val="auto"/>
          <w:kern w:val="0"/>
          <w:sz w:val="32"/>
          <w:szCs w:val="32"/>
          <w:highlight w:val="none"/>
          <w:u w:val="none"/>
          <w:shd w:val="clear" w:color="auto" w:fill="FFFFFF"/>
          <w:lang w:val="zh-CN"/>
        </w:rPr>
        <w:t>资金分配原则及考虑因素，项目资金分配情况。</w:t>
      </w:r>
    </w:p>
    <w:p w14:paraId="09119B08">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zh-CN" w:eastAsia="zh-CN"/>
        </w:rPr>
        <w:t>51090425T000012122802-遂财建【2024】85号关于下达水利专项2024年第一批中央基建投资（麻子滩水库除险加固）</w:t>
      </w:r>
      <w:r>
        <w:rPr>
          <w:rFonts w:hint="eastAsia" w:ascii="仿宋_GB2312" w:hAnsi="仿宋_GB2312" w:eastAsia="仿宋_GB2312" w:cs="仿宋_GB2312"/>
          <w:color w:val="auto"/>
          <w:kern w:val="0"/>
          <w:sz w:val="32"/>
          <w:szCs w:val="32"/>
          <w:highlight w:val="none"/>
          <w:u w:val="none"/>
          <w:shd w:val="clear" w:color="auto" w:fill="FFFFFF"/>
          <w:lang w:val="en-US" w:eastAsia="zh-CN"/>
        </w:rPr>
        <w:t>2024年度预算数7513400.00元（含预算调剂）；</w:t>
      </w:r>
    </w:p>
    <w:p w14:paraId="7CDD27FE">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zh-CN" w:eastAsia="zh-CN"/>
        </w:rPr>
        <w:t>项目资金分配原则及考虑因素：</w:t>
      </w:r>
      <w:r>
        <w:rPr>
          <w:rFonts w:hint="eastAsia" w:ascii="仿宋_GB2312" w:hAnsi="仿宋_GB2312" w:eastAsia="仿宋_GB2312" w:cs="仿宋_GB2312"/>
          <w:color w:val="auto"/>
          <w:kern w:val="0"/>
          <w:sz w:val="32"/>
          <w:szCs w:val="32"/>
          <w:highlight w:val="none"/>
          <w:u w:val="none"/>
          <w:shd w:val="clear" w:color="auto" w:fill="FFFFFF"/>
          <w:lang w:val="en-US" w:eastAsia="zh-CN"/>
        </w:rPr>
        <w:t>项目资金分配由遂宁市财政局、安居区财政局根据相关规定与要求分配。</w:t>
      </w:r>
    </w:p>
    <w:p w14:paraId="5A2A9BA4">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default"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项目资金分配：2024年度我局该项目资金实际分配7513400.00元（含预算调剂）。</w:t>
      </w:r>
    </w:p>
    <w:p w14:paraId="01136020">
      <w:pPr>
        <w:keepNext w:val="0"/>
        <w:keepLines w:val="0"/>
        <w:pageBreakBefore w:val="0"/>
        <w:kinsoku/>
        <w:wordWrap/>
        <w:overflowPunct/>
        <w:topLinePunct w:val="0"/>
        <w:autoSpaceDE/>
        <w:autoSpaceDN/>
        <w:bidi w:val="0"/>
        <w:adjustRightInd/>
        <w:snapToGrid/>
        <w:spacing w:line="590" w:lineRule="exact"/>
        <w:ind w:left="0" w:leftChars="0" w:right="0" w:rightChars="0" w:firstLine="643" w:firstLineChars="200"/>
        <w:textAlignment w:val="auto"/>
        <w:rPr>
          <w:rFonts w:hint="eastAsia" w:ascii="仿宋_GB2312" w:hAnsi="仿宋_GB2312" w:eastAsia="仿宋_GB2312" w:cs="仿宋_GB2312"/>
          <w:color w:val="auto"/>
          <w:kern w:val="0"/>
          <w:sz w:val="32"/>
          <w:szCs w:val="32"/>
          <w:highlight w:val="none"/>
          <w:u w:val="none"/>
          <w:shd w:val="clear" w:color="auto" w:fill="FFFFFF"/>
          <w:lang w:val="zh-CN" w:eastAsia="zh-CN"/>
        </w:rPr>
      </w:pPr>
      <w:r>
        <w:rPr>
          <w:rFonts w:hint="eastAsia" w:ascii="楷体_GB2312" w:hAnsi="宋体" w:eastAsia="楷体_GB2312" w:cs="Times New Roman"/>
          <w:b/>
          <w:color w:val="auto"/>
          <w:sz w:val="32"/>
          <w:szCs w:val="32"/>
          <w:highlight w:val="none"/>
          <w:u w:val="none"/>
          <w:lang w:val="zh-CN" w:eastAsia="zh-CN"/>
        </w:rPr>
        <w:t>（四）项目绩效目标设置。</w:t>
      </w:r>
      <w:r>
        <w:rPr>
          <w:rFonts w:hint="eastAsia" w:ascii="仿宋_GB2312" w:hAnsi="仿宋_GB2312" w:eastAsia="仿宋_GB2312" w:cs="仿宋_GB2312"/>
          <w:color w:val="auto"/>
          <w:kern w:val="0"/>
          <w:sz w:val="32"/>
          <w:szCs w:val="32"/>
          <w:highlight w:val="none"/>
          <w:u w:val="none"/>
          <w:shd w:val="clear" w:color="auto" w:fill="FFFFFF"/>
          <w:lang w:val="zh-CN" w:eastAsia="zh-CN"/>
        </w:rPr>
        <w:t>项目整体、区域和具体绩效目标设置情况，项目自评工作开展情况。</w:t>
      </w:r>
    </w:p>
    <w:p w14:paraId="5496AEA0">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2024年度该项目资金下达后，遂宁市财政局设定该项目绩效目标：</w:t>
      </w:r>
    </w:p>
    <w:p w14:paraId="7E629158">
      <w:pPr>
        <w:keepNext w:val="0"/>
        <w:keepLines w:val="0"/>
        <w:pageBreakBefore w:val="0"/>
        <w:kinsoku/>
        <w:wordWrap/>
        <w:overflowPunct/>
        <w:topLinePunct w:val="0"/>
        <w:autoSpaceDE/>
        <w:autoSpaceDN/>
        <w:bidi w:val="0"/>
        <w:adjustRightInd/>
        <w:snapToGrid/>
        <w:spacing w:line="590" w:lineRule="exact"/>
        <w:ind w:left="0" w:leftChars="0" w:right="0" w:rightChars="0" w:firstLine="420" w:firstLineChars="200"/>
        <w:textAlignment w:val="auto"/>
        <w:rPr>
          <w:rFonts w:hint="eastAsia" w:ascii="Times New Roman" w:hAnsi="Times New Roman" w:eastAsia="仿宋_GB2312" w:cs="Times New Roman"/>
          <w:lang w:val="en-US" w:eastAsia="zh-CN"/>
        </w:rPr>
      </w:pPr>
    </w:p>
    <w:p w14:paraId="62A95759">
      <w:pPr>
        <w:keepNext w:val="0"/>
        <w:keepLines w:val="0"/>
        <w:pageBreakBefore w:val="0"/>
        <w:kinsoku/>
        <w:wordWrap/>
        <w:overflowPunct/>
        <w:topLinePunct w:val="0"/>
        <w:autoSpaceDE/>
        <w:autoSpaceDN/>
        <w:bidi w:val="0"/>
        <w:adjustRightInd/>
        <w:snapToGrid/>
        <w:spacing w:line="590" w:lineRule="exact"/>
        <w:ind w:left="0" w:leftChars="0" w:right="0" w:rightChars="0" w:firstLine="420" w:firstLineChars="200"/>
        <w:textAlignment w:val="auto"/>
        <w:rPr>
          <w:rFonts w:hint="eastAsia" w:ascii="Times New Roman" w:hAnsi="Times New Roman" w:eastAsia="仿宋_GB2312" w:cs="Times New Roman"/>
          <w:lang w:val="en-US" w:eastAsia="zh-CN"/>
        </w:rPr>
      </w:pPr>
    </w:p>
    <w:p w14:paraId="7FB2E12F">
      <w:pPr>
        <w:keepNext w:val="0"/>
        <w:keepLines w:val="0"/>
        <w:pageBreakBefore w:val="0"/>
        <w:kinsoku/>
        <w:wordWrap/>
        <w:overflowPunct/>
        <w:topLinePunct w:val="0"/>
        <w:autoSpaceDE/>
        <w:autoSpaceDN/>
        <w:bidi w:val="0"/>
        <w:adjustRightInd/>
        <w:snapToGrid/>
        <w:spacing w:line="590" w:lineRule="exact"/>
        <w:ind w:left="0" w:leftChars="0" w:right="0" w:rightChars="0" w:firstLine="420" w:firstLineChars="200"/>
        <w:textAlignment w:val="auto"/>
        <w:rPr>
          <w:rFonts w:hint="eastAsia" w:ascii="Times New Roman" w:hAnsi="Times New Roman" w:eastAsia="仿宋_GB2312" w:cs="Times New Roman"/>
          <w:lang w:val="en-US" w:eastAsia="zh-CN"/>
        </w:rPr>
      </w:pPr>
    </w:p>
    <w:p w14:paraId="157BC73E">
      <w:pPr>
        <w:keepNext w:val="0"/>
        <w:keepLines w:val="0"/>
        <w:pageBreakBefore w:val="0"/>
        <w:kinsoku/>
        <w:wordWrap/>
        <w:overflowPunct/>
        <w:topLinePunct w:val="0"/>
        <w:autoSpaceDE/>
        <w:autoSpaceDN/>
        <w:bidi w:val="0"/>
        <w:adjustRightInd/>
        <w:snapToGrid/>
        <w:spacing w:line="590" w:lineRule="exact"/>
        <w:ind w:left="0" w:leftChars="0" w:right="0" w:rightChars="0" w:firstLine="420" w:firstLineChars="200"/>
        <w:textAlignment w:val="auto"/>
        <w:rPr>
          <w:rFonts w:hint="eastAsia" w:ascii="黑体" w:hAnsi="宋体" w:eastAsia="黑体"/>
          <w:highlight w:val="none"/>
        </w:rPr>
      </w:pPr>
      <w:r>
        <w:drawing>
          <wp:anchor distT="0" distB="0" distL="114300" distR="114300" simplePos="0" relativeHeight="251670528" behindDoc="0" locked="0" layoutInCell="1" allowOverlap="1">
            <wp:simplePos x="0" y="0"/>
            <wp:positionH relativeFrom="column">
              <wp:posOffset>135890</wp:posOffset>
            </wp:positionH>
            <wp:positionV relativeFrom="paragraph">
              <wp:posOffset>79375</wp:posOffset>
            </wp:positionV>
            <wp:extent cx="5544185" cy="3376295"/>
            <wp:effectExtent l="0" t="0" r="18415" b="14605"/>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9"/>
                    <a:stretch>
                      <a:fillRect/>
                    </a:stretch>
                  </pic:blipFill>
                  <pic:spPr>
                    <a:xfrm>
                      <a:off x="0" y="0"/>
                      <a:ext cx="5544185" cy="3376295"/>
                    </a:xfrm>
                    <a:prstGeom prst="rect">
                      <a:avLst/>
                    </a:prstGeom>
                    <a:noFill/>
                    <a:ln>
                      <a:noFill/>
                    </a:ln>
                  </pic:spPr>
                </pic:pic>
              </a:graphicData>
            </a:graphic>
          </wp:anchor>
        </w:drawing>
      </w:r>
    </w:p>
    <w:p w14:paraId="4D406461">
      <w:pPr>
        <w:keepNext w:val="0"/>
        <w:keepLines w:val="0"/>
        <w:pageBreakBefore w:val="0"/>
        <w:widowControl w:val="0"/>
        <w:kinsoku/>
        <w:wordWrap w:val="0"/>
        <w:overflowPunct/>
        <w:topLinePunct w:val="0"/>
        <w:autoSpaceDE/>
        <w:autoSpaceDN/>
        <w:bidi w:val="0"/>
        <w:adjustRightInd/>
        <w:snapToGrid/>
        <w:spacing w:line="576" w:lineRule="exact"/>
        <w:ind w:right="0" w:rightChars="0" w:firstLine="640" w:firstLineChars="200"/>
        <w:textAlignment w:val="auto"/>
        <w:outlineLvl w:val="9"/>
        <w:rPr>
          <w:rFonts w:hint="eastAsia" w:ascii="黑体" w:hAnsi="宋体" w:eastAsia="黑体"/>
          <w:sz w:val="32"/>
          <w:szCs w:val="32"/>
          <w:highlight w:val="none"/>
          <w:lang w:eastAsia="zh-CN"/>
        </w:rPr>
      </w:pPr>
      <w:r>
        <w:rPr>
          <w:rFonts w:hint="eastAsia" w:ascii="黑体" w:hAnsi="宋体" w:eastAsia="黑体"/>
          <w:sz w:val="32"/>
          <w:szCs w:val="32"/>
          <w:highlight w:val="none"/>
        </w:rPr>
        <w:t>二、</w:t>
      </w:r>
      <w:r>
        <w:rPr>
          <w:rFonts w:hint="eastAsia" w:ascii="黑体" w:hAnsi="宋体" w:eastAsia="黑体"/>
          <w:sz w:val="32"/>
          <w:szCs w:val="32"/>
          <w:highlight w:val="none"/>
          <w:lang w:eastAsia="zh-CN"/>
        </w:rPr>
        <w:t>评价实施</w:t>
      </w:r>
    </w:p>
    <w:p w14:paraId="21A73F48">
      <w:pPr>
        <w:keepNext w:val="0"/>
        <w:keepLines w:val="0"/>
        <w:pageBreakBefore w:val="0"/>
        <w:widowControl w:val="0"/>
        <w:kinsoku/>
        <w:wordWrap w:val="0"/>
        <w:overflowPunct/>
        <w:topLinePunct w:val="0"/>
        <w:autoSpaceDE/>
        <w:autoSpaceDN/>
        <w:bidi w:val="0"/>
        <w:adjustRightInd/>
        <w:snapToGrid/>
        <w:spacing w:line="576" w:lineRule="exact"/>
        <w:ind w:right="0" w:rightChars="0" w:firstLine="640"/>
        <w:textAlignment w:val="auto"/>
        <w:outlineLvl w:val="9"/>
        <w:rPr>
          <w:rFonts w:hint="eastAsia" w:eastAsia="仿宋_GB2312" w:cs="Times New Roman"/>
          <w:sz w:val="32"/>
          <w:szCs w:val="32"/>
          <w:lang w:eastAsia="zh-CN"/>
        </w:rPr>
      </w:pPr>
      <w:r>
        <w:rPr>
          <w:rFonts w:hint="eastAsia" w:ascii="楷体_GB2312" w:hAnsi="宋体" w:eastAsia="楷体_GB2312"/>
          <w:b/>
          <w:color w:val="auto"/>
          <w:sz w:val="32"/>
          <w:szCs w:val="32"/>
          <w:highlight w:val="none"/>
          <w:u w:val="none"/>
          <w:lang w:val="zh-CN"/>
        </w:rPr>
        <w:t>（一）评价目的。</w:t>
      </w:r>
      <w:r>
        <w:rPr>
          <w:rFonts w:eastAsia="仿宋_GB2312" w:cs="Times New Roman"/>
          <w:sz w:val="32"/>
          <w:szCs w:val="32"/>
        </w:rPr>
        <w:t>通过</w:t>
      </w:r>
      <w:r>
        <w:rPr>
          <w:rFonts w:hint="eastAsia" w:eastAsia="仿宋_GB2312" w:cs="Times New Roman"/>
          <w:sz w:val="32"/>
          <w:szCs w:val="32"/>
          <w:lang w:eastAsia="zh-CN"/>
        </w:rPr>
        <w:t>项目</w:t>
      </w:r>
      <w:r>
        <w:rPr>
          <w:rFonts w:hint="eastAsia" w:eastAsia="仿宋_GB2312" w:cs="Times New Roman"/>
          <w:sz w:val="32"/>
          <w:szCs w:val="32"/>
        </w:rPr>
        <w:t>绩效</w:t>
      </w:r>
      <w:r>
        <w:rPr>
          <w:rFonts w:hint="eastAsia" w:eastAsia="仿宋_GB2312" w:cs="Times New Roman"/>
          <w:sz w:val="32"/>
          <w:szCs w:val="32"/>
          <w:lang w:eastAsia="zh-CN"/>
        </w:rPr>
        <w:t>自评要实现的目的。</w:t>
      </w:r>
    </w:p>
    <w:p w14:paraId="4BD58750">
      <w:pPr>
        <w:keepNext w:val="0"/>
        <w:keepLines w:val="0"/>
        <w:pageBreakBefore w:val="0"/>
        <w:widowControl w:val="0"/>
        <w:kinsoku/>
        <w:wordWrap w:val="0"/>
        <w:overflowPunct/>
        <w:topLinePunct w:val="0"/>
        <w:autoSpaceDE/>
        <w:autoSpaceDN/>
        <w:bidi w:val="0"/>
        <w:adjustRightInd/>
        <w:snapToGrid/>
        <w:spacing w:line="576" w:lineRule="exact"/>
        <w:ind w:left="0" w:leftChars="0" w:right="0" w:rightChars="0"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该项目开展绩效自评的目的是</w:t>
      </w:r>
      <w:r>
        <w:rPr>
          <w:rFonts w:hint="default" w:ascii="Times New Roman" w:hAnsi="Times New Roman" w:eastAsia="仿宋_GB2312" w:cs="Times New Roman"/>
          <w:sz w:val="32"/>
          <w:szCs w:val="32"/>
          <w:lang w:val="en-US" w:eastAsia="zh-CN"/>
        </w:rPr>
        <w:t>贯彻落实全面实施预算绩效管理，将绩效理念和方法</w:t>
      </w:r>
      <w:r>
        <w:rPr>
          <w:rFonts w:hint="eastAsia" w:ascii="Times New Roman" w:hAnsi="Times New Roman" w:eastAsia="仿宋_GB2312" w:cs="Times New Roman"/>
          <w:sz w:val="32"/>
          <w:szCs w:val="32"/>
          <w:lang w:val="en-US" w:eastAsia="zh-CN"/>
        </w:rPr>
        <w:t>深度融入预算编制、执行、监督全过程，实现预算和绩效管理一体化，不断提高财政资金使用效益。</w:t>
      </w:r>
    </w:p>
    <w:p w14:paraId="17430D44">
      <w:pPr>
        <w:keepNext w:val="0"/>
        <w:keepLines w:val="0"/>
        <w:pageBreakBefore w:val="0"/>
        <w:widowControl w:val="0"/>
        <w:kinsoku/>
        <w:wordWrap w:val="0"/>
        <w:overflowPunct/>
        <w:topLinePunct w:val="0"/>
        <w:autoSpaceDE/>
        <w:autoSpaceDN/>
        <w:bidi w:val="0"/>
        <w:adjustRightInd/>
        <w:snapToGrid/>
        <w:spacing w:line="576" w:lineRule="exact"/>
        <w:ind w:left="0" w:leftChars="0" w:right="0" w:rightChars="0" w:firstLine="640" w:firstLineChars="200"/>
        <w:textAlignment w:val="auto"/>
        <w:rPr>
          <w:rFonts w:hint="default" w:eastAsia="仿宋_GB2312"/>
          <w:sz w:val="32"/>
          <w:szCs w:val="32"/>
          <w:lang w:val="en-US" w:eastAsia="zh-CN"/>
        </w:rPr>
      </w:pPr>
      <w:r>
        <w:rPr>
          <w:rFonts w:hint="eastAsia" w:eastAsia="仿宋_GB2312"/>
          <w:sz w:val="32"/>
          <w:szCs w:val="32"/>
          <w:lang w:val="en-US" w:eastAsia="zh-CN"/>
        </w:rPr>
        <w:t>同时，针对该项目开展执行结果、效果分析，剖析单位自身项目实施的管理责任落实情况，不断提高我局项目管理水平。</w:t>
      </w:r>
    </w:p>
    <w:p w14:paraId="3528EFF0">
      <w:pPr>
        <w:keepNext w:val="0"/>
        <w:keepLines w:val="0"/>
        <w:pageBreakBefore w:val="0"/>
        <w:widowControl w:val="0"/>
        <w:kinsoku/>
        <w:wordWrap w:val="0"/>
        <w:overflowPunct/>
        <w:topLinePunct w:val="0"/>
        <w:autoSpaceDE/>
        <w:autoSpaceDN/>
        <w:bidi w:val="0"/>
        <w:adjustRightInd/>
        <w:snapToGrid/>
        <w:spacing w:line="576" w:lineRule="exact"/>
        <w:ind w:left="0" w:leftChars="0" w:right="0" w:rightChars="0" w:firstLine="643" w:firstLineChars="200"/>
        <w:textAlignment w:val="auto"/>
        <w:outlineLvl w:val="9"/>
        <w:rPr>
          <w:rFonts w:hint="eastAsia" w:eastAsia="仿宋_GB2312" w:cs="Times New Roman"/>
          <w:sz w:val="32"/>
          <w:szCs w:val="32"/>
          <w:lang w:eastAsia="zh-CN"/>
        </w:rPr>
      </w:pPr>
      <w:r>
        <w:rPr>
          <w:rFonts w:hint="eastAsia" w:ascii="楷体_GB2312" w:hAnsi="宋体" w:eastAsia="楷体_GB2312"/>
          <w:b/>
          <w:color w:val="auto"/>
          <w:sz w:val="32"/>
          <w:szCs w:val="32"/>
          <w:highlight w:val="none"/>
          <w:u w:val="none"/>
          <w:lang w:val="zh-CN"/>
        </w:rPr>
        <w:t>（二）预设问题及评价重点。</w:t>
      </w:r>
      <w:r>
        <w:rPr>
          <w:rFonts w:hint="eastAsia" w:eastAsia="仿宋_GB2312" w:cs="Times New Roman"/>
          <w:sz w:val="32"/>
          <w:szCs w:val="32"/>
        </w:rPr>
        <w:t>按照绩效评价指标体系，对资金支出使用全过程及其实施效果进行综合评价和判断</w:t>
      </w:r>
      <w:r>
        <w:rPr>
          <w:rFonts w:hint="eastAsia" w:eastAsia="仿宋_GB2312" w:cs="Times New Roman"/>
          <w:sz w:val="32"/>
          <w:szCs w:val="32"/>
          <w:lang w:eastAsia="zh-CN"/>
        </w:rPr>
        <w:t>。</w:t>
      </w:r>
    </w:p>
    <w:p w14:paraId="7244E310">
      <w:pPr>
        <w:keepNext w:val="0"/>
        <w:keepLines w:val="0"/>
        <w:pageBreakBefore w:val="0"/>
        <w:widowControl w:val="0"/>
        <w:kinsoku/>
        <w:wordWrap w:val="0"/>
        <w:overflowPunct/>
        <w:topLinePunct w:val="0"/>
        <w:autoSpaceDE/>
        <w:autoSpaceDN/>
        <w:bidi w:val="0"/>
        <w:adjustRightInd/>
        <w:snapToGrid/>
        <w:spacing w:line="576" w:lineRule="exact"/>
        <w:ind w:left="0" w:leftChars="0" w:right="0" w:rightChars="0"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预设问题：项目实施效果中目标完成情况；</w:t>
      </w:r>
    </w:p>
    <w:p w14:paraId="50E3CC52">
      <w:pPr>
        <w:keepNext w:val="0"/>
        <w:keepLines w:val="0"/>
        <w:pageBreakBefore w:val="0"/>
        <w:widowControl w:val="0"/>
        <w:kinsoku/>
        <w:wordWrap w:val="0"/>
        <w:overflowPunct/>
        <w:topLinePunct w:val="0"/>
        <w:autoSpaceDE/>
        <w:autoSpaceDN/>
        <w:bidi w:val="0"/>
        <w:adjustRightInd/>
        <w:snapToGrid/>
        <w:spacing w:line="576" w:lineRule="exact"/>
        <w:ind w:left="0" w:leftChars="0" w:right="0" w:rightChars="0" w:firstLine="640" w:firstLineChars="2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评价重点：项目实施（预算执行、资金使用）、项目效果（目标完成、完成时效）。</w:t>
      </w:r>
    </w:p>
    <w:p w14:paraId="7C685077">
      <w:pPr>
        <w:keepNext w:val="0"/>
        <w:keepLines w:val="0"/>
        <w:pageBreakBefore w:val="0"/>
        <w:widowControl w:val="0"/>
        <w:kinsoku/>
        <w:wordWrap w:val="0"/>
        <w:overflowPunct/>
        <w:topLinePunct w:val="0"/>
        <w:autoSpaceDE/>
        <w:autoSpaceDN/>
        <w:bidi w:val="0"/>
        <w:adjustRightInd/>
        <w:snapToGrid/>
        <w:spacing w:line="576" w:lineRule="exact"/>
        <w:ind w:left="0" w:leftChars="0" w:right="0" w:rightChars="0" w:firstLine="643" w:firstLineChars="200"/>
        <w:textAlignment w:val="auto"/>
        <w:outlineLvl w:val="9"/>
        <w:rPr>
          <w:rFonts w:hint="eastAsia" w:eastAsia="仿宋_GB2312" w:cs="Times New Roman"/>
          <w:sz w:val="32"/>
          <w:szCs w:val="32"/>
          <w:lang w:val="zh-CN" w:eastAsia="zh-CN"/>
        </w:rPr>
      </w:pPr>
      <w:r>
        <w:rPr>
          <w:rFonts w:hint="eastAsia" w:ascii="楷体_GB2312" w:hAnsi="宋体" w:eastAsia="楷体_GB2312"/>
          <w:b/>
          <w:color w:val="auto"/>
          <w:sz w:val="32"/>
          <w:szCs w:val="32"/>
          <w:highlight w:val="none"/>
          <w:u w:val="none"/>
          <w:lang w:val="zh-CN"/>
        </w:rPr>
        <w:t>（三）评价选点。</w:t>
      </w:r>
      <w:r>
        <w:rPr>
          <w:rFonts w:hint="eastAsia" w:eastAsia="仿宋_GB2312" w:cs="Times New Roman"/>
          <w:sz w:val="32"/>
          <w:szCs w:val="32"/>
          <w:lang w:val="zh-CN" w:eastAsia="zh-CN"/>
        </w:rPr>
        <w:t>项目绩效自评所抽样点位情况。</w:t>
      </w:r>
    </w:p>
    <w:p w14:paraId="295F07F0">
      <w:pPr>
        <w:keepNext w:val="0"/>
        <w:keepLines w:val="0"/>
        <w:pageBreakBefore w:val="0"/>
        <w:widowControl w:val="0"/>
        <w:kinsoku/>
        <w:wordWrap w:val="0"/>
        <w:overflowPunct/>
        <w:topLinePunct w:val="0"/>
        <w:autoSpaceDE/>
        <w:autoSpaceDN/>
        <w:bidi w:val="0"/>
        <w:adjustRightInd/>
        <w:snapToGrid/>
        <w:spacing w:line="576" w:lineRule="exact"/>
        <w:ind w:left="0" w:leftChars="0" w:right="0" w:rightChars="0" w:firstLine="640" w:firstLineChars="200"/>
        <w:textAlignment w:val="auto"/>
        <w:rPr>
          <w:rFonts w:hint="default" w:eastAsia="仿宋_GB2312"/>
          <w:sz w:val="32"/>
          <w:szCs w:val="32"/>
          <w:lang w:val="en-US" w:eastAsia="zh-CN"/>
        </w:rPr>
      </w:pPr>
      <w:r>
        <w:rPr>
          <w:rFonts w:hint="eastAsia" w:eastAsia="仿宋_GB2312"/>
          <w:sz w:val="32"/>
          <w:szCs w:val="32"/>
          <w:lang w:val="en-US" w:eastAsia="zh-CN"/>
        </w:rPr>
        <w:t>本次项目绩效自评抽样选择2024年08月19日下达指标20650000.00元后的支付情况，包括所支付的所有范围。</w:t>
      </w:r>
    </w:p>
    <w:p w14:paraId="27994899">
      <w:pPr>
        <w:keepNext w:val="0"/>
        <w:keepLines w:val="0"/>
        <w:pageBreakBefore w:val="0"/>
        <w:widowControl w:val="0"/>
        <w:kinsoku/>
        <w:wordWrap w:val="0"/>
        <w:overflowPunct/>
        <w:topLinePunct w:val="0"/>
        <w:autoSpaceDE/>
        <w:autoSpaceDN/>
        <w:bidi w:val="0"/>
        <w:adjustRightInd/>
        <w:snapToGrid/>
        <w:spacing w:line="576" w:lineRule="exact"/>
        <w:ind w:right="0" w:rightChars="0" w:firstLine="640"/>
        <w:textAlignment w:val="auto"/>
        <w:outlineLvl w:val="9"/>
        <w:rPr>
          <w:rFonts w:hint="eastAsia" w:eastAsia="仿宋_GB2312" w:cs="Times New Roman"/>
          <w:sz w:val="32"/>
          <w:szCs w:val="32"/>
          <w:lang w:eastAsia="zh-CN"/>
        </w:rPr>
      </w:pPr>
      <w:r>
        <w:rPr>
          <w:rFonts w:hint="eastAsia" w:ascii="楷体_GB2312" w:hAnsi="宋体" w:eastAsia="楷体_GB2312"/>
          <w:b/>
          <w:color w:val="auto"/>
          <w:sz w:val="32"/>
          <w:szCs w:val="32"/>
          <w:highlight w:val="none"/>
          <w:u w:val="none"/>
          <w:lang w:val="zh-CN"/>
        </w:rPr>
        <w:t>（四）评价方法。</w:t>
      </w:r>
      <w:r>
        <w:rPr>
          <w:rFonts w:eastAsia="仿宋_GB2312" w:cs="Times New Roman"/>
          <w:sz w:val="32"/>
          <w:szCs w:val="32"/>
        </w:rPr>
        <w:t>根据项目情况和评价重点，</w:t>
      </w:r>
      <w:r>
        <w:rPr>
          <w:rFonts w:hint="eastAsia" w:eastAsia="仿宋_GB2312" w:cs="Times New Roman"/>
          <w:sz w:val="32"/>
          <w:szCs w:val="32"/>
          <w:lang w:eastAsia="zh-CN"/>
        </w:rPr>
        <w:t>用来</w:t>
      </w:r>
      <w:r>
        <w:rPr>
          <w:rFonts w:eastAsia="仿宋_GB2312" w:cs="Times New Roman"/>
          <w:sz w:val="32"/>
          <w:szCs w:val="32"/>
        </w:rPr>
        <w:t>收集相关材料和开展具体评价</w:t>
      </w:r>
      <w:r>
        <w:rPr>
          <w:rFonts w:hint="eastAsia" w:eastAsia="仿宋_GB2312" w:cs="Times New Roman"/>
          <w:sz w:val="32"/>
          <w:szCs w:val="32"/>
          <w:lang w:eastAsia="zh-CN"/>
        </w:rPr>
        <w:t>的方法</w:t>
      </w:r>
      <w:r>
        <w:rPr>
          <w:rFonts w:eastAsia="仿宋_GB2312" w:cs="Times New Roman"/>
          <w:sz w:val="32"/>
          <w:szCs w:val="32"/>
        </w:rPr>
        <w:t>。</w:t>
      </w:r>
      <w:r>
        <w:rPr>
          <w:rFonts w:hint="eastAsia" w:eastAsia="仿宋_GB2312" w:cs="Times New Roman"/>
          <w:sz w:val="32"/>
          <w:szCs w:val="32"/>
          <w:lang w:eastAsia="zh-CN"/>
        </w:rPr>
        <w:t>包括：</w:t>
      </w:r>
      <w:r>
        <w:rPr>
          <w:rFonts w:eastAsia="仿宋_GB2312" w:cs="Times New Roman"/>
          <w:sz w:val="32"/>
          <w:szCs w:val="32"/>
        </w:rPr>
        <w:t>采用</w:t>
      </w:r>
      <w:r>
        <w:rPr>
          <w:rFonts w:hint="eastAsia" w:eastAsia="仿宋_GB2312" w:cs="Times New Roman"/>
          <w:sz w:val="32"/>
          <w:szCs w:val="32"/>
        </w:rPr>
        <w:t>成本效益分析法、标杆管理法、</w:t>
      </w:r>
      <w:r>
        <w:rPr>
          <w:rFonts w:eastAsia="仿宋_GB2312" w:cs="Times New Roman"/>
          <w:sz w:val="32"/>
          <w:szCs w:val="32"/>
        </w:rPr>
        <w:t>案卷研究法、单位自评法、实地勘察法、问卷调查法、座谈调研法等多种方法</w:t>
      </w:r>
      <w:r>
        <w:rPr>
          <w:rFonts w:hint="eastAsia" w:eastAsia="仿宋_GB2312" w:cs="Times New Roman"/>
          <w:sz w:val="32"/>
          <w:szCs w:val="32"/>
          <w:lang w:eastAsia="zh-CN"/>
        </w:rPr>
        <w:t>。</w:t>
      </w:r>
    </w:p>
    <w:p w14:paraId="2E3F5FE5">
      <w:pPr>
        <w:keepNext w:val="0"/>
        <w:keepLines w:val="0"/>
        <w:pageBreakBefore w:val="0"/>
        <w:widowControl w:val="0"/>
        <w:kinsoku/>
        <w:wordWrap w:val="0"/>
        <w:overflowPunct/>
        <w:topLinePunct w:val="0"/>
        <w:autoSpaceDE/>
        <w:autoSpaceDN/>
        <w:bidi w:val="0"/>
        <w:adjustRightInd/>
        <w:snapToGrid/>
        <w:spacing w:line="576" w:lineRule="exact"/>
        <w:ind w:left="0" w:leftChars="0" w:right="0" w:rightChars="0" w:firstLine="640" w:firstLineChars="200"/>
        <w:textAlignment w:val="auto"/>
        <w:rPr>
          <w:rFonts w:hint="eastAsia" w:eastAsia="仿宋_GB2312"/>
          <w:sz w:val="32"/>
          <w:szCs w:val="32"/>
          <w:lang w:eastAsia="zh-CN"/>
        </w:rPr>
      </w:pPr>
      <w:r>
        <w:rPr>
          <w:rFonts w:hint="default" w:ascii="Times New Roman" w:hAnsi="Times New Roman" w:eastAsia="仿宋_GB2312" w:cs="Times New Roman"/>
          <w:sz w:val="32"/>
          <w:szCs w:val="32"/>
          <w:lang w:val="en-US" w:eastAsia="zh-CN"/>
        </w:rPr>
        <w:t>采用定性描述、定量分析法，客观确定项目预期绩效目</w:t>
      </w:r>
      <w:r>
        <w:rPr>
          <w:rFonts w:hint="eastAsia" w:ascii="Times New Roman" w:hAnsi="Times New Roman" w:eastAsia="仿宋_GB2312" w:cs="Times New Roman"/>
          <w:sz w:val="32"/>
          <w:szCs w:val="32"/>
          <w:lang w:val="en-US" w:eastAsia="zh-CN"/>
        </w:rPr>
        <w:t>标的实现程度。采用比较法，对比实际成效与绩效目标的偏差，进行效益分析。</w:t>
      </w:r>
    </w:p>
    <w:p w14:paraId="50EC323D">
      <w:pPr>
        <w:keepNext w:val="0"/>
        <w:keepLines w:val="0"/>
        <w:pageBreakBefore w:val="0"/>
        <w:widowControl w:val="0"/>
        <w:kinsoku/>
        <w:wordWrap w:val="0"/>
        <w:overflowPunct/>
        <w:topLinePunct w:val="0"/>
        <w:autoSpaceDE/>
        <w:autoSpaceDN/>
        <w:bidi w:val="0"/>
        <w:adjustRightInd/>
        <w:snapToGrid/>
        <w:spacing w:line="576" w:lineRule="exact"/>
        <w:ind w:right="0" w:rightChars="0" w:firstLine="640"/>
        <w:textAlignment w:val="auto"/>
        <w:outlineLvl w:val="9"/>
        <w:rPr>
          <w:rFonts w:hint="eastAsia" w:eastAsia="仿宋_GB2312" w:cs="Times New Roman"/>
          <w:sz w:val="32"/>
          <w:szCs w:val="32"/>
          <w:lang w:eastAsia="zh-CN"/>
        </w:rPr>
      </w:pPr>
      <w:r>
        <w:rPr>
          <w:rFonts w:hint="eastAsia" w:ascii="楷体_GB2312" w:hAnsi="宋体" w:eastAsia="楷体_GB2312"/>
          <w:b/>
          <w:color w:val="auto"/>
          <w:sz w:val="32"/>
          <w:szCs w:val="32"/>
          <w:highlight w:val="none"/>
          <w:u w:val="none"/>
          <w:lang w:val="zh-CN"/>
        </w:rPr>
        <w:t>（五）评价组织。</w:t>
      </w:r>
      <w:r>
        <w:rPr>
          <w:rFonts w:eastAsia="仿宋_GB2312" w:cs="Times New Roman"/>
          <w:sz w:val="32"/>
          <w:szCs w:val="32"/>
        </w:rPr>
        <w:t>评价组人员构成</w:t>
      </w:r>
      <w:r>
        <w:rPr>
          <w:rFonts w:hint="eastAsia" w:eastAsia="仿宋_GB2312" w:cs="Times New Roman"/>
          <w:sz w:val="32"/>
          <w:szCs w:val="32"/>
          <w:lang w:eastAsia="zh-CN"/>
        </w:rPr>
        <w:t>和</w:t>
      </w:r>
      <w:r>
        <w:rPr>
          <w:rFonts w:eastAsia="仿宋_GB2312" w:cs="Times New Roman"/>
          <w:sz w:val="32"/>
          <w:szCs w:val="32"/>
        </w:rPr>
        <w:t>职责分工</w:t>
      </w:r>
      <w:r>
        <w:rPr>
          <w:rFonts w:hint="eastAsia" w:eastAsia="仿宋_GB2312" w:cs="Times New Roman"/>
          <w:sz w:val="32"/>
          <w:szCs w:val="32"/>
          <w:lang w:eastAsia="zh-CN"/>
        </w:rPr>
        <w:t>。</w:t>
      </w:r>
    </w:p>
    <w:p w14:paraId="5892DA77">
      <w:pPr>
        <w:keepNext w:val="0"/>
        <w:keepLines w:val="0"/>
        <w:pageBreakBefore w:val="0"/>
        <w:widowControl w:val="0"/>
        <w:kinsoku/>
        <w:wordWrap w:val="0"/>
        <w:overflowPunct/>
        <w:topLinePunct w:val="0"/>
        <w:autoSpaceDE/>
        <w:autoSpaceDN/>
        <w:bidi w:val="0"/>
        <w:adjustRightInd/>
        <w:snapToGrid/>
        <w:spacing w:line="576" w:lineRule="exact"/>
        <w:ind w:left="0" w:leftChars="0" w:right="0" w:rightChars="0" w:firstLine="640" w:firstLineChars="200"/>
        <w:textAlignment w:val="auto"/>
        <w:rPr>
          <w:rFonts w:hint="default" w:eastAsia="仿宋_GB2312"/>
          <w:sz w:val="32"/>
          <w:szCs w:val="32"/>
          <w:lang w:val="en-US" w:eastAsia="zh-CN"/>
        </w:rPr>
      </w:pPr>
      <w:r>
        <w:rPr>
          <w:rFonts w:hint="eastAsia" w:eastAsia="仿宋_GB2312"/>
          <w:sz w:val="32"/>
          <w:szCs w:val="32"/>
          <w:lang w:val="en-US" w:eastAsia="zh-CN"/>
        </w:rPr>
        <w:t>本次绩效自评由</w:t>
      </w:r>
      <w:r>
        <w:rPr>
          <w:rFonts w:hint="eastAsia" w:eastAsia="仿宋_GB2312" w:cs="Times New Roman"/>
          <w:sz w:val="32"/>
          <w:szCs w:val="32"/>
          <w:lang w:val="en-US" w:eastAsia="zh-CN"/>
        </w:rPr>
        <w:t>办公室</w:t>
      </w:r>
      <w:r>
        <w:rPr>
          <w:rFonts w:hint="eastAsia" w:ascii="Times New Roman" w:hAnsi="Times New Roman" w:eastAsia="仿宋_GB2312" w:cs="Times New Roman"/>
          <w:sz w:val="32"/>
          <w:szCs w:val="32"/>
          <w:lang w:val="en-US" w:eastAsia="zh-CN"/>
        </w:rPr>
        <w:t>牵头开展，河湖管理与水旱灾害防御股</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lang w:val="en-US" w:eastAsia="zh-CN"/>
        </w:rPr>
        <w:t>移民股</w:t>
      </w:r>
      <w:r>
        <w:rPr>
          <w:rFonts w:hint="eastAsia" w:eastAsia="仿宋_GB2312" w:cs="Times New Roman"/>
          <w:sz w:val="32"/>
          <w:szCs w:val="32"/>
          <w:lang w:val="en-US" w:eastAsia="zh-CN"/>
        </w:rPr>
        <w:t>、</w:t>
      </w:r>
      <w:r>
        <w:rPr>
          <w:rFonts w:hint="eastAsia" w:ascii="Times New Roman" w:hAnsi="Times New Roman" w:eastAsia="仿宋_GB2312" w:cs="Times New Roman"/>
          <w:sz w:val="32"/>
          <w:szCs w:val="32"/>
          <w:lang w:val="en-US" w:eastAsia="zh-CN"/>
        </w:rPr>
        <w:t>规划建设管理与政策法规监督股</w:t>
      </w:r>
      <w:r>
        <w:rPr>
          <w:rFonts w:hint="eastAsia" w:eastAsia="仿宋_GB2312" w:cs="Times New Roman"/>
          <w:sz w:val="32"/>
          <w:szCs w:val="32"/>
          <w:lang w:val="en-US" w:eastAsia="zh-CN"/>
        </w:rPr>
        <w:t>等股室</w:t>
      </w:r>
      <w:r>
        <w:rPr>
          <w:rFonts w:hint="eastAsia" w:ascii="Times New Roman" w:hAnsi="Times New Roman" w:eastAsia="仿宋_GB2312" w:cs="Times New Roman"/>
          <w:sz w:val="32"/>
          <w:szCs w:val="32"/>
          <w:lang w:val="en-US" w:eastAsia="zh-CN"/>
        </w:rPr>
        <w:t>开展基础资料收集与初步自评打分，</w:t>
      </w:r>
      <w:r>
        <w:rPr>
          <w:rFonts w:hint="eastAsia" w:eastAsia="仿宋_GB2312" w:cs="Times New Roman"/>
          <w:sz w:val="32"/>
          <w:szCs w:val="32"/>
          <w:lang w:val="en-US" w:eastAsia="zh-CN"/>
        </w:rPr>
        <w:t>内控监督小组</w:t>
      </w:r>
      <w:r>
        <w:rPr>
          <w:rFonts w:hint="eastAsia" w:ascii="Times New Roman" w:hAnsi="Times New Roman" w:eastAsia="仿宋_GB2312" w:cs="Times New Roman"/>
          <w:sz w:val="32"/>
          <w:szCs w:val="32"/>
          <w:lang w:val="en-US" w:eastAsia="zh-CN"/>
        </w:rPr>
        <w:t>开展项目绩效自评监督；自评参与人员：</w:t>
      </w:r>
      <w:r>
        <w:rPr>
          <w:rFonts w:hint="eastAsia" w:eastAsia="仿宋_GB2312" w:cs="Times New Roman"/>
          <w:sz w:val="32"/>
          <w:szCs w:val="32"/>
          <w:lang w:val="en-US" w:eastAsia="zh-CN"/>
        </w:rPr>
        <w:t>阳振宇、李发祥、刘皓、肖静、</w:t>
      </w:r>
      <w:r>
        <w:rPr>
          <w:rFonts w:hint="eastAsia" w:ascii="Times New Roman" w:hAnsi="Times New Roman" w:eastAsia="仿宋_GB2312" w:cs="Times New Roman"/>
          <w:sz w:val="32"/>
          <w:szCs w:val="32"/>
          <w:lang w:val="en-US" w:eastAsia="zh-CN"/>
        </w:rPr>
        <w:t>符晓玲</w:t>
      </w:r>
      <w:r>
        <w:rPr>
          <w:rFonts w:hint="eastAsia" w:eastAsia="仿宋_GB2312" w:cs="Times New Roman"/>
          <w:sz w:val="32"/>
          <w:szCs w:val="32"/>
          <w:lang w:val="en-US" w:eastAsia="zh-CN"/>
        </w:rPr>
        <w:t>等</w:t>
      </w:r>
      <w:r>
        <w:rPr>
          <w:rFonts w:hint="eastAsia" w:ascii="Times New Roman" w:hAnsi="Times New Roman" w:eastAsia="仿宋_GB2312" w:cs="Times New Roman"/>
          <w:sz w:val="32"/>
          <w:szCs w:val="32"/>
          <w:lang w:val="en-US" w:eastAsia="zh-CN"/>
        </w:rPr>
        <w:t>。</w:t>
      </w:r>
    </w:p>
    <w:p w14:paraId="5B393D8A">
      <w:pPr>
        <w:keepNext w:val="0"/>
        <w:keepLines w:val="0"/>
        <w:pageBreakBefore w:val="0"/>
        <w:widowControl w:val="0"/>
        <w:kinsoku/>
        <w:wordWrap w:val="0"/>
        <w:overflowPunct/>
        <w:topLinePunct w:val="0"/>
        <w:autoSpaceDE/>
        <w:autoSpaceDN/>
        <w:bidi w:val="0"/>
        <w:adjustRightInd/>
        <w:snapToGrid/>
        <w:spacing w:line="576" w:lineRule="exact"/>
        <w:ind w:right="0" w:rightChars="0" w:firstLine="640" w:firstLineChars="200"/>
        <w:textAlignment w:val="auto"/>
        <w:rPr>
          <w:rFonts w:ascii="仿宋_GB2312" w:hAnsi="宋体" w:eastAsia="仿宋_GB2312"/>
          <w:color w:val="auto"/>
          <w:sz w:val="32"/>
          <w:szCs w:val="32"/>
          <w:highlight w:val="none"/>
          <w:u w:val="none"/>
          <w:lang w:val="zh-CN"/>
        </w:rPr>
      </w:pPr>
      <w:r>
        <w:rPr>
          <w:rFonts w:hint="eastAsia" w:ascii="黑体" w:hAnsi="宋体" w:eastAsia="黑体"/>
          <w:color w:val="auto"/>
          <w:sz w:val="32"/>
          <w:szCs w:val="32"/>
          <w:highlight w:val="none"/>
          <w:u w:val="none"/>
        </w:rPr>
        <w:t>三、</w:t>
      </w:r>
      <w:r>
        <w:rPr>
          <w:rFonts w:hint="eastAsia" w:ascii="黑体" w:hAnsi="宋体" w:eastAsia="黑体"/>
          <w:color w:val="auto"/>
          <w:sz w:val="32"/>
          <w:szCs w:val="32"/>
          <w:highlight w:val="none"/>
          <w:u w:val="none"/>
          <w:lang w:eastAsia="zh-CN"/>
        </w:rPr>
        <w:t>绩效分析</w:t>
      </w:r>
      <w:r>
        <w:rPr>
          <w:rFonts w:hint="eastAsia" w:ascii="仿宋_GB2312" w:hAnsi="宋体" w:eastAsia="仿宋_GB2312"/>
          <w:color w:val="auto"/>
          <w:sz w:val="32"/>
          <w:szCs w:val="32"/>
          <w:highlight w:val="none"/>
          <w:u w:val="none"/>
          <w:lang w:val="zh-CN"/>
        </w:rPr>
        <w:tab/>
      </w:r>
    </w:p>
    <w:p w14:paraId="0D669076">
      <w:pPr>
        <w:keepNext w:val="0"/>
        <w:keepLines w:val="0"/>
        <w:pageBreakBefore w:val="0"/>
        <w:widowControl w:val="0"/>
        <w:kinsoku/>
        <w:wordWrap w:val="0"/>
        <w:overflowPunct/>
        <w:topLinePunct w:val="0"/>
        <w:autoSpaceDE/>
        <w:autoSpaceDN/>
        <w:bidi w:val="0"/>
        <w:adjustRightInd/>
        <w:snapToGrid/>
        <w:spacing w:line="576" w:lineRule="exact"/>
        <w:ind w:right="0" w:rightChars="0" w:firstLine="640"/>
        <w:textAlignment w:val="auto"/>
        <w:outlineLvl w:val="9"/>
        <w:rPr>
          <w:rFonts w:hint="eastAsia" w:eastAsia="仿宋_GB2312" w:cs="Times New Roman"/>
          <w:sz w:val="32"/>
          <w:szCs w:val="32"/>
          <w:lang w:val="en-US" w:eastAsia="zh-CN"/>
        </w:rPr>
      </w:pPr>
      <w:r>
        <w:rPr>
          <w:rFonts w:hint="default" w:eastAsia="仿宋_GB2312" w:cs="Times New Roman"/>
          <w:sz w:val="32"/>
          <w:szCs w:val="32"/>
          <w:lang w:val="zh-CN" w:eastAsia="zh-CN"/>
        </w:rPr>
        <w:t>根据</w:t>
      </w:r>
      <w:r>
        <w:rPr>
          <w:rFonts w:hint="eastAsia" w:eastAsia="仿宋_GB2312" w:cs="Times New Roman"/>
          <w:sz w:val="32"/>
          <w:szCs w:val="32"/>
          <w:lang w:val="zh-CN" w:eastAsia="zh-CN"/>
        </w:rPr>
        <w:t>项目</w:t>
      </w:r>
      <w:r>
        <w:rPr>
          <w:rFonts w:hint="default" w:eastAsia="仿宋_GB2312" w:cs="Times New Roman"/>
          <w:sz w:val="32"/>
          <w:szCs w:val="32"/>
          <w:lang w:val="zh-CN" w:eastAsia="zh-CN"/>
        </w:rPr>
        <w:t>预算绩效评价指标体系“</w:t>
      </w:r>
      <w:r>
        <w:rPr>
          <w:rFonts w:hint="eastAsia" w:eastAsia="仿宋_GB2312" w:cs="Times New Roman"/>
          <w:sz w:val="32"/>
          <w:szCs w:val="32"/>
          <w:lang w:val="zh-CN" w:eastAsia="zh-CN"/>
        </w:rPr>
        <w:t>通用指标</w:t>
      </w:r>
      <w:r>
        <w:rPr>
          <w:rFonts w:hint="default" w:eastAsia="仿宋_GB2312" w:cs="Times New Roman"/>
          <w:sz w:val="32"/>
          <w:szCs w:val="32"/>
          <w:lang w:val="zh-CN" w:eastAsia="zh-CN"/>
        </w:rPr>
        <w:t>”</w:t>
      </w:r>
      <w:r>
        <w:rPr>
          <w:rFonts w:hint="eastAsia" w:eastAsia="仿宋_GB2312" w:cs="Times New Roman"/>
          <w:sz w:val="32"/>
          <w:szCs w:val="32"/>
          <w:lang w:val="zh-CN" w:eastAsia="zh-CN"/>
        </w:rPr>
        <w:t>“专用指标”“个性指标”</w:t>
      </w:r>
      <w:r>
        <w:rPr>
          <w:rFonts w:hint="default" w:eastAsia="仿宋_GB2312" w:cs="Times New Roman"/>
          <w:sz w:val="32"/>
          <w:szCs w:val="32"/>
          <w:lang w:val="zh-CN" w:eastAsia="zh-CN"/>
        </w:rPr>
        <w:t>涉及</w:t>
      </w:r>
      <w:r>
        <w:rPr>
          <w:rFonts w:hint="eastAsia" w:eastAsia="仿宋_GB2312" w:cs="Times New Roman"/>
          <w:sz w:val="32"/>
          <w:szCs w:val="32"/>
          <w:lang w:val="zh-CN" w:eastAsia="zh-CN"/>
        </w:rPr>
        <w:t>二、三级</w:t>
      </w:r>
      <w:r>
        <w:rPr>
          <w:rFonts w:hint="default" w:eastAsia="仿宋_GB2312" w:cs="Times New Roman"/>
          <w:sz w:val="32"/>
          <w:szCs w:val="32"/>
          <w:lang w:val="zh-CN" w:eastAsia="zh-CN"/>
        </w:rPr>
        <w:t>指标进行</w:t>
      </w:r>
      <w:r>
        <w:rPr>
          <w:rFonts w:hint="eastAsia" w:eastAsia="仿宋_GB2312" w:cs="Times New Roman"/>
          <w:sz w:val="32"/>
          <w:szCs w:val="32"/>
          <w:lang w:val="zh-CN" w:eastAsia="zh-CN"/>
        </w:rPr>
        <w:t>逐项</w:t>
      </w:r>
      <w:r>
        <w:rPr>
          <w:rFonts w:hint="default" w:eastAsia="仿宋_GB2312" w:cs="Times New Roman"/>
          <w:sz w:val="32"/>
          <w:szCs w:val="32"/>
          <w:lang w:val="zh-CN" w:eastAsia="zh-CN"/>
        </w:rPr>
        <w:t>绩效分析</w:t>
      </w:r>
      <w:r>
        <w:rPr>
          <w:rFonts w:hint="eastAsia" w:eastAsia="仿宋_GB2312" w:cs="Times New Roman"/>
          <w:sz w:val="32"/>
          <w:szCs w:val="32"/>
          <w:lang w:val="zh-CN" w:eastAsia="zh-CN"/>
        </w:rPr>
        <w:t>并评分</w:t>
      </w:r>
      <w:r>
        <w:rPr>
          <w:rFonts w:hint="eastAsia" w:eastAsia="仿宋_GB2312" w:cs="Times New Roman"/>
          <w:sz w:val="32"/>
          <w:szCs w:val="32"/>
          <w:lang w:val="en-US" w:eastAsia="zh-CN"/>
        </w:rPr>
        <w:t>。</w:t>
      </w:r>
    </w:p>
    <w:p w14:paraId="6D904D60">
      <w:pPr>
        <w:keepNext w:val="0"/>
        <w:keepLines w:val="0"/>
        <w:pageBreakBefore w:val="0"/>
        <w:widowControl w:val="0"/>
        <w:kinsoku/>
        <w:wordWrap w:val="0"/>
        <w:overflowPunct/>
        <w:topLinePunct w:val="0"/>
        <w:autoSpaceDE/>
        <w:autoSpaceDN/>
        <w:bidi w:val="0"/>
        <w:adjustRightInd/>
        <w:snapToGrid/>
        <w:spacing w:line="576" w:lineRule="exact"/>
        <w:ind w:right="0" w:rightChars="0" w:firstLine="640"/>
        <w:textAlignment w:val="auto"/>
        <w:outlineLvl w:val="9"/>
        <w:rPr>
          <w:rFonts w:hint="eastAsia" w:ascii="楷体_GB2312" w:hAnsi="宋体" w:eastAsia="楷体_GB2312" w:cs="Times New Roman"/>
          <w:b/>
          <w:color w:val="auto"/>
          <w:sz w:val="32"/>
          <w:szCs w:val="32"/>
          <w:highlight w:val="none"/>
          <w:u w:val="none"/>
          <w:lang w:val="en-US" w:eastAsia="zh-CN"/>
        </w:rPr>
      </w:pPr>
      <w:r>
        <w:rPr>
          <w:rFonts w:hint="eastAsia" w:ascii="楷体_GB2312" w:hAnsi="宋体" w:eastAsia="楷体_GB2312" w:cs="Times New Roman"/>
          <w:b/>
          <w:color w:val="auto"/>
          <w:sz w:val="32"/>
          <w:szCs w:val="32"/>
          <w:highlight w:val="none"/>
          <w:u w:val="none"/>
          <w:lang w:val="zh-CN"/>
        </w:rPr>
        <w:t>（一）</w:t>
      </w:r>
      <w:r>
        <w:rPr>
          <w:rFonts w:hint="eastAsia" w:ascii="楷体_GB2312" w:hAnsi="宋体" w:eastAsia="楷体_GB2312" w:cs="Times New Roman"/>
          <w:b/>
          <w:color w:val="auto"/>
          <w:sz w:val="32"/>
          <w:szCs w:val="32"/>
          <w:highlight w:val="none"/>
          <w:u w:val="none"/>
          <w:lang w:val="en-US" w:eastAsia="zh-CN"/>
        </w:rPr>
        <w:t>通用指标</w:t>
      </w:r>
      <w:r>
        <w:rPr>
          <w:rFonts w:hint="default" w:ascii="Times New Roman" w:hAnsi="Times New Roman" w:eastAsia="楷体_GB2312" w:cs="Times New Roman"/>
          <w:b/>
          <w:bCs/>
          <w:color w:val="000000"/>
          <w:kern w:val="0"/>
          <w:sz w:val="32"/>
          <w:szCs w:val="32"/>
          <w:highlight w:val="none"/>
          <w:shd w:val="clear" w:color="auto" w:fill="FFFFFF"/>
          <w:lang w:val="zh-CN"/>
        </w:rPr>
        <w:t>绩效分析。</w:t>
      </w:r>
    </w:p>
    <w:p w14:paraId="5BA0B070">
      <w:pPr>
        <w:keepNext w:val="0"/>
        <w:keepLines w:val="0"/>
        <w:pageBreakBefore w:val="0"/>
        <w:widowControl w:val="0"/>
        <w:kinsoku/>
        <w:wordWrap w:val="0"/>
        <w:overflowPunct/>
        <w:topLinePunct w:val="0"/>
        <w:autoSpaceDE/>
        <w:autoSpaceDN/>
        <w:bidi w:val="0"/>
        <w:adjustRightInd/>
        <w:snapToGrid/>
        <w:spacing w:line="576" w:lineRule="exact"/>
        <w:ind w:right="0" w:rightChars="0" w:firstLine="640"/>
        <w:textAlignment w:val="auto"/>
        <w:outlineLvl w:val="9"/>
        <w:rPr>
          <w:rFonts w:hint="eastAsia" w:ascii="Times New Roman" w:hAnsi="Times New Roman" w:eastAsia="仿宋_GB2312" w:cs="Times New Roman"/>
          <w:color w:val="auto"/>
          <w:sz w:val="32"/>
          <w:szCs w:val="32"/>
          <w:lang w:eastAsia="zh-CN"/>
        </w:rPr>
      </w:pPr>
      <w:r>
        <w:rPr>
          <w:rFonts w:hint="eastAsia" w:ascii="楷体_GB2312" w:hAnsi="楷体_GB2312" w:eastAsia="楷体_GB2312" w:cs="楷体_GB2312"/>
          <w:color w:val="auto"/>
          <w:sz w:val="32"/>
          <w:szCs w:val="32"/>
          <w:lang w:val="en-US" w:eastAsia="zh-CN"/>
        </w:rPr>
        <w:t xml:space="preserve">1. </w:t>
      </w:r>
      <w:r>
        <w:rPr>
          <w:rFonts w:hint="eastAsia" w:ascii="楷体_GB2312" w:hAnsi="楷体_GB2312" w:eastAsia="楷体_GB2312" w:cs="楷体_GB2312"/>
          <w:color w:val="auto"/>
          <w:sz w:val="32"/>
          <w:szCs w:val="32"/>
          <w:lang w:eastAsia="zh-CN"/>
        </w:rPr>
        <w:t>项目决策。</w:t>
      </w:r>
      <w:r>
        <w:rPr>
          <w:rFonts w:hint="eastAsia" w:ascii="Times New Roman" w:hAnsi="Times New Roman" w:eastAsia="仿宋_GB2312" w:cs="Times New Roman"/>
          <w:color w:val="auto"/>
          <w:sz w:val="32"/>
          <w:szCs w:val="32"/>
          <w:lang w:eastAsia="zh-CN"/>
        </w:rPr>
        <w:t>围绕决策程序、规划论证、资金投向进行绩效分析。</w:t>
      </w:r>
    </w:p>
    <w:p w14:paraId="1743C8D0">
      <w:pPr>
        <w:keepNext w:val="0"/>
        <w:keepLines w:val="0"/>
        <w:pageBreakBefore w:val="0"/>
        <w:widowControl w:val="0"/>
        <w:kinsoku/>
        <w:wordWrap w:val="0"/>
        <w:overflowPunct/>
        <w:topLinePunct w:val="0"/>
        <w:autoSpaceDE/>
        <w:autoSpaceDN/>
        <w:bidi w:val="0"/>
        <w:adjustRightInd/>
        <w:snapToGrid/>
        <w:spacing w:line="576" w:lineRule="exact"/>
        <w:ind w:left="0" w:leftChars="0" w:right="0" w:rightChars="0" w:firstLine="640" w:firstLineChars="2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（1）决策程序：</w:t>
      </w:r>
      <w:r>
        <w:rPr>
          <w:rFonts w:hint="eastAsia" w:eastAsia="仿宋_GB2312" w:cs="Times New Roman"/>
          <w:sz w:val="32"/>
          <w:szCs w:val="32"/>
          <w:lang w:val="en-US" w:eastAsia="zh-CN"/>
        </w:rPr>
        <w:t>该项目中央下达资金，根据遂财建【2024】85号文件下达，我局资金支付时已召开党组会议</w:t>
      </w:r>
      <w:r>
        <w:rPr>
          <w:rFonts w:hint="eastAsia" w:ascii="Times New Roman" w:hAnsi="Times New Roman" w:eastAsia="仿宋_GB2312" w:cs="Times New Roman"/>
          <w:sz w:val="32"/>
          <w:szCs w:val="32"/>
          <w:lang w:val="en-US" w:eastAsia="zh-CN"/>
        </w:rPr>
        <w:t>；自评6分。</w:t>
      </w:r>
    </w:p>
    <w:p w14:paraId="11F55DAA">
      <w:pPr>
        <w:keepNext w:val="0"/>
        <w:keepLines w:val="0"/>
        <w:pageBreakBefore w:val="0"/>
        <w:widowControl w:val="0"/>
        <w:kinsoku/>
        <w:wordWrap w:val="0"/>
        <w:overflowPunct/>
        <w:topLinePunct w:val="0"/>
        <w:autoSpaceDE/>
        <w:autoSpaceDN/>
        <w:bidi w:val="0"/>
        <w:adjustRightInd/>
        <w:snapToGrid/>
        <w:spacing w:line="576" w:lineRule="exact"/>
        <w:ind w:left="0" w:leftChars="0" w:right="0" w:rightChars="0" w:firstLine="640" w:firstLineChars="2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（2）规划论证：该项目设立符合</w:t>
      </w:r>
      <w:r>
        <w:rPr>
          <w:rFonts w:hint="eastAsia" w:eastAsia="仿宋_GB2312" w:cs="Times New Roman"/>
          <w:sz w:val="32"/>
          <w:szCs w:val="32"/>
          <w:lang w:val="en-US" w:eastAsia="zh-CN"/>
        </w:rPr>
        <w:t>中央、省委</w:t>
      </w:r>
      <w:r>
        <w:rPr>
          <w:rFonts w:hint="eastAsia" w:ascii="Times New Roman" w:hAnsi="Times New Roman" w:eastAsia="仿宋_GB2312" w:cs="Times New Roman"/>
          <w:sz w:val="32"/>
          <w:szCs w:val="32"/>
          <w:lang w:val="en-US" w:eastAsia="zh-CN"/>
        </w:rPr>
        <w:t>、市关于</w:t>
      </w:r>
      <w:r>
        <w:rPr>
          <w:rFonts w:hint="eastAsia" w:eastAsia="仿宋_GB2312" w:cs="Times New Roman"/>
          <w:sz w:val="32"/>
          <w:szCs w:val="32"/>
          <w:lang w:val="en-US" w:eastAsia="zh-CN"/>
        </w:rPr>
        <w:t>水利建设</w:t>
      </w:r>
      <w:r>
        <w:rPr>
          <w:rFonts w:hint="eastAsia" w:ascii="Times New Roman" w:hAnsi="Times New Roman" w:eastAsia="仿宋_GB2312" w:cs="Times New Roman"/>
          <w:sz w:val="32"/>
          <w:szCs w:val="32"/>
          <w:lang w:val="en-US" w:eastAsia="zh-CN"/>
        </w:rPr>
        <w:t>决策部署安排，符合</w:t>
      </w:r>
      <w:r>
        <w:rPr>
          <w:rFonts w:hint="eastAsia" w:eastAsia="仿宋_GB2312" w:cs="Times New Roman"/>
          <w:sz w:val="32"/>
          <w:szCs w:val="32"/>
          <w:lang w:val="en-US" w:eastAsia="zh-CN"/>
        </w:rPr>
        <w:t>安居区“推进乡村振兴，实现农业强区跨越式发展”“十四五”规划要求和加快推进水利工程建设筑牢民生“堤坝”任务要求</w:t>
      </w:r>
      <w:r>
        <w:rPr>
          <w:rFonts w:hint="eastAsia" w:ascii="仿宋_GB2312" w:hAnsi="仿宋_GB2312" w:eastAsia="仿宋_GB2312" w:cs="仿宋_GB2312"/>
          <w:color w:val="auto"/>
          <w:kern w:val="0"/>
          <w:sz w:val="32"/>
          <w:szCs w:val="32"/>
          <w:highlight w:val="none"/>
          <w:u w:val="none"/>
          <w:shd w:val="clear" w:color="auto" w:fill="FFFFFF"/>
          <w:lang w:val="en-US" w:eastAsia="zh-CN"/>
        </w:rPr>
        <w:t>。2024年度我局该项目绩效目标由“</w:t>
      </w:r>
      <w:r>
        <w:rPr>
          <w:rFonts w:hint="eastAsia" w:eastAsia="仿宋_GB2312" w:cs="Times New Roman"/>
          <w:sz w:val="32"/>
          <w:szCs w:val="32"/>
          <w:lang w:val="en-US" w:eastAsia="zh-CN"/>
        </w:rPr>
        <w:t>遂财建【2024】85号</w:t>
      </w:r>
      <w:r>
        <w:rPr>
          <w:rFonts w:hint="eastAsia" w:ascii="仿宋_GB2312" w:hAnsi="仿宋_GB2312" w:eastAsia="仿宋_GB2312" w:cs="仿宋_GB2312"/>
          <w:color w:val="auto"/>
          <w:kern w:val="0"/>
          <w:sz w:val="32"/>
          <w:szCs w:val="32"/>
          <w:highlight w:val="none"/>
          <w:u w:val="none"/>
          <w:shd w:val="clear" w:color="auto" w:fill="FFFFFF"/>
          <w:lang w:val="en-US" w:eastAsia="zh-CN"/>
        </w:rPr>
        <w:t>”文件设定，设定的年度绩效目标符合要求；设定的数量、质量、时效、效益、经济成本、满意度等指标基本完整、量化；自评得6分。</w:t>
      </w:r>
    </w:p>
    <w:p w14:paraId="4368F4BD">
      <w:pPr>
        <w:keepNext w:val="0"/>
        <w:keepLines w:val="0"/>
        <w:pageBreakBefore w:val="0"/>
        <w:widowControl w:val="0"/>
        <w:kinsoku/>
        <w:wordWrap w:val="0"/>
        <w:overflowPunct/>
        <w:topLinePunct w:val="0"/>
        <w:autoSpaceDE/>
        <w:autoSpaceDN/>
        <w:bidi w:val="0"/>
        <w:adjustRightInd/>
        <w:snapToGrid/>
        <w:spacing w:line="576" w:lineRule="exact"/>
        <w:ind w:left="0" w:leftChars="0" w:right="0" w:rightChars="0" w:firstLine="640" w:firstLineChars="2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（3）资金投向：该项目属于</w:t>
      </w:r>
      <w:r>
        <w:rPr>
          <w:rFonts w:hint="eastAsia" w:eastAsia="仿宋_GB2312" w:cs="Times New Roman"/>
          <w:sz w:val="32"/>
          <w:szCs w:val="32"/>
          <w:lang w:val="en-US" w:eastAsia="zh-CN"/>
        </w:rPr>
        <w:t>安居区“推进乡村振兴，实现农业强区跨越式发展”“十四五”规划</w:t>
      </w:r>
      <w:r>
        <w:rPr>
          <w:rFonts w:hint="eastAsia" w:ascii="Times New Roman" w:hAnsi="Times New Roman" w:eastAsia="仿宋_GB2312" w:cs="Times New Roman"/>
          <w:sz w:val="32"/>
          <w:szCs w:val="32"/>
          <w:lang w:val="en-US" w:eastAsia="zh-CN"/>
        </w:rPr>
        <w:t>内容，属于政府支持范围，且符合财政事权支出责任划分规定；资金投向与项目总体规划、</w:t>
      </w:r>
      <w:r>
        <w:rPr>
          <w:rFonts w:hint="eastAsia" w:eastAsia="仿宋_GB2312" w:cs="Times New Roman"/>
          <w:sz w:val="32"/>
          <w:szCs w:val="32"/>
          <w:lang w:val="en-US" w:eastAsia="zh-CN"/>
        </w:rPr>
        <w:t>水利</w:t>
      </w:r>
      <w:r>
        <w:rPr>
          <w:rFonts w:hint="eastAsia" w:ascii="Times New Roman" w:hAnsi="Times New Roman" w:eastAsia="仿宋_GB2312" w:cs="Times New Roman"/>
          <w:sz w:val="32"/>
          <w:szCs w:val="32"/>
          <w:lang w:val="en-US" w:eastAsia="zh-CN"/>
        </w:rPr>
        <w:t>事业发展相匹配；项目实施聚焦</w:t>
      </w:r>
      <w:r>
        <w:rPr>
          <w:rFonts w:hint="eastAsia" w:eastAsia="仿宋_GB2312" w:cs="Times New Roman"/>
          <w:sz w:val="32"/>
          <w:szCs w:val="32"/>
          <w:lang w:val="en-US" w:eastAsia="zh-CN"/>
        </w:rPr>
        <w:t>加快推进水利工程建设筑牢民生“堤坝”</w:t>
      </w:r>
      <w:r>
        <w:rPr>
          <w:rFonts w:hint="eastAsia" w:ascii="Times New Roman" w:hAnsi="Times New Roman" w:eastAsia="仿宋_GB2312" w:cs="Times New Roman"/>
          <w:sz w:val="32"/>
          <w:szCs w:val="32"/>
          <w:lang w:val="en-US" w:eastAsia="zh-CN"/>
        </w:rPr>
        <w:t>的原则；自评得6分。</w:t>
      </w:r>
    </w:p>
    <w:p w14:paraId="665D8091">
      <w:pPr>
        <w:keepNext w:val="0"/>
        <w:keepLines w:val="0"/>
        <w:pageBreakBefore w:val="0"/>
        <w:widowControl w:val="0"/>
        <w:kinsoku/>
        <w:wordWrap w:val="0"/>
        <w:overflowPunct/>
        <w:topLinePunct w:val="0"/>
        <w:autoSpaceDE/>
        <w:autoSpaceDN/>
        <w:bidi w:val="0"/>
        <w:adjustRightInd/>
        <w:snapToGrid/>
        <w:spacing w:line="576" w:lineRule="exact"/>
        <w:ind w:right="0" w:rightChars="0" w:firstLine="640"/>
        <w:textAlignment w:val="auto"/>
        <w:outlineLvl w:val="9"/>
        <w:rPr>
          <w:rFonts w:hint="eastAsia" w:ascii="Times New Roman" w:hAnsi="Times New Roman" w:eastAsia="仿宋_GB2312" w:cs="Times New Roman"/>
          <w:color w:val="auto"/>
          <w:sz w:val="32"/>
          <w:szCs w:val="32"/>
          <w:lang w:eastAsia="zh-CN"/>
        </w:rPr>
      </w:pPr>
      <w:r>
        <w:rPr>
          <w:rFonts w:hint="eastAsia" w:ascii="楷体_GB2312" w:hAnsi="楷体_GB2312" w:eastAsia="楷体_GB2312" w:cs="楷体_GB2312"/>
          <w:color w:val="auto"/>
          <w:sz w:val="32"/>
          <w:szCs w:val="32"/>
          <w:lang w:val="en-US" w:eastAsia="zh-CN"/>
        </w:rPr>
        <w:t>2.</w:t>
      </w:r>
      <w:r>
        <w:rPr>
          <w:rFonts w:hint="eastAsia" w:ascii="楷体_GB2312" w:hAnsi="楷体_GB2312" w:eastAsia="楷体_GB2312" w:cs="楷体_GB2312"/>
          <w:color w:val="auto"/>
          <w:sz w:val="32"/>
          <w:szCs w:val="32"/>
          <w:lang w:eastAsia="zh-CN"/>
        </w:rPr>
        <w:t>项目管理。</w:t>
      </w:r>
      <w:r>
        <w:rPr>
          <w:rFonts w:hint="eastAsia" w:ascii="Times New Roman" w:hAnsi="Times New Roman" w:eastAsia="仿宋_GB2312" w:cs="Times New Roman"/>
          <w:color w:val="auto"/>
          <w:sz w:val="32"/>
          <w:szCs w:val="32"/>
          <w:lang w:eastAsia="zh-CN"/>
        </w:rPr>
        <w:t>围绕制度办法、分配管理、绩效监管进行绩效分析。</w:t>
      </w:r>
    </w:p>
    <w:p w14:paraId="08844F00">
      <w:pPr>
        <w:keepNext w:val="0"/>
        <w:keepLines w:val="0"/>
        <w:pageBreakBefore w:val="0"/>
        <w:widowControl w:val="0"/>
        <w:kinsoku/>
        <w:wordWrap w:val="0"/>
        <w:overflowPunct/>
        <w:topLinePunct w:val="0"/>
        <w:autoSpaceDE/>
        <w:autoSpaceDN/>
        <w:bidi w:val="0"/>
        <w:adjustRightInd/>
        <w:snapToGrid/>
        <w:spacing w:line="576" w:lineRule="exact"/>
        <w:ind w:left="0" w:leftChars="0" w:right="0" w:rightChars="0" w:firstLine="640" w:firstLineChars="2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（1）制度办法：该项目严格按照</w:t>
      </w:r>
      <w:r>
        <w:rPr>
          <w:rFonts w:hint="eastAsia" w:eastAsia="仿宋_GB2312" w:cs="Times New Roman"/>
          <w:sz w:val="32"/>
          <w:szCs w:val="32"/>
          <w:lang w:val="en-US" w:eastAsia="zh-CN"/>
        </w:rPr>
        <w:t>《四川省财政厅 四川省水利厅关于印发&lt;四川省水利发展资金管理办法&gt;的通知》（川财农〔2023〕29号）《遂宁市水利监督管理实施办法（试行）》</w:t>
      </w:r>
      <w:r>
        <w:rPr>
          <w:rFonts w:hint="eastAsia" w:ascii="Times New Roman" w:hAnsi="Times New Roman" w:eastAsia="仿宋_GB2312" w:cs="Times New Roman"/>
          <w:sz w:val="32"/>
          <w:szCs w:val="32"/>
          <w:lang w:val="en-US" w:eastAsia="zh-CN"/>
        </w:rPr>
        <w:t>专项资金管理办法</w:t>
      </w:r>
      <w:r>
        <w:rPr>
          <w:rFonts w:hint="eastAsia" w:eastAsia="仿宋_GB2312" w:cs="Times New Roman"/>
          <w:sz w:val="32"/>
          <w:szCs w:val="32"/>
          <w:lang w:val="en-US" w:eastAsia="zh-CN"/>
        </w:rPr>
        <w:t>开展</w:t>
      </w:r>
      <w:r>
        <w:rPr>
          <w:rFonts w:hint="eastAsia" w:ascii="Times New Roman" w:hAnsi="Times New Roman" w:eastAsia="仿宋_GB2312" w:cs="Times New Roman"/>
          <w:sz w:val="32"/>
          <w:szCs w:val="32"/>
          <w:lang w:val="en-US" w:eastAsia="zh-CN"/>
        </w:rPr>
        <w:t>，并严格按照“</w:t>
      </w:r>
      <w:r>
        <w:rPr>
          <w:rFonts w:hint="eastAsia" w:eastAsia="仿宋_GB2312" w:cs="Times New Roman"/>
          <w:sz w:val="32"/>
          <w:szCs w:val="32"/>
          <w:lang w:val="en-US" w:eastAsia="zh-CN"/>
        </w:rPr>
        <w:t>遂财建【2024】85号</w:t>
      </w:r>
      <w:r>
        <w:rPr>
          <w:rFonts w:hint="eastAsia" w:ascii="Times New Roman" w:hAnsi="Times New Roman" w:eastAsia="仿宋_GB2312" w:cs="Times New Roman"/>
          <w:sz w:val="32"/>
          <w:szCs w:val="32"/>
          <w:lang w:val="en-US" w:eastAsia="zh-CN"/>
        </w:rPr>
        <w:t>”文件规定执行；项目资金支付严格按照我局财务报销管理</w:t>
      </w:r>
      <w:r>
        <w:rPr>
          <w:rFonts w:hint="eastAsia" w:eastAsia="仿宋_GB2312" w:cs="Times New Roman"/>
          <w:sz w:val="32"/>
          <w:szCs w:val="32"/>
          <w:lang w:val="en-US" w:eastAsia="zh-CN"/>
        </w:rPr>
        <w:t>、收支业务管理</w:t>
      </w:r>
      <w:r>
        <w:rPr>
          <w:rFonts w:hint="eastAsia" w:ascii="Times New Roman" w:hAnsi="Times New Roman" w:eastAsia="仿宋_GB2312" w:cs="Times New Roman"/>
          <w:sz w:val="32"/>
          <w:szCs w:val="32"/>
          <w:lang w:val="en-US" w:eastAsia="zh-CN"/>
        </w:rPr>
        <w:t>制度执行，不存在管理制度缺失、管理办法过期情况；自评得2分。</w:t>
      </w:r>
    </w:p>
    <w:p w14:paraId="609D6472">
      <w:pPr>
        <w:keepNext w:val="0"/>
        <w:keepLines w:val="0"/>
        <w:pageBreakBefore w:val="0"/>
        <w:widowControl w:val="0"/>
        <w:kinsoku/>
        <w:wordWrap w:val="0"/>
        <w:overflowPunct/>
        <w:topLinePunct w:val="0"/>
        <w:autoSpaceDE/>
        <w:autoSpaceDN/>
        <w:bidi w:val="0"/>
        <w:adjustRightInd/>
        <w:snapToGrid/>
        <w:spacing w:line="576" w:lineRule="exact"/>
        <w:ind w:left="0" w:leftChars="0" w:right="0" w:rightChars="0"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（2）分配管理：</w:t>
      </w:r>
    </w:p>
    <w:p w14:paraId="123DFC1B">
      <w:pPr>
        <w:keepNext w:val="0"/>
        <w:keepLines w:val="0"/>
        <w:pageBreakBefore w:val="0"/>
        <w:widowControl w:val="0"/>
        <w:kinsoku/>
        <w:wordWrap w:val="0"/>
        <w:overflowPunct/>
        <w:topLinePunct w:val="0"/>
        <w:autoSpaceDE/>
        <w:autoSpaceDN/>
        <w:bidi w:val="0"/>
        <w:adjustRightInd/>
        <w:snapToGrid/>
        <w:spacing w:line="576" w:lineRule="exact"/>
        <w:ind w:left="0" w:leftChars="0" w:right="0" w:rightChars="0"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资金分配因素：该项目由“</w:t>
      </w:r>
      <w:r>
        <w:rPr>
          <w:rFonts w:hint="eastAsia" w:eastAsia="仿宋_GB2312" w:cs="Times New Roman"/>
          <w:sz w:val="32"/>
          <w:szCs w:val="32"/>
          <w:lang w:val="en-US" w:eastAsia="zh-CN"/>
        </w:rPr>
        <w:t>遂财建【2024】85号</w:t>
      </w:r>
      <w:r>
        <w:rPr>
          <w:rFonts w:hint="eastAsia" w:ascii="Times New Roman" w:hAnsi="Times New Roman" w:eastAsia="仿宋_GB2312" w:cs="Times New Roman"/>
          <w:sz w:val="32"/>
          <w:szCs w:val="32"/>
          <w:lang w:val="en-US" w:eastAsia="zh-CN"/>
        </w:rPr>
        <w:t>”文件分配，上级部门及财政部门选取充分考虑相关行业事业发展实际和发展需求，自评得2分；</w:t>
      </w:r>
    </w:p>
    <w:p w14:paraId="1834EABB">
      <w:pPr>
        <w:keepNext w:val="0"/>
        <w:keepLines w:val="0"/>
        <w:pageBreakBefore w:val="0"/>
        <w:widowControl w:val="0"/>
        <w:kinsoku/>
        <w:wordWrap w:val="0"/>
        <w:overflowPunct/>
        <w:topLinePunct w:val="0"/>
        <w:autoSpaceDE/>
        <w:autoSpaceDN/>
        <w:bidi w:val="0"/>
        <w:adjustRightInd/>
        <w:snapToGrid/>
        <w:spacing w:line="576" w:lineRule="exact"/>
        <w:ind w:left="0" w:leftChars="0" w:right="0" w:rightChars="0"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资金分配因素的权重设置：有效突出了遂宁市各县区实际，自评得2分；</w:t>
      </w:r>
    </w:p>
    <w:p w14:paraId="7A2E70AD">
      <w:pPr>
        <w:keepNext w:val="0"/>
        <w:keepLines w:val="0"/>
        <w:pageBreakBefore w:val="0"/>
        <w:widowControl w:val="0"/>
        <w:kinsoku/>
        <w:wordWrap w:val="0"/>
        <w:overflowPunct/>
        <w:topLinePunct w:val="0"/>
        <w:autoSpaceDE/>
        <w:autoSpaceDN/>
        <w:bidi w:val="0"/>
        <w:adjustRightInd/>
        <w:snapToGrid/>
        <w:spacing w:line="576" w:lineRule="exact"/>
        <w:ind w:left="0" w:leftChars="0" w:right="0" w:rightChars="0"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资金区域分布结果公平合理，不存在仅为1个地区，自评得2分。</w:t>
      </w:r>
    </w:p>
    <w:p w14:paraId="37CC78D9">
      <w:pPr>
        <w:keepNext w:val="0"/>
        <w:keepLines w:val="0"/>
        <w:pageBreakBefore w:val="0"/>
        <w:widowControl w:val="0"/>
        <w:kinsoku/>
        <w:wordWrap w:val="0"/>
        <w:overflowPunct/>
        <w:topLinePunct w:val="0"/>
        <w:autoSpaceDE/>
        <w:autoSpaceDN/>
        <w:bidi w:val="0"/>
        <w:adjustRightInd/>
        <w:snapToGrid/>
        <w:spacing w:line="576" w:lineRule="exact"/>
        <w:ind w:left="0" w:leftChars="0" w:right="0" w:rightChars="0"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该项目资金分配严格</w:t>
      </w:r>
      <w:r>
        <w:rPr>
          <w:rFonts w:hint="eastAsia" w:eastAsia="仿宋_GB2312" w:cs="Times New Roman"/>
          <w:sz w:val="32"/>
          <w:szCs w:val="32"/>
          <w:lang w:val="en-US" w:eastAsia="zh-CN"/>
        </w:rPr>
        <w:t>按遂财建【2024】85号</w:t>
      </w:r>
      <w:r>
        <w:rPr>
          <w:rFonts w:hint="eastAsia" w:ascii="Times New Roman" w:hAnsi="Times New Roman" w:eastAsia="仿宋_GB2312" w:cs="Times New Roman"/>
          <w:sz w:val="32"/>
          <w:szCs w:val="32"/>
          <w:lang w:val="en-US" w:eastAsia="zh-CN"/>
        </w:rPr>
        <w:t>执行，决策程序符合管理要求，及时高效，自评得4分。</w:t>
      </w:r>
    </w:p>
    <w:p w14:paraId="20EDDA0F">
      <w:pPr>
        <w:keepNext w:val="0"/>
        <w:keepLines w:val="0"/>
        <w:pageBreakBefore w:val="0"/>
        <w:widowControl w:val="0"/>
        <w:kinsoku/>
        <w:wordWrap w:val="0"/>
        <w:overflowPunct/>
        <w:topLinePunct w:val="0"/>
        <w:autoSpaceDE/>
        <w:autoSpaceDN/>
        <w:bidi w:val="0"/>
        <w:adjustRightInd/>
        <w:snapToGrid/>
        <w:spacing w:line="576" w:lineRule="exact"/>
        <w:ind w:left="0" w:leftChars="0" w:right="0" w:rightChars="0"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（3）绩效监管：该项目严格按照</w:t>
      </w:r>
      <w:r>
        <w:rPr>
          <w:rFonts w:hint="eastAsia" w:eastAsia="仿宋_GB2312" w:cs="Times New Roman"/>
          <w:sz w:val="32"/>
          <w:szCs w:val="32"/>
          <w:lang w:val="en-US" w:eastAsia="zh-CN"/>
        </w:rPr>
        <w:t>中央、省委</w:t>
      </w:r>
      <w:r>
        <w:rPr>
          <w:rFonts w:hint="eastAsia" w:ascii="Times New Roman" w:hAnsi="Times New Roman" w:eastAsia="仿宋_GB2312" w:cs="Times New Roman"/>
          <w:sz w:val="32"/>
          <w:szCs w:val="32"/>
          <w:lang w:val="en-US" w:eastAsia="zh-CN"/>
        </w:rPr>
        <w:t>、市要求全面完成绩效目标（含事前评估）、绩效评价、以前年度问题整改等预算绩效管理工作要求开展，设定了项目绩效目标（含事前评估），本次进行了绩效自评，自评得4分</w:t>
      </w:r>
    </w:p>
    <w:p w14:paraId="2B7155EB">
      <w:pPr>
        <w:keepNext w:val="0"/>
        <w:keepLines w:val="0"/>
        <w:pageBreakBefore w:val="0"/>
        <w:widowControl w:val="0"/>
        <w:kinsoku/>
        <w:wordWrap w:val="0"/>
        <w:overflowPunct/>
        <w:topLinePunct w:val="0"/>
        <w:autoSpaceDE/>
        <w:autoSpaceDN/>
        <w:bidi w:val="0"/>
        <w:adjustRightInd/>
        <w:snapToGrid/>
        <w:spacing w:line="576" w:lineRule="exact"/>
        <w:ind w:left="0" w:leftChars="0" w:right="0" w:rightChars="0" w:firstLine="640" w:firstLineChars="2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遂宁市财政局发布了“</w:t>
      </w:r>
      <w:r>
        <w:rPr>
          <w:rFonts w:hint="eastAsia" w:eastAsia="仿宋_GB2312" w:cs="Times New Roman"/>
          <w:sz w:val="32"/>
          <w:szCs w:val="32"/>
          <w:lang w:val="en-US" w:eastAsia="zh-CN"/>
        </w:rPr>
        <w:t>遂财建【2024】85号</w:t>
      </w:r>
      <w:r>
        <w:rPr>
          <w:rFonts w:hint="eastAsia" w:ascii="Times New Roman" w:hAnsi="Times New Roman" w:eastAsia="仿宋_GB2312" w:cs="Times New Roman"/>
          <w:sz w:val="32"/>
          <w:szCs w:val="32"/>
          <w:lang w:val="en-US" w:eastAsia="zh-CN"/>
        </w:rPr>
        <w:t>”文件，对县级主管部门预算绩效管理要求到位，不存在对县级资金分配和项目管理指导力度不够情况，已对县级开展评价、监督、指导等工作，自评得2分。</w:t>
      </w:r>
    </w:p>
    <w:p w14:paraId="6E67C384">
      <w:pPr>
        <w:keepNext w:val="0"/>
        <w:keepLines w:val="0"/>
        <w:pageBreakBefore w:val="0"/>
        <w:widowControl w:val="0"/>
        <w:kinsoku/>
        <w:wordWrap w:val="0"/>
        <w:overflowPunct/>
        <w:topLinePunct w:val="0"/>
        <w:autoSpaceDE/>
        <w:autoSpaceDN/>
        <w:bidi w:val="0"/>
        <w:adjustRightInd/>
        <w:snapToGrid/>
        <w:spacing w:line="576" w:lineRule="exact"/>
        <w:ind w:left="420" w:leftChars="200" w:right="0" w:rightChars="0" w:firstLine="0" w:firstLineChars="0"/>
        <w:textAlignment w:val="auto"/>
        <w:outlineLvl w:val="9"/>
        <w:rPr>
          <w:rFonts w:hint="eastAsia" w:ascii="Times New Roman" w:hAnsi="Times New Roman" w:eastAsia="仿宋_GB2312" w:cs="Times New Roman"/>
          <w:color w:val="auto"/>
          <w:sz w:val="32"/>
          <w:szCs w:val="32"/>
          <w:lang w:eastAsia="zh-CN"/>
        </w:rPr>
      </w:pPr>
      <w:r>
        <w:rPr>
          <w:rFonts w:hint="eastAsia" w:ascii="楷体_GB2312" w:hAnsi="楷体_GB2312" w:eastAsia="楷体_GB2312" w:cs="楷体_GB2312"/>
          <w:color w:val="auto"/>
          <w:sz w:val="32"/>
          <w:szCs w:val="32"/>
          <w:lang w:val="en-US" w:eastAsia="zh-CN"/>
        </w:rPr>
        <w:t>3.项目实施。</w:t>
      </w:r>
      <w:r>
        <w:rPr>
          <w:rFonts w:hint="eastAsia" w:ascii="Times New Roman" w:hAnsi="Times New Roman" w:eastAsia="仿宋_GB2312" w:cs="Times New Roman"/>
          <w:color w:val="auto"/>
          <w:sz w:val="32"/>
          <w:szCs w:val="32"/>
          <w:lang w:eastAsia="zh-CN"/>
        </w:rPr>
        <w:t>围绕预算</w:t>
      </w:r>
      <w:r>
        <w:rPr>
          <w:rFonts w:hint="eastAsia" w:eastAsia="仿宋_GB2312" w:cs="Times New Roman"/>
          <w:color w:val="auto"/>
          <w:sz w:val="32"/>
          <w:szCs w:val="32"/>
          <w:lang w:val="zh-CN" w:eastAsia="zh-CN"/>
        </w:rPr>
        <w:t>执行</w:t>
      </w:r>
      <w:r>
        <w:rPr>
          <w:rFonts w:hint="eastAsia" w:ascii="Times New Roman" w:hAnsi="Times New Roman" w:eastAsia="仿宋_GB2312" w:cs="Times New Roman"/>
          <w:color w:val="auto"/>
          <w:sz w:val="32"/>
          <w:szCs w:val="32"/>
          <w:lang w:eastAsia="zh-CN"/>
        </w:rPr>
        <w:t>、资金使用进行绩效分析。</w:t>
      </w:r>
    </w:p>
    <w:p w14:paraId="3316050A">
      <w:pPr>
        <w:keepNext w:val="0"/>
        <w:keepLines w:val="0"/>
        <w:pageBreakBefore w:val="0"/>
        <w:widowControl w:val="0"/>
        <w:kinsoku/>
        <w:wordWrap w:val="0"/>
        <w:overflowPunct/>
        <w:topLinePunct w:val="0"/>
        <w:autoSpaceDE/>
        <w:autoSpaceDN/>
        <w:bidi w:val="0"/>
        <w:adjustRightInd/>
        <w:snapToGrid/>
        <w:spacing w:line="576" w:lineRule="exact"/>
        <w:ind w:left="0" w:leftChars="0" w:right="0" w:rightChars="0" w:firstLine="640" w:firstLineChars="2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（1）预算执行：根据“财政资金拨付率×100%×2+单位资金使用率×100%×2+地方资金到位率×100%×2”自评指标；该项目2024年度预算数</w:t>
      </w:r>
      <w:r>
        <w:rPr>
          <w:rFonts w:hint="eastAsia" w:eastAsia="仿宋_GB2312" w:cs="Times New Roman"/>
          <w:sz w:val="32"/>
          <w:szCs w:val="32"/>
          <w:lang w:val="en-US" w:eastAsia="zh-CN"/>
        </w:rPr>
        <w:t>7513400.00</w:t>
      </w:r>
      <w:r>
        <w:rPr>
          <w:rFonts w:hint="eastAsia" w:ascii="Times New Roman" w:hAnsi="Times New Roman" w:eastAsia="仿宋_GB2312" w:cs="Times New Roman"/>
          <w:sz w:val="32"/>
          <w:szCs w:val="32"/>
          <w:lang w:val="en-US" w:eastAsia="zh-CN"/>
        </w:rPr>
        <w:t>元，单位资金使用</w:t>
      </w:r>
      <w:r>
        <w:rPr>
          <w:rFonts w:hint="eastAsia" w:eastAsia="仿宋_GB2312" w:cs="Times New Roman"/>
          <w:sz w:val="32"/>
          <w:szCs w:val="32"/>
          <w:lang w:val="en-US" w:eastAsia="zh-CN"/>
        </w:rPr>
        <w:t>7513400.00</w:t>
      </w:r>
      <w:r>
        <w:rPr>
          <w:rFonts w:hint="eastAsia" w:ascii="Times New Roman" w:hAnsi="Times New Roman" w:eastAsia="仿宋_GB2312" w:cs="Times New Roman"/>
          <w:sz w:val="32"/>
          <w:szCs w:val="32"/>
          <w:lang w:val="en-US" w:eastAsia="zh-CN"/>
        </w:rPr>
        <w:t>元，预算执行率=100%*100%*2+</w:t>
      </w:r>
      <w:r>
        <w:rPr>
          <w:rFonts w:hint="eastAsia" w:eastAsia="仿宋_GB2312" w:cs="Times New Roman"/>
          <w:sz w:val="32"/>
          <w:szCs w:val="32"/>
          <w:lang w:val="en-US" w:eastAsia="zh-CN"/>
        </w:rPr>
        <w:t>7513400</w:t>
      </w:r>
      <w:r>
        <w:rPr>
          <w:rFonts w:hint="eastAsia" w:ascii="Times New Roman" w:hAnsi="Times New Roman" w:eastAsia="仿宋_GB2312" w:cs="Times New Roman"/>
          <w:sz w:val="32"/>
          <w:szCs w:val="32"/>
          <w:lang w:val="en-US" w:eastAsia="zh-CN"/>
        </w:rPr>
        <w:t>/</w:t>
      </w:r>
      <w:r>
        <w:rPr>
          <w:rFonts w:hint="eastAsia" w:eastAsia="仿宋_GB2312" w:cs="Times New Roman"/>
          <w:sz w:val="32"/>
          <w:szCs w:val="32"/>
          <w:lang w:val="en-US" w:eastAsia="zh-CN"/>
        </w:rPr>
        <w:t>20650000</w:t>
      </w:r>
      <w:r>
        <w:rPr>
          <w:rFonts w:hint="eastAsia" w:ascii="Times New Roman" w:hAnsi="Times New Roman" w:eastAsia="仿宋_GB2312" w:cs="Times New Roman"/>
          <w:sz w:val="32"/>
          <w:szCs w:val="32"/>
          <w:lang w:val="en-US" w:eastAsia="zh-CN"/>
        </w:rPr>
        <w:t>*100%*2+2=</w:t>
      </w:r>
      <w:r>
        <w:rPr>
          <w:rFonts w:hint="eastAsia" w:eastAsia="仿宋_GB2312" w:cs="Times New Roman"/>
          <w:sz w:val="32"/>
          <w:szCs w:val="32"/>
          <w:lang w:val="en-US" w:eastAsia="zh-CN"/>
        </w:rPr>
        <w:t>4.73</w:t>
      </w:r>
      <w:r>
        <w:rPr>
          <w:rFonts w:hint="eastAsia" w:ascii="Times New Roman" w:hAnsi="Times New Roman" w:eastAsia="仿宋_GB2312" w:cs="Times New Roman"/>
          <w:sz w:val="32"/>
          <w:szCs w:val="32"/>
          <w:lang w:val="en-US" w:eastAsia="zh-CN"/>
        </w:rPr>
        <w:t>分。</w:t>
      </w:r>
    </w:p>
    <w:p w14:paraId="20FEF408">
      <w:pPr>
        <w:keepNext w:val="0"/>
        <w:keepLines w:val="0"/>
        <w:pageBreakBefore w:val="0"/>
        <w:widowControl w:val="0"/>
        <w:kinsoku/>
        <w:wordWrap w:val="0"/>
        <w:overflowPunct/>
        <w:topLinePunct w:val="0"/>
        <w:autoSpaceDE/>
        <w:autoSpaceDN/>
        <w:bidi w:val="0"/>
        <w:adjustRightInd/>
        <w:snapToGrid/>
        <w:spacing w:line="576" w:lineRule="exact"/>
        <w:ind w:left="0" w:leftChars="0" w:right="0" w:rightChars="0" w:firstLine="640" w:firstLineChars="2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（2）资金使用：2024年度，该项目在项目资金使用、拨付中严格按照</w:t>
      </w:r>
      <w:r>
        <w:rPr>
          <w:rFonts w:hint="eastAsia" w:eastAsia="仿宋_GB2312" w:cs="Times New Roman"/>
          <w:sz w:val="32"/>
          <w:szCs w:val="32"/>
          <w:lang w:val="en-US" w:eastAsia="zh-CN"/>
        </w:rPr>
        <w:t>《四川省财政厅 四川省水利厅关于印发&lt;四川省水利发展资金管理办法&gt;的通知》（川财农〔2023〕29号）《遂宁市水利监督管理实施办法（试行）》</w:t>
      </w:r>
      <w:r>
        <w:rPr>
          <w:rFonts w:hint="eastAsia" w:ascii="Times New Roman" w:hAnsi="Times New Roman" w:eastAsia="仿宋_GB2312" w:cs="Times New Roman"/>
          <w:sz w:val="32"/>
          <w:szCs w:val="32"/>
          <w:lang w:val="en-US" w:eastAsia="zh-CN"/>
        </w:rPr>
        <w:t>、“</w:t>
      </w:r>
      <w:r>
        <w:rPr>
          <w:rFonts w:hint="eastAsia" w:eastAsia="仿宋_GB2312" w:cs="Times New Roman"/>
          <w:sz w:val="32"/>
          <w:szCs w:val="32"/>
          <w:lang w:val="en-US" w:eastAsia="zh-CN"/>
        </w:rPr>
        <w:t>遂财建【2024】85号</w:t>
      </w:r>
      <w:r>
        <w:rPr>
          <w:rFonts w:hint="eastAsia" w:ascii="Times New Roman" w:hAnsi="Times New Roman" w:eastAsia="仿宋_GB2312" w:cs="Times New Roman"/>
          <w:sz w:val="32"/>
          <w:szCs w:val="32"/>
          <w:lang w:val="en-US" w:eastAsia="zh-CN"/>
        </w:rPr>
        <w:t>”文件执行，不存在不符合国家财经法规情况；项目资金支付</w:t>
      </w:r>
      <w:r>
        <w:rPr>
          <w:rFonts w:hint="eastAsia" w:eastAsia="仿宋_GB2312" w:cs="Times New Roman"/>
          <w:sz w:val="32"/>
          <w:szCs w:val="32"/>
          <w:lang w:val="en-US" w:eastAsia="zh-CN"/>
        </w:rPr>
        <w:t>7513400.00</w:t>
      </w:r>
      <w:r>
        <w:rPr>
          <w:rFonts w:hint="eastAsia" w:ascii="Times New Roman" w:hAnsi="Times New Roman" w:eastAsia="仿宋_GB2312" w:cs="Times New Roman"/>
          <w:sz w:val="32"/>
          <w:szCs w:val="32"/>
          <w:lang w:val="en-US" w:eastAsia="zh-CN"/>
        </w:rPr>
        <w:t>元，共</w:t>
      </w:r>
      <w:r>
        <w:rPr>
          <w:rFonts w:hint="eastAsia" w:eastAsia="仿宋_GB2312" w:cs="Times New Roman"/>
          <w:sz w:val="32"/>
          <w:szCs w:val="32"/>
          <w:lang w:val="en-US" w:eastAsia="zh-CN"/>
        </w:rPr>
        <w:t>1</w:t>
      </w:r>
      <w:r>
        <w:rPr>
          <w:rFonts w:hint="eastAsia" w:ascii="Times New Roman" w:hAnsi="Times New Roman" w:eastAsia="仿宋_GB2312" w:cs="Times New Roman"/>
          <w:sz w:val="32"/>
          <w:szCs w:val="32"/>
          <w:lang w:val="en-US" w:eastAsia="zh-CN"/>
        </w:rPr>
        <w:t>笔，严格按照单位财务报销管理制度执行、严格履行资金支付审批程序，不存在超范围、超标准、超进度使用专项资金情况，不存在资金损失浪费、长期沉淀、截留、挤占、挪用、虚列支出等情况；自评得3分。</w:t>
      </w:r>
    </w:p>
    <w:p w14:paraId="2D4FB20F">
      <w:pPr>
        <w:keepNext w:val="0"/>
        <w:keepLines w:val="0"/>
        <w:pageBreakBefore w:val="0"/>
        <w:widowControl w:val="0"/>
        <w:kinsoku/>
        <w:wordWrap w:val="0"/>
        <w:overflowPunct/>
        <w:topLinePunct w:val="0"/>
        <w:autoSpaceDE/>
        <w:autoSpaceDN/>
        <w:bidi w:val="0"/>
        <w:adjustRightInd/>
        <w:snapToGrid/>
        <w:spacing w:line="576" w:lineRule="exact"/>
        <w:ind w:left="420" w:leftChars="200" w:right="0" w:rightChars="0" w:firstLine="0" w:firstLineChars="0"/>
        <w:textAlignment w:val="auto"/>
        <w:outlineLvl w:val="9"/>
        <w:rPr>
          <w:rFonts w:hint="eastAsia" w:ascii="Times New Roman" w:hAnsi="Times New Roman" w:eastAsia="仿宋_GB2312" w:cs="Times New Roman"/>
          <w:color w:val="auto"/>
          <w:sz w:val="32"/>
          <w:szCs w:val="32"/>
          <w:lang w:eastAsia="zh-CN"/>
        </w:rPr>
      </w:pPr>
      <w:r>
        <w:rPr>
          <w:rFonts w:hint="eastAsia" w:ascii="楷体_GB2312" w:hAnsi="楷体_GB2312" w:eastAsia="楷体_GB2312" w:cs="楷体_GB2312"/>
          <w:color w:val="auto"/>
          <w:sz w:val="32"/>
          <w:szCs w:val="32"/>
          <w:lang w:val="en-US" w:eastAsia="zh-CN"/>
        </w:rPr>
        <w:t>4. 项目结果。</w:t>
      </w:r>
      <w:r>
        <w:rPr>
          <w:rFonts w:hint="eastAsia" w:ascii="Times New Roman" w:hAnsi="Times New Roman" w:eastAsia="仿宋_GB2312" w:cs="Times New Roman"/>
          <w:color w:val="auto"/>
          <w:sz w:val="32"/>
          <w:szCs w:val="32"/>
          <w:lang w:val="en-US" w:eastAsia="zh-CN"/>
        </w:rPr>
        <w:t>围绕</w:t>
      </w:r>
      <w:r>
        <w:rPr>
          <w:rFonts w:hint="eastAsia" w:ascii="Times New Roman" w:hAnsi="Times New Roman" w:eastAsia="仿宋_GB2312" w:cs="Times New Roman"/>
          <w:color w:val="auto"/>
          <w:sz w:val="32"/>
          <w:szCs w:val="32"/>
          <w:lang w:eastAsia="zh-CN"/>
        </w:rPr>
        <w:t>目标完成、完成时效进行绩效分析。</w:t>
      </w:r>
    </w:p>
    <w:p w14:paraId="0C0EF253">
      <w:pPr>
        <w:keepNext w:val="0"/>
        <w:keepLines w:val="0"/>
        <w:pageBreakBefore w:val="0"/>
        <w:widowControl w:val="0"/>
        <w:kinsoku/>
        <w:wordWrap w:val="0"/>
        <w:overflowPunct/>
        <w:topLinePunct w:val="0"/>
        <w:autoSpaceDE/>
        <w:autoSpaceDN/>
        <w:bidi w:val="0"/>
        <w:adjustRightInd/>
        <w:snapToGrid/>
        <w:spacing w:line="576" w:lineRule="exact"/>
        <w:ind w:left="0" w:leftChars="0" w:right="0" w:rightChars="0"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（1）目标完成：</w:t>
      </w:r>
    </w:p>
    <w:p w14:paraId="723ADFEA">
      <w:pPr>
        <w:keepNext w:val="0"/>
        <w:keepLines w:val="0"/>
        <w:pageBreakBefore w:val="0"/>
        <w:widowControl w:val="0"/>
        <w:kinsoku/>
        <w:wordWrap w:val="0"/>
        <w:overflowPunct/>
        <w:topLinePunct w:val="0"/>
        <w:autoSpaceDE/>
        <w:autoSpaceDN/>
        <w:bidi w:val="0"/>
        <w:adjustRightInd/>
        <w:snapToGrid/>
        <w:spacing w:line="576" w:lineRule="exact"/>
        <w:ind w:left="0" w:leftChars="0" w:right="0" w:rightChars="0" w:firstLine="640" w:firstLineChars="200"/>
        <w:textAlignment w:val="auto"/>
        <w:rPr>
          <w:rFonts w:hint="default"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数量指标</w:t>
      </w:r>
      <w:r>
        <w:rPr>
          <w:rFonts w:hint="eastAsia" w:ascii="Times New Roman" w:hAnsi="Times New Roman" w:eastAsia="仿宋_GB2312" w:cs="Times New Roman"/>
          <w:sz w:val="32"/>
          <w:szCs w:val="32"/>
          <w:lang w:val="en-US" w:eastAsia="zh-CN"/>
        </w:rPr>
        <w:t>：</w:t>
      </w:r>
      <w:r>
        <w:rPr>
          <w:rFonts w:hint="eastAsia" w:eastAsia="仿宋_GB2312" w:cs="Times New Roman"/>
          <w:sz w:val="32"/>
          <w:szCs w:val="32"/>
          <w:lang w:val="en-US" w:eastAsia="zh-CN"/>
        </w:rPr>
        <w:t>灌溉保证率提升至70%；该项目实际完成灌溉保证率提升至75%。</w:t>
      </w:r>
    </w:p>
    <w:p w14:paraId="36E3E223">
      <w:pPr>
        <w:keepNext w:val="0"/>
        <w:keepLines w:val="0"/>
        <w:pageBreakBefore w:val="0"/>
        <w:widowControl w:val="0"/>
        <w:kinsoku/>
        <w:wordWrap w:val="0"/>
        <w:overflowPunct/>
        <w:topLinePunct w:val="0"/>
        <w:autoSpaceDE/>
        <w:autoSpaceDN/>
        <w:bidi w:val="0"/>
        <w:adjustRightInd/>
        <w:snapToGrid/>
        <w:spacing w:line="576" w:lineRule="exact"/>
        <w:ind w:left="0" w:leftChars="0" w:right="0" w:rightChars="0" w:firstLine="640" w:firstLineChars="200"/>
        <w:textAlignment w:val="auto"/>
        <w:rPr>
          <w:rFonts w:hint="default" w:ascii="Times New Roman" w:hAnsi="Times New Roman" w:eastAsia="仿宋_GB2312" w:cs="Times New Roman"/>
          <w:sz w:val="32"/>
          <w:szCs w:val="32"/>
          <w:lang w:val="en-US" w:eastAsia="zh-CN"/>
        </w:rPr>
      </w:pPr>
      <w:r>
        <w:rPr>
          <w:rFonts w:hint="eastAsia" w:eastAsia="仿宋_GB2312" w:cs="Times New Roman"/>
          <w:sz w:val="32"/>
          <w:szCs w:val="32"/>
          <w:lang w:val="en-US" w:eastAsia="zh-CN"/>
        </w:rPr>
        <w:t>质量指标：建立"一项目一档案"制度，2024年度该项目进行项目档案管理。</w:t>
      </w:r>
    </w:p>
    <w:p w14:paraId="7B5E74AB">
      <w:pPr>
        <w:keepNext w:val="0"/>
        <w:keepLines w:val="0"/>
        <w:pageBreakBefore w:val="0"/>
        <w:widowControl w:val="0"/>
        <w:kinsoku/>
        <w:wordWrap w:val="0"/>
        <w:overflowPunct/>
        <w:topLinePunct w:val="0"/>
        <w:autoSpaceDE/>
        <w:autoSpaceDN/>
        <w:bidi w:val="0"/>
        <w:adjustRightInd/>
        <w:snapToGrid/>
        <w:spacing w:line="576" w:lineRule="exact"/>
        <w:ind w:left="0" w:leftChars="0" w:right="0" w:rightChars="0" w:firstLine="640" w:firstLineChars="200"/>
        <w:textAlignment w:val="auto"/>
        <w:rPr>
          <w:rFonts w:hint="default" w:eastAsia="仿宋_GB2312" w:cs="Times New Roman"/>
          <w:sz w:val="32"/>
          <w:szCs w:val="32"/>
          <w:lang w:val="en-US" w:eastAsia="zh-CN"/>
        </w:rPr>
      </w:pPr>
      <w:r>
        <w:rPr>
          <w:rFonts w:hint="default" w:eastAsia="仿宋_GB2312" w:cs="Times New Roman"/>
          <w:sz w:val="32"/>
          <w:szCs w:val="32"/>
          <w:lang w:val="en-US" w:eastAsia="zh-CN"/>
        </w:rPr>
        <w:t>经济成本指标：总投资偏差率≤5%</w:t>
      </w:r>
      <w:r>
        <w:rPr>
          <w:rFonts w:hint="eastAsia" w:eastAsia="仿宋_GB2312" w:cs="Times New Roman"/>
          <w:sz w:val="32"/>
          <w:szCs w:val="32"/>
          <w:lang w:val="en-US" w:eastAsia="zh-CN"/>
        </w:rPr>
        <w:t>；该项目下达资金7513400.00元，实际支付完成7513400.00元，无投资偏差。</w:t>
      </w:r>
    </w:p>
    <w:p w14:paraId="645FEB8C">
      <w:pPr>
        <w:keepNext w:val="0"/>
        <w:keepLines w:val="0"/>
        <w:pageBreakBefore w:val="0"/>
        <w:widowControl w:val="0"/>
        <w:kinsoku/>
        <w:wordWrap w:val="0"/>
        <w:overflowPunct/>
        <w:topLinePunct w:val="0"/>
        <w:autoSpaceDE/>
        <w:autoSpaceDN/>
        <w:bidi w:val="0"/>
        <w:adjustRightInd/>
        <w:snapToGrid/>
        <w:spacing w:line="576" w:lineRule="exact"/>
        <w:ind w:left="0" w:leftChars="0" w:right="0" w:rightChars="0" w:firstLine="640" w:firstLineChars="2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自评得</w:t>
      </w:r>
      <w:r>
        <w:rPr>
          <w:rFonts w:hint="eastAsia" w:eastAsia="仿宋_GB2312" w:cs="Times New Roman"/>
          <w:sz w:val="32"/>
          <w:szCs w:val="32"/>
          <w:lang w:val="en-US" w:eastAsia="zh-CN"/>
        </w:rPr>
        <w:t>4.73</w:t>
      </w:r>
      <w:r>
        <w:rPr>
          <w:rFonts w:hint="eastAsia" w:ascii="Times New Roman" w:hAnsi="Times New Roman" w:eastAsia="仿宋_GB2312" w:cs="Times New Roman"/>
          <w:sz w:val="32"/>
          <w:szCs w:val="32"/>
          <w:lang w:val="en-US" w:eastAsia="zh-CN"/>
        </w:rPr>
        <w:t>分。</w:t>
      </w:r>
    </w:p>
    <w:p w14:paraId="6C245F42">
      <w:pPr>
        <w:keepNext w:val="0"/>
        <w:keepLines w:val="0"/>
        <w:pageBreakBefore w:val="0"/>
        <w:widowControl w:val="0"/>
        <w:kinsoku/>
        <w:wordWrap w:val="0"/>
        <w:overflowPunct/>
        <w:topLinePunct w:val="0"/>
        <w:autoSpaceDE/>
        <w:autoSpaceDN/>
        <w:bidi w:val="0"/>
        <w:adjustRightInd/>
        <w:snapToGrid/>
        <w:spacing w:line="576" w:lineRule="exact"/>
        <w:ind w:left="0" w:leftChars="0" w:right="0" w:rightChars="0" w:firstLine="640" w:firstLineChars="200"/>
        <w:textAlignment w:val="auto"/>
        <w:rPr>
          <w:rFonts w:hint="default"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color w:val="auto"/>
          <w:sz w:val="32"/>
          <w:szCs w:val="32"/>
          <w:lang w:val="en-US" w:eastAsia="zh-CN"/>
        </w:rPr>
        <w:t>（2）完成时效</w:t>
      </w:r>
    </w:p>
    <w:p w14:paraId="54A6A286">
      <w:pPr>
        <w:keepNext w:val="0"/>
        <w:keepLines w:val="0"/>
        <w:pageBreakBefore w:val="0"/>
        <w:widowControl w:val="0"/>
        <w:kinsoku/>
        <w:wordWrap w:val="0"/>
        <w:overflowPunct/>
        <w:topLinePunct w:val="0"/>
        <w:autoSpaceDE/>
        <w:autoSpaceDN/>
        <w:bidi w:val="0"/>
        <w:adjustRightInd/>
        <w:snapToGrid/>
        <w:spacing w:line="576" w:lineRule="exact"/>
        <w:ind w:left="0" w:leftChars="0" w:right="0" w:rightChars="0" w:firstLine="640" w:firstLineChars="200"/>
        <w:textAlignment w:val="auto"/>
        <w:rPr>
          <w:rFonts w:hint="default" w:ascii="Times New Roman" w:hAnsi="Times New Roman" w:eastAsia="仿宋_GB2312" w:cs="Times New Roman"/>
          <w:sz w:val="32"/>
          <w:szCs w:val="32"/>
          <w:lang w:val="en-US" w:eastAsia="zh-CN"/>
        </w:rPr>
      </w:pPr>
      <w:r>
        <w:rPr>
          <w:rFonts w:hint="eastAsia" w:eastAsia="仿宋_GB2312" w:cs="Times New Roman"/>
          <w:sz w:val="32"/>
          <w:szCs w:val="32"/>
          <w:lang w:val="en-US" w:eastAsia="zh-CN"/>
        </w:rPr>
        <w:t>资金支付进度≥10个工作日，</w:t>
      </w:r>
      <w:r>
        <w:rPr>
          <w:rFonts w:hint="eastAsia" w:ascii="Times New Roman" w:hAnsi="Times New Roman" w:eastAsia="仿宋_GB2312" w:cs="Times New Roman"/>
          <w:sz w:val="32"/>
          <w:szCs w:val="32"/>
          <w:lang w:val="en-US" w:eastAsia="zh-CN"/>
        </w:rPr>
        <w:t>2024年度我局该项目均在</w:t>
      </w:r>
      <w:r>
        <w:rPr>
          <w:rFonts w:hint="eastAsia" w:eastAsia="仿宋_GB2312" w:cs="Times New Roman"/>
          <w:sz w:val="32"/>
          <w:szCs w:val="32"/>
          <w:lang w:val="en-US" w:eastAsia="zh-CN"/>
        </w:rPr>
        <w:t>10</w:t>
      </w:r>
      <w:r>
        <w:rPr>
          <w:rFonts w:hint="eastAsia" w:ascii="Times New Roman" w:hAnsi="Times New Roman" w:eastAsia="仿宋_GB2312" w:cs="Times New Roman"/>
          <w:sz w:val="32"/>
          <w:szCs w:val="32"/>
          <w:lang w:val="en-US" w:eastAsia="zh-CN"/>
        </w:rPr>
        <w:t>个工作日内支付项目资金；资金拨付及时率</w:t>
      </w:r>
      <w:r>
        <w:rPr>
          <w:rFonts w:hint="eastAsia" w:eastAsia="仿宋_GB2312" w:cs="Times New Roman"/>
          <w:sz w:val="32"/>
          <w:szCs w:val="32"/>
          <w:lang w:val="en-US" w:eastAsia="zh-CN"/>
        </w:rPr>
        <w:t>100%，实际均及时完成</w:t>
      </w:r>
      <w:r>
        <w:rPr>
          <w:rFonts w:hint="eastAsia" w:ascii="Times New Roman" w:hAnsi="Times New Roman" w:eastAsia="仿宋_GB2312" w:cs="Times New Roman"/>
          <w:sz w:val="32"/>
          <w:szCs w:val="32"/>
          <w:lang w:val="en-US" w:eastAsia="zh-CN"/>
        </w:rPr>
        <w:t>；自评</w:t>
      </w:r>
      <w:r>
        <w:rPr>
          <w:rFonts w:hint="eastAsia" w:eastAsia="仿宋_GB2312" w:cs="Times New Roman"/>
          <w:sz w:val="32"/>
          <w:szCs w:val="32"/>
          <w:lang w:val="en-US" w:eastAsia="zh-CN"/>
        </w:rPr>
        <w:t>3</w:t>
      </w:r>
      <w:r>
        <w:rPr>
          <w:rFonts w:hint="eastAsia" w:ascii="Times New Roman" w:hAnsi="Times New Roman" w:eastAsia="仿宋_GB2312" w:cs="Times New Roman"/>
          <w:sz w:val="32"/>
          <w:szCs w:val="32"/>
          <w:lang w:val="en-US" w:eastAsia="zh-CN"/>
        </w:rPr>
        <w:t>分。</w:t>
      </w:r>
    </w:p>
    <w:p w14:paraId="1A641063">
      <w:pPr>
        <w:keepNext w:val="0"/>
        <w:keepLines w:val="0"/>
        <w:pageBreakBefore w:val="0"/>
        <w:widowControl w:val="0"/>
        <w:kinsoku/>
        <w:wordWrap w:val="0"/>
        <w:overflowPunct/>
        <w:topLinePunct w:val="0"/>
        <w:autoSpaceDE/>
        <w:autoSpaceDN/>
        <w:bidi w:val="0"/>
        <w:adjustRightInd/>
        <w:snapToGrid/>
        <w:spacing w:line="576" w:lineRule="exact"/>
        <w:ind w:right="0" w:rightChars="0" w:firstLine="643" w:firstLineChars="200"/>
        <w:textAlignment w:val="auto"/>
        <w:outlineLvl w:val="9"/>
        <w:rPr>
          <w:rFonts w:hint="eastAsia" w:ascii="楷体_GB2312" w:hAnsi="楷体_GB2312" w:eastAsia="楷体_GB2312" w:cs="楷体_GB2312"/>
          <w:color w:val="auto"/>
          <w:sz w:val="32"/>
          <w:szCs w:val="32"/>
          <w:lang w:val="zh-CN" w:eastAsia="zh-CN"/>
        </w:rPr>
      </w:pPr>
      <w:r>
        <w:rPr>
          <w:rFonts w:hint="eastAsia" w:ascii="楷体_GB2312" w:hAnsi="宋体" w:eastAsia="楷体_GB2312" w:cs="Times New Roman"/>
          <w:b/>
          <w:color w:val="auto"/>
          <w:sz w:val="32"/>
          <w:szCs w:val="32"/>
          <w:highlight w:val="none"/>
          <w:u w:val="none"/>
          <w:lang w:val="zh-CN"/>
        </w:rPr>
        <w:t>（二）</w:t>
      </w:r>
      <w:r>
        <w:rPr>
          <w:rFonts w:hint="eastAsia" w:ascii="楷体_GB2312" w:hAnsi="宋体" w:eastAsia="楷体_GB2312" w:cs="Times New Roman"/>
          <w:b/>
          <w:color w:val="auto"/>
          <w:sz w:val="32"/>
          <w:szCs w:val="32"/>
          <w:highlight w:val="none"/>
          <w:u w:val="none"/>
          <w:lang w:val="en-US" w:eastAsia="zh-CN"/>
        </w:rPr>
        <w:t>专用指标</w:t>
      </w:r>
      <w:r>
        <w:rPr>
          <w:rFonts w:hint="default" w:ascii="Times New Roman" w:hAnsi="Times New Roman" w:eastAsia="楷体_GB2312" w:cs="Times New Roman"/>
          <w:b/>
          <w:bCs/>
          <w:color w:val="000000"/>
          <w:kern w:val="0"/>
          <w:sz w:val="32"/>
          <w:szCs w:val="32"/>
          <w:highlight w:val="none"/>
          <w:shd w:val="clear" w:color="auto" w:fill="FFFFFF"/>
          <w:lang w:val="zh-CN"/>
        </w:rPr>
        <w:t>绩效分析。</w:t>
      </w:r>
      <w:r>
        <w:rPr>
          <w:rFonts w:hint="eastAsia" w:ascii="Times New Roman" w:hAnsi="Times New Roman" w:eastAsia="仿宋_GB2312" w:cs="Times New Roman"/>
          <w:color w:val="auto"/>
          <w:sz w:val="32"/>
          <w:szCs w:val="32"/>
          <w:lang w:val="zh-CN" w:eastAsia="zh-CN"/>
        </w:rPr>
        <w:t>根据</w:t>
      </w:r>
      <w:r>
        <w:rPr>
          <w:rFonts w:hint="eastAsia" w:ascii="Times New Roman" w:hAnsi="Times New Roman" w:eastAsia="仿宋_GB2312" w:cs="Times New Roman"/>
          <w:color w:val="auto"/>
          <w:sz w:val="32"/>
          <w:szCs w:val="32"/>
          <w:lang w:val="en-US" w:eastAsia="zh-CN"/>
        </w:rPr>
        <w:t>专项</w:t>
      </w:r>
      <w:r>
        <w:rPr>
          <w:rFonts w:hint="eastAsia" w:eastAsia="仿宋_GB2312" w:cs="Times New Roman"/>
          <w:color w:val="auto"/>
          <w:sz w:val="32"/>
          <w:szCs w:val="32"/>
          <w:lang w:val="en-US" w:eastAsia="zh-CN"/>
        </w:rPr>
        <w:t>资金资金支持对象</w:t>
      </w:r>
      <w:r>
        <w:rPr>
          <w:rFonts w:hint="eastAsia" w:ascii="Times New Roman" w:hAnsi="Times New Roman" w:eastAsia="仿宋_GB2312" w:cs="Times New Roman"/>
          <w:color w:val="auto"/>
          <w:sz w:val="32"/>
          <w:szCs w:val="32"/>
          <w:lang w:val="en-US" w:eastAsia="zh-CN"/>
        </w:rPr>
        <w:t>选择所属指标进行绩效分析。</w:t>
      </w:r>
      <w:r>
        <w:rPr>
          <w:rFonts w:hint="eastAsia" w:eastAsia="仿宋_GB2312" w:cs="Times New Roman"/>
          <w:color w:val="auto"/>
          <w:sz w:val="32"/>
          <w:szCs w:val="32"/>
          <w:lang w:val="en-US" w:eastAsia="zh-CN"/>
        </w:rPr>
        <w:t>支持对象</w:t>
      </w:r>
      <w:r>
        <w:rPr>
          <w:rFonts w:hint="eastAsia" w:ascii="Times New Roman" w:hAnsi="Times New Roman" w:eastAsia="仿宋_GB2312" w:cs="Times New Roman"/>
          <w:color w:val="auto"/>
          <w:sz w:val="32"/>
          <w:szCs w:val="32"/>
          <w:lang w:val="zh-CN" w:eastAsia="zh-CN"/>
        </w:rPr>
        <w:t>包括产业发展、民生保障、基础设施、行政运转等方面。</w:t>
      </w:r>
    </w:p>
    <w:p w14:paraId="16E88A6D">
      <w:pPr>
        <w:keepNext w:val="0"/>
        <w:keepLines w:val="0"/>
        <w:pageBreakBefore w:val="0"/>
        <w:widowControl w:val="0"/>
        <w:kinsoku/>
        <w:wordWrap w:val="0"/>
        <w:overflowPunct/>
        <w:topLinePunct w:val="0"/>
        <w:autoSpaceDE/>
        <w:autoSpaceDN/>
        <w:bidi w:val="0"/>
        <w:adjustRightInd/>
        <w:snapToGrid/>
        <w:spacing w:line="576" w:lineRule="exact"/>
        <w:ind w:left="0" w:leftChars="0" w:right="0" w:rightChars="0" w:firstLine="640" w:firstLineChars="200"/>
        <w:textAlignment w:val="auto"/>
        <w:outlineLvl w:val="9"/>
        <w:rPr>
          <w:rFonts w:hint="eastAsia" w:eastAsia="仿宋_GB2312" w:cs="Times New Roman"/>
          <w:color w:val="auto"/>
          <w:sz w:val="32"/>
          <w:szCs w:val="32"/>
          <w:lang w:eastAsia="zh-CN"/>
        </w:rPr>
      </w:pPr>
      <w:r>
        <w:rPr>
          <w:rFonts w:hint="eastAsia" w:ascii="楷体_GB2312" w:hAnsi="楷体_GB2312" w:eastAsia="楷体_GB2312" w:cs="楷体_GB2312"/>
          <w:color w:val="auto"/>
          <w:sz w:val="32"/>
          <w:szCs w:val="32"/>
          <w:lang w:val="en-US" w:eastAsia="zh-CN"/>
        </w:rPr>
        <w:t>1.产业发展。</w:t>
      </w:r>
      <w:r>
        <w:rPr>
          <w:rFonts w:hint="eastAsia" w:ascii="Times New Roman" w:hAnsi="Times New Roman" w:eastAsia="仿宋_GB2312" w:cs="Times New Roman"/>
          <w:color w:val="auto"/>
          <w:sz w:val="32"/>
          <w:szCs w:val="32"/>
          <w:lang w:eastAsia="zh-CN"/>
        </w:rPr>
        <w:t>围绕</w:t>
      </w:r>
      <w:r>
        <w:rPr>
          <w:rFonts w:hint="eastAsia" w:eastAsia="仿宋_GB2312" w:cs="Times New Roman"/>
          <w:color w:val="auto"/>
          <w:sz w:val="32"/>
          <w:szCs w:val="32"/>
          <w:lang w:eastAsia="zh-CN"/>
        </w:rPr>
        <w:t>符合性、成长性、经济性进行绩效分析。</w:t>
      </w:r>
    </w:p>
    <w:p w14:paraId="5FB18637">
      <w:pPr>
        <w:keepNext w:val="0"/>
        <w:keepLines w:val="0"/>
        <w:pageBreakBefore w:val="0"/>
        <w:widowControl w:val="0"/>
        <w:kinsoku/>
        <w:wordWrap w:val="0"/>
        <w:overflowPunct/>
        <w:topLinePunct w:val="0"/>
        <w:autoSpaceDE/>
        <w:autoSpaceDN/>
        <w:bidi w:val="0"/>
        <w:adjustRightInd/>
        <w:snapToGrid/>
        <w:spacing w:line="576" w:lineRule="exact"/>
        <w:ind w:left="0" w:leftChars="0" w:right="0" w:rightChars="0" w:firstLine="640" w:firstLineChars="2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该项目实施属于</w:t>
      </w:r>
      <w:r>
        <w:rPr>
          <w:rFonts w:hint="eastAsia" w:eastAsia="仿宋_GB2312" w:cs="Times New Roman"/>
          <w:sz w:val="32"/>
          <w:szCs w:val="32"/>
          <w:lang w:val="en-US" w:eastAsia="zh-CN"/>
        </w:rPr>
        <w:t>安居区“推进乡村振兴，实现农业强区跨越式发展”“十四五”规划</w:t>
      </w:r>
      <w:r>
        <w:rPr>
          <w:rFonts w:hint="eastAsia" w:ascii="Times New Roman" w:hAnsi="Times New Roman" w:eastAsia="仿宋_GB2312" w:cs="Times New Roman"/>
          <w:sz w:val="32"/>
          <w:szCs w:val="32"/>
          <w:lang w:val="en-US" w:eastAsia="zh-CN"/>
        </w:rPr>
        <w:t>内容，属于政府支持范围，且符合财政事权支出责任划分规定；资金投向与项目总体规划、</w:t>
      </w:r>
      <w:r>
        <w:rPr>
          <w:rFonts w:hint="eastAsia" w:eastAsia="仿宋_GB2312" w:cs="Times New Roman"/>
          <w:sz w:val="32"/>
          <w:szCs w:val="32"/>
          <w:lang w:val="en-US" w:eastAsia="zh-CN"/>
        </w:rPr>
        <w:t>水利建设</w:t>
      </w:r>
      <w:r>
        <w:rPr>
          <w:rFonts w:hint="eastAsia" w:ascii="Times New Roman" w:hAnsi="Times New Roman" w:eastAsia="仿宋_GB2312" w:cs="Times New Roman"/>
          <w:sz w:val="32"/>
          <w:szCs w:val="32"/>
          <w:lang w:val="en-US" w:eastAsia="zh-CN"/>
        </w:rPr>
        <w:t>事业发展相匹配；自评得5分。</w:t>
      </w:r>
    </w:p>
    <w:p w14:paraId="12B8DDFB">
      <w:pPr>
        <w:keepNext w:val="0"/>
        <w:keepLines w:val="0"/>
        <w:pageBreakBefore w:val="0"/>
        <w:widowControl w:val="0"/>
        <w:kinsoku/>
        <w:wordWrap w:val="0"/>
        <w:overflowPunct/>
        <w:topLinePunct w:val="0"/>
        <w:autoSpaceDE/>
        <w:autoSpaceDN/>
        <w:bidi w:val="0"/>
        <w:adjustRightInd/>
        <w:snapToGrid/>
        <w:spacing w:line="576" w:lineRule="exact"/>
        <w:ind w:left="0" w:leftChars="0" w:right="0" w:rightChars="0" w:firstLine="640" w:firstLineChars="200"/>
        <w:textAlignment w:val="auto"/>
        <w:outlineLvl w:val="9"/>
        <w:rPr>
          <w:rFonts w:hint="eastAsia" w:eastAsia="仿宋_GB2312" w:cs="Times New Roman"/>
          <w:color w:val="auto"/>
          <w:sz w:val="32"/>
          <w:szCs w:val="32"/>
          <w:lang w:eastAsia="zh-CN"/>
        </w:rPr>
      </w:pPr>
      <w:r>
        <w:rPr>
          <w:rFonts w:hint="eastAsia" w:ascii="楷体_GB2312" w:hAnsi="楷体_GB2312" w:eastAsia="楷体_GB2312" w:cs="楷体_GB2312"/>
          <w:color w:val="auto"/>
          <w:sz w:val="32"/>
          <w:szCs w:val="32"/>
          <w:lang w:val="en-US" w:eastAsia="zh-CN"/>
        </w:rPr>
        <w:t>2.</w:t>
      </w:r>
      <w:r>
        <w:rPr>
          <w:rFonts w:hint="eastAsia" w:ascii="楷体_GB2312" w:hAnsi="楷体_GB2312" w:eastAsia="楷体_GB2312" w:cs="楷体_GB2312"/>
          <w:color w:val="auto"/>
          <w:sz w:val="32"/>
          <w:szCs w:val="32"/>
          <w:lang w:val="zh-CN" w:eastAsia="zh-CN"/>
        </w:rPr>
        <w:t>民生保障。</w:t>
      </w:r>
      <w:r>
        <w:rPr>
          <w:rFonts w:hint="eastAsia" w:ascii="Times New Roman" w:hAnsi="Times New Roman" w:eastAsia="仿宋_GB2312" w:cs="Times New Roman"/>
          <w:color w:val="auto"/>
          <w:sz w:val="32"/>
          <w:szCs w:val="32"/>
          <w:lang w:eastAsia="zh-CN"/>
        </w:rPr>
        <w:t>围绕</w:t>
      </w:r>
      <w:r>
        <w:rPr>
          <w:rFonts w:hint="eastAsia" w:eastAsia="仿宋_GB2312" w:cs="Times New Roman"/>
          <w:color w:val="auto"/>
          <w:sz w:val="32"/>
          <w:szCs w:val="32"/>
          <w:lang w:eastAsia="zh-CN"/>
        </w:rPr>
        <w:t>区域均衡性、对象精准性、标准合理性、群总满意度进行绩效分析。</w:t>
      </w:r>
    </w:p>
    <w:p w14:paraId="27EE160A">
      <w:pPr>
        <w:keepNext w:val="0"/>
        <w:keepLines w:val="0"/>
        <w:pageBreakBefore w:val="0"/>
        <w:widowControl w:val="0"/>
        <w:kinsoku/>
        <w:wordWrap w:val="0"/>
        <w:overflowPunct/>
        <w:topLinePunct w:val="0"/>
        <w:autoSpaceDE/>
        <w:autoSpaceDN/>
        <w:bidi w:val="0"/>
        <w:adjustRightInd/>
        <w:snapToGrid/>
        <w:spacing w:line="576" w:lineRule="exact"/>
        <w:ind w:left="0" w:leftChars="0" w:right="0" w:rightChars="0"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（1）区域均衡性：该项目由“</w:t>
      </w:r>
      <w:r>
        <w:rPr>
          <w:rFonts w:hint="eastAsia" w:eastAsia="仿宋_GB2312" w:cs="Times New Roman"/>
          <w:sz w:val="32"/>
          <w:szCs w:val="32"/>
          <w:lang w:val="en-US" w:eastAsia="zh-CN"/>
        </w:rPr>
        <w:t>遂财建【2024】85号</w:t>
      </w:r>
      <w:r>
        <w:rPr>
          <w:rFonts w:hint="eastAsia" w:ascii="Times New Roman" w:hAnsi="Times New Roman" w:eastAsia="仿宋_GB2312" w:cs="Times New Roman"/>
          <w:sz w:val="32"/>
          <w:szCs w:val="32"/>
          <w:lang w:val="en-US" w:eastAsia="zh-CN"/>
        </w:rPr>
        <w:t>”文件分配，我局所属地区分配符合实际，自评得5分。</w:t>
      </w:r>
    </w:p>
    <w:p w14:paraId="26CB92FC">
      <w:pPr>
        <w:keepNext w:val="0"/>
        <w:keepLines w:val="0"/>
        <w:pageBreakBefore w:val="0"/>
        <w:widowControl w:val="0"/>
        <w:kinsoku/>
        <w:wordWrap w:val="0"/>
        <w:overflowPunct/>
        <w:topLinePunct w:val="0"/>
        <w:autoSpaceDE/>
        <w:autoSpaceDN/>
        <w:bidi w:val="0"/>
        <w:adjustRightInd/>
        <w:snapToGrid/>
        <w:spacing w:line="576" w:lineRule="exact"/>
        <w:ind w:left="0" w:leftChars="0" w:right="0" w:rightChars="0" w:firstLine="640" w:firstLineChars="200"/>
        <w:textAlignment w:val="auto"/>
        <w:rPr>
          <w:rFonts w:hint="default" w:eastAsia="仿宋_GB2312"/>
          <w:sz w:val="32"/>
          <w:szCs w:val="32"/>
          <w:lang w:val="en-US" w:eastAsia="zh-CN"/>
        </w:rPr>
      </w:pPr>
      <w:r>
        <w:rPr>
          <w:rFonts w:hint="eastAsia" w:ascii="Times New Roman" w:hAnsi="Times New Roman" w:eastAsia="仿宋_GB2312" w:cs="Times New Roman"/>
          <w:sz w:val="32"/>
          <w:szCs w:val="32"/>
          <w:lang w:val="en-US" w:eastAsia="zh-CN"/>
        </w:rPr>
        <w:t>（2）标准合理性：该项目针对项目实施支付的</w:t>
      </w:r>
      <w:r>
        <w:rPr>
          <w:rFonts w:hint="eastAsia" w:eastAsia="仿宋_GB2312" w:cs="Times New Roman"/>
          <w:sz w:val="32"/>
          <w:szCs w:val="32"/>
          <w:lang w:val="en-US" w:eastAsia="zh-CN"/>
        </w:rPr>
        <w:t>1</w:t>
      </w:r>
      <w:r>
        <w:rPr>
          <w:rFonts w:hint="eastAsia" w:ascii="Times New Roman" w:hAnsi="Times New Roman" w:eastAsia="仿宋_GB2312" w:cs="Times New Roman"/>
          <w:sz w:val="32"/>
          <w:szCs w:val="32"/>
          <w:lang w:val="en-US" w:eastAsia="zh-CN"/>
        </w:rPr>
        <w:t>笔</w:t>
      </w:r>
      <w:r>
        <w:rPr>
          <w:rFonts w:hint="eastAsia" w:eastAsia="仿宋_GB2312" w:cs="Times New Roman"/>
          <w:sz w:val="32"/>
          <w:szCs w:val="32"/>
          <w:lang w:val="en-US" w:eastAsia="zh-CN"/>
        </w:rPr>
        <w:t>7513400.00</w:t>
      </w:r>
      <w:r>
        <w:rPr>
          <w:rFonts w:hint="eastAsia" w:ascii="Times New Roman" w:hAnsi="Times New Roman" w:eastAsia="仿宋_GB2312" w:cs="Times New Roman"/>
          <w:sz w:val="32"/>
          <w:szCs w:val="32"/>
          <w:lang w:val="en-US" w:eastAsia="zh-CN"/>
        </w:rPr>
        <w:t>元，进行了抽样调查，未发现</w:t>
      </w:r>
      <w:r>
        <w:rPr>
          <w:rFonts w:hint="eastAsia" w:eastAsia="仿宋_GB2312" w:cs="Times New Roman"/>
          <w:sz w:val="32"/>
          <w:szCs w:val="32"/>
          <w:lang w:val="en-US" w:eastAsia="zh-CN"/>
        </w:rPr>
        <w:t>惠及乡镇水利区域、人群</w:t>
      </w:r>
      <w:r>
        <w:rPr>
          <w:rFonts w:hint="eastAsia" w:ascii="Times New Roman" w:hAnsi="Times New Roman" w:eastAsia="仿宋_GB2312" w:cs="Times New Roman"/>
          <w:sz w:val="32"/>
          <w:szCs w:val="32"/>
          <w:lang w:val="en-US" w:eastAsia="zh-CN"/>
        </w:rPr>
        <w:t>存在异常情况，自评得5分</w:t>
      </w:r>
      <w:r>
        <w:rPr>
          <w:rFonts w:hint="eastAsia" w:eastAsia="仿宋_GB2312" w:cs="Times New Roman"/>
          <w:sz w:val="32"/>
          <w:szCs w:val="32"/>
          <w:lang w:val="en-US" w:eastAsia="zh-CN"/>
        </w:rPr>
        <w:t>。</w:t>
      </w:r>
    </w:p>
    <w:p w14:paraId="54FF9B8D">
      <w:pPr>
        <w:keepNext w:val="0"/>
        <w:keepLines w:val="0"/>
        <w:pageBreakBefore w:val="0"/>
        <w:widowControl w:val="0"/>
        <w:numPr>
          <w:ilvl w:val="0"/>
          <w:numId w:val="0"/>
        </w:numPr>
        <w:kinsoku/>
        <w:wordWrap w:val="0"/>
        <w:overflowPunct/>
        <w:topLinePunct w:val="0"/>
        <w:autoSpaceDE/>
        <w:autoSpaceDN/>
        <w:bidi w:val="0"/>
        <w:adjustRightInd w:val="0"/>
        <w:snapToGrid w:val="0"/>
        <w:spacing w:beforeLines="0" w:afterLines="0" w:line="576" w:lineRule="exact"/>
        <w:ind w:firstLine="640" w:firstLineChars="200"/>
        <w:textAlignment w:val="auto"/>
        <w:outlineLvl w:val="9"/>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（3）群</w:t>
      </w:r>
      <w:r>
        <w:rPr>
          <w:rFonts w:hint="eastAsia" w:eastAsia="仿宋_GB2312" w:cs="Times New Roman"/>
          <w:sz w:val="32"/>
          <w:szCs w:val="32"/>
          <w:lang w:val="en-US" w:eastAsia="zh-CN"/>
        </w:rPr>
        <w:t>众</w:t>
      </w:r>
      <w:r>
        <w:rPr>
          <w:rFonts w:hint="eastAsia" w:ascii="Times New Roman" w:hAnsi="Times New Roman" w:eastAsia="仿宋_GB2312" w:cs="Times New Roman"/>
          <w:sz w:val="32"/>
          <w:szCs w:val="32"/>
          <w:lang w:val="en-US" w:eastAsia="zh-CN"/>
        </w:rPr>
        <w:t>满意度：群众满意度9</w:t>
      </w:r>
      <w:r>
        <w:rPr>
          <w:rFonts w:hint="eastAsia" w:eastAsia="仿宋_GB2312" w:cs="Times New Roman"/>
          <w:sz w:val="32"/>
          <w:szCs w:val="32"/>
          <w:lang w:val="en-US" w:eastAsia="zh-CN"/>
        </w:rPr>
        <w:t>0</w:t>
      </w:r>
      <w:r>
        <w:rPr>
          <w:rFonts w:hint="eastAsia" w:ascii="Times New Roman" w:hAnsi="Times New Roman" w:eastAsia="仿宋_GB2312" w:cs="Times New Roman"/>
          <w:sz w:val="32"/>
          <w:szCs w:val="32"/>
          <w:lang w:val="en-US" w:eastAsia="zh-CN"/>
        </w:rPr>
        <w:t>%，</w:t>
      </w:r>
      <w:r>
        <w:rPr>
          <w:rFonts w:hint="eastAsia" w:eastAsia="仿宋_GB2312" w:cs="Times New Roman"/>
          <w:sz w:val="32"/>
          <w:szCs w:val="32"/>
          <w:lang w:val="en-US" w:eastAsia="zh-CN"/>
        </w:rPr>
        <w:t>项目</w:t>
      </w:r>
      <w:r>
        <w:rPr>
          <w:rFonts w:hint="eastAsia" w:ascii="Times New Roman" w:hAnsi="Times New Roman" w:eastAsia="仿宋_GB2312" w:cs="Times New Roman"/>
          <w:sz w:val="32"/>
          <w:szCs w:val="32"/>
          <w:lang w:val="en-US" w:eastAsia="zh-CN"/>
        </w:rPr>
        <w:t>完成后，</w:t>
      </w:r>
      <w:r>
        <w:rPr>
          <w:rFonts w:hint="eastAsia" w:eastAsia="仿宋_GB2312" w:cs="Times New Roman"/>
          <w:sz w:val="32"/>
          <w:szCs w:val="32"/>
          <w:lang w:val="en-US" w:eastAsia="zh-CN"/>
        </w:rPr>
        <w:t>惠及</w:t>
      </w:r>
      <w:r>
        <w:rPr>
          <w:rFonts w:hint="eastAsia" w:ascii="Times New Roman" w:hAnsi="Times New Roman" w:eastAsia="仿宋_GB2312" w:cs="Times New Roman"/>
          <w:sz w:val="32"/>
          <w:szCs w:val="32"/>
          <w:lang w:val="en-US" w:eastAsia="zh-CN"/>
        </w:rPr>
        <w:t>乡镇</w:t>
      </w:r>
      <w:r>
        <w:rPr>
          <w:rFonts w:hint="eastAsia" w:eastAsia="仿宋_GB2312" w:cs="Times New Roman"/>
          <w:sz w:val="32"/>
          <w:szCs w:val="32"/>
          <w:lang w:val="en-US" w:eastAsia="zh-CN"/>
        </w:rPr>
        <w:t>与</w:t>
      </w:r>
      <w:r>
        <w:rPr>
          <w:rFonts w:hint="eastAsia" w:ascii="Times New Roman" w:hAnsi="Times New Roman" w:eastAsia="仿宋_GB2312" w:cs="Times New Roman"/>
          <w:sz w:val="32"/>
          <w:szCs w:val="32"/>
          <w:lang w:val="en-US" w:eastAsia="zh-CN"/>
        </w:rPr>
        <w:t>人口</w:t>
      </w:r>
      <w:r>
        <w:rPr>
          <w:rFonts w:hint="eastAsia" w:eastAsia="仿宋_GB2312" w:cs="Times New Roman"/>
          <w:sz w:val="32"/>
          <w:szCs w:val="32"/>
          <w:lang w:val="en-US" w:eastAsia="zh-CN"/>
        </w:rPr>
        <w:t>2个乡镇、3万人，灌溉保证率提升至70%</w:t>
      </w:r>
      <w:r>
        <w:rPr>
          <w:rFonts w:hint="eastAsia" w:ascii="Times New Roman" w:hAnsi="Times New Roman" w:eastAsia="仿宋_GB2312" w:cs="Times New Roman"/>
          <w:sz w:val="32"/>
          <w:szCs w:val="32"/>
          <w:lang w:val="en-US" w:eastAsia="zh-CN"/>
        </w:rPr>
        <w:t>；</w:t>
      </w:r>
      <w:r>
        <w:rPr>
          <w:rFonts w:hint="eastAsia" w:eastAsia="仿宋_GB2312" w:cs="Times New Roman"/>
          <w:sz w:val="32"/>
          <w:szCs w:val="32"/>
          <w:lang w:val="en-US" w:eastAsia="zh-CN"/>
        </w:rPr>
        <w:t>未发现存在群众不满意、投诉等情况，</w:t>
      </w:r>
      <w:r>
        <w:rPr>
          <w:rFonts w:hint="eastAsia" w:ascii="Times New Roman" w:hAnsi="Times New Roman" w:eastAsia="仿宋_GB2312" w:cs="Times New Roman"/>
          <w:sz w:val="32"/>
          <w:szCs w:val="32"/>
          <w:lang w:val="en-US" w:eastAsia="zh-CN"/>
        </w:rPr>
        <w:t>自评得</w:t>
      </w:r>
      <w:r>
        <w:rPr>
          <w:rFonts w:hint="eastAsia" w:eastAsia="仿宋_GB2312" w:cs="Times New Roman"/>
          <w:sz w:val="32"/>
          <w:szCs w:val="32"/>
          <w:lang w:val="en-US" w:eastAsia="zh-CN"/>
        </w:rPr>
        <w:t>6</w:t>
      </w:r>
      <w:r>
        <w:rPr>
          <w:rFonts w:hint="eastAsia" w:ascii="Times New Roman" w:hAnsi="Times New Roman" w:eastAsia="仿宋_GB2312" w:cs="Times New Roman"/>
          <w:sz w:val="32"/>
          <w:szCs w:val="32"/>
          <w:lang w:val="en-US" w:eastAsia="zh-CN"/>
        </w:rPr>
        <w:t>分。</w:t>
      </w:r>
    </w:p>
    <w:p w14:paraId="7DD7DD1F">
      <w:pPr>
        <w:keepNext w:val="0"/>
        <w:keepLines w:val="0"/>
        <w:pageBreakBefore w:val="0"/>
        <w:widowControl w:val="0"/>
        <w:kinsoku/>
        <w:wordWrap w:val="0"/>
        <w:overflowPunct/>
        <w:topLinePunct w:val="0"/>
        <w:autoSpaceDE/>
        <w:autoSpaceDN/>
        <w:bidi w:val="0"/>
        <w:adjustRightInd/>
        <w:snapToGrid/>
        <w:spacing w:line="576" w:lineRule="exact"/>
        <w:ind w:left="0" w:leftChars="0" w:right="0" w:rightChars="0" w:firstLine="640" w:firstLineChars="200"/>
        <w:textAlignment w:val="auto"/>
        <w:outlineLvl w:val="9"/>
        <w:rPr>
          <w:rFonts w:hint="eastAsia" w:eastAsia="仿宋_GB2312" w:cs="Times New Roman"/>
          <w:color w:val="auto"/>
          <w:sz w:val="32"/>
          <w:szCs w:val="32"/>
          <w:lang w:val="zh-CN" w:eastAsia="zh-CN"/>
        </w:rPr>
      </w:pPr>
      <w:r>
        <w:rPr>
          <w:rFonts w:hint="eastAsia" w:ascii="楷体_GB2312" w:hAnsi="楷体_GB2312" w:eastAsia="楷体_GB2312" w:cs="楷体_GB2312"/>
          <w:color w:val="auto"/>
          <w:sz w:val="32"/>
          <w:szCs w:val="32"/>
          <w:lang w:val="en-US" w:eastAsia="zh-CN"/>
        </w:rPr>
        <w:t>4.</w:t>
      </w:r>
      <w:r>
        <w:rPr>
          <w:rFonts w:hint="eastAsia" w:ascii="楷体_GB2312" w:hAnsi="楷体_GB2312" w:eastAsia="楷体_GB2312" w:cs="楷体_GB2312"/>
          <w:color w:val="auto"/>
          <w:sz w:val="32"/>
          <w:szCs w:val="32"/>
          <w:lang w:val="zh-CN" w:eastAsia="zh-CN"/>
        </w:rPr>
        <w:t>行政运转。</w:t>
      </w:r>
      <w:r>
        <w:rPr>
          <w:rFonts w:hint="eastAsia" w:eastAsia="仿宋_GB2312" w:cs="Times New Roman"/>
          <w:color w:val="auto"/>
          <w:sz w:val="32"/>
          <w:szCs w:val="32"/>
          <w:lang w:val="zh-CN" w:eastAsia="zh-CN"/>
        </w:rPr>
        <w:t>围绕用途合规性、程序合规性、标准合规性进行绩效分析。</w:t>
      </w:r>
    </w:p>
    <w:p w14:paraId="702526B5">
      <w:pPr>
        <w:keepNext w:val="0"/>
        <w:keepLines w:val="0"/>
        <w:pageBreakBefore w:val="0"/>
        <w:widowControl w:val="0"/>
        <w:kinsoku/>
        <w:wordWrap w:val="0"/>
        <w:overflowPunct/>
        <w:topLinePunct w:val="0"/>
        <w:autoSpaceDE/>
        <w:autoSpaceDN/>
        <w:bidi w:val="0"/>
        <w:adjustRightInd/>
        <w:snapToGrid/>
        <w:spacing w:line="576" w:lineRule="exact"/>
        <w:ind w:left="0" w:leftChars="0" w:right="0" w:rightChars="0" w:firstLine="640" w:firstLineChars="2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用途合规：该项目用途符合“</w:t>
      </w:r>
      <w:r>
        <w:rPr>
          <w:rFonts w:hint="eastAsia" w:eastAsia="仿宋_GB2312" w:cs="Times New Roman"/>
          <w:sz w:val="32"/>
          <w:szCs w:val="32"/>
          <w:lang w:val="en-US" w:eastAsia="zh-CN"/>
        </w:rPr>
        <w:t>遂财建【2024】85号</w:t>
      </w:r>
      <w:r>
        <w:rPr>
          <w:rFonts w:hint="eastAsia" w:ascii="Times New Roman" w:hAnsi="Times New Roman" w:eastAsia="仿宋_GB2312" w:cs="Times New Roman"/>
          <w:sz w:val="32"/>
          <w:szCs w:val="32"/>
          <w:lang w:val="en-US" w:eastAsia="zh-CN"/>
        </w:rPr>
        <w:t>”文件规定内容</w:t>
      </w:r>
      <w:r>
        <w:rPr>
          <w:rFonts w:hint="eastAsia" w:eastAsia="仿宋_GB2312" w:cs="Times New Roman"/>
          <w:sz w:val="32"/>
          <w:szCs w:val="32"/>
          <w:lang w:val="en-US" w:eastAsia="zh-CN"/>
        </w:rPr>
        <w:t>，</w:t>
      </w:r>
      <w:r>
        <w:rPr>
          <w:rFonts w:hint="eastAsia" w:ascii="Times New Roman" w:hAnsi="Times New Roman" w:eastAsia="仿宋_GB2312" w:cs="Times New Roman"/>
          <w:sz w:val="32"/>
          <w:szCs w:val="32"/>
          <w:lang w:val="en-US" w:eastAsia="zh-CN"/>
        </w:rPr>
        <w:t>自评得</w:t>
      </w:r>
      <w:r>
        <w:rPr>
          <w:rFonts w:hint="eastAsia" w:eastAsia="仿宋_GB2312" w:cs="Times New Roman"/>
          <w:sz w:val="32"/>
          <w:szCs w:val="32"/>
          <w:lang w:val="en-US" w:eastAsia="zh-CN"/>
        </w:rPr>
        <w:t>3</w:t>
      </w:r>
      <w:r>
        <w:rPr>
          <w:rFonts w:hint="eastAsia" w:ascii="Times New Roman" w:hAnsi="Times New Roman" w:eastAsia="仿宋_GB2312" w:cs="Times New Roman"/>
          <w:sz w:val="32"/>
          <w:szCs w:val="32"/>
          <w:lang w:val="en-US" w:eastAsia="zh-CN"/>
        </w:rPr>
        <w:t>分。</w:t>
      </w:r>
    </w:p>
    <w:p w14:paraId="291DE8EC">
      <w:pPr>
        <w:keepNext w:val="0"/>
        <w:keepLines w:val="0"/>
        <w:pageBreakBefore w:val="0"/>
        <w:widowControl w:val="0"/>
        <w:kinsoku/>
        <w:wordWrap w:val="0"/>
        <w:overflowPunct/>
        <w:topLinePunct w:val="0"/>
        <w:autoSpaceDE/>
        <w:autoSpaceDN/>
        <w:bidi w:val="0"/>
        <w:adjustRightInd/>
        <w:snapToGrid/>
        <w:spacing w:line="576" w:lineRule="exact"/>
        <w:ind w:right="0" w:rightChars="0" w:firstLine="640"/>
        <w:textAlignment w:val="auto"/>
        <w:outlineLvl w:val="9"/>
        <w:rPr>
          <w:rFonts w:hint="eastAsia" w:eastAsia="仿宋_GB2312" w:cs="Times New Roman"/>
          <w:color w:val="auto"/>
          <w:sz w:val="32"/>
          <w:szCs w:val="32"/>
          <w:lang w:val="zh-CN" w:eastAsia="zh-CN"/>
        </w:rPr>
      </w:pPr>
      <w:r>
        <w:rPr>
          <w:rFonts w:hint="eastAsia" w:ascii="楷体_GB2312" w:hAnsi="宋体" w:eastAsia="楷体_GB2312" w:cs="Times New Roman"/>
          <w:b/>
          <w:color w:val="auto"/>
          <w:sz w:val="32"/>
          <w:szCs w:val="32"/>
          <w:highlight w:val="none"/>
          <w:u w:val="none"/>
          <w:lang w:val="zh-CN"/>
        </w:rPr>
        <w:t>（三）</w:t>
      </w:r>
      <w:r>
        <w:rPr>
          <w:rFonts w:hint="eastAsia" w:ascii="楷体_GB2312" w:hAnsi="宋体" w:eastAsia="楷体_GB2312" w:cs="Times New Roman"/>
          <w:b/>
          <w:color w:val="auto"/>
          <w:sz w:val="32"/>
          <w:szCs w:val="32"/>
          <w:highlight w:val="none"/>
          <w:u w:val="none"/>
          <w:lang w:val="en-US" w:eastAsia="zh-CN"/>
        </w:rPr>
        <w:t>个性指标</w:t>
      </w:r>
      <w:r>
        <w:rPr>
          <w:rFonts w:hint="default" w:ascii="Times New Roman" w:hAnsi="Times New Roman" w:eastAsia="楷体_GB2312" w:cs="Times New Roman"/>
          <w:b/>
          <w:bCs/>
          <w:color w:val="000000"/>
          <w:kern w:val="0"/>
          <w:sz w:val="32"/>
          <w:szCs w:val="32"/>
          <w:highlight w:val="none"/>
          <w:shd w:val="clear" w:color="auto" w:fill="FFFFFF"/>
          <w:lang w:val="zh-CN"/>
        </w:rPr>
        <w:t>绩效分析。</w:t>
      </w:r>
      <w:r>
        <w:rPr>
          <w:rFonts w:hint="eastAsia" w:eastAsia="仿宋_GB2312" w:cs="Times New Roman"/>
          <w:color w:val="auto"/>
          <w:sz w:val="32"/>
          <w:szCs w:val="32"/>
          <w:lang w:val="zh-CN" w:eastAsia="zh-CN"/>
        </w:rPr>
        <w:t>根据项目个性自行设定部分指标，反映该项指标执行完成情况。</w:t>
      </w:r>
    </w:p>
    <w:p w14:paraId="1A7E6A36">
      <w:pPr>
        <w:keepNext w:val="0"/>
        <w:keepLines w:val="0"/>
        <w:pageBreakBefore w:val="0"/>
        <w:widowControl w:val="0"/>
        <w:kinsoku/>
        <w:wordWrap w:val="0"/>
        <w:overflowPunct/>
        <w:topLinePunct w:val="0"/>
        <w:autoSpaceDE/>
        <w:autoSpaceDN/>
        <w:bidi w:val="0"/>
        <w:adjustRightInd/>
        <w:snapToGrid/>
        <w:spacing w:line="576" w:lineRule="exact"/>
        <w:ind w:left="0" w:leftChars="0" w:right="0" w:rightChars="0" w:firstLine="640" w:firstLineChars="2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1.社会效益指标：灌溉保证率提升至70%，</w:t>
      </w:r>
      <w:r>
        <w:rPr>
          <w:rFonts w:hint="eastAsia" w:eastAsia="仿宋_GB2312" w:cs="Times New Roman"/>
          <w:sz w:val="32"/>
          <w:szCs w:val="32"/>
          <w:lang w:val="en-US" w:eastAsia="zh-CN"/>
        </w:rPr>
        <w:t>2024年度麻子滩水库</w:t>
      </w:r>
      <w:r>
        <w:rPr>
          <w:rFonts w:hint="eastAsia" w:ascii="Times New Roman" w:hAnsi="Times New Roman" w:eastAsia="仿宋_GB2312" w:cs="Times New Roman"/>
          <w:sz w:val="32"/>
          <w:szCs w:val="32"/>
          <w:lang w:val="en-US" w:eastAsia="zh-CN"/>
        </w:rPr>
        <w:t>灌溉保证率提升至7</w:t>
      </w:r>
      <w:r>
        <w:rPr>
          <w:rFonts w:hint="eastAsia" w:eastAsia="仿宋_GB2312" w:cs="Times New Roman"/>
          <w:sz w:val="32"/>
          <w:szCs w:val="32"/>
          <w:lang w:val="en-US" w:eastAsia="zh-CN"/>
        </w:rPr>
        <w:t>5</w:t>
      </w:r>
      <w:r>
        <w:rPr>
          <w:rFonts w:hint="eastAsia" w:ascii="Times New Roman" w:hAnsi="Times New Roman" w:eastAsia="仿宋_GB2312" w:cs="Times New Roman"/>
          <w:sz w:val="32"/>
          <w:szCs w:val="32"/>
          <w:lang w:val="en-US" w:eastAsia="zh-CN"/>
        </w:rPr>
        <w:t>%</w:t>
      </w:r>
      <w:r>
        <w:rPr>
          <w:rFonts w:hint="eastAsia" w:eastAsia="仿宋_GB2312" w:cs="Times New Roman"/>
          <w:sz w:val="32"/>
          <w:szCs w:val="32"/>
          <w:lang w:val="en-US" w:eastAsia="zh-CN"/>
        </w:rPr>
        <w:t>，</w:t>
      </w:r>
      <w:r>
        <w:rPr>
          <w:rFonts w:hint="eastAsia" w:ascii="Times New Roman" w:hAnsi="Times New Roman" w:eastAsia="仿宋_GB2312" w:cs="Times New Roman"/>
          <w:sz w:val="32"/>
          <w:szCs w:val="32"/>
          <w:lang w:val="en-US" w:eastAsia="zh-CN"/>
        </w:rPr>
        <w:t>自评得</w:t>
      </w:r>
      <w:r>
        <w:rPr>
          <w:rFonts w:hint="eastAsia" w:eastAsia="仿宋_GB2312" w:cs="Times New Roman"/>
          <w:sz w:val="32"/>
          <w:szCs w:val="32"/>
          <w:lang w:val="en-US" w:eastAsia="zh-CN"/>
        </w:rPr>
        <w:t>10</w:t>
      </w:r>
      <w:r>
        <w:rPr>
          <w:rFonts w:hint="eastAsia" w:ascii="Times New Roman" w:hAnsi="Times New Roman" w:eastAsia="仿宋_GB2312" w:cs="Times New Roman"/>
          <w:sz w:val="32"/>
          <w:szCs w:val="32"/>
          <w:lang w:val="en-US" w:eastAsia="zh-CN"/>
        </w:rPr>
        <w:t>分。</w:t>
      </w:r>
    </w:p>
    <w:p w14:paraId="19F511AD">
      <w:pPr>
        <w:keepNext w:val="0"/>
        <w:keepLines w:val="0"/>
        <w:pageBreakBefore w:val="0"/>
        <w:widowControl w:val="0"/>
        <w:kinsoku/>
        <w:wordWrap w:val="0"/>
        <w:overflowPunct/>
        <w:topLinePunct w:val="0"/>
        <w:autoSpaceDE/>
        <w:autoSpaceDN/>
        <w:bidi w:val="0"/>
        <w:adjustRightInd/>
        <w:snapToGrid/>
        <w:spacing w:line="576" w:lineRule="exact"/>
        <w:ind w:left="0" w:leftChars="0" w:right="0" w:rightChars="0" w:firstLine="640" w:firstLineChars="2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2.可持续性影响指标：建立"一项目一档案"制度</w:t>
      </w:r>
      <w:r>
        <w:rPr>
          <w:rFonts w:hint="eastAsia" w:eastAsia="仿宋_GB2312" w:cs="Times New Roman"/>
          <w:sz w:val="32"/>
          <w:szCs w:val="32"/>
          <w:lang w:val="en-US" w:eastAsia="zh-CN"/>
        </w:rPr>
        <w:t>，2024年度已完成该项目档案归集，自评得10分</w:t>
      </w:r>
      <w:r>
        <w:rPr>
          <w:rFonts w:hint="eastAsia" w:ascii="Times New Roman" w:hAnsi="Times New Roman" w:eastAsia="仿宋_GB2312" w:cs="Times New Roman"/>
          <w:sz w:val="32"/>
          <w:szCs w:val="32"/>
          <w:lang w:val="en-US" w:eastAsia="zh-CN"/>
        </w:rPr>
        <w:t>。</w:t>
      </w:r>
    </w:p>
    <w:p w14:paraId="27B2465C">
      <w:pPr>
        <w:pStyle w:val="12"/>
        <w:keepNext w:val="0"/>
        <w:keepLines w:val="0"/>
        <w:pageBreakBefore w:val="0"/>
        <w:widowControl w:val="0"/>
        <w:numPr>
          <w:ilvl w:val="0"/>
          <w:numId w:val="0"/>
        </w:numPr>
        <w:tabs>
          <w:tab w:val="left" w:pos="2160"/>
        </w:tabs>
        <w:kinsoku/>
        <w:wordWrap w:val="0"/>
        <w:overflowPunct/>
        <w:topLinePunct w:val="0"/>
        <w:autoSpaceDE/>
        <w:autoSpaceDN/>
        <w:bidi w:val="0"/>
        <w:adjustRightInd/>
        <w:snapToGrid/>
        <w:spacing w:line="576" w:lineRule="exact"/>
        <w:ind w:right="0" w:rightChars="0" w:firstLine="640" w:firstLineChars="200"/>
        <w:textAlignment w:val="auto"/>
        <w:rPr>
          <w:rFonts w:hint="eastAsia" w:ascii="黑体" w:hAnsi="宋体" w:eastAsia="黑体"/>
          <w:color w:val="auto"/>
          <w:sz w:val="32"/>
          <w:szCs w:val="32"/>
          <w:highlight w:val="none"/>
          <w:u w:val="none"/>
        </w:rPr>
      </w:pPr>
      <w:r>
        <w:rPr>
          <w:rFonts w:hint="eastAsia" w:ascii="黑体" w:hAnsi="宋体" w:eastAsia="黑体"/>
          <w:color w:val="auto"/>
          <w:sz w:val="32"/>
          <w:szCs w:val="32"/>
          <w:highlight w:val="none"/>
          <w:u w:val="none"/>
          <w:lang w:eastAsia="zh-CN"/>
        </w:rPr>
        <w:t>四</w:t>
      </w:r>
      <w:r>
        <w:rPr>
          <w:rFonts w:hint="eastAsia" w:ascii="黑体" w:hAnsi="宋体" w:eastAsia="黑体"/>
          <w:color w:val="auto"/>
          <w:sz w:val="32"/>
          <w:szCs w:val="32"/>
          <w:highlight w:val="none"/>
          <w:u w:val="none"/>
        </w:rPr>
        <w:t>、评价结论</w:t>
      </w:r>
    </w:p>
    <w:p w14:paraId="558AC6C7">
      <w:pPr>
        <w:keepNext w:val="0"/>
        <w:keepLines w:val="0"/>
        <w:pageBreakBefore w:val="0"/>
        <w:widowControl w:val="0"/>
        <w:kinsoku/>
        <w:wordWrap w:val="0"/>
        <w:overflowPunct/>
        <w:topLinePunct w:val="0"/>
        <w:autoSpaceDE/>
        <w:autoSpaceDN/>
        <w:bidi w:val="0"/>
        <w:adjustRightInd/>
        <w:snapToGrid/>
        <w:spacing w:line="576" w:lineRule="exact"/>
        <w:ind w:left="0" w:leftChars="0" w:right="0" w:rightChars="0" w:firstLine="640" w:firstLineChars="200"/>
        <w:textAlignment w:val="auto"/>
        <w:rPr>
          <w:rFonts w:hint="eastAsia" w:ascii="Times New Roman" w:hAnsi="Times New Roman" w:eastAsia="仿宋_GB2312" w:cs="Times New Roman"/>
          <w:sz w:val="32"/>
          <w:szCs w:val="32"/>
          <w:lang w:val="zh-CN" w:eastAsia="zh-CN"/>
        </w:rPr>
      </w:pPr>
      <w:r>
        <w:rPr>
          <w:rFonts w:hint="eastAsia" w:ascii="Times New Roman" w:hAnsi="Times New Roman" w:eastAsia="仿宋_GB2312" w:cs="Times New Roman"/>
          <w:sz w:val="32"/>
          <w:szCs w:val="32"/>
          <w:lang w:val="en-US" w:eastAsia="zh-CN"/>
        </w:rPr>
        <w:t>我局按照既定的评价指标和评价方法，从决策、过程、产出、效益四方面对</w:t>
      </w:r>
      <w:r>
        <w:rPr>
          <w:rFonts w:hint="eastAsia" w:ascii="仿宋_GB2312" w:hAnsi="仿宋_GB2312" w:eastAsia="仿宋_GB2312" w:cs="仿宋_GB2312"/>
          <w:color w:val="auto"/>
          <w:kern w:val="0"/>
          <w:sz w:val="32"/>
          <w:szCs w:val="32"/>
          <w:highlight w:val="none"/>
          <w:u w:val="none"/>
          <w:shd w:val="clear" w:color="auto" w:fill="FFFFFF"/>
          <w:lang w:val="en-US" w:eastAsia="zh-CN"/>
        </w:rPr>
        <w:t>51090425T000012122802-遂财建【2024】85号关于下达水利专项2024年第一批中央基建投资（麻子滩水库除险加固）</w:t>
      </w:r>
      <w:r>
        <w:rPr>
          <w:rFonts w:hint="eastAsia" w:ascii="Times New Roman" w:hAnsi="Times New Roman" w:eastAsia="仿宋_GB2312" w:cs="Times New Roman"/>
          <w:sz w:val="32"/>
          <w:szCs w:val="32"/>
          <w:lang w:val="en-US" w:eastAsia="zh-CN"/>
        </w:rPr>
        <w:t>项目进行绩效评价，最终确定绩效评价得分</w:t>
      </w:r>
      <w:r>
        <w:rPr>
          <w:rFonts w:hint="eastAsia" w:eastAsia="仿宋_GB2312" w:cs="Times New Roman"/>
          <w:sz w:val="32"/>
          <w:szCs w:val="32"/>
          <w:lang w:val="en-US" w:eastAsia="zh-CN"/>
        </w:rPr>
        <w:t>92.46</w:t>
      </w:r>
      <w:r>
        <w:rPr>
          <w:rFonts w:hint="eastAsia" w:ascii="Times New Roman" w:hAnsi="Times New Roman" w:eastAsia="仿宋_GB2312" w:cs="Times New Roman"/>
          <w:sz w:val="32"/>
          <w:szCs w:val="32"/>
          <w:lang w:val="en-US" w:eastAsia="zh-CN"/>
        </w:rPr>
        <w:t>分；评价等级为</w:t>
      </w:r>
      <w:r>
        <w:rPr>
          <w:rFonts w:hint="eastAsia" w:eastAsia="仿宋_GB2312" w:cs="Times New Roman"/>
          <w:sz w:val="32"/>
          <w:szCs w:val="32"/>
          <w:lang w:val="en-US" w:eastAsia="zh-CN"/>
        </w:rPr>
        <w:t>优</w:t>
      </w:r>
      <w:r>
        <w:rPr>
          <w:rFonts w:hint="eastAsia" w:ascii="Times New Roman" w:hAnsi="Times New Roman" w:eastAsia="仿宋_GB2312" w:cs="Times New Roman"/>
          <w:sz w:val="32"/>
          <w:szCs w:val="32"/>
          <w:lang w:val="zh-CN" w:eastAsia="zh-CN"/>
        </w:rPr>
        <w:t>。</w:t>
      </w:r>
    </w:p>
    <w:p w14:paraId="7E8D9FFA">
      <w:pPr>
        <w:keepNext w:val="0"/>
        <w:keepLines w:val="0"/>
        <w:pageBreakBefore w:val="0"/>
        <w:widowControl w:val="0"/>
        <w:kinsoku/>
        <w:wordWrap w:val="0"/>
        <w:overflowPunct/>
        <w:topLinePunct w:val="0"/>
        <w:autoSpaceDE/>
        <w:autoSpaceDN/>
        <w:bidi w:val="0"/>
        <w:adjustRightInd/>
        <w:snapToGrid/>
        <w:spacing w:line="576" w:lineRule="exact"/>
        <w:ind w:left="0" w:leftChars="0" w:right="0" w:rightChars="0"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总体上，</w:t>
      </w:r>
      <w:r>
        <w:rPr>
          <w:rFonts w:hint="eastAsia" w:ascii="仿宋_GB2312" w:hAnsi="仿宋_GB2312" w:eastAsia="仿宋_GB2312" w:cs="仿宋_GB2312"/>
          <w:color w:val="auto"/>
          <w:kern w:val="0"/>
          <w:sz w:val="32"/>
          <w:szCs w:val="32"/>
          <w:highlight w:val="none"/>
          <w:u w:val="none"/>
          <w:shd w:val="clear" w:color="auto" w:fill="FFFFFF"/>
          <w:lang w:val="en-US" w:eastAsia="zh-CN"/>
        </w:rPr>
        <w:t>51090425T000012122802-遂财建【2024】85号关于下达水利专项2024年第一批中央基建投资（麻子滩水库除险加固）项目</w:t>
      </w:r>
      <w:r>
        <w:rPr>
          <w:rFonts w:hint="eastAsia" w:ascii="Times New Roman" w:hAnsi="Times New Roman" w:eastAsia="仿宋_GB2312" w:cs="Times New Roman"/>
          <w:sz w:val="32"/>
          <w:szCs w:val="32"/>
          <w:lang w:val="en-US" w:eastAsia="zh-CN"/>
        </w:rPr>
        <w:t>申报依据充分，程序规范，预算编制合理，资金到位及时，资金分配合理，管理制度健全，资金支出进度合理，项目计划内容均已按照预期目标基本完成。</w:t>
      </w:r>
    </w:p>
    <w:p w14:paraId="45C5E34D">
      <w:pPr>
        <w:pStyle w:val="12"/>
        <w:keepNext w:val="0"/>
        <w:keepLines w:val="0"/>
        <w:pageBreakBefore w:val="0"/>
        <w:widowControl w:val="0"/>
        <w:numPr>
          <w:ilvl w:val="0"/>
          <w:numId w:val="0"/>
        </w:numPr>
        <w:tabs>
          <w:tab w:val="left" w:pos="2160"/>
        </w:tabs>
        <w:kinsoku/>
        <w:wordWrap w:val="0"/>
        <w:overflowPunct/>
        <w:topLinePunct w:val="0"/>
        <w:autoSpaceDE/>
        <w:autoSpaceDN/>
        <w:bidi w:val="0"/>
        <w:adjustRightInd/>
        <w:snapToGrid/>
        <w:spacing w:line="576" w:lineRule="exact"/>
        <w:ind w:right="0" w:rightChars="0" w:firstLine="640" w:firstLineChars="200"/>
        <w:textAlignment w:val="auto"/>
        <w:rPr>
          <w:rFonts w:hint="eastAsia" w:ascii="黑体" w:hAnsi="宋体" w:eastAsia="黑体"/>
          <w:color w:val="auto"/>
          <w:sz w:val="32"/>
          <w:szCs w:val="32"/>
          <w:highlight w:val="none"/>
          <w:u w:val="none"/>
          <w:lang w:val="en-US" w:eastAsia="zh-CN"/>
        </w:rPr>
      </w:pPr>
      <w:r>
        <w:rPr>
          <w:rFonts w:hint="eastAsia" w:ascii="黑体" w:hAnsi="宋体" w:eastAsia="黑体"/>
          <w:color w:val="auto"/>
          <w:sz w:val="32"/>
          <w:szCs w:val="32"/>
          <w:highlight w:val="none"/>
          <w:u w:val="none"/>
          <w:lang w:val="en-US" w:eastAsia="zh-CN"/>
        </w:rPr>
        <w:t>五、存在主要问题</w:t>
      </w:r>
    </w:p>
    <w:p w14:paraId="27510D2F">
      <w:pPr>
        <w:keepNext w:val="0"/>
        <w:keepLines w:val="0"/>
        <w:pageBreakBefore w:val="0"/>
        <w:widowControl w:val="0"/>
        <w:kinsoku/>
        <w:wordWrap w:val="0"/>
        <w:overflowPunct/>
        <w:topLinePunct w:val="0"/>
        <w:autoSpaceDE/>
        <w:autoSpaceDN/>
        <w:bidi w:val="0"/>
        <w:adjustRightInd/>
        <w:snapToGrid/>
        <w:spacing w:line="576" w:lineRule="exact"/>
        <w:ind w:left="0" w:leftChars="0" w:right="0" w:rightChars="0" w:firstLine="640" w:firstLineChars="200"/>
        <w:textAlignment w:val="auto"/>
        <w:rPr>
          <w:rFonts w:hint="default" w:eastAsia="仿宋_GB2312" w:cs="Times New Roman"/>
          <w:sz w:val="32"/>
          <w:szCs w:val="32"/>
          <w:lang w:val="zh-CN" w:eastAsia="zh-CN"/>
        </w:rPr>
      </w:pPr>
      <w:r>
        <w:rPr>
          <w:rFonts w:hint="eastAsia" w:eastAsia="仿宋_GB2312" w:cs="Times New Roman"/>
          <w:sz w:val="32"/>
          <w:szCs w:val="32"/>
          <w:lang w:val="en-US" w:eastAsia="zh-CN"/>
        </w:rPr>
        <w:t>无</w:t>
      </w:r>
      <w:r>
        <w:rPr>
          <w:rFonts w:hint="eastAsia" w:eastAsia="仿宋_GB2312" w:cs="Times New Roman"/>
          <w:sz w:val="32"/>
          <w:szCs w:val="32"/>
          <w:lang w:val="zh-CN" w:eastAsia="zh-CN"/>
        </w:rPr>
        <w:t>。</w:t>
      </w:r>
    </w:p>
    <w:p w14:paraId="1283792F">
      <w:pPr>
        <w:pStyle w:val="12"/>
        <w:keepNext w:val="0"/>
        <w:keepLines w:val="0"/>
        <w:pageBreakBefore w:val="0"/>
        <w:widowControl w:val="0"/>
        <w:numPr>
          <w:ilvl w:val="0"/>
          <w:numId w:val="0"/>
        </w:numPr>
        <w:tabs>
          <w:tab w:val="left" w:pos="2160"/>
        </w:tabs>
        <w:kinsoku/>
        <w:wordWrap w:val="0"/>
        <w:overflowPunct/>
        <w:topLinePunct w:val="0"/>
        <w:autoSpaceDE/>
        <w:autoSpaceDN/>
        <w:bidi w:val="0"/>
        <w:adjustRightInd/>
        <w:snapToGrid/>
        <w:spacing w:line="576" w:lineRule="exact"/>
        <w:ind w:right="0" w:rightChars="0" w:firstLine="640" w:firstLineChars="200"/>
        <w:textAlignment w:val="auto"/>
        <w:rPr>
          <w:rFonts w:hint="eastAsia" w:ascii="黑体" w:hAnsi="宋体" w:eastAsia="黑体"/>
          <w:color w:val="auto"/>
          <w:sz w:val="32"/>
          <w:szCs w:val="32"/>
          <w:highlight w:val="none"/>
          <w:u w:val="none"/>
          <w:lang w:val="zh-CN" w:eastAsia="zh-CN"/>
        </w:rPr>
      </w:pPr>
      <w:r>
        <w:rPr>
          <w:rFonts w:hint="eastAsia" w:ascii="黑体" w:hAnsi="宋体" w:eastAsia="黑体"/>
          <w:color w:val="auto"/>
          <w:sz w:val="32"/>
          <w:szCs w:val="32"/>
          <w:highlight w:val="none"/>
          <w:u w:val="none"/>
          <w:lang w:val="zh-CN" w:eastAsia="zh-CN"/>
        </w:rPr>
        <w:t>六、改进建议</w:t>
      </w:r>
    </w:p>
    <w:p w14:paraId="5D21FCD3">
      <w:pPr>
        <w:keepNext w:val="0"/>
        <w:keepLines w:val="0"/>
        <w:pageBreakBefore w:val="0"/>
        <w:widowControl w:val="0"/>
        <w:kinsoku/>
        <w:wordWrap w:val="0"/>
        <w:overflowPunct/>
        <w:topLinePunct w:val="0"/>
        <w:autoSpaceDE/>
        <w:autoSpaceDN/>
        <w:bidi w:val="0"/>
        <w:adjustRightInd/>
        <w:snapToGrid/>
        <w:spacing w:line="576" w:lineRule="exact"/>
        <w:ind w:left="0" w:leftChars="0" w:right="0" w:rightChars="0" w:firstLine="640" w:firstLineChars="200"/>
        <w:textAlignment w:val="auto"/>
        <w:outlineLvl w:val="9"/>
        <w:rPr>
          <w:rFonts w:hint="eastAsia" w:eastAsia="仿宋_GB2312" w:cs="Times New Roman"/>
          <w:sz w:val="32"/>
          <w:szCs w:val="32"/>
          <w:lang w:val="en-US" w:eastAsia="zh-CN"/>
        </w:rPr>
      </w:pPr>
      <w:r>
        <w:rPr>
          <w:rFonts w:hint="eastAsia" w:eastAsia="仿宋_GB2312" w:cs="Times New Roman"/>
          <w:sz w:val="32"/>
          <w:szCs w:val="32"/>
          <w:lang w:val="en-US" w:eastAsia="zh-CN"/>
        </w:rPr>
        <w:t>无。</w:t>
      </w:r>
    </w:p>
    <w:p w14:paraId="43F7721C">
      <w:pPr>
        <w:keepNext w:val="0"/>
        <w:keepLines w:val="0"/>
        <w:pageBreakBefore w:val="0"/>
        <w:widowControl w:val="0"/>
        <w:kinsoku/>
        <w:wordWrap w:val="0"/>
        <w:overflowPunct/>
        <w:topLinePunct w:val="0"/>
        <w:autoSpaceDE/>
        <w:autoSpaceDN/>
        <w:bidi w:val="0"/>
        <w:adjustRightInd/>
        <w:snapToGrid/>
        <w:spacing w:line="576" w:lineRule="exact"/>
        <w:ind w:left="0" w:leftChars="0" w:right="0" w:rightChars="0" w:firstLine="640" w:firstLineChars="200"/>
        <w:textAlignment w:val="auto"/>
        <w:outlineLvl w:val="9"/>
        <w:rPr>
          <w:rFonts w:hint="eastAsia" w:ascii="Times New Roman" w:hAnsi="Times New Roman" w:eastAsia="仿宋_GB2312" w:cs="Times New Roman"/>
          <w:color w:val="000000"/>
          <w:kern w:val="0"/>
          <w:sz w:val="32"/>
          <w:szCs w:val="32"/>
          <w:highlight w:val="none"/>
          <w:shd w:val="clear" w:color="auto" w:fill="FFFFFF"/>
          <w:lang w:val="en-US" w:eastAsia="zh-CN"/>
        </w:rPr>
      </w:pPr>
      <w:r>
        <w:rPr>
          <w:rFonts w:hint="eastAsia" w:ascii="Times New Roman" w:hAnsi="Times New Roman" w:eastAsia="仿宋_GB2312" w:cs="Times New Roman"/>
          <w:color w:val="000000"/>
          <w:kern w:val="0"/>
          <w:sz w:val="32"/>
          <w:szCs w:val="32"/>
          <w:highlight w:val="none"/>
          <w:shd w:val="clear" w:color="auto" w:fill="FFFFFF"/>
          <w:lang w:val="en-US" w:eastAsia="zh-CN"/>
        </w:rPr>
        <w:t>附表：1.</w:t>
      </w:r>
      <w:r>
        <w:rPr>
          <w:rFonts w:hint="eastAsia" w:eastAsia="仿宋_GB2312" w:cs="Times New Roman"/>
          <w:color w:val="000000"/>
          <w:kern w:val="0"/>
          <w:sz w:val="32"/>
          <w:szCs w:val="32"/>
          <w:highlight w:val="none"/>
          <w:shd w:val="clear" w:color="auto" w:fill="FFFFFF"/>
          <w:lang w:val="en-US" w:eastAsia="zh-CN"/>
        </w:rPr>
        <w:t xml:space="preserve"> </w:t>
      </w:r>
      <w:r>
        <w:rPr>
          <w:rFonts w:hint="eastAsia" w:ascii="Times New Roman" w:hAnsi="Times New Roman" w:eastAsia="仿宋_GB2312" w:cs="Times New Roman"/>
          <w:color w:val="000000"/>
          <w:kern w:val="0"/>
          <w:sz w:val="32"/>
          <w:szCs w:val="32"/>
          <w:highlight w:val="none"/>
          <w:shd w:val="clear" w:color="auto" w:fill="FFFFFF"/>
          <w:lang w:val="en-US" w:eastAsia="zh-CN"/>
        </w:rPr>
        <w:t>项目资金分配涉及所有点位自评得分情况表</w:t>
      </w:r>
    </w:p>
    <w:p w14:paraId="73EBA69F">
      <w:pPr>
        <w:keepNext w:val="0"/>
        <w:keepLines w:val="0"/>
        <w:pageBreakBefore w:val="0"/>
        <w:widowControl w:val="0"/>
        <w:kinsoku/>
        <w:wordWrap w:val="0"/>
        <w:overflowPunct/>
        <w:topLinePunct w:val="0"/>
        <w:autoSpaceDE/>
        <w:autoSpaceDN/>
        <w:bidi w:val="0"/>
        <w:adjustRightInd/>
        <w:snapToGrid/>
        <w:spacing w:line="576" w:lineRule="exact"/>
        <w:ind w:left="0" w:leftChars="0" w:right="0" w:rightChars="0" w:firstLine="1600" w:firstLineChars="500"/>
        <w:textAlignment w:val="auto"/>
        <w:outlineLvl w:val="9"/>
        <w:rPr>
          <w:rFonts w:hint="default" w:ascii="Times New Roman" w:hAnsi="Times New Roman" w:eastAsia="仿宋_GB2312" w:cs="Times New Roman"/>
          <w:color w:val="000000"/>
          <w:kern w:val="0"/>
          <w:sz w:val="32"/>
          <w:szCs w:val="32"/>
          <w:highlight w:val="none"/>
          <w:shd w:val="clear" w:color="auto" w:fill="FFFFFF"/>
          <w:lang w:val="en-US" w:eastAsia="zh-CN"/>
        </w:rPr>
      </w:pPr>
      <w:r>
        <w:rPr>
          <w:rFonts w:hint="eastAsia" w:ascii="Times New Roman" w:hAnsi="Times New Roman" w:eastAsia="仿宋_GB2312" w:cs="Times New Roman"/>
          <w:color w:val="000000"/>
          <w:kern w:val="0"/>
          <w:sz w:val="32"/>
          <w:szCs w:val="32"/>
          <w:highlight w:val="none"/>
          <w:shd w:val="clear" w:color="auto" w:fill="FFFFFF"/>
          <w:lang w:val="en-US" w:eastAsia="zh-CN"/>
        </w:rPr>
        <w:t>2.</w:t>
      </w:r>
      <w:r>
        <w:rPr>
          <w:rFonts w:hint="eastAsia" w:eastAsia="仿宋_GB2312" w:cs="Times New Roman"/>
          <w:color w:val="000000"/>
          <w:kern w:val="0"/>
          <w:sz w:val="32"/>
          <w:szCs w:val="32"/>
          <w:highlight w:val="none"/>
          <w:shd w:val="clear" w:color="auto" w:fill="FFFFFF"/>
          <w:lang w:val="en-US" w:eastAsia="zh-CN"/>
        </w:rPr>
        <w:t xml:space="preserve"> </w:t>
      </w:r>
      <w:r>
        <w:rPr>
          <w:rFonts w:hint="eastAsia" w:ascii="Times New Roman" w:hAnsi="Times New Roman" w:eastAsia="仿宋_GB2312" w:cs="Times New Roman"/>
          <w:color w:val="000000"/>
          <w:kern w:val="0"/>
          <w:sz w:val="32"/>
          <w:szCs w:val="32"/>
          <w:highlight w:val="none"/>
          <w:shd w:val="clear" w:color="auto" w:fill="FFFFFF"/>
          <w:lang w:val="en-US" w:eastAsia="zh-CN"/>
        </w:rPr>
        <w:t>专项</w:t>
      </w:r>
      <w:r>
        <w:rPr>
          <w:rFonts w:hint="eastAsia" w:eastAsia="仿宋_GB2312" w:cs="Times New Roman"/>
          <w:color w:val="000000"/>
          <w:kern w:val="0"/>
          <w:sz w:val="32"/>
          <w:szCs w:val="32"/>
          <w:highlight w:val="none"/>
          <w:shd w:val="clear" w:color="auto" w:fill="FFFFFF"/>
          <w:lang w:val="en-US" w:eastAsia="zh-CN"/>
        </w:rPr>
        <w:t>资金</w:t>
      </w:r>
      <w:r>
        <w:rPr>
          <w:rFonts w:hint="eastAsia" w:ascii="Times New Roman" w:hAnsi="Times New Roman" w:eastAsia="仿宋_GB2312" w:cs="Times New Roman"/>
          <w:color w:val="000000"/>
          <w:kern w:val="0"/>
          <w:sz w:val="32"/>
          <w:szCs w:val="32"/>
          <w:highlight w:val="none"/>
          <w:shd w:val="clear" w:color="auto" w:fill="FFFFFF"/>
          <w:lang w:val="en-US" w:eastAsia="zh-CN"/>
        </w:rPr>
        <w:t>绩效目标完成情况自评表</w:t>
      </w:r>
    </w:p>
    <w:p w14:paraId="79F3A700">
      <w:pPr>
        <w:keepNext w:val="0"/>
        <w:keepLines w:val="0"/>
        <w:pageBreakBefore w:val="0"/>
        <w:kinsoku/>
        <w:wordWrap/>
        <w:overflowPunct/>
        <w:topLinePunct w:val="0"/>
        <w:autoSpaceDE/>
        <w:autoSpaceDN/>
        <w:bidi w:val="0"/>
        <w:adjustRightInd/>
        <w:snapToGrid/>
        <w:spacing w:line="590" w:lineRule="exact"/>
        <w:ind w:left="0" w:leftChars="0" w:right="0" w:rightChars="0" w:firstLine="420" w:firstLineChars="200"/>
        <w:textAlignment w:val="auto"/>
        <w:outlineLvl w:val="9"/>
        <w:rPr>
          <w:rFonts w:hint="eastAsia" w:ascii="Times New Roman" w:hAnsi="Times New Roman" w:eastAsia="仿宋_GB2312" w:cs="Times New Roman"/>
          <w:color w:val="000000"/>
          <w:kern w:val="0"/>
          <w:szCs w:val="32"/>
          <w:highlight w:val="none"/>
          <w:shd w:val="clear" w:color="auto" w:fill="FFFFFF"/>
          <w:lang w:val="zh-CN" w:eastAsia="zh-CN"/>
        </w:rPr>
      </w:pPr>
      <w:r>
        <w:rPr>
          <w:rFonts w:hint="eastAsia" w:ascii="Times New Roman" w:hAnsi="Times New Roman" w:eastAsia="仿宋_GB2312" w:cs="Times New Roman"/>
          <w:color w:val="000000"/>
          <w:kern w:val="0"/>
          <w:szCs w:val="32"/>
          <w:highlight w:val="none"/>
          <w:shd w:val="clear" w:color="auto" w:fill="FFFFFF"/>
          <w:lang w:val="zh-CN" w:eastAsia="zh-CN"/>
        </w:rPr>
        <w:br w:type="page"/>
      </w:r>
    </w:p>
    <w:p w14:paraId="46FC290B">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contextualSpacing/>
        <w:jc w:val="left"/>
        <w:textAlignment w:val="auto"/>
        <w:rPr>
          <w:rFonts w:hint="eastAsia" w:ascii="黑体" w:hAnsi="黑体" w:eastAsia="黑体" w:cs="黑体"/>
          <w:b w:val="0"/>
          <w:bCs w:val="0"/>
          <w:color w:val="auto"/>
          <w:kern w:val="0"/>
          <w:sz w:val="32"/>
          <w:szCs w:val="32"/>
          <w:highlight w:val="none"/>
          <w:u w:val="none"/>
          <w:shd w:val="clear" w:color="auto" w:fill="FFFFFF"/>
          <w:lang w:val="zh-CN" w:eastAsia="zh-CN"/>
        </w:rPr>
      </w:pPr>
      <w:r>
        <w:rPr>
          <w:rFonts w:hint="eastAsia" w:ascii="黑体" w:hAnsi="黑体" w:eastAsia="黑体" w:cs="黑体"/>
          <w:b w:val="0"/>
          <w:bCs w:val="0"/>
          <w:color w:val="auto"/>
          <w:kern w:val="0"/>
          <w:sz w:val="32"/>
          <w:szCs w:val="32"/>
          <w:highlight w:val="none"/>
          <w:u w:val="none"/>
          <w:shd w:val="clear" w:color="auto" w:fill="FFFFFF"/>
          <w:lang w:val="zh-CN" w:eastAsia="zh-CN"/>
        </w:rPr>
        <w:t>附表</w:t>
      </w:r>
      <w:r>
        <w:rPr>
          <w:rFonts w:hint="eastAsia" w:ascii="黑体" w:hAnsi="黑体" w:eastAsia="黑体" w:cs="黑体"/>
          <w:b w:val="0"/>
          <w:bCs w:val="0"/>
          <w:color w:val="auto"/>
          <w:kern w:val="0"/>
          <w:sz w:val="32"/>
          <w:szCs w:val="32"/>
          <w:highlight w:val="none"/>
          <w:u w:val="none"/>
          <w:shd w:val="clear" w:color="auto" w:fill="FFFFFF"/>
          <w:lang w:val="en-US" w:eastAsia="zh-CN"/>
        </w:rPr>
        <w:t>1</w:t>
      </w:r>
    </w:p>
    <w:p w14:paraId="62418869">
      <w:pPr>
        <w:keepNext w:val="0"/>
        <w:keepLines w:val="0"/>
        <w:pageBreakBefore w:val="0"/>
        <w:kinsoku/>
        <w:wordWrap/>
        <w:overflowPunct/>
        <w:topLinePunct w:val="0"/>
        <w:autoSpaceDE/>
        <w:autoSpaceDN/>
        <w:bidi w:val="0"/>
        <w:spacing w:line="578" w:lineRule="exact"/>
        <w:ind w:left="0" w:leftChars="0"/>
        <w:jc w:val="center"/>
        <w:textAlignment w:val="auto"/>
        <w:rPr>
          <w:rFonts w:hint="eastAsia" w:ascii="方正小标宋_GBK" w:hAnsi="方正小标宋_GBK" w:eastAsia="方正小标宋_GBK" w:cs="方正小标宋_GBK"/>
          <w:b w:val="0"/>
          <w:bCs w:val="0"/>
          <w:color w:val="auto"/>
          <w:sz w:val="40"/>
          <w:szCs w:val="40"/>
          <w:highlight w:val="none"/>
          <w:u w:val="none"/>
          <w:lang w:val="en-US" w:eastAsia="zh-CN"/>
        </w:rPr>
      </w:pPr>
      <w:r>
        <w:rPr>
          <w:rFonts w:hint="eastAsia" w:ascii="方正小标宋_GBK" w:hAnsi="方正小标宋_GBK" w:eastAsia="方正小标宋_GBK" w:cs="方正小标宋_GBK"/>
          <w:b w:val="0"/>
          <w:bCs w:val="0"/>
          <w:color w:val="auto"/>
          <w:sz w:val="40"/>
          <w:szCs w:val="40"/>
          <w:highlight w:val="none"/>
          <w:u w:val="none"/>
          <w:lang w:val="en-US" w:eastAsia="zh-CN"/>
        </w:rPr>
        <w:t>项目资金分配涉及所有点位自评得分情况表</w:t>
      </w:r>
    </w:p>
    <w:tbl>
      <w:tblPr>
        <w:tblStyle w:val="24"/>
        <w:tblW w:w="88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3"/>
        <w:gridCol w:w="3843"/>
        <w:gridCol w:w="2861"/>
        <w:gridCol w:w="993"/>
      </w:tblGrid>
      <w:tr w14:paraId="52433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top"/>
          </w:tcPr>
          <w:p w14:paraId="20344527">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黑体" w:hAnsi="黑体" w:eastAsia="黑体" w:cs="黑体"/>
                <w:b w:val="0"/>
                <w:bCs w:val="0"/>
                <w:color w:val="auto"/>
                <w:sz w:val="24"/>
                <w:szCs w:val="24"/>
                <w:highlight w:val="none"/>
                <w:u w:val="none"/>
                <w:vertAlign w:val="baseline"/>
                <w:lang w:val="en-US" w:eastAsia="zh-CN"/>
              </w:rPr>
            </w:pPr>
            <w:r>
              <w:rPr>
                <w:rFonts w:hint="eastAsia" w:ascii="黑体" w:hAnsi="黑体" w:eastAsia="黑体" w:cs="黑体"/>
                <w:b w:val="0"/>
                <w:bCs w:val="0"/>
                <w:color w:val="auto"/>
                <w:sz w:val="24"/>
                <w:szCs w:val="24"/>
                <w:highlight w:val="none"/>
                <w:u w:val="none"/>
                <w:vertAlign w:val="baseline"/>
                <w:lang w:val="en-US" w:eastAsia="zh-CN"/>
              </w:rPr>
              <w:t>序号</w:t>
            </w:r>
          </w:p>
        </w:tc>
        <w:tc>
          <w:tcPr>
            <w:tcW w:w="3843" w:type="dxa"/>
            <w:vAlign w:val="top"/>
          </w:tcPr>
          <w:p w14:paraId="52ECF4BF">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黑体" w:hAnsi="黑体" w:eastAsia="黑体" w:cs="黑体"/>
                <w:b w:val="0"/>
                <w:bCs w:val="0"/>
                <w:color w:val="auto"/>
                <w:sz w:val="24"/>
                <w:szCs w:val="24"/>
                <w:highlight w:val="none"/>
                <w:u w:val="none"/>
                <w:vertAlign w:val="baseline"/>
                <w:lang w:val="en" w:eastAsia="zh-CN"/>
              </w:rPr>
            </w:pPr>
            <w:r>
              <w:rPr>
                <w:rFonts w:hint="eastAsia" w:ascii="黑体" w:hAnsi="黑体" w:eastAsia="黑体" w:cs="黑体"/>
                <w:b w:val="0"/>
                <w:bCs w:val="0"/>
                <w:color w:val="auto"/>
                <w:sz w:val="24"/>
                <w:szCs w:val="24"/>
                <w:highlight w:val="none"/>
                <w:u w:val="none"/>
                <w:vertAlign w:val="baseline"/>
                <w:lang w:val="en-US" w:eastAsia="zh-CN"/>
              </w:rPr>
              <w:t>项目资金末端分配点位</w:t>
            </w:r>
          </w:p>
        </w:tc>
        <w:tc>
          <w:tcPr>
            <w:tcW w:w="2861" w:type="dxa"/>
            <w:vAlign w:val="top"/>
          </w:tcPr>
          <w:p w14:paraId="07797F00">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黑体" w:hAnsi="黑体" w:eastAsia="黑体" w:cs="黑体"/>
                <w:b w:val="0"/>
                <w:bCs w:val="0"/>
                <w:color w:val="auto"/>
                <w:sz w:val="24"/>
                <w:szCs w:val="24"/>
                <w:highlight w:val="none"/>
                <w:u w:val="none"/>
                <w:vertAlign w:val="baseline"/>
                <w:lang w:val="en-US" w:eastAsia="zh-CN"/>
              </w:rPr>
            </w:pPr>
            <w:r>
              <w:rPr>
                <w:rFonts w:hint="eastAsia" w:ascii="黑体" w:hAnsi="黑体" w:eastAsia="黑体" w:cs="黑体"/>
                <w:b w:val="0"/>
                <w:bCs w:val="0"/>
                <w:color w:val="auto"/>
                <w:sz w:val="24"/>
                <w:szCs w:val="24"/>
                <w:highlight w:val="none"/>
                <w:u w:val="none"/>
                <w:vertAlign w:val="baseline"/>
                <w:lang w:val="en" w:eastAsia="zh-CN"/>
              </w:rPr>
              <w:t>自评得分（百分制）</w:t>
            </w:r>
          </w:p>
        </w:tc>
        <w:tc>
          <w:tcPr>
            <w:tcW w:w="993" w:type="dxa"/>
            <w:vAlign w:val="top"/>
          </w:tcPr>
          <w:p w14:paraId="1004694A">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黑体" w:hAnsi="黑体" w:eastAsia="黑体" w:cs="黑体"/>
                <w:b w:val="0"/>
                <w:bCs w:val="0"/>
                <w:color w:val="auto"/>
                <w:sz w:val="24"/>
                <w:szCs w:val="24"/>
                <w:highlight w:val="none"/>
                <w:u w:val="none"/>
                <w:vertAlign w:val="baseline"/>
                <w:lang w:val="en-US" w:eastAsia="zh-CN"/>
              </w:rPr>
            </w:pPr>
            <w:r>
              <w:rPr>
                <w:rFonts w:hint="eastAsia" w:ascii="黑体" w:hAnsi="黑体" w:eastAsia="黑体" w:cs="黑体"/>
                <w:b w:val="0"/>
                <w:bCs w:val="0"/>
                <w:color w:val="auto"/>
                <w:sz w:val="24"/>
                <w:szCs w:val="24"/>
                <w:highlight w:val="none"/>
                <w:u w:val="none"/>
                <w:vertAlign w:val="baseline"/>
                <w:lang w:val="en-US" w:eastAsia="zh-CN"/>
              </w:rPr>
              <w:t>备注</w:t>
            </w:r>
          </w:p>
        </w:tc>
      </w:tr>
      <w:tr w14:paraId="65E2B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exact"/>
          <w:jc w:val="center"/>
        </w:trPr>
        <w:tc>
          <w:tcPr>
            <w:tcW w:w="1123" w:type="dxa"/>
            <w:vAlign w:val="top"/>
          </w:tcPr>
          <w:p w14:paraId="705A88BF">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宋体" w:hAnsi="宋体" w:eastAsia="宋体" w:cs="宋体"/>
                <w:b w:val="0"/>
                <w:bCs w:val="0"/>
                <w:color w:val="auto"/>
                <w:sz w:val="24"/>
                <w:szCs w:val="24"/>
                <w:highlight w:val="none"/>
                <w:u w:val="none"/>
                <w:lang w:val="en-US" w:eastAsia="zh-CN"/>
              </w:rPr>
            </w:pPr>
            <w:r>
              <w:rPr>
                <w:rFonts w:hint="eastAsia" w:ascii="宋体" w:hAnsi="宋体" w:eastAsia="仿宋_GB2312" w:cs="宋体"/>
                <w:b w:val="0"/>
                <w:bCs w:val="0"/>
                <w:color w:val="auto"/>
                <w:sz w:val="24"/>
                <w:szCs w:val="24"/>
                <w:highlight w:val="none"/>
                <w:u w:val="none"/>
                <w:lang w:val="en-US" w:eastAsia="zh-CN"/>
              </w:rPr>
              <w:t>1</w:t>
            </w:r>
          </w:p>
        </w:tc>
        <w:tc>
          <w:tcPr>
            <w:tcW w:w="3843" w:type="dxa"/>
            <w:vAlign w:val="top"/>
          </w:tcPr>
          <w:p w14:paraId="405CA33B">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default" w:ascii="宋体" w:hAnsi="宋体" w:cs="宋体"/>
                <w:color w:val="auto"/>
                <w:sz w:val="24"/>
                <w:szCs w:val="24"/>
                <w:highlight w:val="none"/>
                <w:u w:val="none"/>
                <w:vertAlign w:val="baseline"/>
                <w:lang w:val="en-US" w:eastAsia="zh-CN"/>
              </w:rPr>
            </w:pPr>
            <w:r>
              <w:rPr>
                <w:rFonts w:hint="eastAsia" w:ascii="宋体" w:hAnsi="宋体" w:eastAsia="仿宋_GB2312" w:cs="宋体"/>
                <w:color w:val="auto"/>
                <w:sz w:val="24"/>
                <w:szCs w:val="24"/>
                <w:highlight w:val="none"/>
                <w:u w:val="none"/>
                <w:vertAlign w:val="baseline"/>
                <w:lang w:val="en-US" w:eastAsia="zh-CN"/>
              </w:rPr>
              <w:t>安居区水利局2024年第一批中央基建投资（麻子滩水库除险加固）</w:t>
            </w:r>
          </w:p>
        </w:tc>
        <w:tc>
          <w:tcPr>
            <w:tcW w:w="2861" w:type="dxa"/>
            <w:vAlign w:val="top"/>
          </w:tcPr>
          <w:p w14:paraId="18E09D77">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default" w:ascii="宋体" w:hAnsi="宋体" w:cs="宋体"/>
                <w:color w:val="auto"/>
                <w:sz w:val="24"/>
                <w:szCs w:val="24"/>
                <w:highlight w:val="none"/>
                <w:u w:val="none"/>
                <w:vertAlign w:val="baseline"/>
                <w:lang w:val="en-US" w:eastAsia="zh-CN"/>
              </w:rPr>
            </w:pPr>
            <w:r>
              <w:rPr>
                <w:rFonts w:hint="eastAsia" w:ascii="宋体" w:hAnsi="宋体" w:eastAsia="仿宋_GB2312" w:cs="宋体"/>
                <w:color w:val="auto"/>
                <w:sz w:val="24"/>
                <w:szCs w:val="24"/>
                <w:highlight w:val="none"/>
                <w:u w:val="none"/>
                <w:vertAlign w:val="baseline"/>
                <w:lang w:val="en-US" w:eastAsia="zh-CN"/>
              </w:rPr>
              <w:t>92.46</w:t>
            </w:r>
          </w:p>
        </w:tc>
        <w:tc>
          <w:tcPr>
            <w:tcW w:w="993" w:type="dxa"/>
            <w:vAlign w:val="top"/>
          </w:tcPr>
          <w:p w14:paraId="7EA41181">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US" w:eastAsia="zh-CN"/>
              </w:rPr>
            </w:pPr>
          </w:p>
        </w:tc>
      </w:tr>
      <w:tr w14:paraId="44CA5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top"/>
          </w:tcPr>
          <w:p w14:paraId="2DD05D58">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宋体" w:hAnsi="宋体" w:eastAsia="宋体" w:cs="宋体"/>
                <w:b w:val="0"/>
                <w:bCs w:val="0"/>
                <w:color w:val="auto"/>
                <w:sz w:val="24"/>
                <w:szCs w:val="24"/>
                <w:highlight w:val="none"/>
                <w:u w:val="none"/>
                <w:lang w:val="en-US" w:eastAsia="zh-CN"/>
              </w:rPr>
            </w:pPr>
            <w:r>
              <w:rPr>
                <w:rFonts w:hint="eastAsia" w:ascii="宋体" w:hAnsi="宋体" w:eastAsia="仿宋_GB2312" w:cs="宋体"/>
                <w:b w:val="0"/>
                <w:bCs w:val="0"/>
                <w:color w:val="auto"/>
                <w:sz w:val="24"/>
                <w:szCs w:val="24"/>
                <w:highlight w:val="none"/>
                <w:u w:val="none"/>
                <w:lang w:val="en-US" w:eastAsia="zh-CN"/>
              </w:rPr>
              <w:t>2</w:t>
            </w:r>
          </w:p>
        </w:tc>
        <w:tc>
          <w:tcPr>
            <w:tcW w:w="3843" w:type="dxa"/>
            <w:vAlign w:val="top"/>
          </w:tcPr>
          <w:p w14:paraId="24C74BD9">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 w:eastAsia="zh-CN"/>
              </w:rPr>
            </w:pPr>
          </w:p>
        </w:tc>
        <w:tc>
          <w:tcPr>
            <w:tcW w:w="2861" w:type="dxa"/>
            <w:vAlign w:val="top"/>
          </w:tcPr>
          <w:p w14:paraId="3A0C0769">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 w:eastAsia="zh-CN"/>
              </w:rPr>
            </w:pPr>
          </w:p>
        </w:tc>
        <w:tc>
          <w:tcPr>
            <w:tcW w:w="993" w:type="dxa"/>
            <w:vAlign w:val="top"/>
          </w:tcPr>
          <w:p w14:paraId="68B6D15C">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US" w:eastAsia="zh-CN"/>
              </w:rPr>
            </w:pPr>
          </w:p>
        </w:tc>
      </w:tr>
      <w:tr w14:paraId="35E66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top"/>
          </w:tcPr>
          <w:p w14:paraId="74F374AA">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宋体" w:hAnsi="宋体" w:eastAsia="宋体" w:cs="宋体"/>
                <w:b w:val="0"/>
                <w:bCs w:val="0"/>
                <w:color w:val="auto"/>
                <w:sz w:val="24"/>
                <w:szCs w:val="24"/>
                <w:highlight w:val="none"/>
                <w:u w:val="none"/>
                <w:lang w:val="en-US" w:eastAsia="zh-CN"/>
              </w:rPr>
            </w:pPr>
            <w:r>
              <w:rPr>
                <w:rFonts w:hint="eastAsia" w:ascii="宋体" w:hAnsi="宋体" w:eastAsia="仿宋_GB2312" w:cs="宋体"/>
                <w:b w:val="0"/>
                <w:bCs w:val="0"/>
                <w:color w:val="auto"/>
                <w:sz w:val="24"/>
                <w:szCs w:val="24"/>
                <w:highlight w:val="none"/>
                <w:u w:val="none"/>
                <w:lang w:val="en-US" w:eastAsia="zh-CN"/>
              </w:rPr>
              <w:t>3</w:t>
            </w:r>
          </w:p>
        </w:tc>
        <w:tc>
          <w:tcPr>
            <w:tcW w:w="3843" w:type="dxa"/>
            <w:vAlign w:val="top"/>
          </w:tcPr>
          <w:p w14:paraId="102E2E23">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 w:eastAsia="zh-CN"/>
              </w:rPr>
            </w:pPr>
          </w:p>
        </w:tc>
        <w:tc>
          <w:tcPr>
            <w:tcW w:w="2861" w:type="dxa"/>
            <w:vAlign w:val="top"/>
          </w:tcPr>
          <w:p w14:paraId="0597AB54">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 w:eastAsia="zh-CN"/>
              </w:rPr>
            </w:pPr>
          </w:p>
        </w:tc>
        <w:tc>
          <w:tcPr>
            <w:tcW w:w="993" w:type="dxa"/>
            <w:vAlign w:val="top"/>
          </w:tcPr>
          <w:p w14:paraId="0142532D">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US" w:eastAsia="zh-CN"/>
              </w:rPr>
            </w:pPr>
          </w:p>
        </w:tc>
      </w:tr>
      <w:tr w14:paraId="482D5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top"/>
          </w:tcPr>
          <w:p w14:paraId="0F06C594">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宋体" w:hAnsi="宋体" w:eastAsia="宋体" w:cs="宋体"/>
                <w:b w:val="0"/>
                <w:bCs w:val="0"/>
                <w:color w:val="auto"/>
                <w:sz w:val="24"/>
                <w:szCs w:val="24"/>
                <w:highlight w:val="none"/>
                <w:u w:val="none"/>
                <w:lang w:val="en-US" w:eastAsia="zh-CN"/>
              </w:rPr>
            </w:pPr>
            <w:r>
              <w:rPr>
                <w:rFonts w:hint="eastAsia" w:ascii="宋体" w:hAnsi="宋体" w:eastAsia="仿宋_GB2312" w:cs="宋体"/>
                <w:b w:val="0"/>
                <w:bCs w:val="0"/>
                <w:color w:val="auto"/>
                <w:sz w:val="24"/>
                <w:szCs w:val="24"/>
                <w:highlight w:val="none"/>
                <w:u w:val="none"/>
                <w:lang w:val="en-US" w:eastAsia="zh-CN"/>
              </w:rPr>
              <w:t>4</w:t>
            </w:r>
          </w:p>
        </w:tc>
        <w:tc>
          <w:tcPr>
            <w:tcW w:w="3843" w:type="dxa"/>
            <w:vAlign w:val="top"/>
          </w:tcPr>
          <w:p w14:paraId="00E47C9A">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 w:eastAsia="zh-CN"/>
              </w:rPr>
            </w:pPr>
          </w:p>
        </w:tc>
        <w:tc>
          <w:tcPr>
            <w:tcW w:w="2861" w:type="dxa"/>
            <w:vAlign w:val="top"/>
          </w:tcPr>
          <w:p w14:paraId="32A2B1BD">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 w:eastAsia="zh-CN"/>
              </w:rPr>
            </w:pPr>
          </w:p>
        </w:tc>
        <w:tc>
          <w:tcPr>
            <w:tcW w:w="993" w:type="dxa"/>
            <w:vAlign w:val="top"/>
          </w:tcPr>
          <w:p w14:paraId="4C37BB1A">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US" w:eastAsia="zh-CN"/>
              </w:rPr>
            </w:pPr>
          </w:p>
        </w:tc>
      </w:tr>
      <w:tr w14:paraId="6CC9B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top"/>
          </w:tcPr>
          <w:p w14:paraId="76AB50FA">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宋体" w:hAnsi="宋体" w:eastAsia="宋体" w:cs="宋体"/>
                <w:b w:val="0"/>
                <w:bCs w:val="0"/>
                <w:color w:val="auto"/>
                <w:sz w:val="24"/>
                <w:szCs w:val="24"/>
                <w:highlight w:val="none"/>
                <w:u w:val="none"/>
                <w:lang w:val="en-US" w:eastAsia="zh-CN"/>
              </w:rPr>
            </w:pPr>
            <w:r>
              <w:rPr>
                <w:rFonts w:hint="eastAsia" w:ascii="宋体" w:hAnsi="宋体" w:eastAsia="仿宋_GB2312" w:cs="宋体"/>
                <w:b w:val="0"/>
                <w:bCs w:val="0"/>
                <w:color w:val="auto"/>
                <w:sz w:val="24"/>
                <w:szCs w:val="24"/>
                <w:highlight w:val="none"/>
                <w:u w:val="none"/>
                <w:lang w:val="en-US" w:eastAsia="zh-CN"/>
              </w:rPr>
              <w:t>5</w:t>
            </w:r>
          </w:p>
        </w:tc>
        <w:tc>
          <w:tcPr>
            <w:tcW w:w="3843" w:type="dxa"/>
            <w:vAlign w:val="top"/>
          </w:tcPr>
          <w:p w14:paraId="305CB2E5">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 w:eastAsia="zh-CN"/>
              </w:rPr>
            </w:pPr>
          </w:p>
        </w:tc>
        <w:tc>
          <w:tcPr>
            <w:tcW w:w="2861" w:type="dxa"/>
            <w:vAlign w:val="top"/>
          </w:tcPr>
          <w:p w14:paraId="113B3965">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 w:eastAsia="zh-CN"/>
              </w:rPr>
            </w:pPr>
          </w:p>
        </w:tc>
        <w:tc>
          <w:tcPr>
            <w:tcW w:w="993" w:type="dxa"/>
            <w:vAlign w:val="top"/>
          </w:tcPr>
          <w:p w14:paraId="5B166FCC">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US" w:eastAsia="zh-CN"/>
              </w:rPr>
            </w:pPr>
          </w:p>
        </w:tc>
      </w:tr>
      <w:tr w14:paraId="3F3F2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top"/>
          </w:tcPr>
          <w:p w14:paraId="46091F12">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宋体" w:hAnsi="宋体" w:eastAsia="宋体" w:cs="宋体"/>
                <w:b w:val="0"/>
                <w:bCs w:val="0"/>
                <w:color w:val="auto"/>
                <w:sz w:val="24"/>
                <w:szCs w:val="24"/>
                <w:highlight w:val="none"/>
                <w:u w:val="none"/>
                <w:lang w:val="en-US" w:eastAsia="zh-CN"/>
              </w:rPr>
            </w:pPr>
            <w:r>
              <w:rPr>
                <w:rFonts w:hint="eastAsia" w:ascii="宋体" w:hAnsi="宋体" w:eastAsia="仿宋_GB2312" w:cs="宋体"/>
                <w:b w:val="0"/>
                <w:bCs w:val="0"/>
                <w:color w:val="auto"/>
                <w:sz w:val="24"/>
                <w:szCs w:val="24"/>
                <w:highlight w:val="none"/>
                <w:u w:val="none"/>
                <w:lang w:val="en-US" w:eastAsia="zh-CN"/>
              </w:rPr>
              <w:t>6</w:t>
            </w:r>
          </w:p>
        </w:tc>
        <w:tc>
          <w:tcPr>
            <w:tcW w:w="3843" w:type="dxa"/>
            <w:vAlign w:val="top"/>
          </w:tcPr>
          <w:p w14:paraId="45059BF0">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 w:eastAsia="zh-CN"/>
              </w:rPr>
            </w:pPr>
          </w:p>
        </w:tc>
        <w:tc>
          <w:tcPr>
            <w:tcW w:w="2861" w:type="dxa"/>
            <w:vAlign w:val="top"/>
          </w:tcPr>
          <w:p w14:paraId="763A2F5C">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 w:eastAsia="zh-CN"/>
              </w:rPr>
            </w:pPr>
          </w:p>
        </w:tc>
        <w:tc>
          <w:tcPr>
            <w:tcW w:w="993" w:type="dxa"/>
            <w:vAlign w:val="top"/>
          </w:tcPr>
          <w:p w14:paraId="5476248E">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US" w:eastAsia="zh-CN"/>
              </w:rPr>
            </w:pPr>
          </w:p>
        </w:tc>
      </w:tr>
      <w:tr w14:paraId="5A54D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top"/>
          </w:tcPr>
          <w:p w14:paraId="388993DB">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宋体" w:hAnsi="宋体" w:eastAsia="宋体" w:cs="宋体"/>
                <w:b w:val="0"/>
                <w:bCs w:val="0"/>
                <w:color w:val="auto"/>
                <w:sz w:val="24"/>
                <w:szCs w:val="24"/>
                <w:highlight w:val="none"/>
                <w:u w:val="none"/>
                <w:lang w:val="en-US" w:eastAsia="zh-CN"/>
              </w:rPr>
            </w:pPr>
            <w:r>
              <w:rPr>
                <w:rFonts w:hint="eastAsia" w:ascii="宋体" w:hAnsi="宋体" w:eastAsia="仿宋_GB2312" w:cs="宋体"/>
                <w:b w:val="0"/>
                <w:bCs w:val="0"/>
                <w:color w:val="auto"/>
                <w:sz w:val="24"/>
                <w:szCs w:val="24"/>
                <w:highlight w:val="none"/>
                <w:u w:val="none"/>
                <w:lang w:val="en-US" w:eastAsia="zh-CN"/>
              </w:rPr>
              <w:t>7</w:t>
            </w:r>
          </w:p>
        </w:tc>
        <w:tc>
          <w:tcPr>
            <w:tcW w:w="3843" w:type="dxa"/>
            <w:vAlign w:val="top"/>
          </w:tcPr>
          <w:p w14:paraId="25D3DC69">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 w:eastAsia="zh-CN"/>
              </w:rPr>
            </w:pPr>
          </w:p>
        </w:tc>
        <w:tc>
          <w:tcPr>
            <w:tcW w:w="2861" w:type="dxa"/>
            <w:vAlign w:val="top"/>
          </w:tcPr>
          <w:p w14:paraId="1B82C340">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 w:eastAsia="zh-CN"/>
              </w:rPr>
            </w:pPr>
          </w:p>
        </w:tc>
        <w:tc>
          <w:tcPr>
            <w:tcW w:w="993" w:type="dxa"/>
            <w:vAlign w:val="top"/>
          </w:tcPr>
          <w:p w14:paraId="01B4F562">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US" w:eastAsia="zh-CN"/>
              </w:rPr>
            </w:pPr>
          </w:p>
        </w:tc>
      </w:tr>
      <w:tr w14:paraId="7A159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top"/>
          </w:tcPr>
          <w:p w14:paraId="36988EAB">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宋体" w:hAnsi="宋体" w:eastAsia="宋体" w:cs="宋体"/>
                <w:b w:val="0"/>
                <w:bCs w:val="0"/>
                <w:color w:val="auto"/>
                <w:sz w:val="24"/>
                <w:szCs w:val="24"/>
                <w:highlight w:val="none"/>
                <w:u w:val="none"/>
                <w:lang w:val="en-US" w:eastAsia="zh-CN"/>
              </w:rPr>
            </w:pPr>
            <w:r>
              <w:rPr>
                <w:rFonts w:hint="eastAsia" w:ascii="宋体" w:hAnsi="宋体" w:eastAsia="仿宋_GB2312" w:cs="宋体"/>
                <w:b w:val="0"/>
                <w:bCs w:val="0"/>
                <w:color w:val="auto"/>
                <w:sz w:val="24"/>
                <w:szCs w:val="24"/>
                <w:highlight w:val="none"/>
                <w:u w:val="none"/>
                <w:lang w:val="en-US" w:eastAsia="zh-CN"/>
              </w:rPr>
              <w:t>8</w:t>
            </w:r>
          </w:p>
        </w:tc>
        <w:tc>
          <w:tcPr>
            <w:tcW w:w="3843" w:type="dxa"/>
            <w:vAlign w:val="top"/>
          </w:tcPr>
          <w:p w14:paraId="30BDAE40">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 w:eastAsia="zh-CN"/>
              </w:rPr>
            </w:pPr>
          </w:p>
        </w:tc>
        <w:tc>
          <w:tcPr>
            <w:tcW w:w="2861" w:type="dxa"/>
            <w:vAlign w:val="top"/>
          </w:tcPr>
          <w:p w14:paraId="7001DCA0">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 w:eastAsia="zh-CN"/>
              </w:rPr>
            </w:pPr>
          </w:p>
        </w:tc>
        <w:tc>
          <w:tcPr>
            <w:tcW w:w="993" w:type="dxa"/>
            <w:vAlign w:val="top"/>
          </w:tcPr>
          <w:p w14:paraId="58C94B94">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US" w:eastAsia="zh-CN"/>
              </w:rPr>
            </w:pPr>
          </w:p>
        </w:tc>
      </w:tr>
      <w:tr w14:paraId="25673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top"/>
          </w:tcPr>
          <w:p w14:paraId="5030FE55">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宋体" w:hAnsi="宋体" w:eastAsia="宋体" w:cs="宋体"/>
                <w:color w:val="auto"/>
                <w:sz w:val="24"/>
                <w:szCs w:val="24"/>
                <w:highlight w:val="none"/>
                <w:u w:val="none"/>
                <w:lang w:val="en-US" w:eastAsia="zh-CN"/>
              </w:rPr>
            </w:pPr>
            <w:r>
              <w:rPr>
                <w:rFonts w:hint="eastAsia" w:ascii="宋体" w:hAnsi="宋体" w:eastAsia="仿宋_GB2312" w:cs="宋体"/>
                <w:color w:val="auto"/>
                <w:sz w:val="24"/>
                <w:szCs w:val="24"/>
                <w:highlight w:val="none"/>
                <w:u w:val="none"/>
                <w:lang w:val="en-US" w:eastAsia="zh-CN"/>
              </w:rPr>
              <w:t>……</w:t>
            </w:r>
          </w:p>
        </w:tc>
        <w:tc>
          <w:tcPr>
            <w:tcW w:w="3843" w:type="dxa"/>
            <w:vAlign w:val="top"/>
          </w:tcPr>
          <w:p w14:paraId="2150F89D">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 w:eastAsia="zh-CN"/>
              </w:rPr>
            </w:pPr>
          </w:p>
        </w:tc>
        <w:tc>
          <w:tcPr>
            <w:tcW w:w="2861" w:type="dxa"/>
            <w:vAlign w:val="top"/>
          </w:tcPr>
          <w:p w14:paraId="7D8BF947">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 w:eastAsia="zh-CN"/>
              </w:rPr>
            </w:pPr>
          </w:p>
        </w:tc>
        <w:tc>
          <w:tcPr>
            <w:tcW w:w="993" w:type="dxa"/>
            <w:vAlign w:val="top"/>
          </w:tcPr>
          <w:p w14:paraId="7E229AF2">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US" w:eastAsia="zh-CN"/>
              </w:rPr>
            </w:pPr>
          </w:p>
        </w:tc>
      </w:tr>
    </w:tbl>
    <w:p w14:paraId="32FC129D">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宋体" w:hAnsi="宋体" w:eastAsia="仿宋_GB2312" w:cs="宋体"/>
          <w:b w:val="0"/>
          <w:bCs w:val="0"/>
          <w:color w:val="auto"/>
          <w:sz w:val="21"/>
          <w:szCs w:val="21"/>
          <w:highlight w:val="none"/>
          <w:u w:val="none"/>
          <w:vertAlign w:val="baseline"/>
          <w:lang w:val="en-US" w:eastAsia="zh-CN"/>
        </w:rPr>
      </w:pPr>
      <w:r>
        <w:rPr>
          <w:rFonts w:hint="eastAsia" w:ascii="宋体" w:hAnsi="宋体" w:eastAsia="仿宋_GB2312" w:cs="宋体"/>
          <w:b w:val="0"/>
          <w:bCs w:val="0"/>
          <w:color w:val="auto"/>
          <w:sz w:val="21"/>
          <w:szCs w:val="21"/>
          <w:highlight w:val="none"/>
          <w:u w:val="none"/>
          <w:vertAlign w:val="baseline"/>
          <w:lang w:val="en-US" w:eastAsia="zh-CN"/>
        </w:rPr>
        <w:t>备注：1.项目资金末端分配点位包括县（市、区）、市级部门下属单位及一次性单位等。</w:t>
      </w:r>
    </w:p>
    <w:p w14:paraId="0020BBD8">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630" w:firstLineChars="300"/>
        <w:jc w:val="left"/>
        <w:textAlignment w:val="auto"/>
        <w:rPr>
          <w:rFonts w:hint="eastAsia" w:ascii="宋体" w:hAnsi="宋体" w:eastAsia="仿宋_GB2312" w:cs="宋体"/>
          <w:b w:val="0"/>
          <w:bCs w:val="0"/>
          <w:color w:val="auto"/>
          <w:sz w:val="21"/>
          <w:szCs w:val="21"/>
          <w:highlight w:val="none"/>
          <w:u w:val="none"/>
          <w:vertAlign w:val="baseline"/>
          <w:lang w:val="en-US" w:eastAsia="zh-CN"/>
        </w:rPr>
      </w:pPr>
      <w:r>
        <w:rPr>
          <w:rFonts w:hint="eastAsia" w:ascii="宋体" w:hAnsi="宋体" w:eastAsia="仿宋_GB2312" w:cs="宋体"/>
          <w:b w:val="0"/>
          <w:bCs w:val="0"/>
          <w:color w:val="auto"/>
          <w:sz w:val="21"/>
          <w:szCs w:val="21"/>
          <w:highlight w:val="none"/>
          <w:u w:val="none"/>
          <w:vertAlign w:val="baseline"/>
          <w:lang w:val="en-US" w:eastAsia="zh-CN"/>
        </w:rPr>
        <w:t>2.自评得分（百分制）从高到低划分为优、良、中、差四个档次，各个档次数量占比分别为20%、20%、55%、5%，且不同档次间得分分值应体现差异化，同档次得分分值相同的比例不超过该档次总数量的10%。</w:t>
      </w:r>
    </w:p>
    <w:p w14:paraId="6521C5AA">
      <w:pPr>
        <w:rPr>
          <w:rFonts w:hint="eastAsia" w:ascii="Times New Roman" w:hAnsi="Times New Roman" w:eastAsia="仿宋_GB2312" w:cs="Times New Roman"/>
          <w:kern w:val="2"/>
          <w:sz w:val="32"/>
          <w:szCs w:val="24"/>
          <w:highlight w:val="none"/>
          <w:lang w:val="en-US" w:eastAsia="zh-CN" w:bidi="ar-SA"/>
        </w:rPr>
      </w:pPr>
      <w:r>
        <w:rPr>
          <w:rFonts w:hint="eastAsia" w:ascii="Times New Roman" w:hAnsi="Times New Roman" w:eastAsia="仿宋_GB2312" w:cs="Times New Roman"/>
          <w:kern w:val="2"/>
          <w:sz w:val="32"/>
          <w:szCs w:val="24"/>
          <w:highlight w:val="none"/>
          <w:lang w:val="en-US" w:eastAsia="zh-CN" w:bidi="ar-SA"/>
        </w:rPr>
        <w:br w:type="page"/>
      </w:r>
    </w:p>
    <w:p w14:paraId="5E4B139A">
      <w:pPr>
        <w:pStyle w:val="3"/>
        <w:keepNext w:val="0"/>
        <w:keepLines w:val="0"/>
        <w:pageBreakBefore w:val="0"/>
        <w:kinsoku/>
        <w:wordWrap/>
        <w:overflowPunct/>
        <w:topLinePunct w:val="0"/>
        <w:autoSpaceDE/>
        <w:autoSpaceDN/>
        <w:bidi w:val="0"/>
        <w:spacing w:after="0" w:line="578" w:lineRule="exact"/>
        <w:ind w:left="0" w:leftChars="0" w:firstLine="0" w:firstLineChars="0"/>
        <w:rPr>
          <w:rFonts w:hint="default" w:ascii="Times New Roman" w:hAnsi="Times New Roman" w:eastAsia="黑体" w:cs="Times New Roman"/>
          <w:kern w:val="2"/>
          <w:sz w:val="32"/>
          <w:szCs w:val="24"/>
          <w:highlight w:val="none"/>
          <w:lang w:val="en-US" w:eastAsia="zh-CN" w:bidi="ar-SA"/>
        </w:rPr>
      </w:pPr>
      <w:r>
        <w:rPr>
          <w:rFonts w:hint="default" w:ascii="Times New Roman" w:hAnsi="Times New Roman" w:eastAsia="黑体" w:cs="Times New Roman"/>
          <w:kern w:val="2"/>
          <w:sz w:val="32"/>
          <w:szCs w:val="24"/>
          <w:highlight w:val="none"/>
          <w:lang w:val="en-US" w:eastAsia="zh-CN" w:bidi="ar-SA"/>
        </w:rPr>
        <w:t>附表2</w:t>
      </w:r>
    </w:p>
    <w:p w14:paraId="6E1ECFB5">
      <w:pPr>
        <w:pStyle w:val="3"/>
        <w:keepNext w:val="0"/>
        <w:keepLines w:val="0"/>
        <w:pageBreakBefore w:val="0"/>
        <w:kinsoku/>
        <w:wordWrap/>
        <w:overflowPunct/>
        <w:topLinePunct w:val="0"/>
        <w:autoSpaceDE/>
        <w:autoSpaceDN/>
        <w:bidi w:val="0"/>
        <w:spacing w:after="0" w:line="578" w:lineRule="exact"/>
        <w:ind w:left="0" w:leftChars="0"/>
        <w:rPr>
          <w:rFonts w:hint="default" w:ascii="黑体" w:hAnsi="黑体" w:eastAsia="黑体" w:cs="黑体"/>
          <w:sz w:val="24"/>
          <w:szCs w:val="24"/>
          <w:highlight w:val="none"/>
          <w:lang w:val="en-US" w:eastAsia="zh-CN"/>
        </w:rPr>
      </w:pPr>
    </w:p>
    <w:tbl>
      <w:tblPr>
        <w:tblStyle w:val="2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10"/>
        <w:gridCol w:w="727"/>
        <w:gridCol w:w="732"/>
        <w:gridCol w:w="1986"/>
        <w:gridCol w:w="1078"/>
        <w:gridCol w:w="1028"/>
        <w:gridCol w:w="854"/>
        <w:gridCol w:w="864"/>
        <w:gridCol w:w="1082"/>
      </w:tblGrid>
      <w:tr w14:paraId="6F455C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000"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4C07C60">
            <w:pPr>
              <w:keepNext w:val="0"/>
              <w:keepLines w:val="0"/>
              <w:widowControl/>
              <w:suppressLineNumbers w:val="0"/>
              <w:jc w:val="center"/>
              <w:textAlignment w:val="center"/>
              <w:rPr>
                <w:rFonts w:ascii="方正小标宋简体" w:hAnsi="方正小标宋简体" w:eastAsia="方正小标宋简体" w:cs="方正小标宋简体"/>
                <w:i w:val="0"/>
                <w:iCs w:val="0"/>
                <w:color w:val="000000"/>
                <w:sz w:val="40"/>
                <w:szCs w:val="40"/>
                <w:u w:val="none"/>
              </w:rPr>
            </w:pPr>
            <w:r>
              <w:rPr>
                <w:rFonts w:hint="eastAsia" w:ascii="方正小标宋简体" w:hAnsi="方正小标宋简体" w:eastAsia="方正小标宋简体" w:cs="方正小标宋简体"/>
                <w:i w:val="0"/>
                <w:iCs w:val="0"/>
                <w:color w:val="000000"/>
                <w:kern w:val="0"/>
                <w:sz w:val="40"/>
                <w:szCs w:val="40"/>
                <w:u w:val="none"/>
                <w:lang w:val="en-US" w:eastAsia="zh-CN" w:bidi="ar"/>
              </w:rPr>
              <w:t>专项资金绩效目标完成情况自评表</w:t>
            </w:r>
          </w:p>
        </w:tc>
      </w:tr>
      <w:tr w14:paraId="3F801A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2293"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2FD1F3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项目名称</w:t>
            </w:r>
          </w:p>
        </w:tc>
        <w:tc>
          <w:tcPr>
            <w:tcW w:w="2706"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AC9122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51090425T000012122802-遂财建【2024】85号关于下达水利专项2024年第一批中央基建投资（麻子滩水库除险加固）</w:t>
            </w:r>
          </w:p>
        </w:tc>
      </w:tr>
      <w:tr w14:paraId="0224A3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2293"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036CBD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预算单位</w:t>
            </w:r>
          </w:p>
        </w:tc>
        <w:tc>
          <w:tcPr>
            <w:tcW w:w="2706"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6D7648A">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仿宋_GB2312" w:cs="宋体"/>
                <w:i w:val="0"/>
                <w:iCs w:val="0"/>
                <w:color w:val="000000"/>
                <w:kern w:val="0"/>
                <w:sz w:val="24"/>
                <w:szCs w:val="24"/>
                <w:u w:val="none"/>
                <w:lang w:val="en-US" w:eastAsia="zh-CN" w:bidi="ar"/>
              </w:rPr>
              <w:t>遂宁市安居区水利局</w:t>
            </w:r>
          </w:p>
        </w:tc>
      </w:tr>
      <w:tr w14:paraId="4D3681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2293"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97777C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项目类型</w:t>
            </w:r>
          </w:p>
        </w:tc>
        <w:tc>
          <w:tcPr>
            <w:tcW w:w="2706"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CF0956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阶段性项目</w:t>
            </w:r>
          </w:p>
        </w:tc>
      </w:tr>
      <w:tr w14:paraId="426236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39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BF45FD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项目 概况</w:t>
            </w:r>
          </w:p>
        </w:tc>
        <w:tc>
          <w:tcPr>
            <w:tcW w:w="1900"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2923D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中长期规划（名称、文号，仅指常年项目）</w:t>
            </w:r>
          </w:p>
        </w:tc>
        <w:tc>
          <w:tcPr>
            <w:tcW w:w="2706" w:type="pct"/>
            <w:gridSpan w:val="5"/>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0C343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《四川省财政厅 四川省水利厅关于印发&lt;四川省水利发展资金管理办法&gt;的通知》（川财农〔2023〕29号）《遂宁市水利监督管理实施办法（试行）》，遂财建【2024】85号</w:t>
            </w:r>
          </w:p>
        </w:tc>
      </w:tr>
      <w:tr w14:paraId="5DF35E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3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913B5F">
            <w:pPr>
              <w:jc w:val="center"/>
              <w:rPr>
                <w:rFonts w:hint="eastAsia" w:ascii="宋体" w:hAnsi="宋体" w:eastAsia="宋体" w:cs="宋体"/>
                <w:i w:val="0"/>
                <w:iCs w:val="0"/>
                <w:color w:val="000000"/>
                <w:sz w:val="24"/>
                <w:szCs w:val="24"/>
                <w:u w:val="none"/>
              </w:rPr>
            </w:pPr>
          </w:p>
        </w:tc>
        <w:tc>
          <w:tcPr>
            <w:tcW w:w="1900"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3DC87B">
            <w:pPr>
              <w:jc w:val="center"/>
              <w:rPr>
                <w:rFonts w:hint="eastAsia" w:ascii="宋体" w:hAnsi="宋体" w:eastAsia="宋体" w:cs="宋体"/>
                <w:i w:val="0"/>
                <w:iCs w:val="0"/>
                <w:color w:val="000000"/>
                <w:sz w:val="24"/>
                <w:szCs w:val="24"/>
                <w:u w:val="none"/>
              </w:rPr>
            </w:pPr>
          </w:p>
        </w:tc>
        <w:tc>
          <w:tcPr>
            <w:tcW w:w="2706" w:type="pct"/>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B77E23">
            <w:pPr>
              <w:jc w:val="center"/>
              <w:rPr>
                <w:rFonts w:hint="eastAsia" w:ascii="宋体" w:hAnsi="宋体" w:eastAsia="宋体" w:cs="宋体"/>
                <w:i w:val="0"/>
                <w:iCs w:val="0"/>
                <w:color w:val="000000"/>
                <w:sz w:val="24"/>
                <w:szCs w:val="24"/>
                <w:u w:val="none"/>
              </w:rPr>
            </w:pPr>
          </w:p>
        </w:tc>
      </w:tr>
      <w:tr w14:paraId="5257EA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3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1BE362">
            <w:pPr>
              <w:jc w:val="center"/>
              <w:rPr>
                <w:rFonts w:hint="eastAsia" w:ascii="宋体" w:hAnsi="宋体" w:eastAsia="宋体" w:cs="宋体"/>
                <w:i w:val="0"/>
                <w:iCs w:val="0"/>
                <w:color w:val="000000"/>
                <w:sz w:val="24"/>
                <w:szCs w:val="24"/>
                <w:u w:val="none"/>
              </w:rPr>
            </w:pPr>
          </w:p>
        </w:tc>
        <w:tc>
          <w:tcPr>
            <w:tcW w:w="190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1104F4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资金管理办法（名称、文号）</w:t>
            </w:r>
          </w:p>
        </w:tc>
        <w:tc>
          <w:tcPr>
            <w:tcW w:w="2706"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1C5BED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遂财建【2024】85号、《单位内部控制管理制度》</w:t>
            </w:r>
          </w:p>
        </w:tc>
      </w:tr>
      <w:tr w14:paraId="64B518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0" w:hRule="atLeast"/>
        </w:trPr>
        <w:tc>
          <w:tcPr>
            <w:tcW w:w="3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A99DC0">
            <w:pPr>
              <w:jc w:val="center"/>
              <w:rPr>
                <w:rFonts w:hint="eastAsia" w:ascii="宋体" w:hAnsi="宋体" w:eastAsia="宋体" w:cs="宋体"/>
                <w:i w:val="0"/>
                <w:iCs w:val="0"/>
                <w:color w:val="000000"/>
                <w:sz w:val="24"/>
                <w:szCs w:val="24"/>
                <w:u w:val="none"/>
              </w:rPr>
            </w:pPr>
          </w:p>
        </w:tc>
        <w:tc>
          <w:tcPr>
            <w:tcW w:w="190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BD33B5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绩效分配方式</w:t>
            </w:r>
          </w:p>
        </w:tc>
        <w:tc>
          <w:tcPr>
            <w:tcW w:w="5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4DA53B">
            <w:pPr>
              <w:keepNext w:val="0"/>
              <w:keepLines w:val="0"/>
              <w:widowControl/>
              <w:suppressLineNumbers w:val="0"/>
              <w:jc w:val="center"/>
              <w:textAlignment w:val="center"/>
              <w:rPr>
                <w:rFonts w:ascii="Wingdings 2" w:hAnsi="Wingdings 2" w:eastAsia="Wingdings 2" w:cs="Wingdings 2"/>
                <w:i w:val="0"/>
                <w:iCs w:val="0"/>
                <w:color w:val="000000"/>
                <w:sz w:val="24"/>
                <w:szCs w:val="24"/>
                <w:u w:val="none"/>
              </w:rPr>
            </w:pPr>
            <w:r>
              <w:rPr>
                <w:rStyle w:val="53"/>
                <w:lang w:val="en-US" w:eastAsia="zh-CN" w:bidi="ar"/>
              </w:rPr>
              <w:t>£</w:t>
            </w:r>
            <w:r>
              <w:rPr>
                <w:rStyle w:val="54"/>
                <w:rFonts w:eastAsia="仿宋_GB2312"/>
                <w:lang w:val="en-US" w:eastAsia="zh-CN" w:bidi="ar"/>
              </w:rPr>
              <w:t>因素法</w:t>
            </w:r>
          </w:p>
        </w:tc>
        <w:tc>
          <w:tcPr>
            <w:tcW w:w="103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0C0FF72">
            <w:pPr>
              <w:keepNext w:val="0"/>
              <w:keepLines w:val="0"/>
              <w:widowControl/>
              <w:suppressLineNumbers w:val="0"/>
              <w:jc w:val="center"/>
              <w:textAlignment w:val="center"/>
              <w:rPr>
                <w:rFonts w:hint="default" w:ascii="Wingdings 2" w:hAnsi="Wingdings 2" w:eastAsia="Wingdings 2" w:cs="Wingdings 2"/>
                <w:i w:val="0"/>
                <w:iCs w:val="0"/>
                <w:color w:val="000000"/>
                <w:sz w:val="24"/>
                <w:szCs w:val="24"/>
                <w:u w:val="none"/>
              </w:rPr>
            </w:pPr>
            <w:r>
              <w:rPr>
                <w:rFonts w:hint="default" w:ascii="Wingdings 2" w:hAnsi="Wingdings 2" w:eastAsia="Wingdings 2" w:cs="Wingdings 2"/>
                <w:i w:val="0"/>
                <w:iCs w:val="0"/>
                <w:color w:val="000000"/>
                <w:kern w:val="0"/>
                <w:sz w:val="24"/>
                <w:szCs w:val="24"/>
                <w:u w:val="none"/>
                <w:lang w:val="en-US" w:eastAsia="zh-CN" w:bidi="ar"/>
              </w:rPr>
              <w:t>£项目法</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7BB1AD">
            <w:pPr>
              <w:keepNext w:val="0"/>
              <w:keepLines w:val="0"/>
              <w:widowControl/>
              <w:suppressLineNumbers w:val="0"/>
              <w:jc w:val="center"/>
              <w:textAlignment w:val="center"/>
              <w:rPr>
                <w:rFonts w:hint="default" w:ascii="Wingdings 2" w:hAnsi="Wingdings 2" w:eastAsia="Wingdings 2" w:cs="Wingdings 2"/>
                <w:i w:val="0"/>
                <w:iCs w:val="0"/>
                <w:color w:val="000000"/>
                <w:sz w:val="24"/>
                <w:szCs w:val="24"/>
                <w:u w:val="none"/>
              </w:rPr>
            </w:pPr>
            <w:r>
              <w:rPr>
                <w:rStyle w:val="53"/>
                <w:lang w:val="en-US" w:eastAsia="zh-CN" w:bidi="ar"/>
              </w:rPr>
              <w:t>R</w:t>
            </w:r>
            <w:r>
              <w:rPr>
                <w:rStyle w:val="54"/>
                <w:rFonts w:eastAsia="仿宋_GB2312"/>
                <w:lang w:val="en-US" w:eastAsia="zh-CN" w:bidi="ar"/>
              </w:rPr>
              <w:t>据实据效</w:t>
            </w:r>
          </w:p>
        </w:tc>
        <w:tc>
          <w:tcPr>
            <w:tcW w:w="5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B0B49C">
            <w:pPr>
              <w:keepNext w:val="0"/>
              <w:keepLines w:val="0"/>
              <w:widowControl/>
              <w:suppressLineNumbers w:val="0"/>
              <w:jc w:val="center"/>
              <w:textAlignment w:val="center"/>
              <w:rPr>
                <w:rFonts w:hint="default" w:ascii="Wingdings 2" w:hAnsi="Wingdings 2" w:eastAsia="Wingdings 2" w:cs="Wingdings 2"/>
                <w:i w:val="0"/>
                <w:iCs w:val="0"/>
                <w:color w:val="000000"/>
                <w:sz w:val="24"/>
                <w:szCs w:val="24"/>
                <w:u w:val="none"/>
              </w:rPr>
            </w:pPr>
            <w:r>
              <w:rPr>
                <w:rStyle w:val="53"/>
                <w:lang w:val="en-US" w:eastAsia="zh-CN" w:bidi="ar"/>
              </w:rPr>
              <w:t>£</w:t>
            </w:r>
            <w:r>
              <w:rPr>
                <w:rStyle w:val="54"/>
                <w:rFonts w:eastAsia="仿宋_GB2312"/>
                <w:lang w:val="en-US" w:eastAsia="zh-CN" w:bidi="ar"/>
              </w:rPr>
              <w:t>因素法与项目法相结合</w:t>
            </w:r>
          </w:p>
        </w:tc>
      </w:tr>
      <w:tr w14:paraId="3C3075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3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F3D5AD">
            <w:pPr>
              <w:jc w:val="center"/>
              <w:rPr>
                <w:rFonts w:hint="eastAsia" w:ascii="宋体" w:hAnsi="宋体" w:eastAsia="宋体" w:cs="宋体"/>
                <w:i w:val="0"/>
                <w:iCs w:val="0"/>
                <w:color w:val="000000"/>
                <w:sz w:val="24"/>
                <w:szCs w:val="24"/>
                <w:u w:val="none"/>
              </w:rPr>
            </w:pPr>
          </w:p>
        </w:tc>
        <w:tc>
          <w:tcPr>
            <w:tcW w:w="190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184709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立项依据</w:t>
            </w:r>
          </w:p>
        </w:tc>
        <w:tc>
          <w:tcPr>
            <w:tcW w:w="2706"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44FE73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遂财建【2024】85号</w:t>
            </w:r>
          </w:p>
        </w:tc>
      </w:tr>
      <w:tr w14:paraId="620951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3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2DA8B7">
            <w:pPr>
              <w:jc w:val="center"/>
              <w:rPr>
                <w:rFonts w:hint="eastAsia" w:ascii="宋体" w:hAnsi="宋体" w:eastAsia="宋体" w:cs="宋体"/>
                <w:i w:val="0"/>
                <w:iCs w:val="0"/>
                <w:color w:val="000000"/>
                <w:sz w:val="24"/>
                <w:szCs w:val="24"/>
                <w:u w:val="none"/>
              </w:rPr>
            </w:pPr>
          </w:p>
        </w:tc>
        <w:tc>
          <w:tcPr>
            <w:tcW w:w="190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60763B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使用范围</w:t>
            </w:r>
          </w:p>
        </w:tc>
        <w:tc>
          <w:tcPr>
            <w:tcW w:w="2706"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64E669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该项目支持方向主要为灌区续建配套与节水改造</w:t>
            </w:r>
          </w:p>
        </w:tc>
      </w:tr>
      <w:tr w14:paraId="128D39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3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B70031">
            <w:pPr>
              <w:jc w:val="center"/>
              <w:rPr>
                <w:rFonts w:hint="eastAsia" w:ascii="宋体" w:hAnsi="宋体" w:eastAsia="宋体" w:cs="宋体"/>
                <w:i w:val="0"/>
                <w:iCs w:val="0"/>
                <w:color w:val="000000"/>
                <w:sz w:val="24"/>
                <w:szCs w:val="24"/>
                <w:u w:val="none"/>
              </w:rPr>
            </w:pPr>
          </w:p>
        </w:tc>
        <w:tc>
          <w:tcPr>
            <w:tcW w:w="190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E46B0E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申报（补助）条件</w:t>
            </w:r>
          </w:p>
        </w:tc>
        <w:tc>
          <w:tcPr>
            <w:tcW w:w="2706"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C8399A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上级安排项目</w:t>
            </w:r>
          </w:p>
        </w:tc>
      </w:tr>
      <w:tr w14:paraId="198D55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3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3B38A1">
            <w:pPr>
              <w:jc w:val="center"/>
              <w:rPr>
                <w:rFonts w:hint="eastAsia" w:ascii="宋体" w:hAnsi="宋体" w:eastAsia="宋体" w:cs="宋体"/>
                <w:i w:val="0"/>
                <w:iCs w:val="0"/>
                <w:color w:val="000000"/>
                <w:sz w:val="24"/>
                <w:szCs w:val="24"/>
                <w:u w:val="none"/>
              </w:rPr>
            </w:pPr>
          </w:p>
        </w:tc>
        <w:tc>
          <w:tcPr>
            <w:tcW w:w="190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7EB910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项目起止年限</w:t>
            </w:r>
          </w:p>
        </w:tc>
        <w:tc>
          <w:tcPr>
            <w:tcW w:w="2706"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3DF84F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2024.01.01-2024.12.31</w:t>
            </w:r>
          </w:p>
        </w:tc>
      </w:tr>
      <w:tr w14:paraId="377D75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793"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A5600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项目资金</w:t>
            </w:r>
            <w:r>
              <w:rPr>
                <w:rFonts w:hint="eastAsia" w:ascii="宋体" w:hAnsi="宋体" w:eastAsia="仿宋_GB2312" w:cs="宋体"/>
                <w:i w:val="0"/>
                <w:iCs w:val="0"/>
                <w:color w:val="000000"/>
                <w:kern w:val="0"/>
                <w:sz w:val="24"/>
                <w:szCs w:val="24"/>
                <w:u w:val="none"/>
                <w:lang w:val="en-US" w:eastAsia="zh-CN" w:bidi="ar"/>
              </w:rPr>
              <w:br w:type="textWrapping"/>
            </w:r>
            <w:r>
              <w:rPr>
                <w:rFonts w:hint="eastAsia" w:ascii="宋体" w:hAnsi="宋体" w:eastAsia="仿宋_GB2312" w:cs="宋体"/>
                <w:i w:val="0"/>
                <w:iCs w:val="0"/>
                <w:color w:val="000000"/>
                <w:kern w:val="0"/>
                <w:sz w:val="24"/>
                <w:szCs w:val="24"/>
                <w:u w:val="none"/>
                <w:lang w:val="en-US" w:eastAsia="zh-CN" w:bidi="ar"/>
              </w:rPr>
              <w:t>（万元）</w:t>
            </w:r>
          </w:p>
        </w:tc>
        <w:tc>
          <w:tcPr>
            <w:tcW w:w="149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C90AC1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 xml:space="preserve">  年度资金总额：</w:t>
            </w:r>
          </w:p>
        </w:tc>
        <w:tc>
          <w:tcPr>
            <w:tcW w:w="2706"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4381536">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仿宋_GB2312" w:cs="宋体"/>
                <w:i w:val="0"/>
                <w:iCs w:val="0"/>
                <w:color w:val="000000"/>
                <w:kern w:val="0"/>
                <w:sz w:val="24"/>
                <w:szCs w:val="24"/>
                <w:u w:val="none"/>
                <w:lang w:val="en-US" w:eastAsia="zh-CN" w:bidi="ar"/>
              </w:rPr>
              <w:t>7513400.00</w:t>
            </w:r>
          </w:p>
        </w:tc>
      </w:tr>
      <w:tr w14:paraId="1FF753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793"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26EC3D">
            <w:pPr>
              <w:jc w:val="center"/>
              <w:rPr>
                <w:rFonts w:hint="eastAsia" w:ascii="宋体" w:hAnsi="宋体" w:eastAsia="宋体" w:cs="宋体"/>
                <w:i w:val="0"/>
                <w:iCs w:val="0"/>
                <w:color w:val="000000"/>
                <w:sz w:val="24"/>
                <w:szCs w:val="24"/>
                <w:u w:val="none"/>
              </w:rPr>
            </w:pPr>
          </w:p>
        </w:tc>
        <w:tc>
          <w:tcPr>
            <w:tcW w:w="149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959F9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4"/>
                <w:rFonts w:eastAsia="仿宋_GB2312"/>
                <w:lang w:val="en-US" w:eastAsia="zh-CN" w:bidi="ar"/>
              </w:rPr>
              <w:t xml:space="preserve">      其中：财政拨款</w:t>
            </w:r>
          </w:p>
        </w:tc>
        <w:tc>
          <w:tcPr>
            <w:tcW w:w="2706"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0E4B0B8">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仿宋_GB2312" w:cs="宋体"/>
                <w:i w:val="0"/>
                <w:iCs w:val="0"/>
                <w:color w:val="000000"/>
                <w:kern w:val="0"/>
                <w:sz w:val="24"/>
                <w:szCs w:val="24"/>
                <w:u w:val="none"/>
                <w:lang w:val="en-US" w:eastAsia="zh-CN" w:bidi="ar"/>
              </w:rPr>
              <w:t>7513400.00</w:t>
            </w:r>
          </w:p>
        </w:tc>
      </w:tr>
      <w:tr w14:paraId="2E46A6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793"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BA0B13">
            <w:pPr>
              <w:jc w:val="center"/>
              <w:rPr>
                <w:rFonts w:hint="eastAsia" w:ascii="宋体" w:hAnsi="宋体" w:eastAsia="宋体" w:cs="宋体"/>
                <w:i w:val="0"/>
                <w:iCs w:val="0"/>
                <w:color w:val="000000"/>
                <w:sz w:val="24"/>
                <w:szCs w:val="24"/>
                <w:u w:val="none"/>
              </w:rPr>
            </w:pPr>
          </w:p>
        </w:tc>
        <w:tc>
          <w:tcPr>
            <w:tcW w:w="149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E07DB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 xml:space="preserve">            其他资金</w:t>
            </w:r>
          </w:p>
        </w:tc>
        <w:tc>
          <w:tcPr>
            <w:tcW w:w="2706"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ADC4F8A">
            <w:pPr>
              <w:jc w:val="center"/>
              <w:rPr>
                <w:rFonts w:hint="eastAsia" w:ascii="宋体" w:hAnsi="宋体" w:eastAsia="宋体" w:cs="宋体"/>
                <w:i w:val="0"/>
                <w:iCs w:val="0"/>
                <w:color w:val="000000"/>
                <w:sz w:val="24"/>
                <w:szCs w:val="24"/>
                <w:u w:val="none"/>
              </w:rPr>
            </w:pPr>
          </w:p>
        </w:tc>
      </w:tr>
      <w:tr w14:paraId="01D05C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39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55B91E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总体目标</w:t>
            </w:r>
          </w:p>
        </w:tc>
        <w:tc>
          <w:tcPr>
            <w:tcW w:w="4607"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7C17EB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年度目标</w:t>
            </w:r>
          </w:p>
        </w:tc>
      </w:tr>
      <w:tr w14:paraId="241A7C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6" w:hRule="atLeast"/>
        </w:trPr>
        <w:tc>
          <w:tcPr>
            <w:tcW w:w="3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001160">
            <w:pPr>
              <w:jc w:val="center"/>
              <w:rPr>
                <w:rFonts w:hint="eastAsia" w:ascii="宋体" w:hAnsi="宋体" w:eastAsia="宋体" w:cs="宋体"/>
                <w:i w:val="0"/>
                <w:iCs w:val="0"/>
                <w:color w:val="000000"/>
                <w:sz w:val="24"/>
                <w:szCs w:val="24"/>
                <w:u w:val="none"/>
              </w:rPr>
            </w:pPr>
          </w:p>
        </w:tc>
        <w:tc>
          <w:tcPr>
            <w:tcW w:w="4607"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6F9C1D2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新生水库灌区续建配套与节水改造</w:t>
            </w:r>
          </w:p>
        </w:tc>
      </w:tr>
      <w:tr w14:paraId="351547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0" w:hRule="atLeast"/>
        </w:trPr>
        <w:tc>
          <w:tcPr>
            <w:tcW w:w="39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37C6D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绩效 指标</w:t>
            </w:r>
          </w:p>
        </w:tc>
        <w:tc>
          <w:tcPr>
            <w:tcW w:w="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51CB5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一级指标</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F2A6B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二级指标</w:t>
            </w:r>
          </w:p>
        </w:tc>
        <w:tc>
          <w:tcPr>
            <w:tcW w:w="10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8C771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三级指标</w:t>
            </w:r>
          </w:p>
        </w:tc>
        <w:tc>
          <w:tcPr>
            <w:tcW w:w="5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CD743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指标性质</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268F0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指标值</w:t>
            </w: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48C6F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度量单位</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FBE4C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权重</w:t>
            </w:r>
          </w:p>
        </w:tc>
        <w:tc>
          <w:tcPr>
            <w:tcW w:w="5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7AD28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实际完成指标值</w:t>
            </w:r>
          </w:p>
        </w:tc>
      </w:tr>
      <w:tr w14:paraId="09DE8F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4B23F0">
            <w:pPr>
              <w:jc w:val="center"/>
              <w:rPr>
                <w:rFonts w:hint="eastAsia" w:ascii="宋体" w:hAnsi="宋体" w:eastAsia="宋体" w:cs="宋体"/>
                <w:i w:val="0"/>
                <w:iCs w:val="0"/>
                <w:color w:val="000000"/>
                <w:sz w:val="24"/>
                <w:szCs w:val="24"/>
                <w:u w:val="none"/>
              </w:rPr>
            </w:pPr>
          </w:p>
        </w:tc>
        <w:tc>
          <w:tcPr>
            <w:tcW w:w="40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DAF8B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产出指标</w:t>
            </w:r>
          </w:p>
        </w:tc>
        <w:tc>
          <w:tcPr>
            <w:tcW w:w="404" w:type="pct"/>
            <w:tcBorders>
              <w:top w:val="single" w:color="000000" w:sz="4" w:space="0"/>
              <w:left w:val="single" w:color="000000" w:sz="4" w:space="0"/>
              <w:right w:val="single" w:color="000000" w:sz="4" w:space="0"/>
            </w:tcBorders>
            <w:shd w:val="clear" w:color="auto" w:fill="auto"/>
            <w:vAlign w:val="center"/>
          </w:tcPr>
          <w:p w14:paraId="2DA2F46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数量指标</w:t>
            </w:r>
          </w:p>
        </w:tc>
        <w:tc>
          <w:tcPr>
            <w:tcW w:w="10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31A38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惠及乡镇及人口</w:t>
            </w:r>
          </w:p>
        </w:tc>
        <w:tc>
          <w:tcPr>
            <w:tcW w:w="5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DB65D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236DED">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2</w:t>
            </w: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488EEA">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个</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028D47">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10</w:t>
            </w:r>
          </w:p>
        </w:tc>
        <w:tc>
          <w:tcPr>
            <w:tcW w:w="5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87901F">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2个</w:t>
            </w:r>
          </w:p>
        </w:tc>
      </w:tr>
      <w:tr w14:paraId="0B9C56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3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5FC397">
            <w:pPr>
              <w:jc w:val="center"/>
              <w:rPr>
                <w:rFonts w:hint="eastAsia" w:ascii="宋体" w:hAnsi="宋体" w:eastAsia="宋体" w:cs="宋体"/>
                <w:i w:val="0"/>
                <w:iCs w:val="0"/>
                <w:color w:val="000000"/>
                <w:sz w:val="24"/>
                <w:szCs w:val="24"/>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4570AB">
            <w:pPr>
              <w:jc w:val="center"/>
              <w:rPr>
                <w:rFonts w:hint="eastAsia" w:ascii="宋体" w:hAnsi="宋体" w:eastAsia="宋体" w:cs="宋体"/>
                <w:i w:val="0"/>
                <w:iCs w:val="0"/>
                <w:color w:val="000000"/>
                <w:sz w:val="24"/>
                <w:szCs w:val="24"/>
                <w:u w:val="none"/>
              </w:rPr>
            </w:pP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D72A6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质量指标</w:t>
            </w:r>
          </w:p>
        </w:tc>
        <w:tc>
          <w:tcPr>
            <w:tcW w:w="10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CBA56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中小河流治理完工率</w:t>
            </w:r>
          </w:p>
        </w:tc>
        <w:tc>
          <w:tcPr>
            <w:tcW w:w="5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2664D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CF7B6D">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90</w:t>
            </w: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990B5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3B6B49">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10</w:t>
            </w:r>
          </w:p>
        </w:tc>
        <w:tc>
          <w:tcPr>
            <w:tcW w:w="5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66E1D5">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100%</w:t>
            </w:r>
          </w:p>
        </w:tc>
      </w:tr>
      <w:tr w14:paraId="5536A5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7" w:hRule="atLeast"/>
        </w:trPr>
        <w:tc>
          <w:tcPr>
            <w:tcW w:w="3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058168">
            <w:pPr>
              <w:jc w:val="center"/>
              <w:rPr>
                <w:rFonts w:hint="eastAsia" w:ascii="宋体" w:hAnsi="宋体" w:eastAsia="宋体" w:cs="宋体"/>
                <w:i w:val="0"/>
                <w:iCs w:val="0"/>
                <w:color w:val="000000"/>
                <w:sz w:val="24"/>
                <w:szCs w:val="24"/>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9C4BBB">
            <w:pPr>
              <w:jc w:val="center"/>
              <w:rPr>
                <w:rFonts w:hint="eastAsia" w:ascii="宋体" w:hAnsi="宋体" w:eastAsia="宋体" w:cs="宋体"/>
                <w:i w:val="0"/>
                <w:iCs w:val="0"/>
                <w:color w:val="000000"/>
                <w:sz w:val="24"/>
                <w:szCs w:val="24"/>
                <w:u w:val="none"/>
              </w:rPr>
            </w:pP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EDCB6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时效指标</w:t>
            </w:r>
          </w:p>
        </w:tc>
        <w:tc>
          <w:tcPr>
            <w:tcW w:w="10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FA492F">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资金支付及时率</w:t>
            </w:r>
          </w:p>
        </w:tc>
        <w:tc>
          <w:tcPr>
            <w:tcW w:w="5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07918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BB7E6D">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10</w:t>
            </w: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7888E0">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个工作日</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A5DFDF">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10</w:t>
            </w:r>
          </w:p>
        </w:tc>
        <w:tc>
          <w:tcPr>
            <w:tcW w:w="5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E1940D">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10个工作日</w:t>
            </w:r>
          </w:p>
        </w:tc>
      </w:tr>
      <w:tr w14:paraId="6D699D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3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53AFFC">
            <w:pPr>
              <w:jc w:val="center"/>
              <w:rPr>
                <w:rFonts w:hint="eastAsia" w:ascii="宋体" w:hAnsi="宋体" w:eastAsia="宋体" w:cs="宋体"/>
                <w:i w:val="0"/>
                <w:iCs w:val="0"/>
                <w:color w:val="000000"/>
                <w:sz w:val="24"/>
                <w:szCs w:val="24"/>
                <w:u w:val="none"/>
              </w:rPr>
            </w:pPr>
          </w:p>
        </w:tc>
        <w:tc>
          <w:tcPr>
            <w:tcW w:w="40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C6328E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效益指标</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FEAFA4">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生态</w:t>
            </w:r>
            <w:r>
              <w:rPr>
                <w:rFonts w:ascii="宋体" w:hAnsi="宋体" w:eastAsia="仿宋_GB2312" w:cs="宋体"/>
                <w:i w:val="0"/>
                <w:iCs w:val="0"/>
                <w:color w:val="000000"/>
                <w:kern w:val="0"/>
                <w:sz w:val="24"/>
                <w:szCs w:val="24"/>
                <w:u w:val="none"/>
                <w:lang w:val="en-US" w:eastAsia="zh-CN" w:bidi="ar"/>
              </w:rPr>
              <w:t>效益指标</w:t>
            </w:r>
          </w:p>
        </w:tc>
        <w:tc>
          <w:tcPr>
            <w:tcW w:w="10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653ED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灌溉保证率提升至70%</w:t>
            </w:r>
          </w:p>
        </w:tc>
        <w:tc>
          <w:tcPr>
            <w:tcW w:w="5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BD1B5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E94820">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70</w:t>
            </w: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7AC94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C28645">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20</w:t>
            </w:r>
          </w:p>
        </w:tc>
        <w:tc>
          <w:tcPr>
            <w:tcW w:w="5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FC2ACC">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75%</w:t>
            </w:r>
          </w:p>
        </w:tc>
      </w:tr>
      <w:tr w14:paraId="7BC053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4" w:hRule="atLeast"/>
        </w:trPr>
        <w:tc>
          <w:tcPr>
            <w:tcW w:w="3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DC16A4">
            <w:pPr>
              <w:jc w:val="center"/>
              <w:rPr>
                <w:rFonts w:hint="eastAsia" w:ascii="宋体" w:hAnsi="宋体" w:eastAsia="宋体" w:cs="宋体"/>
                <w:i w:val="0"/>
                <w:iCs w:val="0"/>
                <w:color w:val="000000"/>
                <w:sz w:val="24"/>
                <w:szCs w:val="24"/>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4B3D18">
            <w:pPr>
              <w:jc w:val="center"/>
              <w:rPr>
                <w:rFonts w:hint="eastAsia" w:ascii="宋体" w:hAnsi="宋体" w:eastAsia="宋体" w:cs="宋体"/>
                <w:i w:val="0"/>
                <w:iCs w:val="0"/>
                <w:color w:val="000000"/>
                <w:sz w:val="24"/>
                <w:szCs w:val="24"/>
                <w:u w:val="none"/>
              </w:rPr>
            </w:pP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B8503F">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仿宋_GB2312" w:cs="宋体"/>
                <w:i w:val="0"/>
                <w:iCs w:val="0"/>
                <w:color w:val="000000"/>
                <w:kern w:val="0"/>
                <w:sz w:val="24"/>
                <w:szCs w:val="24"/>
                <w:u w:val="none"/>
                <w:lang w:val="en-US" w:eastAsia="zh-CN" w:bidi="ar"/>
              </w:rPr>
              <w:t>可持续影响指标</w:t>
            </w:r>
          </w:p>
        </w:tc>
        <w:tc>
          <w:tcPr>
            <w:tcW w:w="10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B3896A">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建立"一项目一档案"制度</w:t>
            </w:r>
          </w:p>
        </w:tc>
        <w:tc>
          <w:tcPr>
            <w:tcW w:w="5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F274F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定性</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7CA09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建立</w:t>
            </w: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8BE4A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4C8345">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10</w:t>
            </w:r>
          </w:p>
        </w:tc>
        <w:tc>
          <w:tcPr>
            <w:tcW w:w="5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1A951A">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已建立</w:t>
            </w:r>
          </w:p>
        </w:tc>
      </w:tr>
      <w:tr w14:paraId="4085B1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3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451130">
            <w:pPr>
              <w:jc w:val="center"/>
              <w:rPr>
                <w:rFonts w:hint="eastAsia" w:ascii="宋体" w:hAnsi="宋体" w:eastAsia="宋体" w:cs="宋体"/>
                <w:i w:val="0"/>
                <w:iCs w:val="0"/>
                <w:color w:val="000000"/>
                <w:sz w:val="24"/>
                <w:szCs w:val="24"/>
                <w:u w:val="none"/>
              </w:rPr>
            </w:pPr>
          </w:p>
        </w:tc>
        <w:tc>
          <w:tcPr>
            <w:tcW w:w="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65687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满意度指标</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1873C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满意度指标</w:t>
            </w:r>
          </w:p>
        </w:tc>
        <w:tc>
          <w:tcPr>
            <w:tcW w:w="10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70913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受益群众满意度</w:t>
            </w:r>
          </w:p>
        </w:tc>
        <w:tc>
          <w:tcPr>
            <w:tcW w:w="5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94F332">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CA20D5">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90</w:t>
            </w: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962DE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2D96E9">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10</w:t>
            </w:r>
          </w:p>
        </w:tc>
        <w:tc>
          <w:tcPr>
            <w:tcW w:w="5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57B460">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100%</w:t>
            </w:r>
          </w:p>
        </w:tc>
      </w:tr>
      <w:tr w14:paraId="632CB1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3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B7B60A">
            <w:pPr>
              <w:jc w:val="center"/>
              <w:rPr>
                <w:rFonts w:hint="eastAsia" w:ascii="宋体" w:hAnsi="宋体" w:eastAsia="宋体" w:cs="宋体"/>
                <w:i w:val="0"/>
                <w:iCs w:val="0"/>
                <w:color w:val="000000"/>
                <w:sz w:val="24"/>
                <w:szCs w:val="24"/>
                <w:u w:val="none"/>
              </w:rPr>
            </w:pPr>
          </w:p>
        </w:tc>
        <w:tc>
          <w:tcPr>
            <w:tcW w:w="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22B29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成本指标</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96BD6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经济成本指标</w:t>
            </w:r>
          </w:p>
        </w:tc>
        <w:tc>
          <w:tcPr>
            <w:tcW w:w="10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7FF1A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总投资偏差率</w:t>
            </w:r>
          </w:p>
        </w:tc>
        <w:tc>
          <w:tcPr>
            <w:tcW w:w="5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124C9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9E9E1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5</w:t>
            </w: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41C91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0AAC4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10</w:t>
            </w:r>
          </w:p>
        </w:tc>
        <w:tc>
          <w:tcPr>
            <w:tcW w:w="5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F04535">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0%</w:t>
            </w:r>
          </w:p>
        </w:tc>
      </w:tr>
    </w:tbl>
    <w:p w14:paraId="3AB7214C">
      <w:pPr>
        <w:pStyle w:val="3"/>
        <w:keepNext w:val="0"/>
        <w:keepLines w:val="0"/>
        <w:pageBreakBefore w:val="0"/>
        <w:kinsoku/>
        <w:wordWrap/>
        <w:overflowPunct/>
        <w:topLinePunct w:val="0"/>
        <w:autoSpaceDE/>
        <w:autoSpaceDN/>
        <w:bidi w:val="0"/>
        <w:spacing w:after="0" w:line="578" w:lineRule="exact"/>
        <w:ind w:left="0" w:leftChars="0" w:firstLine="0" w:firstLineChars="0"/>
        <w:rPr>
          <w:rFonts w:hint="default" w:ascii="黑体" w:hAnsi="黑体" w:eastAsia="黑体" w:cs="黑体"/>
          <w:sz w:val="24"/>
          <w:szCs w:val="24"/>
          <w:highlight w:val="none"/>
          <w:lang w:val="en-US" w:eastAsia="zh-CN"/>
        </w:rPr>
      </w:pPr>
    </w:p>
    <w:p w14:paraId="5AD55659">
      <w:pPr>
        <w:spacing w:line="600" w:lineRule="exact"/>
        <w:jc w:val="center"/>
        <w:outlineLvl w:val="0"/>
        <w:rPr>
          <w:rFonts w:hint="eastAsia" w:ascii="黑体" w:hAnsi="黑体" w:eastAsia="黑体"/>
          <w:color w:val="auto"/>
          <w:sz w:val="44"/>
          <w:szCs w:val="44"/>
          <w:highlight w:val="none"/>
        </w:rPr>
      </w:pPr>
    </w:p>
    <w:p w14:paraId="24C3489E">
      <w:pPr>
        <w:spacing w:line="600" w:lineRule="exact"/>
        <w:jc w:val="center"/>
        <w:outlineLvl w:val="0"/>
        <w:rPr>
          <w:rFonts w:hint="eastAsia" w:ascii="黑体" w:hAnsi="黑体" w:eastAsia="黑体"/>
          <w:color w:val="auto"/>
          <w:sz w:val="44"/>
          <w:szCs w:val="44"/>
          <w:highlight w:val="none"/>
        </w:rPr>
      </w:pPr>
    </w:p>
    <w:p w14:paraId="7B3D4502">
      <w:pPr>
        <w:spacing w:line="600" w:lineRule="exact"/>
        <w:jc w:val="center"/>
        <w:outlineLvl w:val="0"/>
        <w:rPr>
          <w:rFonts w:hint="eastAsia" w:ascii="黑体" w:hAnsi="黑体" w:eastAsia="黑体"/>
          <w:color w:val="auto"/>
          <w:sz w:val="44"/>
          <w:szCs w:val="44"/>
          <w:highlight w:val="none"/>
        </w:rPr>
      </w:pPr>
    </w:p>
    <w:p w14:paraId="63582402">
      <w:pPr>
        <w:spacing w:line="600" w:lineRule="exact"/>
        <w:jc w:val="center"/>
        <w:outlineLvl w:val="0"/>
        <w:rPr>
          <w:rFonts w:hint="eastAsia" w:ascii="黑体" w:hAnsi="黑体" w:eastAsia="黑体"/>
          <w:color w:val="auto"/>
          <w:sz w:val="44"/>
          <w:szCs w:val="44"/>
          <w:highlight w:val="none"/>
        </w:rPr>
      </w:pPr>
    </w:p>
    <w:p w14:paraId="49A93607">
      <w:pPr>
        <w:spacing w:line="600" w:lineRule="exact"/>
        <w:jc w:val="center"/>
        <w:outlineLvl w:val="0"/>
        <w:rPr>
          <w:rFonts w:hint="eastAsia" w:ascii="黑体" w:hAnsi="黑体" w:eastAsia="黑体"/>
          <w:color w:val="auto"/>
          <w:sz w:val="44"/>
          <w:szCs w:val="44"/>
          <w:highlight w:val="none"/>
        </w:rPr>
      </w:pPr>
    </w:p>
    <w:p w14:paraId="37146B7F">
      <w:pPr>
        <w:spacing w:line="600" w:lineRule="exact"/>
        <w:jc w:val="center"/>
        <w:outlineLvl w:val="0"/>
        <w:rPr>
          <w:rFonts w:hint="eastAsia" w:ascii="黑体" w:hAnsi="黑体" w:eastAsia="黑体"/>
          <w:color w:val="auto"/>
          <w:sz w:val="44"/>
          <w:szCs w:val="44"/>
          <w:highlight w:val="none"/>
        </w:rPr>
      </w:pPr>
    </w:p>
    <w:p w14:paraId="56291CC2">
      <w:pPr>
        <w:pStyle w:val="5"/>
        <w:keepNext/>
        <w:keepLines/>
        <w:pageBreakBefore w:val="0"/>
        <w:widowControl w:val="0"/>
        <w:kinsoku/>
        <w:wordWrap/>
        <w:overflowPunct/>
        <w:topLinePunct w:val="0"/>
        <w:autoSpaceDE/>
        <w:autoSpaceDN/>
        <w:bidi w:val="0"/>
        <w:adjustRightInd/>
        <w:snapToGrid/>
        <w:spacing w:before="0" w:after="0"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193" w:name="_Toc11350"/>
      <w:r>
        <w:rPr>
          <w:rFonts w:hint="eastAsia" w:ascii="方正小标宋简体" w:hAnsi="方正小标宋简体" w:eastAsia="方正小标宋简体" w:cs="方正小标宋简体"/>
          <w:b w:val="0"/>
          <w:bCs w:val="0"/>
          <w:lang w:val="en-US" w:eastAsia="zh-CN"/>
        </w:rPr>
        <w:t>专项资金绩效自评报告</w:t>
      </w:r>
      <w:bookmarkEnd w:id="193"/>
    </w:p>
    <w:p w14:paraId="358D54EC">
      <w:pPr>
        <w:pStyle w:val="5"/>
        <w:keepNext/>
        <w:keepLines/>
        <w:pageBreakBefore w:val="0"/>
        <w:widowControl w:val="0"/>
        <w:kinsoku/>
        <w:wordWrap/>
        <w:overflowPunct/>
        <w:topLinePunct w:val="0"/>
        <w:autoSpaceDE/>
        <w:autoSpaceDN/>
        <w:bidi w:val="0"/>
        <w:adjustRightInd/>
        <w:snapToGrid/>
        <w:spacing w:before="0" w:after="0"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194" w:name="_Toc26710"/>
      <w:r>
        <w:rPr>
          <w:rFonts w:hint="eastAsia" w:ascii="方正小标宋简体" w:hAnsi="方正小标宋简体" w:eastAsia="方正小标宋简体" w:cs="方正小标宋简体"/>
          <w:b w:val="0"/>
          <w:bCs w:val="0"/>
          <w:lang w:val="en-US" w:eastAsia="zh-CN"/>
        </w:rPr>
        <w:t>增发国债水利补助资金（两中心五馆段防洪治理工程）</w:t>
      </w:r>
      <w:bookmarkEnd w:id="194"/>
    </w:p>
    <w:p w14:paraId="0A4A4387">
      <w:pPr>
        <w:keepNext w:val="0"/>
        <w:keepLines w:val="0"/>
        <w:pageBreakBefore w:val="0"/>
        <w:widowControl w:val="0"/>
        <w:kinsoku/>
        <w:wordWrap/>
        <w:overflowPunct/>
        <w:topLinePunct w:val="0"/>
        <w:autoSpaceDE/>
        <w:autoSpaceDN/>
        <w:bidi w:val="0"/>
        <w:adjustRightInd/>
        <w:snapToGrid/>
        <w:spacing w:line="590" w:lineRule="exact"/>
        <w:ind w:right="0" w:rightChars="0" w:firstLine="420" w:firstLineChars="200"/>
        <w:textAlignment w:val="auto"/>
        <w:rPr>
          <w:rFonts w:ascii="黑体" w:hAnsi="宋体" w:eastAsia="黑体"/>
          <w:highlight w:val="none"/>
          <w:lang w:val="zh-CN"/>
        </w:rPr>
      </w:pPr>
      <w:r>
        <w:rPr>
          <w:rFonts w:hint="eastAsia" w:ascii="黑体" w:hAnsi="宋体" w:eastAsia="黑体"/>
          <w:highlight w:val="none"/>
        </w:rPr>
        <w:t>一、</w:t>
      </w:r>
      <w:r>
        <w:rPr>
          <w:rFonts w:hint="eastAsia" w:ascii="黑体" w:hAnsi="宋体" w:eastAsia="黑体"/>
          <w:highlight w:val="none"/>
          <w:lang w:val="zh-CN"/>
        </w:rPr>
        <w:t>项目概况</w:t>
      </w:r>
    </w:p>
    <w:p w14:paraId="3C4208BF">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3" w:firstLineChars="200"/>
        <w:contextualSpacing/>
        <w:jc w:val="left"/>
        <w:textAlignment w:val="auto"/>
        <w:rPr>
          <w:rFonts w:hint="eastAsia" w:ascii="仿宋_GB2312" w:hAnsi="仿宋_GB2312" w:eastAsia="仿宋_GB2312" w:cs="仿宋_GB2312"/>
          <w:b w:val="0"/>
          <w:bCs w:val="0"/>
          <w:color w:val="auto"/>
          <w:kern w:val="0"/>
          <w:sz w:val="32"/>
          <w:szCs w:val="32"/>
          <w:highlight w:val="none"/>
          <w:u w:val="none"/>
          <w:shd w:val="clear" w:color="auto" w:fill="FFFFFF"/>
          <w:lang w:val="zh-CN" w:eastAsia="zh-CN"/>
        </w:rPr>
      </w:pPr>
      <w:r>
        <w:rPr>
          <w:rFonts w:hint="eastAsia" w:ascii="楷体_GB2312" w:hAnsi="宋体" w:eastAsia="楷体_GB2312"/>
          <w:b/>
          <w:color w:val="auto"/>
          <w:sz w:val="32"/>
          <w:szCs w:val="32"/>
          <w:highlight w:val="none"/>
          <w:u w:val="none"/>
          <w:lang w:val="zh-CN"/>
        </w:rPr>
        <w:t>（一）设立背景及基本情况。</w:t>
      </w:r>
      <w:r>
        <w:rPr>
          <w:rFonts w:hint="eastAsia" w:ascii="仿宋_GB2312" w:hAnsi="仿宋_GB2312" w:eastAsia="仿宋_GB2312" w:cs="仿宋_GB2312"/>
          <w:color w:val="auto"/>
          <w:kern w:val="0"/>
          <w:sz w:val="32"/>
          <w:szCs w:val="32"/>
          <w:highlight w:val="none"/>
          <w:u w:val="none"/>
          <w:shd w:val="clear" w:color="auto" w:fill="FFFFFF"/>
          <w:lang w:val="en-US" w:eastAsia="zh-CN"/>
        </w:rPr>
        <w:t>项目设立原因及背景，</w:t>
      </w:r>
      <w:r>
        <w:rPr>
          <w:rFonts w:hint="eastAsia" w:ascii="仿宋_GB2312" w:hAnsi="仿宋_GB2312" w:eastAsia="仿宋_GB2312" w:cs="仿宋_GB2312"/>
          <w:color w:val="auto"/>
          <w:kern w:val="0"/>
          <w:sz w:val="32"/>
          <w:szCs w:val="32"/>
          <w:highlight w:val="none"/>
          <w:u w:val="none"/>
          <w:shd w:val="clear" w:color="auto" w:fill="FFFFFF"/>
          <w:lang w:val="zh-CN"/>
        </w:rPr>
        <w:t>项目</w:t>
      </w:r>
      <w:r>
        <w:rPr>
          <w:rFonts w:hint="eastAsia" w:ascii="仿宋_GB2312" w:hAnsi="仿宋_GB2312" w:eastAsia="仿宋_GB2312" w:cs="仿宋_GB2312"/>
          <w:b w:val="0"/>
          <w:bCs w:val="0"/>
          <w:color w:val="auto"/>
          <w:kern w:val="0"/>
          <w:sz w:val="32"/>
          <w:szCs w:val="32"/>
          <w:highlight w:val="none"/>
          <w:u w:val="none"/>
          <w:shd w:val="clear" w:color="auto" w:fill="FFFFFF"/>
          <w:lang w:val="zh-CN" w:eastAsia="zh-CN"/>
        </w:rPr>
        <w:t>立项、资金申报的依据，项目主要内容</w:t>
      </w:r>
      <w:r>
        <w:rPr>
          <w:rFonts w:hint="eastAsia" w:ascii="仿宋_GB2312" w:hAnsi="仿宋_GB2312" w:eastAsia="仿宋_GB2312" w:cs="仿宋_GB2312"/>
          <w:b w:val="0"/>
          <w:bCs w:val="0"/>
          <w:color w:val="auto"/>
          <w:kern w:val="0"/>
          <w:sz w:val="32"/>
          <w:szCs w:val="32"/>
          <w:highlight w:val="none"/>
          <w:u w:val="none"/>
          <w:shd w:val="clear" w:color="auto" w:fill="FFFFFF"/>
          <w:lang w:val="en-US" w:eastAsia="zh-CN"/>
        </w:rPr>
        <w:t>。</w:t>
      </w:r>
      <w:r>
        <w:rPr>
          <w:rFonts w:hint="eastAsia" w:ascii="仿宋_GB2312" w:hAnsi="仿宋_GB2312" w:eastAsia="仿宋_GB2312" w:cs="仿宋_GB2312"/>
          <w:b w:val="0"/>
          <w:bCs w:val="0"/>
          <w:color w:val="auto"/>
          <w:kern w:val="0"/>
          <w:sz w:val="32"/>
          <w:szCs w:val="32"/>
          <w:highlight w:val="none"/>
          <w:u w:val="none"/>
          <w:shd w:val="clear" w:color="auto" w:fill="FFFFFF"/>
          <w:lang w:val="zh-CN" w:eastAsia="zh-CN"/>
        </w:rPr>
        <w:t>主管部门职能。</w:t>
      </w:r>
    </w:p>
    <w:p w14:paraId="67DD934F">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default"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本项目自评范围为：51090424T000011597787-遂财建【2024】8号增发国债水利补助资金（两中心五馆段防洪治理工程）（以下简称该项目）。</w:t>
      </w:r>
    </w:p>
    <w:p w14:paraId="21F5E795">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3" w:firstLineChars="200"/>
        <w:contextualSpacing/>
        <w:jc w:val="left"/>
        <w:textAlignment w:val="auto"/>
        <w:rPr>
          <w:rFonts w:hint="default" w:ascii="仿宋_GB2312" w:hAnsi="仿宋_GB2312" w:eastAsia="仿宋_GB2312" w:cs="仿宋_GB2312"/>
          <w:b/>
          <w:bCs/>
          <w:color w:val="auto"/>
          <w:kern w:val="0"/>
          <w:sz w:val="32"/>
          <w:szCs w:val="32"/>
          <w:highlight w:val="none"/>
          <w:u w:val="none"/>
          <w:shd w:val="clear" w:color="auto" w:fill="FFFFFF"/>
          <w:lang w:val="en-US" w:eastAsia="zh-CN"/>
        </w:rPr>
      </w:pPr>
      <w:r>
        <w:rPr>
          <w:rFonts w:hint="eastAsia" w:ascii="仿宋_GB2312" w:hAnsi="仿宋_GB2312" w:eastAsia="仿宋_GB2312" w:cs="仿宋_GB2312"/>
          <w:b/>
          <w:bCs/>
          <w:color w:val="auto"/>
          <w:kern w:val="0"/>
          <w:sz w:val="32"/>
          <w:szCs w:val="32"/>
          <w:highlight w:val="none"/>
          <w:u w:val="none"/>
          <w:shd w:val="clear" w:color="auto" w:fill="FFFFFF"/>
          <w:lang w:val="en-US" w:eastAsia="zh-CN"/>
        </w:rPr>
        <w:t>1.主管部门职能</w:t>
      </w:r>
    </w:p>
    <w:p w14:paraId="7BD4F468">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1）负责水资源的合理开发利用和保护工作。拟定全区水利发展规划和政策，组织编制全区水资源综合规划、水资源保护规划、重要江河湖泊流域综合规划、防洪规划等重大水利规划。指导饮用水水源保护有关工作。指导地下水开发利用和地下水资源管理保护。</w:t>
      </w:r>
    </w:p>
    <w:p w14:paraId="3CF0CE95">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2）负责生活、生产经营和生态环境用水的统筹和保障。组织实施最严格水资源管理制度，实施水资源的统一监督管理。拟定全区中长期供求规划，水量分配方案并监督实施。负责重要流域、区域以及重要水工程的水资源调度。组织实施取水许可、水资源论证和防洪论证制度，指导实施水资源有偿使用工作。指导水利行业供水和乡镇供水工作。</w:t>
      </w:r>
    </w:p>
    <w:p w14:paraId="32D0B728">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（3）根据《四川省水利工程管理条例》，受市水利局委托，负责主管全区中型水利工程(包括麻子滩、跑马滩、新生水库和三仙湖水库);负责管理或委托乡镇政府管理全区的小[一]、[二]型水库。</w:t>
      </w:r>
    </w:p>
    <w:p w14:paraId="63ED75E0">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4）负责水利工程建设与运行管理，按管理权限制定水利工程建设有关制度并组织实施，负责提出水利固定资产投资规模、方向和区级财政资金安排的建议。提出区级水利建设投资安排建议并负责项目实施的监督管理。组织实施具有控制性的重要水利工程建设与运行管理。</w:t>
      </w:r>
    </w:p>
    <w:p w14:paraId="4EFDE685">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（5）负责节约用水工作。拟定全区节约用水政策，组织、指导和监督节约用水工作。组织编制节约用水规划并监督实施，组织实施用水总量控制等管理制度，指导和推动节水型社会建设工作。</w:t>
      </w:r>
    </w:p>
    <w:p w14:paraId="5BBFDED7">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（6）负责水资源的监督管理。对江河湖泊和地下水实施监测，发布水资源信息、情报预报和全区水资源公报。</w:t>
      </w:r>
    </w:p>
    <w:p w14:paraId="612853C0">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7）.指导全区水利设施、江河湖泊及其岸线的管理、保护与综合利用。组织指导水利基础设施网络建设。指导重要江河湖泊及滩涂的保护、治理和开发。指导河湖水生态保护与修复、河湖生态流量水量管理以及河湖水系连通工作。</w:t>
      </w:r>
    </w:p>
    <w:p w14:paraId="3031595A">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8）负责全区水土保持工作。拟订水土保持规划并监督实施，组织实施全区水土流失的综合防治、监测预报并定期公告。负责建设项目水土保持监督管理工作，指导重点水土保持建设项目的实施，指导水土保持监测站点建设工作。</w:t>
      </w:r>
    </w:p>
    <w:p w14:paraId="072C4F9C">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9）指导农村水利工作。组织开展灌区灌排工程建设与改造。负责农村饮水安全工程建设管理工作;指导节水灌溉有关工作。负责农村水利改革创新和社会化服务体系建设，组织农村水能资源开发，指导小水电改造工作。</w:t>
      </w:r>
    </w:p>
    <w:p w14:paraId="406C1185">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（10）负责辖区内涉水违法事件的查处、协调水事纠纷，指导水政监察和水行政执法。依法负责水利行业安全生产工作。指导水利建设市场的监督检查，组织实施水利工程建设的监督检查。</w:t>
      </w:r>
    </w:p>
    <w:p w14:paraId="7FB6EF26">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（11）开展水利科技对外合作交流工作。组织开展水利行业质量监督工作。组织水利科学研究、技术推广工作。组织全区水利系统的对外经济联络，技术经济合作。承担全区水利统计工作。</w:t>
      </w:r>
    </w:p>
    <w:p w14:paraId="30444951">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12）负责落实综合防灾减灾规划相关要求，组织编制并实施全区洪水干旱灾害防治规划。承担水情旱情监测预警工作。按管理权限，组织编制全区重要江河湖泊和重要水工程的防御洪水、抗御旱灾调度及应急水量调度方案，按程序报批并组织实施。承担防御洪水应急抢险的技术保障工作。</w:t>
      </w:r>
    </w:p>
    <w:p w14:paraId="4B3AF387">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（13）负责职责范围内的安全生产和职业健康、生态环境保护、审批服务便民化。</w:t>
      </w:r>
    </w:p>
    <w:p w14:paraId="7BB9F6B2">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（14）完成区委和区政府交办的其他任务。</w:t>
      </w:r>
    </w:p>
    <w:p w14:paraId="787894A4">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（15）职能转变。</w:t>
      </w:r>
    </w:p>
    <w:p w14:paraId="2C76793F">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区水利局应切实加强水资源合理利用、优化配置和节约保护，加强跨流域跨区域水资源调配。坚持节水优先，从增加供给转向更加重视需求管理，严格控制用水总量和提高用水效率。坚持保护优先，加强水资源、水域和水利工程的管理保护，加强河湖管理，全面推进河湖长制，维护河湖生态健康。坚持统筹兼顾，保障合理用水需求和水资源的可持续利用，为全区经济社会发展提供水安全保障。加强水利政策研究，加强水利政策、决策部署和重点工程贯彻落实情况的监督检查，强化水利信息化工作。</w:t>
      </w:r>
    </w:p>
    <w:p w14:paraId="4661E741">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统筹承担行政职能的事业单位改革。区水土保持办公室不再承担水土保持工作监督管理和行政执法职责，上述行政职能交由区水利局承担。</w:t>
      </w:r>
    </w:p>
    <w:p w14:paraId="369FB3E7">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（16）有关职责分工。</w:t>
      </w:r>
    </w:p>
    <w:p w14:paraId="1CD1E4BC">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自然灾害防救的职责分工。区水利局负责落实综合防灾减灾规划相关要求，组织编制并实施全区洪水干旱灾害防治规划。承担水情旱情监测预警工作。组织编制全区重要江河湖泊和重要水工程的防御洪水、抗御旱灾调度及应急水量调度方案，按程序报批并组织实施。承担防御洪水应急抢险的技术保障工作。</w:t>
      </w:r>
    </w:p>
    <w:p w14:paraId="033FEE59">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区住建局负责在建工地、既有楼盘和小区的防洪防内涝工作。区水利局负责城市河道的防洪调度工作。区综合执法局负责城市市政公用设施的防汛防内涝工作。 区应急管理局负责统一组织、统一指挥、统一协调自然灾害类突发事件应急救援，救灾工作。</w:t>
      </w:r>
    </w:p>
    <w:p w14:paraId="459F6AB4">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水资源保护与水污染防治的职责分工。区水利局负责水资源保护，安居生态环境局负责水环境质量和水污染防治，区自然资源和规划局负责对地下水过量开采及引发的地面沉降等地质问题进行监督。三部门进一步加强协调与配合，建立部门协商机制，按要求通报水资源保护与水污染防治有关情况，协商解决有关重大问题。安居生态环境局发布水环境信息，对信息的准确性、及时性负责。区水利局发布的水资源信息中涉及环境质量的内容，应与安居生态环境局协商一致。</w:t>
      </w:r>
    </w:p>
    <w:p w14:paraId="45ACECD4">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节约用水职责的分工。区水利局牵头负责全区节约用水、计划用水工作。区住建局具体负责城市规划区内的节约用水、计划用水、中水回用等行政管理。</w:t>
      </w:r>
    </w:p>
    <w:p w14:paraId="1C74B8A0">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供水职责的分工。区水利局组织编制城市规划区外的村镇供水规划，指导村镇供水建设和管理，对村镇供水企业实行行业管理。区住建局负责城市规划区内的供水，对城市供水企业实行行业管理;负责城市规划区内由于工程施工、设备维修等原因确需停止供水的审批。对因城市规划区调整形成自来水供区交叉的问题，由两个部门协商解决。</w:t>
      </w:r>
    </w:p>
    <w:p w14:paraId="38ABA097">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3" w:firstLineChars="200"/>
        <w:contextualSpacing/>
        <w:jc w:val="left"/>
        <w:textAlignment w:val="auto"/>
        <w:rPr>
          <w:rFonts w:hint="eastAsia" w:ascii="仿宋_GB2312" w:hAnsi="仿宋_GB2312" w:eastAsia="仿宋_GB2312" w:cs="仿宋_GB2312"/>
          <w:b/>
          <w:bCs/>
          <w:color w:val="auto"/>
          <w:kern w:val="0"/>
          <w:sz w:val="32"/>
          <w:szCs w:val="32"/>
          <w:highlight w:val="none"/>
          <w:u w:val="none"/>
          <w:shd w:val="clear" w:color="auto" w:fill="FFFFFF"/>
          <w:lang w:val="en-US" w:eastAsia="zh-CN"/>
        </w:rPr>
      </w:pPr>
      <w:r>
        <w:rPr>
          <w:rFonts w:hint="eastAsia" w:ascii="仿宋_GB2312" w:hAnsi="仿宋_GB2312" w:eastAsia="仿宋_GB2312" w:cs="仿宋_GB2312"/>
          <w:b/>
          <w:bCs/>
          <w:color w:val="auto"/>
          <w:kern w:val="0"/>
          <w:sz w:val="32"/>
          <w:szCs w:val="32"/>
          <w:highlight w:val="none"/>
          <w:u w:val="none"/>
          <w:shd w:val="clear" w:color="auto" w:fill="FFFFFF"/>
          <w:lang w:val="en-US" w:eastAsia="zh-CN"/>
        </w:rPr>
        <w:t>2.项目设立原因及背景</w:t>
      </w:r>
    </w:p>
    <w:p w14:paraId="1343BC19">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（1）国家政策支持</w:t>
      </w:r>
    </w:p>
    <w:p w14:paraId="58FEFEEF">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水利发展的重要性：水利是国家基础设施的重要组成部分，对于保障国家水安全、粮食安全、防洪抗旱以及生态安全具有不可替代的作用。因此，中央和省级政府一直高度重视水利发展，并通过财政资金的投入来支持相关项目的建设。</w:t>
      </w:r>
    </w:p>
    <w:p w14:paraId="080278CB">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政策引导：近年来，国家出台了一系列政策文件，如《水利发展资金管理办法》等，以规范水利发展资金的管理和使用，提高资金使用效益。这些政策为中央和省级水利发展资金的下达提供了政策依据和指导。</w:t>
      </w:r>
    </w:p>
    <w:p w14:paraId="327EE31B">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（2）经济社会发展需求</w:t>
      </w:r>
    </w:p>
    <w:p w14:paraId="47E4BB18">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提升水旱灾害防御能力：随着全球气候变化的加剧，水旱灾害的发生频率和强度都在增加。为了保障人民群众的生命财产安全，提升水旱灾害防御能力成为当务之急。中央和省级水利发展资金的投入，有助于加强中小河流治理、小型水库除险加固、山洪灾害防治等工作，提高水旱灾害的防御水平。</w:t>
      </w:r>
    </w:p>
    <w:p w14:paraId="56C49DBF">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保障粮食安全和农村供水安全：水利是农业的命脉，对于保障粮食生产具有重要作用。同时，农村供水安全也是民生工程的重要组成部分。中央和省级水利发展资金的投入，有助于支持农田水利设施建设、农村饮水工程维修养护等工作，保障粮食生产和农村供水安全。</w:t>
      </w:r>
    </w:p>
    <w:p w14:paraId="08378DCD">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（3）资金分配和管理机制</w:t>
      </w:r>
    </w:p>
    <w:p w14:paraId="41796A62">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因素法分配：中央对各省分配水利发展资金时，采取因素法分配方式，主要考虑目标任务、政策倾斜和绩效因素等。这种方式有助于确保资金分配的公平性和合理性，使有限的资金能够发挥最大的效益。</w:t>
      </w:r>
    </w:p>
    <w:p w14:paraId="73F39B07">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项目管理：为了加强水利发展资金的管理和使用，各级政府和相关部门加强了项目管理，包括项目审批、资金拨付、工程实施、监督检查等环节。通过严格的项目管理，确保水利发展资金能够按照规划要求及时、足额地投入到相关项目中，并取得预期的效益。</w:t>
      </w:r>
    </w:p>
    <w:p w14:paraId="309911F0">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3" w:firstLineChars="200"/>
        <w:contextualSpacing/>
        <w:jc w:val="left"/>
        <w:textAlignment w:val="auto"/>
        <w:rPr>
          <w:rFonts w:hint="eastAsia" w:ascii="仿宋_GB2312" w:hAnsi="仿宋_GB2312" w:eastAsia="仿宋_GB2312" w:cs="仿宋_GB2312"/>
          <w:b/>
          <w:bCs/>
          <w:color w:val="auto"/>
          <w:kern w:val="0"/>
          <w:sz w:val="32"/>
          <w:szCs w:val="32"/>
          <w:highlight w:val="none"/>
          <w:u w:val="none"/>
          <w:shd w:val="clear" w:color="auto" w:fill="FFFFFF"/>
          <w:lang w:val="zh-CN" w:eastAsia="zh-CN"/>
        </w:rPr>
      </w:pPr>
      <w:r>
        <w:rPr>
          <w:rFonts w:hint="eastAsia" w:ascii="仿宋_GB2312" w:hAnsi="仿宋_GB2312" w:eastAsia="仿宋_GB2312" w:cs="仿宋_GB2312"/>
          <w:b/>
          <w:bCs/>
          <w:color w:val="auto"/>
          <w:kern w:val="0"/>
          <w:sz w:val="32"/>
          <w:szCs w:val="32"/>
          <w:highlight w:val="none"/>
          <w:u w:val="none"/>
          <w:shd w:val="clear" w:color="auto" w:fill="FFFFFF"/>
          <w:lang w:val="en-US" w:eastAsia="zh-CN"/>
        </w:rPr>
        <w:t>3.</w:t>
      </w:r>
      <w:r>
        <w:rPr>
          <w:rFonts w:hint="eastAsia" w:ascii="仿宋_GB2312" w:hAnsi="仿宋_GB2312" w:eastAsia="仿宋_GB2312" w:cs="仿宋_GB2312"/>
          <w:b/>
          <w:bCs/>
          <w:color w:val="auto"/>
          <w:kern w:val="0"/>
          <w:sz w:val="32"/>
          <w:szCs w:val="32"/>
          <w:highlight w:val="none"/>
          <w:u w:val="none"/>
          <w:shd w:val="clear" w:color="auto" w:fill="FFFFFF"/>
          <w:lang w:val="zh-CN" w:eastAsia="zh-CN"/>
        </w:rPr>
        <w:t>项目立项、资金申报的依据</w:t>
      </w:r>
    </w:p>
    <w:p w14:paraId="184ED199">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0" w:firstLineChars="200"/>
        <w:contextualSpacing/>
        <w:jc w:val="left"/>
        <w:textAlignment w:val="auto"/>
        <w:rPr>
          <w:rFonts w:hint="default"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项目立项、资金申报文件为：遂财农【2024】1号。</w:t>
      </w:r>
    </w:p>
    <w:p w14:paraId="149C0A1C">
      <w:pPr>
        <w:keepNext w:val="0"/>
        <w:keepLines w:val="0"/>
        <w:pageBreakBefore w:val="0"/>
        <w:kinsoku/>
        <w:wordWrap/>
        <w:overflowPunct/>
        <w:topLinePunct w:val="0"/>
        <w:autoSpaceDE/>
        <w:autoSpaceDN/>
        <w:bidi w:val="0"/>
        <w:adjustRightInd/>
        <w:snapToGrid/>
        <w:spacing w:line="590" w:lineRule="exact"/>
        <w:ind w:left="0" w:leftChars="0" w:right="0" w:rightChars="0" w:firstLine="643" w:firstLineChars="200"/>
        <w:textAlignment w:val="auto"/>
        <w:rPr>
          <w:rFonts w:hint="eastAsia" w:ascii="仿宋_GB2312" w:hAnsi="仿宋_GB2312" w:eastAsia="仿宋_GB2312" w:cs="仿宋_GB2312"/>
          <w:color w:val="auto"/>
          <w:kern w:val="0"/>
          <w:sz w:val="32"/>
          <w:szCs w:val="32"/>
          <w:highlight w:val="none"/>
          <w:u w:val="none"/>
          <w:shd w:val="clear" w:color="auto" w:fill="FFFFFF"/>
          <w:lang w:val="zh-CN"/>
        </w:rPr>
      </w:pPr>
      <w:r>
        <w:rPr>
          <w:rFonts w:hint="eastAsia" w:ascii="楷体_GB2312" w:hAnsi="宋体" w:eastAsia="楷体_GB2312"/>
          <w:b/>
          <w:color w:val="auto"/>
          <w:sz w:val="32"/>
          <w:szCs w:val="32"/>
          <w:highlight w:val="none"/>
          <w:u w:val="none"/>
          <w:lang w:val="zh-CN"/>
        </w:rPr>
        <w:t>（</w:t>
      </w:r>
      <w:r>
        <w:rPr>
          <w:rFonts w:hint="eastAsia" w:ascii="楷体_GB2312" w:hAnsi="宋体" w:eastAsia="楷体_GB2312" w:cs="Times New Roman"/>
          <w:b/>
          <w:color w:val="auto"/>
          <w:sz w:val="32"/>
          <w:szCs w:val="32"/>
          <w:highlight w:val="none"/>
          <w:u w:val="none"/>
          <w:lang w:val="zh-CN"/>
        </w:rPr>
        <w:t>二）</w:t>
      </w:r>
      <w:r>
        <w:rPr>
          <w:rFonts w:hint="default" w:ascii="楷体_GB2312" w:hAnsi="宋体" w:eastAsia="楷体_GB2312" w:cs="Times New Roman"/>
          <w:b/>
          <w:color w:val="auto"/>
          <w:sz w:val="32"/>
          <w:szCs w:val="32"/>
          <w:highlight w:val="none"/>
          <w:u w:val="none"/>
          <w:lang w:val="en-US" w:eastAsia="zh-CN"/>
        </w:rPr>
        <w:t>实施目的及支持方向</w:t>
      </w:r>
      <w:r>
        <w:rPr>
          <w:rFonts w:hint="eastAsia" w:ascii="楷体_GB2312" w:hAnsi="宋体" w:eastAsia="楷体_GB2312" w:cs="Times New Roman"/>
          <w:b/>
          <w:color w:val="auto"/>
          <w:sz w:val="32"/>
          <w:szCs w:val="32"/>
          <w:highlight w:val="none"/>
          <w:u w:val="none"/>
          <w:lang w:val="en-US" w:eastAsia="zh-CN"/>
        </w:rPr>
        <w:t>。</w:t>
      </w:r>
      <w:r>
        <w:rPr>
          <w:rFonts w:hint="eastAsia" w:ascii="仿宋_GB2312" w:hAnsi="仿宋_GB2312" w:eastAsia="仿宋_GB2312" w:cs="仿宋_GB2312"/>
          <w:color w:val="auto"/>
          <w:kern w:val="0"/>
          <w:sz w:val="32"/>
          <w:szCs w:val="32"/>
          <w:highlight w:val="none"/>
          <w:u w:val="none"/>
          <w:shd w:val="clear" w:color="auto" w:fill="FFFFFF"/>
          <w:lang w:val="en-US" w:eastAsia="zh-CN"/>
        </w:rPr>
        <w:t>项目资金</w:t>
      </w:r>
      <w:r>
        <w:rPr>
          <w:rFonts w:hint="eastAsia" w:ascii="仿宋_GB2312" w:hAnsi="仿宋_GB2312" w:eastAsia="仿宋_GB2312" w:cs="仿宋_GB2312"/>
          <w:color w:val="auto"/>
          <w:kern w:val="0"/>
          <w:sz w:val="32"/>
          <w:szCs w:val="32"/>
          <w:highlight w:val="none"/>
          <w:u w:val="none"/>
          <w:shd w:val="clear" w:color="auto" w:fill="FFFFFF"/>
          <w:lang w:val="zh-CN"/>
        </w:rPr>
        <w:t>管理办法制定情况，项目实施目的和主要工作任务，项目支持方向。</w:t>
      </w:r>
    </w:p>
    <w:p w14:paraId="3D43F8CE">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3" w:firstLineChars="200"/>
        <w:contextualSpacing/>
        <w:jc w:val="left"/>
        <w:textAlignment w:val="auto"/>
        <w:rPr>
          <w:rFonts w:hint="eastAsia" w:ascii="仿宋_GB2312" w:hAnsi="仿宋_GB2312" w:eastAsia="仿宋_GB2312" w:cs="仿宋_GB2312"/>
          <w:b/>
          <w:bCs/>
          <w:color w:val="auto"/>
          <w:kern w:val="0"/>
          <w:sz w:val="32"/>
          <w:szCs w:val="32"/>
          <w:highlight w:val="none"/>
          <w:u w:val="none"/>
          <w:shd w:val="clear" w:color="auto" w:fill="FFFFFF"/>
          <w:lang w:val="zh-CN" w:eastAsia="zh-CN"/>
        </w:rPr>
      </w:pPr>
      <w:r>
        <w:rPr>
          <w:rFonts w:hint="eastAsia" w:ascii="仿宋_GB2312" w:hAnsi="仿宋_GB2312" w:eastAsia="仿宋_GB2312" w:cs="仿宋_GB2312"/>
          <w:b/>
          <w:bCs/>
          <w:color w:val="auto"/>
          <w:kern w:val="0"/>
          <w:sz w:val="32"/>
          <w:szCs w:val="32"/>
          <w:highlight w:val="none"/>
          <w:u w:val="none"/>
          <w:shd w:val="clear" w:color="auto" w:fill="FFFFFF"/>
          <w:lang w:val="en-US" w:eastAsia="zh-CN"/>
        </w:rPr>
        <w:t>1.项目资金</w:t>
      </w:r>
      <w:r>
        <w:rPr>
          <w:rFonts w:hint="eastAsia" w:ascii="仿宋_GB2312" w:hAnsi="仿宋_GB2312" w:eastAsia="仿宋_GB2312" w:cs="仿宋_GB2312"/>
          <w:b/>
          <w:bCs/>
          <w:color w:val="auto"/>
          <w:kern w:val="0"/>
          <w:sz w:val="32"/>
          <w:szCs w:val="32"/>
          <w:highlight w:val="none"/>
          <w:u w:val="none"/>
          <w:shd w:val="clear" w:color="auto" w:fill="FFFFFF"/>
          <w:lang w:val="zh-CN" w:eastAsia="zh-CN"/>
        </w:rPr>
        <w:t>管理办法</w:t>
      </w:r>
    </w:p>
    <w:p w14:paraId="37F09E9F">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default"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2022年中央和省级水利发展资金项目严格按照《四川省财政厅 四川省水利厅关于印发&lt;四川省水利发展资金管理办法&gt;的通知》（川财农〔2023〕29号）《遂宁市水利监督管理实施办法（试行）》开展，并严格按照“遂财农【2024】1号”文件规定执行，我局未单独针对该项目制定专门的项目资金管理办法。</w:t>
      </w:r>
    </w:p>
    <w:p w14:paraId="1E8E0591">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3" w:firstLineChars="200"/>
        <w:contextualSpacing/>
        <w:jc w:val="left"/>
        <w:textAlignment w:val="auto"/>
        <w:rPr>
          <w:rFonts w:hint="eastAsia" w:ascii="仿宋_GB2312" w:hAnsi="仿宋_GB2312" w:eastAsia="仿宋_GB2312" w:cs="仿宋_GB2312"/>
          <w:b/>
          <w:bCs/>
          <w:color w:val="auto"/>
          <w:kern w:val="0"/>
          <w:sz w:val="32"/>
          <w:szCs w:val="32"/>
          <w:highlight w:val="none"/>
          <w:u w:val="none"/>
          <w:shd w:val="clear" w:color="auto" w:fill="FFFFFF"/>
          <w:lang w:val="zh-CN" w:eastAsia="zh-CN"/>
        </w:rPr>
      </w:pPr>
      <w:r>
        <w:rPr>
          <w:rFonts w:hint="eastAsia" w:ascii="仿宋_GB2312" w:hAnsi="仿宋_GB2312" w:eastAsia="仿宋_GB2312" w:cs="仿宋_GB2312"/>
          <w:b/>
          <w:bCs/>
          <w:color w:val="auto"/>
          <w:kern w:val="0"/>
          <w:sz w:val="32"/>
          <w:szCs w:val="32"/>
          <w:highlight w:val="none"/>
          <w:u w:val="none"/>
          <w:shd w:val="clear" w:color="auto" w:fill="FFFFFF"/>
          <w:lang w:val="en-US" w:eastAsia="zh-CN"/>
        </w:rPr>
        <w:t>2.</w:t>
      </w:r>
      <w:r>
        <w:rPr>
          <w:rFonts w:hint="eastAsia" w:ascii="仿宋_GB2312" w:hAnsi="仿宋_GB2312" w:eastAsia="仿宋_GB2312" w:cs="仿宋_GB2312"/>
          <w:b/>
          <w:bCs/>
          <w:color w:val="auto"/>
          <w:kern w:val="0"/>
          <w:sz w:val="32"/>
          <w:szCs w:val="32"/>
          <w:highlight w:val="none"/>
          <w:u w:val="none"/>
          <w:shd w:val="clear" w:color="auto" w:fill="FFFFFF"/>
          <w:lang w:val="zh-CN" w:eastAsia="zh-CN"/>
        </w:rPr>
        <w:t>项目实施目的和主要工作任务</w:t>
      </w:r>
    </w:p>
    <w:p w14:paraId="33A9D1A4">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项目实施主要内容为：中小河流治理，用于流域面积200-3000平方公里中小河流防洪治理，中小河流重点县综合整治。</w:t>
      </w:r>
    </w:p>
    <w:p w14:paraId="198F7700">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eastAsia" w:eastAsia="仿宋_GB2312"/>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项目主要工作任务：按照项目申报要求和“遂财农【2024】1号”文件规定实施①　中小河流治理，用于流域面积200-3000平方公里中小河流防洪治理，中小河流重点县综合整治。</w:t>
      </w:r>
    </w:p>
    <w:p w14:paraId="2D2D7F76">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3" w:firstLineChars="200"/>
        <w:contextualSpacing/>
        <w:jc w:val="left"/>
        <w:textAlignment w:val="auto"/>
        <w:rPr>
          <w:rFonts w:hint="eastAsia" w:ascii="仿宋_GB2312" w:hAnsi="仿宋_GB2312" w:eastAsia="仿宋_GB2312" w:cs="仿宋_GB2312"/>
          <w:b/>
          <w:bCs/>
          <w:color w:val="auto"/>
          <w:kern w:val="0"/>
          <w:sz w:val="32"/>
          <w:szCs w:val="32"/>
          <w:highlight w:val="none"/>
          <w:u w:val="none"/>
          <w:shd w:val="clear" w:color="auto" w:fill="FFFFFF"/>
          <w:lang w:val="en-US" w:eastAsia="zh-CN"/>
        </w:rPr>
      </w:pPr>
      <w:r>
        <w:rPr>
          <w:rFonts w:hint="eastAsia" w:ascii="仿宋_GB2312" w:hAnsi="仿宋_GB2312" w:eastAsia="仿宋_GB2312" w:cs="仿宋_GB2312"/>
          <w:b/>
          <w:bCs/>
          <w:color w:val="auto"/>
          <w:kern w:val="0"/>
          <w:sz w:val="32"/>
          <w:szCs w:val="32"/>
          <w:highlight w:val="none"/>
          <w:u w:val="none"/>
          <w:shd w:val="clear" w:color="auto" w:fill="FFFFFF"/>
          <w:lang w:val="en-US" w:eastAsia="zh-CN"/>
        </w:rPr>
        <w:t>3.项目支持方向</w:t>
      </w:r>
    </w:p>
    <w:p w14:paraId="41B238E4">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（1）水旱灾害防御：</w:t>
      </w:r>
    </w:p>
    <w:p w14:paraId="6A168AFE">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cs="仿宋_GB2312"/>
          <w:color w:val="auto"/>
          <w:kern w:val="0"/>
          <w:sz w:val="32"/>
          <w:szCs w:val="32"/>
          <w:highlight w:val="none"/>
          <w:u w:val="none"/>
          <w:shd w:val="clear" w:color="auto" w:fill="FFFFFF"/>
          <w:lang w:val="en-US" w:eastAsia="zh-CN"/>
        </w:rPr>
        <w:t>‌</w:t>
      </w:r>
      <w:r>
        <w:rPr>
          <w:rFonts w:hint="eastAsia" w:ascii="仿宋_GB2312" w:hAnsi="仿宋_GB2312" w:eastAsia="仿宋_GB2312" w:cs="仿宋_GB2312"/>
          <w:color w:val="auto"/>
          <w:kern w:val="0"/>
          <w:sz w:val="32"/>
          <w:szCs w:val="32"/>
          <w:highlight w:val="none"/>
          <w:u w:val="none"/>
          <w:shd w:val="clear" w:color="auto" w:fill="FFFFFF"/>
          <w:lang w:val="en-US" w:eastAsia="zh-CN"/>
        </w:rPr>
        <w:t>防汛救灾应急；采购防汛救灾物资，支持洪涝灾害应急抢险及水利工程水毁修复；强化防洪治理工程。</w:t>
      </w:r>
    </w:p>
    <w:p w14:paraId="0ECF8024">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cs="仿宋_GB2312"/>
          <w:color w:val="auto"/>
          <w:kern w:val="0"/>
          <w:sz w:val="32"/>
          <w:szCs w:val="32"/>
          <w:highlight w:val="none"/>
          <w:u w:val="none"/>
          <w:shd w:val="clear" w:color="auto" w:fill="FFFFFF"/>
          <w:lang w:val="en-US" w:eastAsia="zh-CN"/>
        </w:rPr>
        <w:t>‌</w:t>
      </w:r>
      <w:r>
        <w:rPr>
          <w:rFonts w:hint="eastAsia" w:ascii="仿宋_GB2312" w:hAnsi="仿宋_GB2312" w:eastAsia="仿宋_GB2312" w:cs="仿宋_GB2312"/>
          <w:color w:val="auto"/>
          <w:kern w:val="0"/>
          <w:sz w:val="32"/>
          <w:szCs w:val="32"/>
          <w:highlight w:val="none"/>
          <w:u w:val="none"/>
          <w:shd w:val="clear" w:color="auto" w:fill="FFFFFF"/>
          <w:lang w:val="en-US" w:eastAsia="zh-CN"/>
        </w:rPr>
        <w:t>防灾能力提升‌：支持山洪灾害防治、中小河流治理、病险水库除险加固等项目。</w:t>
      </w:r>
    </w:p>
    <w:p w14:paraId="3F4A3B5C">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（2）水资源优化配置与利用</w:t>
      </w:r>
    </w:p>
    <w:p w14:paraId="4D0C139A">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cs="仿宋_GB2312"/>
          <w:color w:val="auto"/>
          <w:kern w:val="0"/>
          <w:sz w:val="32"/>
          <w:szCs w:val="32"/>
          <w:highlight w:val="none"/>
          <w:u w:val="none"/>
          <w:shd w:val="clear" w:color="auto" w:fill="FFFFFF"/>
          <w:lang w:val="en-US" w:eastAsia="zh-CN"/>
        </w:rPr>
        <w:t>‌</w:t>
      </w:r>
      <w:r>
        <w:rPr>
          <w:rFonts w:hint="eastAsia" w:ascii="仿宋_GB2312" w:hAnsi="仿宋_GB2312" w:eastAsia="仿宋_GB2312" w:cs="仿宋_GB2312"/>
          <w:color w:val="auto"/>
          <w:kern w:val="0"/>
          <w:sz w:val="32"/>
          <w:szCs w:val="32"/>
          <w:highlight w:val="none"/>
          <w:u w:val="none"/>
          <w:shd w:val="clear" w:color="auto" w:fill="FFFFFF"/>
          <w:lang w:val="en-US" w:eastAsia="zh-CN"/>
        </w:rPr>
        <w:t>骨干水利工程建设‌：重点支持灌区一期一步、大桥水库灌区等重大工程。</w:t>
      </w:r>
    </w:p>
    <w:p w14:paraId="4F12C8F6">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cs="仿宋_GB2312"/>
          <w:color w:val="auto"/>
          <w:kern w:val="0"/>
          <w:sz w:val="32"/>
          <w:szCs w:val="32"/>
          <w:highlight w:val="none"/>
          <w:u w:val="none"/>
          <w:shd w:val="clear" w:color="auto" w:fill="FFFFFF"/>
          <w:lang w:val="en-US" w:eastAsia="zh-CN"/>
        </w:rPr>
        <w:t>‌</w:t>
      </w:r>
      <w:r>
        <w:rPr>
          <w:rFonts w:hint="eastAsia" w:ascii="仿宋_GB2312" w:hAnsi="仿宋_GB2312" w:eastAsia="仿宋_GB2312" w:cs="仿宋_GB2312"/>
          <w:color w:val="auto"/>
          <w:kern w:val="0"/>
          <w:sz w:val="32"/>
          <w:szCs w:val="32"/>
          <w:highlight w:val="none"/>
          <w:u w:val="none"/>
          <w:shd w:val="clear" w:color="auto" w:fill="FFFFFF"/>
          <w:lang w:val="en-US" w:eastAsia="zh-CN"/>
        </w:rPr>
        <w:t>节水增效‌：推动灌区节水改造，提高农田灌溉水有效利用系数。</w:t>
      </w:r>
    </w:p>
    <w:p w14:paraId="13D22DE6">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推广智能灌溉系统及量测水设施。</w:t>
      </w:r>
    </w:p>
    <w:p w14:paraId="0338015C">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（3）水资源保护与生态修复</w:t>
      </w:r>
    </w:p>
    <w:p w14:paraId="2A316D24">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cs="仿宋_GB2312"/>
          <w:color w:val="auto"/>
          <w:kern w:val="0"/>
          <w:sz w:val="32"/>
          <w:szCs w:val="32"/>
          <w:highlight w:val="none"/>
          <w:u w:val="none"/>
          <w:shd w:val="clear" w:color="auto" w:fill="FFFFFF"/>
          <w:lang w:val="en-US" w:eastAsia="zh-CN"/>
        </w:rPr>
        <w:t>‌</w:t>
      </w:r>
      <w:r>
        <w:rPr>
          <w:rFonts w:hint="eastAsia" w:ascii="仿宋_GB2312" w:hAnsi="仿宋_GB2312" w:eastAsia="仿宋_GB2312" w:cs="仿宋_GB2312"/>
          <w:color w:val="auto"/>
          <w:kern w:val="0"/>
          <w:sz w:val="32"/>
          <w:szCs w:val="32"/>
          <w:highlight w:val="none"/>
          <w:u w:val="none"/>
          <w:shd w:val="clear" w:color="auto" w:fill="FFFFFF"/>
          <w:lang w:val="en-US" w:eastAsia="zh-CN"/>
        </w:rPr>
        <w:t>水生态治理‌：支持水土保持、河湖生态修复及水质提升工程。</w:t>
      </w:r>
    </w:p>
    <w:p w14:paraId="3F922997">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cs="仿宋_GB2312"/>
          <w:color w:val="auto"/>
          <w:kern w:val="0"/>
          <w:sz w:val="32"/>
          <w:szCs w:val="32"/>
          <w:highlight w:val="none"/>
          <w:u w:val="none"/>
          <w:shd w:val="clear" w:color="auto" w:fill="FFFFFF"/>
          <w:lang w:val="en-US" w:eastAsia="zh-CN"/>
        </w:rPr>
        <w:t>‌</w:t>
      </w:r>
      <w:r>
        <w:rPr>
          <w:rFonts w:hint="eastAsia" w:ascii="仿宋_GB2312" w:hAnsi="仿宋_GB2312" w:eastAsia="仿宋_GB2312" w:cs="仿宋_GB2312"/>
          <w:color w:val="auto"/>
          <w:kern w:val="0"/>
          <w:sz w:val="32"/>
          <w:szCs w:val="32"/>
          <w:highlight w:val="none"/>
          <w:u w:val="none"/>
          <w:shd w:val="clear" w:color="auto" w:fill="FFFFFF"/>
          <w:lang w:val="en-US" w:eastAsia="zh-CN"/>
        </w:rPr>
        <w:t>水源保护‌：加强饮用水源地保护，配套水质监测设施。</w:t>
      </w:r>
    </w:p>
    <w:p w14:paraId="094EF151">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（4）农村水利设施维护</w:t>
      </w:r>
    </w:p>
    <w:p w14:paraId="7B8BBE33">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cs="仿宋_GB2312"/>
          <w:color w:val="auto"/>
          <w:kern w:val="0"/>
          <w:sz w:val="32"/>
          <w:szCs w:val="32"/>
          <w:highlight w:val="none"/>
          <w:u w:val="none"/>
          <w:shd w:val="clear" w:color="auto" w:fill="FFFFFF"/>
          <w:lang w:val="en-US" w:eastAsia="zh-CN"/>
        </w:rPr>
        <w:t>‌</w:t>
      </w:r>
      <w:r>
        <w:rPr>
          <w:rFonts w:hint="eastAsia" w:ascii="仿宋_GB2312" w:hAnsi="仿宋_GB2312" w:eastAsia="仿宋_GB2312" w:cs="仿宋_GB2312"/>
          <w:color w:val="auto"/>
          <w:kern w:val="0"/>
          <w:sz w:val="32"/>
          <w:szCs w:val="32"/>
          <w:highlight w:val="none"/>
          <w:u w:val="none"/>
          <w:shd w:val="clear" w:color="auto" w:fill="FFFFFF"/>
          <w:lang w:val="en-US" w:eastAsia="zh-CN"/>
        </w:rPr>
        <w:t>农村饮水安全‌：保障饮水工程维修养护，确保农村供水稳定。</w:t>
      </w:r>
    </w:p>
    <w:p w14:paraId="5EA9229A">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cs="仿宋_GB2312"/>
          <w:color w:val="auto"/>
          <w:kern w:val="0"/>
          <w:sz w:val="32"/>
          <w:szCs w:val="32"/>
          <w:highlight w:val="none"/>
          <w:u w:val="none"/>
          <w:shd w:val="clear" w:color="auto" w:fill="FFFFFF"/>
          <w:lang w:val="en-US" w:eastAsia="zh-CN"/>
        </w:rPr>
        <w:t>‌</w:t>
      </w:r>
      <w:r>
        <w:rPr>
          <w:rFonts w:hint="eastAsia" w:ascii="仿宋_GB2312" w:hAnsi="仿宋_GB2312" w:eastAsia="仿宋_GB2312" w:cs="仿宋_GB2312"/>
          <w:color w:val="auto"/>
          <w:kern w:val="0"/>
          <w:sz w:val="32"/>
          <w:szCs w:val="32"/>
          <w:highlight w:val="none"/>
          <w:u w:val="none"/>
          <w:shd w:val="clear" w:color="auto" w:fill="FFFFFF"/>
          <w:lang w:val="en-US" w:eastAsia="zh-CN"/>
        </w:rPr>
        <w:t>小型水利工程管护‌：支持小型水库、泵站等设施的日常维护及白蚁防治。</w:t>
      </w:r>
    </w:p>
    <w:p w14:paraId="2A74FA7D">
      <w:pPr>
        <w:keepNext w:val="0"/>
        <w:keepLines w:val="0"/>
        <w:pageBreakBefore w:val="0"/>
        <w:widowControl/>
        <w:numPr>
          <w:ilvl w:val="0"/>
          <w:numId w:val="0"/>
        </w:numPr>
        <w:kinsoku/>
        <w:wordWrap/>
        <w:overflowPunct/>
        <w:topLinePunct w:val="0"/>
        <w:autoSpaceDE/>
        <w:autoSpaceDN/>
        <w:bidi w:val="0"/>
        <w:adjustRightInd/>
        <w:snapToGrid/>
        <w:spacing w:line="590" w:lineRule="exact"/>
        <w:ind w:left="0" w:leftChars="0" w:right="0" w:rightChars="0" w:firstLine="643"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zh-CN"/>
        </w:rPr>
      </w:pPr>
      <w:r>
        <w:rPr>
          <w:rFonts w:hint="eastAsia" w:ascii="楷体_GB2312" w:hAnsi="宋体" w:eastAsia="楷体_GB2312" w:cs="Times New Roman"/>
          <w:b/>
          <w:color w:val="auto"/>
          <w:sz w:val="32"/>
          <w:szCs w:val="32"/>
          <w:highlight w:val="none"/>
          <w:u w:val="none"/>
          <w:lang w:val="zh-CN" w:eastAsia="zh-CN"/>
        </w:rPr>
        <w:t>（三）</w:t>
      </w:r>
      <w:r>
        <w:rPr>
          <w:rFonts w:hint="default" w:ascii="楷体_GB2312" w:hAnsi="宋体" w:eastAsia="楷体_GB2312" w:cs="Times New Roman"/>
          <w:b/>
          <w:color w:val="auto"/>
          <w:sz w:val="32"/>
          <w:szCs w:val="32"/>
          <w:highlight w:val="none"/>
          <w:u w:val="none"/>
          <w:lang w:val="en-US" w:eastAsia="zh-CN"/>
        </w:rPr>
        <w:t>预算安排及分配管理</w:t>
      </w:r>
      <w:r>
        <w:rPr>
          <w:rFonts w:hint="eastAsia" w:ascii="楷体_GB2312" w:hAnsi="宋体" w:eastAsia="楷体_GB2312" w:cs="Times New Roman"/>
          <w:b/>
          <w:color w:val="auto"/>
          <w:sz w:val="32"/>
          <w:szCs w:val="32"/>
          <w:highlight w:val="none"/>
          <w:u w:val="none"/>
          <w:lang w:val="zh-CN" w:eastAsia="zh-CN"/>
        </w:rPr>
        <w:t>。</w:t>
      </w:r>
      <w:r>
        <w:rPr>
          <w:rFonts w:hint="eastAsia" w:ascii="仿宋_GB2312" w:hAnsi="仿宋_GB2312" w:eastAsia="仿宋_GB2312" w:cs="仿宋_GB2312"/>
          <w:color w:val="auto"/>
          <w:kern w:val="0"/>
          <w:sz w:val="32"/>
          <w:szCs w:val="32"/>
          <w:highlight w:val="none"/>
          <w:u w:val="none"/>
          <w:shd w:val="clear" w:color="auto" w:fill="FFFFFF"/>
          <w:lang w:val="zh-CN" w:eastAsia="zh-CN"/>
        </w:rPr>
        <w:t>项目预算安排情况，项目</w:t>
      </w:r>
      <w:r>
        <w:rPr>
          <w:rFonts w:hint="eastAsia" w:ascii="仿宋_GB2312" w:hAnsi="仿宋_GB2312" w:eastAsia="仿宋_GB2312" w:cs="仿宋_GB2312"/>
          <w:color w:val="auto"/>
          <w:kern w:val="0"/>
          <w:sz w:val="32"/>
          <w:szCs w:val="32"/>
          <w:highlight w:val="none"/>
          <w:u w:val="none"/>
          <w:shd w:val="clear" w:color="auto" w:fill="FFFFFF"/>
          <w:lang w:val="zh-CN"/>
        </w:rPr>
        <w:t>资金分配原则及考虑因素，项目资金分配情况。</w:t>
      </w:r>
    </w:p>
    <w:p w14:paraId="5F4776DE">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eastAsia" w:eastAsia="仿宋_GB2312"/>
          <w:sz w:val="32"/>
          <w:szCs w:val="32"/>
          <w:lang w:val="en-US" w:eastAsia="zh-CN"/>
        </w:rPr>
      </w:pPr>
      <w:r>
        <w:rPr>
          <w:rFonts w:hint="eastAsia" w:eastAsia="仿宋_GB2312"/>
          <w:sz w:val="32"/>
          <w:szCs w:val="32"/>
          <w:lang w:val="zh-CN"/>
        </w:rPr>
        <w:t>51090424T000011597787-遂财建【2024】8号增发国债水利补助资金（两中心五馆段防洪治理工程）</w:t>
      </w:r>
      <w:r>
        <w:rPr>
          <w:rFonts w:hint="eastAsia" w:eastAsia="仿宋_GB2312"/>
          <w:sz w:val="32"/>
          <w:szCs w:val="32"/>
          <w:lang w:val="en-US" w:eastAsia="zh-CN"/>
        </w:rPr>
        <w:t>2024年度预算数25700000.00元（含预算调剂）；</w:t>
      </w:r>
    </w:p>
    <w:p w14:paraId="4C378A63">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zh-CN" w:eastAsia="zh-CN"/>
        </w:rPr>
        <w:t>项目</w:t>
      </w:r>
      <w:r>
        <w:rPr>
          <w:rFonts w:hint="eastAsia" w:ascii="Times New Roman" w:hAnsi="Times New Roman" w:eastAsia="仿宋_GB2312" w:cs="Times New Roman"/>
          <w:sz w:val="32"/>
          <w:szCs w:val="32"/>
          <w:lang w:val="zh-CN"/>
        </w:rPr>
        <w:t>资金分配原则及考虑因素：</w:t>
      </w:r>
      <w:r>
        <w:rPr>
          <w:rFonts w:hint="eastAsia" w:ascii="Times New Roman" w:hAnsi="Times New Roman" w:eastAsia="仿宋_GB2312" w:cs="Times New Roman"/>
          <w:sz w:val="32"/>
          <w:szCs w:val="32"/>
          <w:lang w:val="en-US" w:eastAsia="zh-CN"/>
        </w:rPr>
        <w:t>项目资金分配由遂宁市财政局、</w:t>
      </w:r>
      <w:r>
        <w:rPr>
          <w:rFonts w:hint="eastAsia" w:eastAsia="仿宋_GB2312" w:cs="Times New Roman"/>
          <w:sz w:val="32"/>
          <w:szCs w:val="32"/>
          <w:lang w:val="en-US" w:eastAsia="zh-CN"/>
        </w:rPr>
        <w:t>安居区</w:t>
      </w:r>
      <w:r>
        <w:rPr>
          <w:rFonts w:hint="eastAsia" w:ascii="Times New Roman" w:hAnsi="Times New Roman" w:eastAsia="仿宋_GB2312" w:cs="Times New Roman"/>
          <w:sz w:val="32"/>
          <w:szCs w:val="32"/>
          <w:lang w:val="en-US" w:eastAsia="zh-CN"/>
        </w:rPr>
        <w:t>财政局根据相关规定与要求分配。</w:t>
      </w:r>
    </w:p>
    <w:p w14:paraId="75BB814F">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项目资金分配：</w:t>
      </w:r>
      <w:r>
        <w:rPr>
          <w:rFonts w:hint="eastAsia" w:eastAsia="仿宋_GB2312"/>
          <w:sz w:val="32"/>
          <w:szCs w:val="32"/>
          <w:lang w:val="en-US" w:eastAsia="zh-CN"/>
        </w:rPr>
        <w:t>2024年度我局该项目资金实际分配25700000.00元（含预算调剂）。</w:t>
      </w:r>
    </w:p>
    <w:p w14:paraId="0339E28F">
      <w:pPr>
        <w:keepNext w:val="0"/>
        <w:keepLines w:val="0"/>
        <w:pageBreakBefore w:val="0"/>
        <w:kinsoku/>
        <w:wordWrap/>
        <w:overflowPunct/>
        <w:topLinePunct w:val="0"/>
        <w:autoSpaceDE/>
        <w:autoSpaceDN/>
        <w:bidi w:val="0"/>
        <w:adjustRightInd/>
        <w:snapToGrid/>
        <w:spacing w:line="590" w:lineRule="exact"/>
        <w:ind w:left="0" w:leftChars="0" w:right="0" w:rightChars="0" w:firstLine="643" w:firstLineChars="200"/>
        <w:textAlignment w:val="auto"/>
        <w:rPr>
          <w:rFonts w:hint="eastAsia" w:ascii="仿宋_GB2312" w:hAnsi="仿宋_GB2312" w:eastAsia="仿宋_GB2312" w:cs="仿宋_GB2312"/>
          <w:color w:val="auto"/>
          <w:kern w:val="0"/>
          <w:sz w:val="32"/>
          <w:szCs w:val="32"/>
          <w:highlight w:val="none"/>
          <w:u w:val="none"/>
          <w:shd w:val="clear" w:color="auto" w:fill="FFFFFF"/>
          <w:lang w:val="zh-CN" w:eastAsia="zh-CN"/>
        </w:rPr>
      </w:pPr>
      <w:r>
        <w:rPr>
          <w:rFonts w:hint="eastAsia" w:ascii="楷体_GB2312" w:hAnsi="宋体" w:eastAsia="楷体_GB2312" w:cs="Times New Roman"/>
          <w:b/>
          <w:color w:val="auto"/>
          <w:sz w:val="32"/>
          <w:szCs w:val="32"/>
          <w:highlight w:val="none"/>
          <w:u w:val="none"/>
          <w:lang w:val="zh-CN" w:eastAsia="zh-CN"/>
        </w:rPr>
        <w:t>（四）项目绩效目标设置。</w:t>
      </w:r>
      <w:r>
        <w:rPr>
          <w:rFonts w:hint="eastAsia" w:ascii="仿宋_GB2312" w:hAnsi="仿宋_GB2312" w:eastAsia="仿宋_GB2312" w:cs="仿宋_GB2312"/>
          <w:color w:val="auto"/>
          <w:kern w:val="0"/>
          <w:sz w:val="32"/>
          <w:szCs w:val="32"/>
          <w:highlight w:val="none"/>
          <w:u w:val="none"/>
          <w:shd w:val="clear" w:color="auto" w:fill="FFFFFF"/>
          <w:lang w:val="zh-CN" w:eastAsia="zh-CN"/>
        </w:rPr>
        <w:t>项目整体、区域和具体绩效目标设置情况，项目自评工作开展情况。</w:t>
      </w:r>
    </w:p>
    <w:p w14:paraId="72F1A938">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2024年度该项目资金下达后，遂宁市财政局设定该项目绩效目标：</w:t>
      </w:r>
    </w:p>
    <w:p w14:paraId="109D5970">
      <w:pPr>
        <w:pStyle w:val="3"/>
        <w:ind w:left="0" w:leftChars="0" w:firstLine="0" w:firstLineChars="0"/>
        <w:rPr>
          <w:rFonts w:hint="eastAsia" w:eastAsia="仿宋_GB2312"/>
        </w:rPr>
      </w:pPr>
      <w:r>
        <w:rPr>
          <w:rFonts w:eastAsia="仿宋_GB2312"/>
        </w:rPr>
        <w:drawing>
          <wp:inline distT="0" distB="0" distL="114300" distR="114300">
            <wp:extent cx="5542280" cy="2662555"/>
            <wp:effectExtent l="0" t="0" r="5080" b="444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0"/>
                    <a:stretch>
                      <a:fillRect/>
                    </a:stretch>
                  </pic:blipFill>
                  <pic:spPr>
                    <a:xfrm>
                      <a:off x="0" y="0"/>
                      <a:ext cx="5542280" cy="2662555"/>
                    </a:xfrm>
                    <a:prstGeom prst="rect">
                      <a:avLst/>
                    </a:prstGeom>
                    <a:noFill/>
                    <a:ln>
                      <a:noFill/>
                    </a:ln>
                  </pic:spPr>
                </pic:pic>
              </a:graphicData>
            </a:graphic>
          </wp:inline>
        </w:drawing>
      </w:r>
    </w:p>
    <w:p w14:paraId="16A7053C">
      <w:pPr>
        <w:keepNext w:val="0"/>
        <w:keepLines w:val="0"/>
        <w:pageBreakBefore w:val="0"/>
        <w:widowControl w:val="0"/>
        <w:kinsoku/>
        <w:wordWrap/>
        <w:overflowPunct/>
        <w:topLinePunct w:val="0"/>
        <w:autoSpaceDE/>
        <w:autoSpaceDN/>
        <w:bidi w:val="0"/>
        <w:adjustRightInd/>
        <w:snapToGrid/>
        <w:spacing w:line="590" w:lineRule="exact"/>
        <w:ind w:right="0" w:rightChars="0" w:firstLine="640" w:firstLineChars="200"/>
        <w:textAlignment w:val="auto"/>
        <w:outlineLvl w:val="9"/>
        <w:rPr>
          <w:rFonts w:hint="eastAsia" w:ascii="黑体" w:hAnsi="宋体" w:eastAsia="黑体"/>
          <w:sz w:val="32"/>
          <w:szCs w:val="32"/>
          <w:highlight w:val="none"/>
          <w:lang w:eastAsia="zh-CN"/>
        </w:rPr>
      </w:pPr>
      <w:r>
        <w:rPr>
          <w:rFonts w:hint="eastAsia" w:ascii="黑体" w:hAnsi="宋体" w:eastAsia="黑体"/>
          <w:sz w:val="32"/>
          <w:szCs w:val="32"/>
          <w:highlight w:val="none"/>
        </w:rPr>
        <w:t>二、</w:t>
      </w:r>
      <w:r>
        <w:rPr>
          <w:rFonts w:hint="eastAsia" w:ascii="黑体" w:hAnsi="宋体" w:eastAsia="黑体"/>
          <w:sz w:val="32"/>
          <w:szCs w:val="32"/>
          <w:highlight w:val="none"/>
          <w:lang w:eastAsia="zh-CN"/>
        </w:rPr>
        <w:t>评价实施</w:t>
      </w:r>
    </w:p>
    <w:p w14:paraId="037035E0">
      <w:pPr>
        <w:keepNext w:val="0"/>
        <w:keepLines w:val="0"/>
        <w:pageBreakBefore w:val="0"/>
        <w:widowControl w:val="0"/>
        <w:kinsoku/>
        <w:wordWrap/>
        <w:overflowPunct/>
        <w:topLinePunct w:val="0"/>
        <w:autoSpaceDE/>
        <w:autoSpaceDN/>
        <w:bidi w:val="0"/>
        <w:adjustRightInd/>
        <w:snapToGrid/>
        <w:spacing w:line="590" w:lineRule="exact"/>
        <w:ind w:right="0" w:rightChars="0" w:firstLine="640"/>
        <w:textAlignment w:val="auto"/>
        <w:outlineLvl w:val="9"/>
        <w:rPr>
          <w:rFonts w:hint="eastAsia" w:eastAsia="仿宋_GB2312" w:cs="Times New Roman"/>
          <w:sz w:val="32"/>
          <w:szCs w:val="32"/>
          <w:lang w:eastAsia="zh-CN"/>
        </w:rPr>
      </w:pPr>
      <w:r>
        <w:rPr>
          <w:rFonts w:hint="eastAsia" w:ascii="楷体_GB2312" w:hAnsi="宋体" w:eastAsia="楷体_GB2312"/>
          <w:b/>
          <w:color w:val="auto"/>
          <w:sz w:val="32"/>
          <w:szCs w:val="32"/>
          <w:highlight w:val="none"/>
          <w:u w:val="none"/>
          <w:lang w:val="zh-CN"/>
        </w:rPr>
        <w:t>（一）评价目的。</w:t>
      </w:r>
      <w:r>
        <w:rPr>
          <w:rFonts w:eastAsia="仿宋_GB2312" w:cs="Times New Roman"/>
          <w:sz w:val="32"/>
          <w:szCs w:val="32"/>
        </w:rPr>
        <w:t>通过</w:t>
      </w:r>
      <w:r>
        <w:rPr>
          <w:rFonts w:hint="eastAsia" w:eastAsia="仿宋_GB2312" w:cs="Times New Roman"/>
          <w:sz w:val="32"/>
          <w:szCs w:val="32"/>
          <w:lang w:eastAsia="zh-CN"/>
        </w:rPr>
        <w:t>项目</w:t>
      </w:r>
      <w:r>
        <w:rPr>
          <w:rFonts w:hint="eastAsia" w:eastAsia="仿宋_GB2312" w:cs="Times New Roman"/>
          <w:sz w:val="32"/>
          <w:szCs w:val="32"/>
        </w:rPr>
        <w:t>绩效</w:t>
      </w:r>
      <w:r>
        <w:rPr>
          <w:rFonts w:hint="eastAsia" w:eastAsia="仿宋_GB2312" w:cs="Times New Roman"/>
          <w:sz w:val="32"/>
          <w:szCs w:val="32"/>
          <w:lang w:eastAsia="zh-CN"/>
        </w:rPr>
        <w:t>自评要实现的目的。</w:t>
      </w:r>
    </w:p>
    <w:p w14:paraId="62A442A3">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该项目开展绩效自评的目的是</w:t>
      </w:r>
      <w:r>
        <w:rPr>
          <w:rFonts w:hint="default" w:ascii="Times New Roman" w:hAnsi="Times New Roman" w:eastAsia="仿宋_GB2312" w:cs="Times New Roman"/>
          <w:sz w:val="32"/>
          <w:szCs w:val="32"/>
          <w:lang w:val="en-US" w:eastAsia="zh-CN"/>
        </w:rPr>
        <w:t>贯彻落实全面实施预算绩效管理，将绩效理念和方法</w:t>
      </w:r>
      <w:r>
        <w:rPr>
          <w:rFonts w:hint="eastAsia" w:ascii="Times New Roman" w:hAnsi="Times New Roman" w:eastAsia="仿宋_GB2312" w:cs="Times New Roman"/>
          <w:sz w:val="32"/>
          <w:szCs w:val="32"/>
          <w:lang w:val="en-US" w:eastAsia="zh-CN"/>
        </w:rPr>
        <w:t>深度融入预算编制、执行、监督全过程，实现预算和绩效管理一体化，不断提高财政资金使用效益。</w:t>
      </w:r>
    </w:p>
    <w:p w14:paraId="64740327">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default" w:eastAsia="仿宋_GB2312"/>
          <w:sz w:val="32"/>
          <w:szCs w:val="32"/>
          <w:lang w:val="en-US" w:eastAsia="zh-CN"/>
        </w:rPr>
      </w:pPr>
      <w:r>
        <w:rPr>
          <w:rFonts w:hint="eastAsia" w:eastAsia="仿宋_GB2312"/>
          <w:sz w:val="32"/>
          <w:szCs w:val="32"/>
          <w:lang w:val="en-US" w:eastAsia="zh-CN"/>
        </w:rPr>
        <w:t>同时，针对该项目开展执行结果、效果分析，剖析单位自身项目实施的管理责任落实情况，不断提高我局项目管理水平。</w:t>
      </w:r>
    </w:p>
    <w:p w14:paraId="5FD01595">
      <w:pPr>
        <w:keepNext w:val="0"/>
        <w:keepLines w:val="0"/>
        <w:pageBreakBefore w:val="0"/>
        <w:widowControl w:val="0"/>
        <w:kinsoku/>
        <w:wordWrap/>
        <w:overflowPunct/>
        <w:topLinePunct w:val="0"/>
        <w:autoSpaceDE/>
        <w:autoSpaceDN/>
        <w:bidi w:val="0"/>
        <w:adjustRightInd/>
        <w:snapToGrid/>
        <w:spacing w:line="590" w:lineRule="exact"/>
        <w:ind w:left="0" w:leftChars="0" w:right="0" w:rightChars="0" w:firstLine="643" w:firstLineChars="200"/>
        <w:textAlignment w:val="auto"/>
        <w:outlineLvl w:val="9"/>
        <w:rPr>
          <w:rFonts w:hint="eastAsia" w:eastAsia="仿宋_GB2312" w:cs="Times New Roman"/>
          <w:sz w:val="32"/>
          <w:szCs w:val="32"/>
          <w:lang w:eastAsia="zh-CN"/>
        </w:rPr>
      </w:pPr>
      <w:r>
        <w:rPr>
          <w:rFonts w:hint="eastAsia" w:ascii="楷体_GB2312" w:hAnsi="宋体" w:eastAsia="楷体_GB2312"/>
          <w:b/>
          <w:color w:val="auto"/>
          <w:sz w:val="32"/>
          <w:szCs w:val="32"/>
          <w:highlight w:val="none"/>
          <w:u w:val="none"/>
          <w:lang w:val="zh-CN"/>
        </w:rPr>
        <w:t>（二）预设问题及评价重点。</w:t>
      </w:r>
      <w:r>
        <w:rPr>
          <w:rFonts w:hint="eastAsia" w:eastAsia="仿宋_GB2312" w:cs="Times New Roman"/>
          <w:sz w:val="32"/>
          <w:szCs w:val="32"/>
        </w:rPr>
        <w:t>按照绩效评价指标体系，对资金支出使用全过程及其实施效果进行综合评价和判断</w:t>
      </w:r>
      <w:r>
        <w:rPr>
          <w:rFonts w:hint="eastAsia" w:eastAsia="仿宋_GB2312" w:cs="Times New Roman"/>
          <w:sz w:val="32"/>
          <w:szCs w:val="32"/>
          <w:lang w:eastAsia="zh-CN"/>
        </w:rPr>
        <w:t>。</w:t>
      </w:r>
    </w:p>
    <w:p w14:paraId="4FFACD36">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预设问题：项目实施效果中目标完成情况；</w:t>
      </w:r>
    </w:p>
    <w:p w14:paraId="190AD40E">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评价重点：项目实施（预算执行、资金使用）、项目效果（目标完成、完成时效）。</w:t>
      </w:r>
    </w:p>
    <w:p w14:paraId="22B3DC54">
      <w:pPr>
        <w:keepNext w:val="0"/>
        <w:keepLines w:val="0"/>
        <w:pageBreakBefore w:val="0"/>
        <w:widowControl w:val="0"/>
        <w:kinsoku/>
        <w:wordWrap/>
        <w:overflowPunct/>
        <w:topLinePunct w:val="0"/>
        <w:autoSpaceDE/>
        <w:autoSpaceDN/>
        <w:bidi w:val="0"/>
        <w:adjustRightInd/>
        <w:snapToGrid/>
        <w:spacing w:line="590" w:lineRule="exact"/>
        <w:ind w:left="0" w:leftChars="0" w:right="0" w:rightChars="0" w:firstLine="643" w:firstLineChars="200"/>
        <w:textAlignment w:val="auto"/>
        <w:outlineLvl w:val="9"/>
        <w:rPr>
          <w:rFonts w:hint="eastAsia" w:eastAsia="仿宋_GB2312" w:cs="Times New Roman"/>
          <w:sz w:val="32"/>
          <w:szCs w:val="32"/>
          <w:lang w:val="zh-CN" w:eastAsia="zh-CN"/>
        </w:rPr>
      </w:pPr>
      <w:r>
        <w:rPr>
          <w:rFonts w:hint="eastAsia" w:ascii="楷体_GB2312" w:hAnsi="宋体" w:eastAsia="楷体_GB2312"/>
          <w:b/>
          <w:color w:val="auto"/>
          <w:sz w:val="32"/>
          <w:szCs w:val="32"/>
          <w:highlight w:val="none"/>
          <w:u w:val="none"/>
          <w:lang w:val="zh-CN"/>
        </w:rPr>
        <w:t>（三）评价选点。</w:t>
      </w:r>
      <w:r>
        <w:rPr>
          <w:rFonts w:hint="eastAsia" w:eastAsia="仿宋_GB2312" w:cs="Times New Roman"/>
          <w:sz w:val="32"/>
          <w:szCs w:val="32"/>
          <w:lang w:val="zh-CN" w:eastAsia="zh-CN"/>
        </w:rPr>
        <w:t>项目绩效自评所抽样点位情况。</w:t>
      </w:r>
    </w:p>
    <w:p w14:paraId="2A449327">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default" w:eastAsia="仿宋_GB2312"/>
          <w:sz w:val="32"/>
          <w:szCs w:val="32"/>
          <w:lang w:val="en-US" w:eastAsia="zh-CN"/>
        </w:rPr>
      </w:pPr>
      <w:r>
        <w:rPr>
          <w:rFonts w:hint="eastAsia" w:eastAsia="仿宋_GB2312"/>
          <w:sz w:val="32"/>
          <w:szCs w:val="32"/>
          <w:lang w:val="en-US" w:eastAsia="zh-CN"/>
        </w:rPr>
        <w:t>本次项目绩效自评抽样选择2024年02月05日下达指标25700000.00元后的支付情况，包括所支付的所有范围。</w:t>
      </w:r>
    </w:p>
    <w:p w14:paraId="1FE159BB">
      <w:pPr>
        <w:keepNext w:val="0"/>
        <w:keepLines w:val="0"/>
        <w:pageBreakBefore w:val="0"/>
        <w:widowControl w:val="0"/>
        <w:kinsoku/>
        <w:wordWrap/>
        <w:overflowPunct/>
        <w:topLinePunct w:val="0"/>
        <w:autoSpaceDE/>
        <w:autoSpaceDN/>
        <w:bidi w:val="0"/>
        <w:adjustRightInd/>
        <w:snapToGrid/>
        <w:spacing w:line="590" w:lineRule="exact"/>
        <w:ind w:right="0" w:rightChars="0" w:firstLine="640"/>
        <w:textAlignment w:val="auto"/>
        <w:outlineLvl w:val="9"/>
        <w:rPr>
          <w:rFonts w:hint="eastAsia" w:eastAsia="仿宋_GB2312" w:cs="Times New Roman"/>
          <w:sz w:val="32"/>
          <w:szCs w:val="32"/>
          <w:lang w:eastAsia="zh-CN"/>
        </w:rPr>
      </w:pPr>
      <w:r>
        <w:rPr>
          <w:rFonts w:hint="eastAsia" w:ascii="楷体_GB2312" w:hAnsi="宋体" w:eastAsia="楷体_GB2312"/>
          <w:b/>
          <w:color w:val="auto"/>
          <w:sz w:val="32"/>
          <w:szCs w:val="32"/>
          <w:highlight w:val="none"/>
          <w:u w:val="none"/>
          <w:lang w:val="zh-CN"/>
        </w:rPr>
        <w:t>（四）评价方法。</w:t>
      </w:r>
      <w:r>
        <w:rPr>
          <w:rFonts w:eastAsia="仿宋_GB2312" w:cs="Times New Roman"/>
          <w:sz w:val="32"/>
          <w:szCs w:val="32"/>
        </w:rPr>
        <w:t>根据项目情况和评价重点，</w:t>
      </w:r>
      <w:r>
        <w:rPr>
          <w:rFonts w:hint="eastAsia" w:eastAsia="仿宋_GB2312" w:cs="Times New Roman"/>
          <w:sz w:val="32"/>
          <w:szCs w:val="32"/>
          <w:lang w:eastAsia="zh-CN"/>
        </w:rPr>
        <w:t>用来</w:t>
      </w:r>
      <w:r>
        <w:rPr>
          <w:rFonts w:eastAsia="仿宋_GB2312" w:cs="Times New Roman"/>
          <w:sz w:val="32"/>
          <w:szCs w:val="32"/>
        </w:rPr>
        <w:t>收集相关材料和开展具体评价</w:t>
      </w:r>
      <w:r>
        <w:rPr>
          <w:rFonts w:hint="eastAsia" w:eastAsia="仿宋_GB2312" w:cs="Times New Roman"/>
          <w:sz w:val="32"/>
          <w:szCs w:val="32"/>
          <w:lang w:eastAsia="zh-CN"/>
        </w:rPr>
        <w:t>的方法</w:t>
      </w:r>
      <w:r>
        <w:rPr>
          <w:rFonts w:eastAsia="仿宋_GB2312" w:cs="Times New Roman"/>
          <w:sz w:val="32"/>
          <w:szCs w:val="32"/>
        </w:rPr>
        <w:t>。</w:t>
      </w:r>
      <w:r>
        <w:rPr>
          <w:rFonts w:hint="eastAsia" w:eastAsia="仿宋_GB2312" w:cs="Times New Roman"/>
          <w:sz w:val="32"/>
          <w:szCs w:val="32"/>
          <w:lang w:eastAsia="zh-CN"/>
        </w:rPr>
        <w:t>包括：</w:t>
      </w:r>
      <w:r>
        <w:rPr>
          <w:rFonts w:eastAsia="仿宋_GB2312" w:cs="Times New Roman"/>
          <w:sz w:val="32"/>
          <w:szCs w:val="32"/>
        </w:rPr>
        <w:t>采用</w:t>
      </w:r>
      <w:r>
        <w:rPr>
          <w:rFonts w:hint="eastAsia" w:eastAsia="仿宋_GB2312" w:cs="Times New Roman"/>
          <w:sz w:val="32"/>
          <w:szCs w:val="32"/>
        </w:rPr>
        <w:t>成本效益分析法、标杆管理法、</w:t>
      </w:r>
      <w:r>
        <w:rPr>
          <w:rFonts w:eastAsia="仿宋_GB2312" w:cs="Times New Roman"/>
          <w:sz w:val="32"/>
          <w:szCs w:val="32"/>
        </w:rPr>
        <w:t>案卷研究法、单位自评法、实地勘察法、问卷调查法、座谈调研法等多种方法</w:t>
      </w:r>
      <w:r>
        <w:rPr>
          <w:rFonts w:hint="eastAsia" w:eastAsia="仿宋_GB2312" w:cs="Times New Roman"/>
          <w:sz w:val="32"/>
          <w:szCs w:val="32"/>
          <w:lang w:eastAsia="zh-CN"/>
        </w:rPr>
        <w:t>。</w:t>
      </w:r>
    </w:p>
    <w:p w14:paraId="4BD9583D">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eastAsia" w:eastAsia="仿宋_GB2312"/>
          <w:sz w:val="32"/>
          <w:szCs w:val="32"/>
          <w:lang w:eastAsia="zh-CN"/>
        </w:rPr>
      </w:pPr>
      <w:r>
        <w:rPr>
          <w:rFonts w:hint="default" w:ascii="Times New Roman" w:hAnsi="Times New Roman" w:eastAsia="仿宋_GB2312" w:cs="Times New Roman"/>
          <w:sz w:val="32"/>
          <w:szCs w:val="32"/>
          <w:lang w:val="en-US" w:eastAsia="zh-CN"/>
        </w:rPr>
        <w:t>采用定性描述、定量分析法，客观确定项目预期绩效目</w:t>
      </w:r>
      <w:r>
        <w:rPr>
          <w:rFonts w:hint="eastAsia" w:ascii="Times New Roman" w:hAnsi="Times New Roman" w:eastAsia="仿宋_GB2312" w:cs="Times New Roman"/>
          <w:sz w:val="32"/>
          <w:szCs w:val="32"/>
          <w:lang w:val="en-US" w:eastAsia="zh-CN"/>
        </w:rPr>
        <w:t>标的实现程度。采用比较法，对比实际成效与绩效目标的偏差，进行效益分析。</w:t>
      </w:r>
    </w:p>
    <w:p w14:paraId="423A5529">
      <w:pPr>
        <w:keepNext w:val="0"/>
        <w:keepLines w:val="0"/>
        <w:pageBreakBefore w:val="0"/>
        <w:widowControl w:val="0"/>
        <w:kinsoku/>
        <w:wordWrap/>
        <w:overflowPunct/>
        <w:topLinePunct w:val="0"/>
        <w:autoSpaceDE/>
        <w:autoSpaceDN/>
        <w:bidi w:val="0"/>
        <w:adjustRightInd/>
        <w:snapToGrid/>
        <w:spacing w:line="590" w:lineRule="exact"/>
        <w:ind w:right="0" w:rightChars="0" w:firstLine="640"/>
        <w:textAlignment w:val="auto"/>
        <w:outlineLvl w:val="9"/>
        <w:rPr>
          <w:rFonts w:hint="eastAsia" w:eastAsia="仿宋_GB2312" w:cs="Times New Roman"/>
          <w:sz w:val="32"/>
          <w:szCs w:val="32"/>
          <w:lang w:eastAsia="zh-CN"/>
        </w:rPr>
      </w:pPr>
      <w:r>
        <w:rPr>
          <w:rFonts w:hint="eastAsia" w:ascii="楷体_GB2312" w:hAnsi="宋体" w:eastAsia="楷体_GB2312"/>
          <w:b/>
          <w:color w:val="auto"/>
          <w:sz w:val="32"/>
          <w:szCs w:val="32"/>
          <w:highlight w:val="none"/>
          <w:u w:val="none"/>
          <w:lang w:val="zh-CN"/>
        </w:rPr>
        <w:t>（五）评价组织。</w:t>
      </w:r>
      <w:r>
        <w:rPr>
          <w:rFonts w:eastAsia="仿宋_GB2312" w:cs="Times New Roman"/>
          <w:sz w:val="32"/>
          <w:szCs w:val="32"/>
        </w:rPr>
        <w:t>评价组人员构成</w:t>
      </w:r>
      <w:r>
        <w:rPr>
          <w:rFonts w:hint="eastAsia" w:eastAsia="仿宋_GB2312" w:cs="Times New Roman"/>
          <w:sz w:val="32"/>
          <w:szCs w:val="32"/>
          <w:lang w:eastAsia="zh-CN"/>
        </w:rPr>
        <w:t>和</w:t>
      </w:r>
      <w:r>
        <w:rPr>
          <w:rFonts w:eastAsia="仿宋_GB2312" w:cs="Times New Roman"/>
          <w:sz w:val="32"/>
          <w:szCs w:val="32"/>
        </w:rPr>
        <w:t>职责分工</w:t>
      </w:r>
      <w:r>
        <w:rPr>
          <w:rFonts w:hint="eastAsia" w:eastAsia="仿宋_GB2312" w:cs="Times New Roman"/>
          <w:sz w:val="32"/>
          <w:szCs w:val="32"/>
          <w:lang w:eastAsia="zh-CN"/>
        </w:rPr>
        <w:t>。</w:t>
      </w:r>
    </w:p>
    <w:p w14:paraId="3EF8BD4B">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default" w:eastAsia="仿宋_GB2312"/>
          <w:sz w:val="32"/>
          <w:szCs w:val="32"/>
          <w:lang w:val="en-US" w:eastAsia="zh-CN"/>
        </w:rPr>
      </w:pPr>
      <w:r>
        <w:rPr>
          <w:rFonts w:hint="eastAsia" w:eastAsia="仿宋_GB2312"/>
          <w:sz w:val="32"/>
          <w:szCs w:val="32"/>
          <w:lang w:val="en-US" w:eastAsia="zh-CN"/>
        </w:rPr>
        <w:t>本次绩效自评由</w:t>
      </w:r>
      <w:r>
        <w:rPr>
          <w:rFonts w:hint="eastAsia" w:eastAsia="仿宋_GB2312" w:cs="Times New Roman"/>
          <w:sz w:val="32"/>
          <w:szCs w:val="32"/>
          <w:lang w:val="en-US" w:eastAsia="zh-CN"/>
        </w:rPr>
        <w:t>办公室</w:t>
      </w:r>
      <w:r>
        <w:rPr>
          <w:rFonts w:hint="eastAsia" w:ascii="Times New Roman" w:hAnsi="Times New Roman" w:eastAsia="仿宋_GB2312" w:cs="Times New Roman"/>
          <w:sz w:val="32"/>
          <w:szCs w:val="32"/>
          <w:lang w:val="en-US" w:eastAsia="zh-CN"/>
        </w:rPr>
        <w:t>牵头开展，河湖管理与水旱灾害防御股</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lang w:val="en-US" w:eastAsia="zh-CN"/>
        </w:rPr>
        <w:t>移民股</w:t>
      </w:r>
      <w:r>
        <w:rPr>
          <w:rFonts w:hint="eastAsia" w:eastAsia="仿宋_GB2312" w:cs="Times New Roman"/>
          <w:sz w:val="32"/>
          <w:szCs w:val="32"/>
          <w:lang w:val="en-US" w:eastAsia="zh-CN"/>
        </w:rPr>
        <w:t>、</w:t>
      </w:r>
      <w:r>
        <w:rPr>
          <w:rFonts w:hint="eastAsia" w:ascii="Times New Roman" w:hAnsi="Times New Roman" w:eastAsia="仿宋_GB2312" w:cs="Times New Roman"/>
          <w:sz w:val="32"/>
          <w:szCs w:val="32"/>
          <w:lang w:val="en-US" w:eastAsia="zh-CN"/>
        </w:rPr>
        <w:t>规划建设管理与政策法规监督股</w:t>
      </w:r>
      <w:r>
        <w:rPr>
          <w:rFonts w:hint="eastAsia" w:eastAsia="仿宋_GB2312" w:cs="Times New Roman"/>
          <w:sz w:val="32"/>
          <w:szCs w:val="32"/>
          <w:lang w:val="en-US" w:eastAsia="zh-CN"/>
        </w:rPr>
        <w:t>等股室</w:t>
      </w:r>
      <w:r>
        <w:rPr>
          <w:rFonts w:hint="eastAsia" w:ascii="Times New Roman" w:hAnsi="Times New Roman" w:eastAsia="仿宋_GB2312" w:cs="Times New Roman"/>
          <w:sz w:val="32"/>
          <w:szCs w:val="32"/>
          <w:lang w:val="en-US" w:eastAsia="zh-CN"/>
        </w:rPr>
        <w:t>开展基础资料收集与初步自评打分，</w:t>
      </w:r>
      <w:r>
        <w:rPr>
          <w:rFonts w:hint="eastAsia" w:eastAsia="仿宋_GB2312" w:cs="Times New Roman"/>
          <w:sz w:val="32"/>
          <w:szCs w:val="32"/>
          <w:lang w:val="en-US" w:eastAsia="zh-CN"/>
        </w:rPr>
        <w:t>内控监督小组</w:t>
      </w:r>
      <w:r>
        <w:rPr>
          <w:rFonts w:hint="eastAsia" w:ascii="Times New Roman" w:hAnsi="Times New Roman" w:eastAsia="仿宋_GB2312" w:cs="Times New Roman"/>
          <w:sz w:val="32"/>
          <w:szCs w:val="32"/>
          <w:lang w:val="en-US" w:eastAsia="zh-CN"/>
        </w:rPr>
        <w:t>开展项目绩效自评监督；自评参与人员：</w:t>
      </w:r>
      <w:r>
        <w:rPr>
          <w:rFonts w:hint="eastAsia" w:eastAsia="仿宋_GB2312" w:cs="Times New Roman"/>
          <w:sz w:val="32"/>
          <w:szCs w:val="32"/>
          <w:lang w:val="en-US" w:eastAsia="zh-CN"/>
        </w:rPr>
        <w:t>阳振宇、李发祥、刘皓、肖静、</w:t>
      </w:r>
      <w:r>
        <w:rPr>
          <w:rFonts w:hint="eastAsia" w:ascii="Times New Roman" w:hAnsi="Times New Roman" w:eastAsia="仿宋_GB2312" w:cs="Times New Roman"/>
          <w:sz w:val="32"/>
          <w:szCs w:val="32"/>
          <w:lang w:val="en-US" w:eastAsia="zh-CN"/>
        </w:rPr>
        <w:t>符晓玲</w:t>
      </w:r>
      <w:r>
        <w:rPr>
          <w:rFonts w:hint="eastAsia" w:eastAsia="仿宋_GB2312" w:cs="Times New Roman"/>
          <w:sz w:val="32"/>
          <w:szCs w:val="32"/>
          <w:lang w:val="en-US" w:eastAsia="zh-CN"/>
        </w:rPr>
        <w:t>等</w:t>
      </w:r>
      <w:r>
        <w:rPr>
          <w:rFonts w:hint="eastAsia" w:ascii="Times New Roman" w:hAnsi="Times New Roman" w:eastAsia="仿宋_GB2312" w:cs="Times New Roman"/>
          <w:sz w:val="32"/>
          <w:szCs w:val="32"/>
          <w:lang w:val="en-US" w:eastAsia="zh-CN"/>
        </w:rPr>
        <w:t>。</w:t>
      </w:r>
    </w:p>
    <w:p w14:paraId="164D72ED">
      <w:pPr>
        <w:keepNext w:val="0"/>
        <w:keepLines w:val="0"/>
        <w:pageBreakBefore w:val="0"/>
        <w:kinsoku/>
        <w:wordWrap/>
        <w:overflowPunct/>
        <w:topLinePunct w:val="0"/>
        <w:autoSpaceDE/>
        <w:autoSpaceDN/>
        <w:bidi w:val="0"/>
        <w:adjustRightInd/>
        <w:snapToGrid/>
        <w:spacing w:line="590" w:lineRule="exact"/>
        <w:ind w:right="0" w:rightChars="0" w:firstLine="640" w:firstLineChars="200"/>
        <w:textAlignment w:val="auto"/>
        <w:rPr>
          <w:rFonts w:ascii="仿宋_GB2312" w:hAnsi="宋体" w:eastAsia="仿宋_GB2312"/>
          <w:color w:val="auto"/>
          <w:sz w:val="32"/>
          <w:szCs w:val="32"/>
          <w:highlight w:val="none"/>
          <w:u w:val="none"/>
          <w:lang w:val="zh-CN"/>
        </w:rPr>
      </w:pPr>
      <w:r>
        <w:rPr>
          <w:rFonts w:hint="eastAsia" w:ascii="黑体" w:hAnsi="宋体" w:eastAsia="黑体"/>
          <w:color w:val="auto"/>
          <w:sz w:val="32"/>
          <w:szCs w:val="32"/>
          <w:highlight w:val="none"/>
          <w:u w:val="none"/>
        </w:rPr>
        <w:t>三、</w:t>
      </w:r>
      <w:r>
        <w:rPr>
          <w:rFonts w:hint="eastAsia" w:ascii="黑体" w:hAnsi="宋体" w:eastAsia="黑体"/>
          <w:color w:val="auto"/>
          <w:sz w:val="32"/>
          <w:szCs w:val="32"/>
          <w:highlight w:val="none"/>
          <w:u w:val="none"/>
          <w:lang w:eastAsia="zh-CN"/>
        </w:rPr>
        <w:t>绩效分析</w:t>
      </w:r>
      <w:r>
        <w:rPr>
          <w:rFonts w:hint="eastAsia" w:ascii="仿宋_GB2312" w:hAnsi="宋体" w:eastAsia="仿宋_GB2312"/>
          <w:color w:val="auto"/>
          <w:sz w:val="32"/>
          <w:szCs w:val="32"/>
          <w:highlight w:val="none"/>
          <w:u w:val="none"/>
          <w:lang w:val="zh-CN"/>
        </w:rPr>
        <w:tab/>
      </w:r>
    </w:p>
    <w:p w14:paraId="591FC967">
      <w:pPr>
        <w:keepNext w:val="0"/>
        <w:keepLines w:val="0"/>
        <w:pageBreakBefore w:val="0"/>
        <w:widowControl w:val="0"/>
        <w:kinsoku/>
        <w:wordWrap/>
        <w:overflowPunct/>
        <w:topLinePunct w:val="0"/>
        <w:autoSpaceDE/>
        <w:autoSpaceDN/>
        <w:bidi w:val="0"/>
        <w:adjustRightInd/>
        <w:snapToGrid/>
        <w:spacing w:line="590" w:lineRule="exact"/>
        <w:ind w:right="0" w:rightChars="0" w:firstLine="640"/>
        <w:textAlignment w:val="auto"/>
        <w:outlineLvl w:val="9"/>
        <w:rPr>
          <w:rFonts w:hint="eastAsia" w:eastAsia="仿宋_GB2312" w:cs="Times New Roman"/>
          <w:sz w:val="32"/>
          <w:szCs w:val="32"/>
          <w:lang w:val="en-US" w:eastAsia="zh-CN"/>
        </w:rPr>
      </w:pPr>
      <w:r>
        <w:rPr>
          <w:rFonts w:hint="default" w:eastAsia="仿宋_GB2312" w:cs="Times New Roman"/>
          <w:sz w:val="32"/>
          <w:szCs w:val="32"/>
          <w:lang w:val="zh-CN" w:eastAsia="zh-CN"/>
        </w:rPr>
        <w:t>根据</w:t>
      </w:r>
      <w:r>
        <w:rPr>
          <w:rFonts w:hint="eastAsia" w:eastAsia="仿宋_GB2312" w:cs="Times New Roman"/>
          <w:sz w:val="32"/>
          <w:szCs w:val="32"/>
          <w:lang w:val="zh-CN" w:eastAsia="zh-CN"/>
        </w:rPr>
        <w:t>项目</w:t>
      </w:r>
      <w:r>
        <w:rPr>
          <w:rFonts w:hint="default" w:eastAsia="仿宋_GB2312" w:cs="Times New Roman"/>
          <w:sz w:val="32"/>
          <w:szCs w:val="32"/>
          <w:lang w:val="zh-CN" w:eastAsia="zh-CN"/>
        </w:rPr>
        <w:t>预算绩效评价指标体系“</w:t>
      </w:r>
      <w:r>
        <w:rPr>
          <w:rFonts w:hint="eastAsia" w:eastAsia="仿宋_GB2312" w:cs="Times New Roman"/>
          <w:sz w:val="32"/>
          <w:szCs w:val="32"/>
          <w:lang w:val="zh-CN" w:eastAsia="zh-CN"/>
        </w:rPr>
        <w:t>通用指标</w:t>
      </w:r>
      <w:r>
        <w:rPr>
          <w:rFonts w:hint="default" w:eastAsia="仿宋_GB2312" w:cs="Times New Roman"/>
          <w:sz w:val="32"/>
          <w:szCs w:val="32"/>
          <w:lang w:val="zh-CN" w:eastAsia="zh-CN"/>
        </w:rPr>
        <w:t>”</w:t>
      </w:r>
      <w:r>
        <w:rPr>
          <w:rFonts w:hint="eastAsia" w:eastAsia="仿宋_GB2312" w:cs="Times New Roman"/>
          <w:sz w:val="32"/>
          <w:szCs w:val="32"/>
          <w:lang w:val="zh-CN" w:eastAsia="zh-CN"/>
        </w:rPr>
        <w:t>“专用指标”“个性指标”</w:t>
      </w:r>
      <w:r>
        <w:rPr>
          <w:rFonts w:hint="default" w:eastAsia="仿宋_GB2312" w:cs="Times New Roman"/>
          <w:sz w:val="32"/>
          <w:szCs w:val="32"/>
          <w:lang w:val="zh-CN" w:eastAsia="zh-CN"/>
        </w:rPr>
        <w:t>涉及</w:t>
      </w:r>
      <w:r>
        <w:rPr>
          <w:rFonts w:hint="eastAsia" w:eastAsia="仿宋_GB2312" w:cs="Times New Roman"/>
          <w:sz w:val="32"/>
          <w:szCs w:val="32"/>
          <w:lang w:val="zh-CN" w:eastAsia="zh-CN"/>
        </w:rPr>
        <w:t>二、三级</w:t>
      </w:r>
      <w:r>
        <w:rPr>
          <w:rFonts w:hint="default" w:eastAsia="仿宋_GB2312" w:cs="Times New Roman"/>
          <w:sz w:val="32"/>
          <w:szCs w:val="32"/>
          <w:lang w:val="zh-CN" w:eastAsia="zh-CN"/>
        </w:rPr>
        <w:t>指标进行</w:t>
      </w:r>
      <w:r>
        <w:rPr>
          <w:rFonts w:hint="eastAsia" w:eastAsia="仿宋_GB2312" w:cs="Times New Roman"/>
          <w:sz w:val="32"/>
          <w:szCs w:val="32"/>
          <w:lang w:val="zh-CN" w:eastAsia="zh-CN"/>
        </w:rPr>
        <w:t>逐项</w:t>
      </w:r>
      <w:r>
        <w:rPr>
          <w:rFonts w:hint="default" w:eastAsia="仿宋_GB2312" w:cs="Times New Roman"/>
          <w:sz w:val="32"/>
          <w:szCs w:val="32"/>
          <w:lang w:val="zh-CN" w:eastAsia="zh-CN"/>
        </w:rPr>
        <w:t>绩效分析</w:t>
      </w:r>
      <w:r>
        <w:rPr>
          <w:rFonts w:hint="eastAsia" w:eastAsia="仿宋_GB2312" w:cs="Times New Roman"/>
          <w:sz w:val="32"/>
          <w:szCs w:val="32"/>
          <w:lang w:val="zh-CN" w:eastAsia="zh-CN"/>
        </w:rPr>
        <w:t>并评分</w:t>
      </w:r>
      <w:r>
        <w:rPr>
          <w:rFonts w:hint="eastAsia" w:eastAsia="仿宋_GB2312" w:cs="Times New Roman"/>
          <w:sz w:val="32"/>
          <w:szCs w:val="32"/>
          <w:lang w:val="en-US" w:eastAsia="zh-CN"/>
        </w:rPr>
        <w:t>。</w:t>
      </w:r>
    </w:p>
    <w:p w14:paraId="57E28C28">
      <w:pPr>
        <w:keepNext w:val="0"/>
        <w:keepLines w:val="0"/>
        <w:pageBreakBefore w:val="0"/>
        <w:widowControl w:val="0"/>
        <w:kinsoku/>
        <w:wordWrap/>
        <w:overflowPunct/>
        <w:topLinePunct w:val="0"/>
        <w:autoSpaceDE/>
        <w:autoSpaceDN/>
        <w:bidi w:val="0"/>
        <w:adjustRightInd/>
        <w:snapToGrid/>
        <w:spacing w:line="590" w:lineRule="exact"/>
        <w:ind w:right="0" w:rightChars="0" w:firstLine="640"/>
        <w:textAlignment w:val="auto"/>
        <w:outlineLvl w:val="9"/>
        <w:rPr>
          <w:rFonts w:hint="eastAsia" w:ascii="楷体_GB2312" w:hAnsi="宋体" w:eastAsia="楷体_GB2312" w:cs="Times New Roman"/>
          <w:b/>
          <w:color w:val="auto"/>
          <w:sz w:val="32"/>
          <w:szCs w:val="32"/>
          <w:highlight w:val="none"/>
          <w:u w:val="none"/>
          <w:lang w:val="en-US" w:eastAsia="zh-CN"/>
        </w:rPr>
      </w:pPr>
      <w:r>
        <w:rPr>
          <w:rFonts w:hint="eastAsia" w:ascii="楷体_GB2312" w:hAnsi="宋体" w:eastAsia="楷体_GB2312" w:cs="Times New Roman"/>
          <w:b/>
          <w:color w:val="auto"/>
          <w:sz w:val="32"/>
          <w:szCs w:val="32"/>
          <w:highlight w:val="none"/>
          <w:u w:val="none"/>
          <w:lang w:val="zh-CN"/>
        </w:rPr>
        <w:t>（一）</w:t>
      </w:r>
      <w:r>
        <w:rPr>
          <w:rFonts w:hint="eastAsia" w:ascii="楷体_GB2312" w:hAnsi="宋体" w:eastAsia="楷体_GB2312" w:cs="Times New Roman"/>
          <w:b/>
          <w:color w:val="auto"/>
          <w:sz w:val="32"/>
          <w:szCs w:val="32"/>
          <w:highlight w:val="none"/>
          <w:u w:val="none"/>
          <w:lang w:val="en-US" w:eastAsia="zh-CN"/>
        </w:rPr>
        <w:t>通用指标</w:t>
      </w:r>
      <w:r>
        <w:rPr>
          <w:rFonts w:hint="default" w:ascii="Times New Roman" w:hAnsi="Times New Roman" w:eastAsia="楷体_GB2312" w:cs="Times New Roman"/>
          <w:b/>
          <w:bCs/>
          <w:color w:val="000000"/>
          <w:kern w:val="0"/>
          <w:sz w:val="32"/>
          <w:szCs w:val="32"/>
          <w:highlight w:val="none"/>
          <w:shd w:val="clear" w:color="auto" w:fill="FFFFFF"/>
          <w:lang w:val="zh-CN"/>
        </w:rPr>
        <w:t>绩效分析。</w:t>
      </w:r>
    </w:p>
    <w:p w14:paraId="33432F73">
      <w:pPr>
        <w:keepNext w:val="0"/>
        <w:keepLines w:val="0"/>
        <w:pageBreakBefore w:val="0"/>
        <w:widowControl w:val="0"/>
        <w:kinsoku/>
        <w:wordWrap/>
        <w:overflowPunct/>
        <w:topLinePunct w:val="0"/>
        <w:autoSpaceDE/>
        <w:autoSpaceDN/>
        <w:bidi w:val="0"/>
        <w:adjustRightInd/>
        <w:snapToGrid/>
        <w:spacing w:line="590" w:lineRule="exact"/>
        <w:ind w:right="0" w:rightChars="0" w:firstLine="640"/>
        <w:textAlignment w:val="auto"/>
        <w:outlineLvl w:val="9"/>
        <w:rPr>
          <w:rFonts w:hint="eastAsia" w:ascii="Times New Roman" w:hAnsi="Times New Roman" w:eastAsia="仿宋_GB2312" w:cs="Times New Roman"/>
          <w:color w:val="auto"/>
          <w:sz w:val="32"/>
          <w:szCs w:val="32"/>
          <w:lang w:eastAsia="zh-CN"/>
        </w:rPr>
      </w:pPr>
      <w:r>
        <w:rPr>
          <w:rFonts w:hint="eastAsia" w:ascii="楷体_GB2312" w:hAnsi="楷体_GB2312" w:eastAsia="楷体_GB2312" w:cs="楷体_GB2312"/>
          <w:color w:val="auto"/>
          <w:sz w:val="32"/>
          <w:szCs w:val="32"/>
          <w:lang w:val="en-US" w:eastAsia="zh-CN"/>
        </w:rPr>
        <w:t xml:space="preserve">1. </w:t>
      </w:r>
      <w:r>
        <w:rPr>
          <w:rFonts w:hint="eastAsia" w:ascii="楷体_GB2312" w:hAnsi="楷体_GB2312" w:eastAsia="楷体_GB2312" w:cs="楷体_GB2312"/>
          <w:color w:val="auto"/>
          <w:sz w:val="32"/>
          <w:szCs w:val="32"/>
          <w:lang w:eastAsia="zh-CN"/>
        </w:rPr>
        <w:t>项目决策。</w:t>
      </w:r>
      <w:r>
        <w:rPr>
          <w:rFonts w:hint="eastAsia" w:ascii="Times New Roman" w:hAnsi="Times New Roman" w:eastAsia="仿宋_GB2312" w:cs="Times New Roman"/>
          <w:color w:val="auto"/>
          <w:sz w:val="32"/>
          <w:szCs w:val="32"/>
          <w:lang w:eastAsia="zh-CN"/>
        </w:rPr>
        <w:t>围绕决策程序、规划论证、资金投向进行绩效分析。</w:t>
      </w:r>
    </w:p>
    <w:p w14:paraId="2393853C">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（1）决策程序：</w:t>
      </w:r>
      <w:r>
        <w:rPr>
          <w:rFonts w:hint="eastAsia" w:eastAsia="仿宋_GB2312" w:cs="Times New Roman"/>
          <w:sz w:val="32"/>
          <w:szCs w:val="32"/>
          <w:lang w:val="en-US" w:eastAsia="zh-CN"/>
        </w:rPr>
        <w:t>该项目中央下达资金，根据遂财农【2024】1号文件下达，我局资金支付时已召开党组会议</w:t>
      </w:r>
      <w:r>
        <w:rPr>
          <w:rFonts w:hint="eastAsia" w:ascii="Times New Roman" w:hAnsi="Times New Roman" w:eastAsia="仿宋_GB2312" w:cs="Times New Roman"/>
          <w:sz w:val="32"/>
          <w:szCs w:val="32"/>
          <w:lang w:val="en-US" w:eastAsia="zh-CN"/>
        </w:rPr>
        <w:t>；自评6分。</w:t>
      </w:r>
    </w:p>
    <w:p w14:paraId="4B68687D">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（2）规划论证：该项目设立符合</w:t>
      </w:r>
      <w:r>
        <w:rPr>
          <w:rFonts w:hint="eastAsia" w:eastAsia="仿宋_GB2312" w:cs="Times New Roman"/>
          <w:sz w:val="32"/>
          <w:szCs w:val="32"/>
          <w:lang w:val="en-US" w:eastAsia="zh-CN"/>
        </w:rPr>
        <w:t>中央、省委</w:t>
      </w:r>
      <w:r>
        <w:rPr>
          <w:rFonts w:hint="eastAsia" w:ascii="Times New Roman" w:hAnsi="Times New Roman" w:eastAsia="仿宋_GB2312" w:cs="Times New Roman"/>
          <w:sz w:val="32"/>
          <w:szCs w:val="32"/>
          <w:lang w:val="en-US" w:eastAsia="zh-CN"/>
        </w:rPr>
        <w:t>、市关于</w:t>
      </w:r>
      <w:r>
        <w:rPr>
          <w:rFonts w:hint="eastAsia" w:eastAsia="仿宋_GB2312" w:cs="Times New Roman"/>
          <w:sz w:val="32"/>
          <w:szCs w:val="32"/>
          <w:lang w:val="en-US" w:eastAsia="zh-CN"/>
        </w:rPr>
        <w:t>水利建设</w:t>
      </w:r>
      <w:r>
        <w:rPr>
          <w:rFonts w:hint="eastAsia" w:ascii="Times New Roman" w:hAnsi="Times New Roman" w:eastAsia="仿宋_GB2312" w:cs="Times New Roman"/>
          <w:sz w:val="32"/>
          <w:szCs w:val="32"/>
          <w:lang w:val="en-US" w:eastAsia="zh-CN"/>
        </w:rPr>
        <w:t>决策部署安排，符合</w:t>
      </w:r>
      <w:r>
        <w:rPr>
          <w:rFonts w:hint="eastAsia" w:eastAsia="仿宋_GB2312" w:cs="Times New Roman"/>
          <w:sz w:val="32"/>
          <w:szCs w:val="32"/>
          <w:lang w:val="en-US" w:eastAsia="zh-CN"/>
        </w:rPr>
        <w:t>安居区“推进乡村振兴，实现农业强区跨越式发展”“十四五”规划要求和加快推进水利工程建设筑牢民生“堤坝”任务要求</w:t>
      </w:r>
      <w:r>
        <w:rPr>
          <w:rFonts w:hint="eastAsia" w:ascii="仿宋_GB2312" w:hAnsi="仿宋_GB2312" w:eastAsia="仿宋_GB2312" w:cs="仿宋_GB2312"/>
          <w:color w:val="auto"/>
          <w:kern w:val="0"/>
          <w:sz w:val="32"/>
          <w:szCs w:val="32"/>
          <w:highlight w:val="none"/>
          <w:u w:val="none"/>
          <w:shd w:val="clear" w:color="auto" w:fill="FFFFFF"/>
          <w:lang w:val="en-US" w:eastAsia="zh-CN"/>
        </w:rPr>
        <w:t>。2024年度我局该项目绩效目标由“</w:t>
      </w:r>
      <w:r>
        <w:rPr>
          <w:rFonts w:hint="eastAsia" w:eastAsia="仿宋_GB2312" w:cs="Times New Roman"/>
          <w:sz w:val="32"/>
          <w:szCs w:val="32"/>
          <w:lang w:val="en-US" w:eastAsia="zh-CN"/>
        </w:rPr>
        <w:t>遂财农【2024】1号</w:t>
      </w:r>
      <w:r>
        <w:rPr>
          <w:rFonts w:hint="eastAsia" w:ascii="仿宋_GB2312" w:hAnsi="仿宋_GB2312" w:eastAsia="仿宋_GB2312" w:cs="仿宋_GB2312"/>
          <w:color w:val="auto"/>
          <w:kern w:val="0"/>
          <w:sz w:val="32"/>
          <w:szCs w:val="32"/>
          <w:highlight w:val="none"/>
          <w:u w:val="none"/>
          <w:shd w:val="clear" w:color="auto" w:fill="FFFFFF"/>
          <w:lang w:val="en-US" w:eastAsia="zh-CN"/>
        </w:rPr>
        <w:t>”文件设定，设定的年度绩效目标符合要求；设定的数量、质量、时效、效益、经济成本、满意度等指标基本完整、量化；自评得6分。</w:t>
      </w:r>
    </w:p>
    <w:p w14:paraId="3D15D216">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（3）资金投向：该项目属于</w:t>
      </w:r>
      <w:r>
        <w:rPr>
          <w:rFonts w:hint="eastAsia" w:eastAsia="仿宋_GB2312" w:cs="Times New Roman"/>
          <w:sz w:val="32"/>
          <w:szCs w:val="32"/>
          <w:lang w:val="en-US" w:eastAsia="zh-CN"/>
        </w:rPr>
        <w:t>安居区“推进乡村振兴，实现农业强区跨越式发展”“十四五”规划</w:t>
      </w:r>
      <w:r>
        <w:rPr>
          <w:rFonts w:hint="eastAsia" w:ascii="Times New Roman" w:hAnsi="Times New Roman" w:eastAsia="仿宋_GB2312" w:cs="Times New Roman"/>
          <w:sz w:val="32"/>
          <w:szCs w:val="32"/>
          <w:lang w:val="en-US" w:eastAsia="zh-CN"/>
        </w:rPr>
        <w:t>内容，属于政府支持范围，且符合财政事权支出责任划分规定；资金投向与项目总体规划、</w:t>
      </w:r>
      <w:r>
        <w:rPr>
          <w:rFonts w:hint="eastAsia" w:eastAsia="仿宋_GB2312" w:cs="Times New Roman"/>
          <w:sz w:val="32"/>
          <w:szCs w:val="32"/>
          <w:lang w:val="en-US" w:eastAsia="zh-CN"/>
        </w:rPr>
        <w:t>水利</w:t>
      </w:r>
      <w:r>
        <w:rPr>
          <w:rFonts w:hint="eastAsia" w:ascii="Times New Roman" w:hAnsi="Times New Roman" w:eastAsia="仿宋_GB2312" w:cs="Times New Roman"/>
          <w:sz w:val="32"/>
          <w:szCs w:val="32"/>
          <w:lang w:val="en-US" w:eastAsia="zh-CN"/>
        </w:rPr>
        <w:t>事业发展相匹配；项目实施聚焦</w:t>
      </w:r>
      <w:r>
        <w:rPr>
          <w:rFonts w:hint="eastAsia" w:eastAsia="仿宋_GB2312" w:cs="Times New Roman"/>
          <w:sz w:val="32"/>
          <w:szCs w:val="32"/>
          <w:lang w:val="en-US" w:eastAsia="zh-CN"/>
        </w:rPr>
        <w:t>加快推进水利工程建设筑牢民生“堤坝”</w:t>
      </w:r>
      <w:r>
        <w:rPr>
          <w:rFonts w:hint="eastAsia" w:ascii="Times New Roman" w:hAnsi="Times New Roman" w:eastAsia="仿宋_GB2312" w:cs="Times New Roman"/>
          <w:sz w:val="32"/>
          <w:szCs w:val="32"/>
          <w:lang w:val="en-US" w:eastAsia="zh-CN"/>
        </w:rPr>
        <w:t>的原则；自评得6分。</w:t>
      </w:r>
    </w:p>
    <w:p w14:paraId="6D0EA4AC">
      <w:pPr>
        <w:keepNext w:val="0"/>
        <w:keepLines w:val="0"/>
        <w:pageBreakBefore w:val="0"/>
        <w:widowControl w:val="0"/>
        <w:kinsoku/>
        <w:wordWrap/>
        <w:overflowPunct/>
        <w:topLinePunct w:val="0"/>
        <w:autoSpaceDE/>
        <w:autoSpaceDN/>
        <w:bidi w:val="0"/>
        <w:adjustRightInd/>
        <w:snapToGrid/>
        <w:spacing w:line="590" w:lineRule="exact"/>
        <w:ind w:right="0" w:rightChars="0" w:firstLine="640"/>
        <w:textAlignment w:val="auto"/>
        <w:outlineLvl w:val="9"/>
        <w:rPr>
          <w:rFonts w:hint="eastAsia" w:ascii="Times New Roman" w:hAnsi="Times New Roman" w:eastAsia="仿宋_GB2312" w:cs="Times New Roman"/>
          <w:color w:val="auto"/>
          <w:sz w:val="32"/>
          <w:szCs w:val="32"/>
          <w:lang w:eastAsia="zh-CN"/>
        </w:rPr>
      </w:pPr>
      <w:r>
        <w:rPr>
          <w:rFonts w:hint="eastAsia" w:ascii="楷体_GB2312" w:hAnsi="楷体_GB2312" w:eastAsia="楷体_GB2312" w:cs="楷体_GB2312"/>
          <w:color w:val="auto"/>
          <w:sz w:val="32"/>
          <w:szCs w:val="32"/>
          <w:lang w:val="en-US" w:eastAsia="zh-CN"/>
        </w:rPr>
        <w:t>2.</w:t>
      </w:r>
      <w:r>
        <w:rPr>
          <w:rFonts w:hint="eastAsia" w:ascii="楷体_GB2312" w:hAnsi="楷体_GB2312" w:eastAsia="楷体_GB2312" w:cs="楷体_GB2312"/>
          <w:color w:val="auto"/>
          <w:sz w:val="32"/>
          <w:szCs w:val="32"/>
          <w:lang w:eastAsia="zh-CN"/>
        </w:rPr>
        <w:t>项目管理。</w:t>
      </w:r>
      <w:r>
        <w:rPr>
          <w:rFonts w:hint="eastAsia" w:ascii="Times New Roman" w:hAnsi="Times New Roman" w:eastAsia="仿宋_GB2312" w:cs="Times New Roman"/>
          <w:color w:val="auto"/>
          <w:sz w:val="32"/>
          <w:szCs w:val="32"/>
          <w:lang w:eastAsia="zh-CN"/>
        </w:rPr>
        <w:t>围绕制度办法、分配管理、绩效监管进行绩效分析。</w:t>
      </w:r>
    </w:p>
    <w:p w14:paraId="5453624C">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（1）制度办法：该项目严格按照</w:t>
      </w:r>
      <w:r>
        <w:rPr>
          <w:rFonts w:hint="eastAsia" w:eastAsia="仿宋_GB2312" w:cs="Times New Roman"/>
          <w:sz w:val="32"/>
          <w:szCs w:val="32"/>
          <w:lang w:val="en-US" w:eastAsia="zh-CN"/>
        </w:rPr>
        <w:t>《四川省财政厅 四川省水利厅关于印发&lt;四川省水利发展资金管理办法&gt;的通知》（川财农〔2023〕29号）《遂宁市水利监督管理实施办法（试行）》</w:t>
      </w:r>
      <w:r>
        <w:rPr>
          <w:rFonts w:hint="eastAsia" w:ascii="Times New Roman" w:hAnsi="Times New Roman" w:eastAsia="仿宋_GB2312" w:cs="Times New Roman"/>
          <w:sz w:val="32"/>
          <w:szCs w:val="32"/>
          <w:lang w:val="en-US" w:eastAsia="zh-CN"/>
        </w:rPr>
        <w:t>专项资金管理办法</w:t>
      </w:r>
      <w:r>
        <w:rPr>
          <w:rFonts w:hint="eastAsia" w:eastAsia="仿宋_GB2312" w:cs="Times New Roman"/>
          <w:sz w:val="32"/>
          <w:szCs w:val="32"/>
          <w:lang w:val="en-US" w:eastAsia="zh-CN"/>
        </w:rPr>
        <w:t>开展</w:t>
      </w:r>
      <w:r>
        <w:rPr>
          <w:rFonts w:hint="eastAsia" w:ascii="Times New Roman" w:hAnsi="Times New Roman" w:eastAsia="仿宋_GB2312" w:cs="Times New Roman"/>
          <w:sz w:val="32"/>
          <w:szCs w:val="32"/>
          <w:lang w:val="en-US" w:eastAsia="zh-CN"/>
        </w:rPr>
        <w:t>，并严格按照“</w:t>
      </w:r>
      <w:r>
        <w:rPr>
          <w:rFonts w:hint="eastAsia" w:eastAsia="仿宋_GB2312" w:cs="Times New Roman"/>
          <w:sz w:val="32"/>
          <w:szCs w:val="32"/>
          <w:lang w:val="en-US" w:eastAsia="zh-CN"/>
        </w:rPr>
        <w:t>遂财农【2024】1号</w:t>
      </w:r>
      <w:r>
        <w:rPr>
          <w:rFonts w:hint="eastAsia" w:ascii="Times New Roman" w:hAnsi="Times New Roman" w:eastAsia="仿宋_GB2312" w:cs="Times New Roman"/>
          <w:sz w:val="32"/>
          <w:szCs w:val="32"/>
          <w:lang w:val="en-US" w:eastAsia="zh-CN"/>
        </w:rPr>
        <w:t>”文件规定执行；项目资金支付严格按照我局财务报销管理</w:t>
      </w:r>
      <w:r>
        <w:rPr>
          <w:rFonts w:hint="eastAsia" w:eastAsia="仿宋_GB2312" w:cs="Times New Roman"/>
          <w:sz w:val="32"/>
          <w:szCs w:val="32"/>
          <w:lang w:val="en-US" w:eastAsia="zh-CN"/>
        </w:rPr>
        <w:t>、收支业务管理</w:t>
      </w:r>
      <w:r>
        <w:rPr>
          <w:rFonts w:hint="eastAsia" w:ascii="Times New Roman" w:hAnsi="Times New Roman" w:eastAsia="仿宋_GB2312" w:cs="Times New Roman"/>
          <w:sz w:val="32"/>
          <w:szCs w:val="32"/>
          <w:lang w:val="en-US" w:eastAsia="zh-CN"/>
        </w:rPr>
        <w:t>制度执行，不存在管理制度缺失、管理办法过期情况；自评得2分。</w:t>
      </w:r>
    </w:p>
    <w:p w14:paraId="0B70C3BE">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（2）分配管理：</w:t>
      </w:r>
    </w:p>
    <w:p w14:paraId="2FDA8F7D">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资金分配因素：该项目由“</w:t>
      </w:r>
      <w:r>
        <w:rPr>
          <w:rFonts w:hint="eastAsia" w:eastAsia="仿宋_GB2312" w:cs="Times New Roman"/>
          <w:sz w:val="32"/>
          <w:szCs w:val="32"/>
          <w:lang w:val="en-US" w:eastAsia="zh-CN"/>
        </w:rPr>
        <w:t>遂财农【2024】1号</w:t>
      </w:r>
      <w:r>
        <w:rPr>
          <w:rFonts w:hint="eastAsia" w:ascii="Times New Roman" w:hAnsi="Times New Roman" w:eastAsia="仿宋_GB2312" w:cs="Times New Roman"/>
          <w:sz w:val="32"/>
          <w:szCs w:val="32"/>
          <w:lang w:val="en-US" w:eastAsia="zh-CN"/>
        </w:rPr>
        <w:t>”文件分配，上级部门及财政部门选取充分考虑相关行业事业发展实际和发展需求，自评得2分；</w:t>
      </w:r>
    </w:p>
    <w:p w14:paraId="3A2753AD">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资金分配因素的权重设置：有效突出了遂宁市各县区实际，自评得2分；</w:t>
      </w:r>
    </w:p>
    <w:p w14:paraId="3E670E74">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资金区域分布结果公平合理，不存在仅为1个地区，自评得2分。</w:t>
      </w:r>
    </w:p>
    <w:p w14:paraId="6B6AFB30">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该项目资金分配严格</w:t>
      </w:r>
      <w:r>
        <w:rPr>
          <w:rFonts w:hint="eastAsia" w:eastAsia="仿宋_GB2312" w:cs="Times New Roman"/>
          <w:sz w:val="32"/>
          <w:szCs w:val="32"/>
          <w:lang w:val="en-US" w:eastAsia="zh-CN"/>
        </w:rPr>
        <w:t>按遂财农【2024】1号</w:t>
      </w:r>
      <w:r>
        <w:rPr>
          <w:rFonts w:hint="eastAsia" w:ascii="Times New Roman" w:hAnsi="Times New Roman" w:eastAsia="仿宋_GB2312" w:cs="Times New Roman"/>
          <w:sz w:val="32"/>
          <w:szCs w:val="32"/>
          <w:lang w:val="en-US" w:eastAsia="zh-CN"/>
        </w:rPr>
        <w:t>执行，决策程序符合管理要求，及时高效，自评得4分。</w:t>
      </w:r>
    </w:p>
    <w:p w14:paraId="55AB9234">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（3）绩效监管：该项目严格按照</w:t>
      </w:r>
      <w:r>
        <w:rPr>
          <w:rFonts w:hint="eastAsia" w:eastAsia="仿宋_GB2312" w:cs="Times New Roman"/>
          <w:sz w:val="32"/>
          <w:szCs w:val="32"/>
          <w:lang w:val="en-US" w:eastAsia="zh-CN"/>
        </w:rPr>
        <w:t>中央、省委</w:t>
      </w:r>
      <w:r>
        <w:rPr>
          <w:rFonts w:hint="eastAsia" w:ascii="Times New Roman" w:hAnsi="Times New Roman" w:eastAsia="仿宋_GB2312" w:cs="Times New Roman"/>
          <w:sz w:val="32"/>
          <w:szCs w:val="32"/>
          <w:lang w:val="en-US" w:eastAsia="zh-CN"/>
        </w:rPr>
        <w:t>、市要求全面完成绩效目标（含事前评估）、绩效评价、以前年度问题整改等预算绩效管理工作要求开展，设定了项目绩效目标（含事前评估），本次进行了绩效自评，自评得4分</w:t>
      </w:r>
    </w:p>
    <w:p w14:paraId="67EEC140">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遂宁市财政局发布了“</w:t>
      </w:r>
      <w:r>
        <w:rPr>
          <w:rFonts w:hint="eastAsia" w:eastAsia="仿宋_GB2312" w:cs="Times New Roman"/>
          <w:sz w:val="32"/>
          <w:szCs w:val="32"/>
          <w:lang w:val="en-US" w:eastAsia="zh-CN"/>
        </w:rPr>
        <w:t>遂财农【2024】1号</w:t>
      </w:r>
      <w:r>
        <w:rPr>
          <w:rFonts w:hint="eastAsia" w:ascii="Times New Roman" w:hAnsi="Times New Roman" w:eastAsia="仿宋_GB2312" w:cs="Times New Roman"/>
          <w:sz w:val="32"/>
          <w:szCs w:val="32"/>
          <w:lang w:val="en-US" w:eastAsia="zh-CN"/>
        </w:rPr>
        <w:t>”文件，对县级主管部门预算绩效管理要求到位，不存在对县级资金分配和项目管理指导力度不够情况，已对县级开展评价、监督、指导等工作，自评得2分。</w:t>
      </w:r>
    </w:p>
    <w:p w14:paraId="15A8D2AD">
      <w:pPr>
        <w:keepNext w:val="0"/>
        <w:keepLines w:val="0"/>
        <w:pageBreakBefore w:val="0"/>
        <w:widowControl w:val="0"/>
        <w:kinsoku/>
        <w:wordWrap/>
        <w:overflowPunct/>
        <w:topLinePunct w:val="0"/>
        <w:autoSpaceDE/>
        <w:autoSpaceDN/>
        <w:bidi w:val="0"/>
        <w:adjustRightInd/>
        <w:snapToGrid/>
        <w:spacing w:line="590" w:lineRule="exact"/>
        <w:ind w:left="420" w:leftChars="200" w:right="0" w:rightChars="0" w:firstLine="0" w:firstLineChars="0"/>
        <w:textAlignment w:val="auto"/>
        <w:outlineLvl w:val="9"/>
        <w:rPr>
          <w:rFonts w:hint="eastAsia" w:ascii="Times New Roman" w:hAnsi="Times New Roman" w:eastAsia="仿宋_GB2312" w:cs="Times New Roman"/>
          <w:color w:val="auto"/>
          <w:sz w:val="32"/>
          <w:szCs w:val="32"/>
          <w:lang w:eastAsia="zh-CN"/>
        </w:rPr>
      </w:pPr>
      <w:r>
        <w:rPr>
          <w:rFonts w:hint="eastAsia" w:ascii="楷体_GB2312" w:hAnsi="楷体_GB2312" w:eastAsia="楷体_GB2312" w:cs="楷体_GB2312"/>
          <w:color w:val="auto"/>
          <w:sz w:val="32"/>
          <w:szCs w:val="32"/>
          <w:lang w:val="en-US" w:eastAsia="zh-CN"/>
        </w:rPr>
        <w:t>3.项目实施。</w:t>
      </w:r>
      <w:r>
        <w:rPr>
          <w:rFonts w:hint="eastAsia" w:ascii="Times New Roman" w:hAnsi="Times New Roman" w:eastAsia="仿宋_GB2312" w:cs="Times New Roman"/>
          <w:color w:val="auto"/>
          <w:sz w:val="32"/>
          <w:szCs w:val="32"/>
          <w:lang w:eastAsia="zh-CN"/>
        </w:rPr>
        <w:t>围绕预算</w:t>
      </w:r>
      <w:r>
        <w:rPr>
          <w:rFonts w:hint="eastAsia" w:eastAsia="仿宋_GB2312" w:cs="Times New Roman"/>
          <w:color w:val="auto"/>
          <w:sz w:val="32"/>
          <w:szCs w:val="32"/>
          <w:lang w:val="zh-CN" w:eastAsia="zh-CN"/>
        </w:rPr>
        <w:t>执行</w:t>
      </w:r>
      <w:r>
        <w:rPr>
          <w:rFonts w:hint="eastAsia" w:ascii="Times New Roman" w:hAnsi="Times New Roman" w:eastAsia="仿宋_GB2312" w:cs="Times New Roman"/>
          <w:color w:val="auto"/>
          <w:sz w:val="32"/>
          <w:szCs w:val="32"/>
          <w:lang w:eastAsia="zh-CN"/>
        </w:rPr>
        <w:t>、资金使用进行绩效分析。</w:t>
      </w:r>
    </w:p>
    <w:p w14:paraId="7EAB104E">
      <w:pPr>
        <w:keepNext w:val="0"/>
        <w:keepLines w:val="0"/>
        <w:pageBreakBefore w:val="0"/>
        <w:widowControl w:val="0"/>
        <w:kinsoku/>
        <w:wordWrap w:val="0"/>
        <w:overflowPunct/>
        <w:topLinePunct w:val="0"/>
        <w:autoSpaceDE/>
        <w:autoSpaceDN/>
        <w:bidi w:val="0"/>
        <w:adjustRightInd/>
        <w:snapToGrid/>
        <w:spacing w:line="590" w:lineRule="exact"/>
        <w:ind w:left="0" w:leftChars="0" w:right="0" w:rightChars="0" w:firstLine="640" w:firstLineChars="2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（1）预算执行：根据“财政资金拨付率×100%×2+单位资金使用率×100%×2+地方资金到位率×100%×2”自评指标；该项目2024年度预算数</w:t>
      </w:r>
      <w:r>
        <w:rPr>
          <w:rFonts w:hint="eastAsia" w:eastAsia="仿宋_GB2312" w:cs="Times New Roman"/>
          <w:sz w:val="32"/>
          <w:szCs w:val="32"/>
          <w:lang w:val="en-US" w:eastAsia="zh-CN"/>
        </w:rPr>
        <w:t>25700000.00</w:t>
      </w:r>
      <w:r>
        <w:rPr>
          <w:rFonts w:hint="eastAsia" w:ascii="Times New Roman" w:hAnsi="Times New Roman" w:eastAsia="仿宋_GB2312" w:cs="Times New Roman"/>
          <w:sz w:val="32"/>
          <w:szCs w:val="32"/>
          <w:lang w:val="en-US" w:eastAsia="zh-CN"/>
        </w:rPr>
        <w:t>元，单位资金使用</w:t>
      </w:r>
      <w:r>
        <w:rPr>
          <w:rFonts w:hint="eastAsia" w:eastAsia="仿宋_GB2312" w:cs="Times New Roman"/>
          <w:sz w:val="32"/>
          <w:szCs w:val="32"/>
          <w:lang w:val="en-US" w:eastAsia="zh-CN"/>
        </w:rPr>
        <w:t>25700000.00</w:t>
      </w:r>
      <w:r>
        <w:rPr>
          <w:rFonts w:hint="eastAsia" w:ascii="Times New Roman" w:hAnsi="Times New Roman" w:eastAsia="仿宋_GB2312" w:cs="Times New Roman"/>
          <w:sz w:val="32"/>
          <w:szCs w:val="32"/>
          <w:lang w:val="en-US" w:eastAsia="zh-CN"/>
        </w:rPr>
        <w:t>元，预算执行率=100%*100%*2+</w:t>
      </w:r>
      <w:r>
        <w:rPr>
          <w:rFonts w:hint="eastAsia" w:eastAsia="仿宋_GB2312" w:cs="Times New Roman"/>
          <w:sz w:val="32"/>
          <w:szCs w:val="32"/>
          <w:lang w:val="en-US" w:eastAsia="zh-CN"/>
        </w:rPr>
        <w:t>25700000.00</w:t>
      </w:r>
      <w:r>
        <w:rPr>
          <w:rFonts w:hint="eastAsia" w:ascii="Times New Roman" w:hAnsi="Times New Roman" w:eastAsia="仿宋_GB2312" w:cs="Times New Roman"/>
          <w:sz w:val="32"/>
          <w:szCs w:val="32"/>
          <w:lang w:val="en-US" w:eastAsia="zh-CN"/>
        </w:rPr>
        <w:t>/</w:t>
      </w:r>
      <w:r>
        <w:rPr>
          <w:rFonts w:hint="eastAsia" w:eastAsia="仿宋_GB2312" w:cs="Times New Roman"/>
          <w:sz w:val="32"/>
          <w:szCs w:val="32"/>
          <w:lang w:val="en-US" w:eastAsia="zh-CN"/>
        </w:rPr>
        <w:t>25700000.00</w:t>
      </w:r>
      <w:r>
        <w:rPr>
          <w:rFonts w:hint="eastAsia" w:ascii="Times New Roman" w:hAnsi="Times New Roman" w:eastAsia="仿宋_GB2312" w:cs="Times New Roman"/>
          <w:sz w:val="32"/>
          <w:szCs w:val="32"/>
          <w:lang w:val="en-US" w:eastAsia="zh-CN"/>
        </w:rPr>
        <w:t>*100%*2+2=</w:t>
      </w:r>
      <w:r>
        <w:rPr>
          <w:rFonts w:hint="eastAsia" w:eastAsia="仿宋_GB2312" w:cs="Times New Roman"/>
          <w:sz w:val="32"/>
          <w:szCs w:val="32"/>
          <w:lang w:val="en-US" w:eastAsia="zh-CN"/>
        </w:rPr>
        <w:t>6</w:t>
      </w:r>
      <w:r>
        <w:rPr>
          <w:rFonts w:hint="eastAsia" w:ascii="Times New Roman" w:hAnsi="Times New Roman" w:eastAsia="仿宋_GB2312" w:cs="Times New Roman"/>
          <w:sz w:val="32"/>
          <w:szCs w:val="32"/>
          <w:lang w:val="en-US" w:eastAsia="zh-CN"/>
        </w:rPr>
        <w:t>分。</w:t>
      </w:r>
    </w:p>
    <w:p w14:paraId="0344E306">
      <w:pPr>
        <w:keepNext w:val="0"/>
        <w:keepLines w:val="0"/>
        <w:pageBreakBefore w:val="0"/>
        <w:widowControl w:val="0"/>
        <w:kinsoku/>
        <w:wordWrap w:val="0"/>
        <w:overflowPunct/>
        <w:topLinePunct w:val="0"/>
        <w:autoSpaceDE/>
        <w:autoSpaceDN/>
        <w:bidi w:val="0"/>
        <w:adjustRightInd/>
        <w:snapToGrid/>
        <w:spacing w:line="590" w:lineRule="exact"/>
        <w:ind w:left="0" w:leftChars="0" w:right="0" w:rightChars="0" w:firstLine="640" w:firstLineChars="2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（2）资金使用：2024年度，该项目在项目资金使用、拨付中严格按照</w:t>
      </w:r>
      <w:r>
        <w:rPr>
          <w:rFonts w:hint="eastAsia" w:eastAsia="仿宋_GB2312" w:cs="Times New Roman"/>
          <w:sz w:val="32"/>
          <w:szCs w:val="32"/>
          <w:lang w:val="en-US" w:eastAsia="zh-CN"/>
        </w:rPr>
        <w:t>《四川省财政厅 四川省水利厅关于印发&lt;四川省水利发展资金管理办法&gt;的通知》（川财农〔2023〕29号）《遂宁市水利监督管理实施办法（试行）》</w:t>
      </w:r>
      <w:r>
        <w:rPr>
          <w:rFonts w:hint="eastAsia" w:ascii="Times New Roman" w:hAnsi="Times New Roman" w:eastAsia="仿宋_GB2312" w:cs="Times New Roman"/>
          <w:sz w:val="32"/>
          <w:szCs w:val="32"/>
          <w:lang w:val="en-US" w:eastAsia="zh-CN"/>
        </w:rPr>
        <w:t>、“</w:t>
      </w:r>
      <w:r>
        <w:rPr>
          <w:rFonts w:hint="eastAsia" w:eastAsia="仿宋_GB2312" w:cs="Times New Roman"/>
          <w:sz w:val="32"/>
          <w:szCs w:val="32"/>
          <w:lang w:val="en-US" w:eastAsia="zh-CN"/>
        </w:rPr>
        <w:t>遂财农【2024】1号</w:t>
      </w:r>
      <w:r>
        <w:rPr>
          <w:rFonts w:hint="eastAsia" w:ascii="Times New Roman" w:hAnsi="Times New Roman" w:eastAsia="仿宋_GB2312" w:cs="Times New Roman"/>
          <w:sz w:val="32"/>
          <w:szCs w:val="32"/>
          <w:lang w:val="en-US" w:eastAsia="zh-CN"/>
        </w:rPr>
        <w:t>”文件执行，不存在不符合国家财经法规情况；项目资金支付</w:t>
      </w:r>
      <w:r>
        <w:rPr>
          <w:rFonts w:hint="eastAsia" w:eastAsia="仿宋_GB2312" w:cs="Times New Roman"/>
          <w:sz w:val="32"/>
          <w:szCs w:val="32"/>
          <w:lang w:val="en-US" w:eastAsia="zh-CN"/>
        </w:rPr>
        <w:t>25700000.00</w:t>
      </w:r>
      <w:r>
        <w:rPr>
          <w:rFonts w:hint="eastAsia" w:ascii="Times New Roman" w:hAnsi="Times New Roman" w:eastAsia="仿宋_GB2312" w:cs="Times New Roman"/>
          <w:sz w:val="32"/>
          <w:szCs w:val="32"/>
          <w:lang w:val="en-US" w:eastAsia="zh-CN"/>
        </w:rPr>
        <w:t>元，共</w:t>
      </w:r>
      <w:r>
        <w:rPr>
          <w:rFonts w:hint="eastAsia" w:eastAsia="仿宋_GB2312" w:cs="Times New Roman"/>
          <w:sz w:val="32"/>
          <w:szCs w:val="32"/>
          <w:lang w:val="en-US" w:eastAsia="zh-CN"/>
        </w:rPr>
        <w:t>1笔</w:t>
      </w:r>
      <w:r>
        <w:rPr>
          <w:rFonts w:hint="eastAsia" w:ascii="Times New Roman" w:hAnsi="Times New Roman" w:eastAsia="仿宋_GB2312" w:cs="Times New Roman"/>
          <w:sz w:val="32"/>
          <w:szCs w:val="32"/>
          <w:lang w:val="en-US" w:eastAsia="zh-CN"/>
        </w:rPr>
        <w:t>，严格按照单位财务报销管理制度执行、严格履行资金支付审批程序，不存在超范围、超标准、超进度使用专项资金情况，不存在资金损失浪费、长期沉淀、截留、挤占、挪用、虚列支出等情况；自评得3分。</w:t>
      </w:r>
    </w:p>
    <w:p w14:paraId="11C2C8CE">
      <w:pPr>
        <w:keepNext w:val="0"/>
        <w:keepLines w:val="0"/>
        <w:pageBreakBefore w:val="0"/>
        <w:widowControl w:val="0"/>
        <w:kinsoku/>
        <w:wordWrap/>
        <w:overflowPunct/>
        <w:topLinePunct w:val="0"/>
        <w:autoSpaceDE/>
        <w:autoSpaceDN/>
        <w:bidi w:val="0"/>
        <w:adjustRightInd/>
        <w:snapToGrid/>
        <w:spacing w:line="590" w:lineRule="exact"/>
        <w:ind w:left="420" w:leftChars="200" w:right="0" w:rightChars="0" w:firstLine="0" w:firstLineChars="0"/>
        <w:textAlignment w:val="auto"/>
        <w:outlineLvl w:val="9"/>
        <w:rPr>
          <w:rFonts w:hint="eastAsia" w:ascii="Times New Roman" w:hAnsi="Times New Roman" w:eastAsia="仿宋_GB2312" w:cs="Times New Roman"/>
          <w:color w:val="auto"/>
          <w:sz w:val="32"/>
          <w:szCs w:val="32"/>
          <w:lang w:eastAsia="zh-CN"/>
        </w:rPr>
      </w:pPr>
      <w:r>
        <w:rPr>
          <w:rFonts w:hint="eastAsia" w:ascii="楷体_GB2312" w:hAnsi="楷体_GB2312" w:eastAsia="楷体_GB2312" w:cs="楷体_GB2312"/>
          <w:color w:val="auto"/>
          <w:sz w:val="32"/>
          <w:szCs w:val="32"/>
          <w:lang w:val="en-US" w:eastAsia="zh-CN"/>
        </w:rPr>
        <w:t>4.项目结果。</w:t>
      </w:r>
      <w:r>
        <w:rPr>
          <w:rFonts w:hint="eastAsia" w:ascii="Times New Roman" w:hAnsi="Times New Roman" w:eastAsia="仿宋_GB2312" w:cs="Times New Roman"/>
          <w:color w:val="auto"/>
          <w:sz w:val="32"/>
          <w:szCs w:val="32"/>
          <w:lang w:val="en-US" w:eastAsia="zh-CN"/>
        </w:rPr>
        <w:t>围绕</w:t>
      </w:r>
      <w:r>
        <w:rPr>
          <w:rFonts w:hint="eastAsia" w:ascii="Times New Roman" w:hAnsi="Times New Roman" w:eastAsia="仿宋_GB2312" w:cs="Times New Roman"/>
          <w:color w:val="auto"/>
          <w:sz w:val="32"/>
          <w:szCs w:val="32"/>
          <w:lang w:eastAsia="zh-CN"/>
        </w:rPr>
        <w:t>目标完成、完成时效进行绩效分析。</w:t>
      </w:r>
    </w:p>
    <w:p w14:paraId="47F8B118">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（1）目标完成：</w:t>
      </w:r>
    </w:p>
    <w:p w14:paraId="5AA91286">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数量指标</w:t>
      </w:r>
      <w:r>
        <w:rPr>
          <w:rFonts w:hint="eastAsia" w:ascii="Times New Roman" w:hAnsi="Times New Roman" w:eastAsia="仿宋_GB2312" w:cs="Times New Roman"/>
          <w:sz w:val="32"/>
          <w:szCs w:val="32"/>
          <w:lang w:val="en-US" w:eastAsia="zh-CN"/>
        </w:rPr>
        <w:t>：</w:t>
      </w:r>
      <w:r>
        <w:rPr>
          <w:rFonts w:hint="eastAsia" w:eastAsia="仿宋_GB2312"/>
          <w:sz w:val="32"/>
          <w:szCs w:val="32"/>
          <w:lang w:val="en-US" w:eastAsia="zh-CN"/>
        </w:rPr>
        <w:t>流域面积200-3000平方公里中小河流流域长度；工程综合治理长度为7.0km，河道清淤长度为5570m，新建堤防堤线总长2412m，共2段，其中：左岸新建护岸堤1162m，右岸新建堤防1250m ( P=10%)</w:t>
      </w:r>
      <w:r>
        <w:rPr>
          <w:rFonts w:hint="eastAsia" w:eastAsia="仿宋_GB2312" w:cs="Times New Roman"/>
          <w:sz w:val="32"/>
          <w:szCs w:val="32"/>
          <w:lang w:val="en-US" w:eastAsia="zh-CN"/>
        </w:rPr>
        <w:t>。</w:t>
      </w:r>
    </w:p>
    <w:p w14:paraId="3C0572AA">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eastAsia" w:eastAsia="仿宋_GB2312" w:cs="Times New Roman"/>
          <w:sz w:val="32"/>
          <w:szCs w:val="32"/>
          <w:lang w:val="en-US" w:eastAsia="zh-CN"/>
        </w:rPr>
      </w:pPr>
      <w:r>
        <w:rPr>
          <w:rFonts w:hint="eastAsia" w:eastAsia="仿宋_GB2312" w:cs="Times New Roman"/>
          <w:sz w:val="32"/>
          <w:szCs w:val="32"/>
          <w:lang w:val="en-US" w:eastAsia="zh-CN"/>
        </w:rPr>
        <w:t>质量指标：</w:t>
      </w:r>
      <w:r>
        <w:rPr>
          <w:rFonts w:hint="default" w:ascii="Times New Roman" w:hAnsi="Times New Roman" w:eastAsia="仿宋_GB2312" w:cs="Times New Roman"/>
          <w:sz w:val="32"/>
          <w:szCs w:val="32"/>
          <w:lang w:val="en-US" w:eastAsia="zh-CN"/>
        </w:rPr>
        <w:t>项目验收合格率</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100%</w:t>
      </w:r>
      <w:r>
        <w:rPr>
          <w:rFonts w:hint="eastAsia" w:ascii="Times New Roman" w:hAnsi="Times New Roman" w:eastAsia="仿宋_GB2312" w:cs="Times New Roman"/>
          <w:sz w:val="32"/>
          <w:szCs w:val="32"/>
          <w:lang w:val="en-US" w:eastAsia="zh-CN"/>
        </w:rPr>
        <w:t>；</w:t>
      </w:r>
      <w:r>
        <w:rPr>
          <w:rFonts w:hint="eastAsia" w:eastAsia="仿宋_GB2312" w:cs="Times New Roman"/>
          <w:sz w:val="32"/>
          <w:szCs w:val="32"/>
          <w:lang w:val="en-US" w:eastAsia="zh-CN"/>
        </w:rPr>
        <w:t>2024年度实施的该项目为跨年度实施项目，</w:t>
      </w:r>
      <w:r>
        <w:rPr>
          <w:rFonts w:hint="default" w:ascii="Times New Roman" w:hAnsi="Times New Roman" w:eastAsia="仿宋_GB2312" w:cs="Times New Roman"/>
          <w:sz w:val="32"/>
          <w:szCs w:val="32"/>
          <w:lang w:val="en-US" w:eastAsia="zh-CN"/>
        </w:rPr>
        <w:t>项目验收合格</w:t>
      </w:r>
      <w:r>
        <w:rPr>
          <w:rFonts w:hint="eastAsia" w:eastAsia="仿宋_GB2312" w:cs="Times New Roman"/>
          <w:sz w:val="32"/>
          <w:szCs w:val="32"/>
          <w:lang w:val="en-US" w:eastAsia="zh-CN"/>
        </w:rPr>
        <w:t>。</w:t>
      </w:r>
    </w:p>
    <w:p w14:paraId="58B98255">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default" w:eastAsia="仿宋_GB2312" w:cs="Times New Roman"/>
          <w:sz w:val="32"/>
          <w:szCs w:val="32"/>
          <w:lang w:val="en-US" w:eastAsia="zh-CN"/>
        </w:rPr>
      </w:pPr>
      <w:r>
        <w:rPr>
          <w:rFonts w:hint="default" w:eastAsia="仿宋_GB2312" w:cs="Times New Roman"/>
          <w:sz w:val="32"/>
          <w:szCs w:val="32"/>
          <w:lang w:val="en-US" w:eastAsia="zh-CN"/>
        </w:rPr>
        <w:t>经济成本指标：总投资偏差率≤5%</w:t>
      </w:r>
      <w:r>
        <w:rPr>
          <w:rFonts w:hint="eastAsia" w:eastAsia="仿宋_GB2312" w:cs="Times New Roman"/>
          <w:sz w:val="32"/>
          <w:szCs w:val="32"/>
          <w:lang w:val="en-US" w:eastAsia="zh-CN"/>
        </w:rPr>
        <w:t>；该项目下达资金25700000.00元，实际支付完成25700000.00元，无投资偏差。</w:t>
      </w:r>
    </w:p>
    <w:p w14:paraId="05F7C04A">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自评得</w:t>
      </w:r>
      <w:r>
        <w:rPr>
          <w:rFonts w:hint="eastAsia" w:eastAsia="仿宋_GB2312" w:cs="Times New Roman"/>
          <w:sz w:val="32"/>
          <w:szCs w:val="32"/>
          <w:lang w:val="en-US" w:eastAsia="zh-CN"/>
        </w:rPr>
        <w:t>6</w:t>
      </w:r>
      <w:r>
        <w:rPr>
          <w:rFonts w:hint="eastAsia" w:ascii="Times New Roman" w:hAnsi="Times New Roman" w:eastAsia="仿宋_GB2312" w:cs="Times New Roman"/>
          <w:sz w:val="32"/>
          <w:szCs w:val="32"/>
          <w:lang w:val="en-US" w:eastAsia="zh-CN"/>
        </w:rPr>
        <w:t>分。</w:t>
      </w:r>
    </w:p>
    <w:p w14:paraId="665A5AA2">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default"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color w:val="auto"/>
          <w:sz w:val="32"/>
          <w:szCs w:val="32"/>
          <w:lang w:val="en-US" w:eastAsia="zh-CN"/>
        </w:rPr>
        <w:t>（2）完成时效</w:t>
      </w:r>
    </w:p>
    <w:p w14:paraId="6BB85459">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2024年度我局该项目均在5个工作日内支付项目资金，专项资金到位及时率</w:t>
      </w:r>
      <w:r>
        <w:rPr>
          <w:rFonts w:hint="eastAsia" w:eastAsia="仿宋_GB2312" w:cs="Times New Roman"/>
          <w:sz w:val="32"/>
          <w:szCs w:val="32"/>
          <w:lang w:val="en-US" w:eastAsia="zh-CN"/>
        </w:rPr>
        <w:t>100%</w:t>
      </w:r>
      <w:r>
        <w:rPr>
          <w:rFonts w:hint="eastAsia" w:ascii="Times New Roman" w:hAnsi="Times New Roman" w:eastAsia="仿宋_GB2312" w:cs="Times New Roman"/>
          <w:sz w:val="32"/>
          <w:szCs w:val="32"/>
          <w:lang w:val="en-US" w:eastAsia="zh-CN"/>
        </w:rPr>
        <w:t>；资金拨付及时率≤10工作日</w:t>
      </w:r>
      <w:r>
        <w:rPr>
          <w:rFonts w:hint="eastAsia" w:eastAsia="仿宋_GB2312" w:cs="Times New Roman"/>
          <w:sz w:val="32"/>
          <w:szCs w:val="32"/>
          <w:lang w:val="en-US" w:eastAsia="zh-CN"/>
        </w:rPr>
        <w:t>，实际均及时完成</w:t>
      </w:r>
      <w:r>
        <w:rPr>
          <w:rFonts w:hint="eastAsia" w:ascii="Times New Roman" w:hAnsi="Times New Roman" w:eastAsia="仿宋_GB2312" w:cs="Times New Roman"/>
          <w:sz w:val="32"/>
          <w:szCs w:val="32"/>
          <w:lang w:val="en-US" w:eastAsia="zh-CN"/>
        </w:rPr>
        <w:t>；自评</w:t>
      </w:r>
      <w:r>
        <w:rPr>
          <w:rFonts w:hint="eastAsia" w:eastAsia="仿宋_GB2312" w:cs="Times New Roman"/>
          <w:sz w:val="32"/>
          <w:szCs w:val="32"/>
          <w:lang w:val="en-US" w:eastAsia="zh-CN"/>
        </w:rPr>
        <w:t>3</w:t>
      </w:r>
      <w:r>
        <w:rPr>
          <w:rFonts w:hint="eastAsia" w:ascii="Times New Roman" w:hAnsi="Times New Roman" w:eastAsia="仿宋_GB2312" w:cs="Times New Roman"/>
          <w:sz w:val="32"/>
          <w:szCs w:val="32"/>
          <w:lang w:val="en-US" w:eastAsia="zh-CN"/>
        </w:rPr>
        <w:t>分。</w:t>
      </w:r>
    </w:p>
    <w:p w14:paraId="1F4654B3">
      <w:pPr>
        <w:keepNext w:val="0"/>
        <w:keepLines w:val="0"/>
        <w:pageBreakBefore w:val="0"/>
        <w:widowControl w:val="0"/>
        <w:kinsoku/>
        <w:wordWrap/>
        <w:overflowPunct/>
        <w:topLinePunct w:val="0"/>
        <w:autoSpaceDE/>
        <w:autoSpaceDN/>
        <w:bidi w:val="0"/>
        <w:adjustRightInd/>
        <w:snapToGrid/>
        <w:spacing w:line="590" w:lineRule="exact"/>
        <w:ind w:right="0" w:rightChars="0" w:firstLine="643" w:firstLineChars="200"/>
        <w:textAlignment w:val="auto"/>
        <w:outlineLvl w:val="9"/>
        <w:rPr>
          <w:rFonts w:hint="eastAsia" w:ascii="楷体_GB2312" w:hAnsi="楷体_GB2312" w:eastAsia="楷体_GB2312" w:cs="楷体_GB2312"/>
          <w:color w:val="auto"/>
          <w:sz w:val="32"/>
          <w:szCs w:val="32"/>
          <w:lang w:val="zh-CN" w:eastAsia="zh-CN"/>
        </w:rPr>
      </w:pPr>
      <w:r>
        <w:rPr>
          <w:rFonts w:hint="eastAsia" w:ascii="楷体_GB2312" w:hAnsi="宋体" w:eastAsia="楷体_GB2312" w:cs="Times New Roman"/>
          <w:b/>
          <w:color w:val="auto"/>
          <w:sz w:val="32"/>
          <w:szCs w:val="32"/>
          <w:highlight w:val="none"/>
          <w:u w:val="none"/>
          <w:lang w:val="zh-CN"/>
        </w:rPr>
        <w:t>（二）</w:t>
      </w:r>
      <w:r>
        <w:rPr>
          <w:rFonts w:hint="eastAsia" w:ascii="楷体_GB2312" w:hAnsi="宋体" w:eastAsia="楷体_GB2312" w:cs="Times New Roman"/>
          <w:b/>
          <w:color w:val="auto"/>
          <w:sz w:val="32"/>
          <w:szCs w:val="32"/>
          <w:highlight w:val="none"/>
          <w:u w:val="none"/>
          <w:lang w:val="en-US" w:eastAsia="zh-CN"/>
        </w:rPr>
        <w:t>专用指标</w:t>
      </w:r>
      <w:r>
        <w:rPr>
          <w:rFonts w:hint="default" w:ascii="Times New Roman" w:hAnsi="Times New Roman" w:eastAsia="楷体_GB2312" w:cs="Times New Roman"/>
          <w:b/>
          <w:bCs/>
          <w:color w:val="000000"/>
          <w:kern w:val="0"/>
          <w:sz w:val="32"/>
          <w:szCs w:val="32"/>
          <w:highlight w:val="none"/>
          <w:shd w:val="clear" w:color="auto" w:fill="FFFFFF"/>
          <w:lang w:val="zh-CN"/>
        </w:rPr>
        <w:t>绩效分析。</w:t>
      </w:r>
      <w:r>
        <w:rPr>
          <w:rFonts w:hint="eastAsia" w:ascii="Times New Roman" w:hAnsi="Times New Roman" w:eastAsia="仿宋_GB2312" w:cs="Times New Roman"/>
          <w:color w:val="auto"/>
          <w:sz w:val="32"/>
          <w:szCs w:val="32"/>
          <w:lang w:val="zh-CN" w:eastAsia="zh-CN"/>
        </w:rPr>
        <w:t>根据</w:t>
      </w:r>
      <w:r>
        <w:rPr>
          <w:rFonts w:hint="eastAsia" w:ascii="Times New Roman" w:hAnsi="Times New Roman" w:eastAsia="仿宋_GB2312" w:cs="Times New Roman"/>
          <w:color w:val="auto"/>
          <w:sz w:val="32"/>
          <w:szCs w:val="32"/>
          <w:lang w:val="en-US" w:eastAsia="zh-CN"/>
        </w:rPr>
        <w:t>专项</w:t>
      </w:r>
      <w:r>
        <w:rPr>
          <w:rFonts w:hint="eastAsia" w:eastAsia="仿宋_GB2312" w:cs="Times New Roman"/>
          <w:color w:val="auto"/>
          <w:sz w:val="32"/>
          <w:szCs w:val="32"/>
          <w:lang w:val="en-US" w:eastAsia="zh-CN"/>
        </w:rPr>
        <w:t>资金资金支持对象</w:t>
      </w:r>
      <w:r>
        <w:rPr>
          <w:rFonts w:hint="eastAsia" w:ascii="Times New Roman" w:hAnsi="Times New Roman" w:eastAsia="仿宋_GB2312" w:cs="Times New Roman"/>
          <w:color w:val="auto"/>
          <w:sz w:val="32"/>
          <w:szCs w:val="32"/>
          <w:lang w:val="en-US" w:eastAsia="zh-CN"/>
        </w:rPr>
        <w:t>选择所属指标进行绩效分析。</w:t>
      </w:r>
      <w:r>
        <w:rPr>
          <w:rFonts w:hint="eastAsia" w:eastAsia="仿宋_GB2312" w:cs="Times New Roman"/>
          <w:color w:val="auto"/>
          <w:sz w:val="32"/>
          <w:szCs w:val="32"/>
          <w:lang w:val="en-US" w:eastAsia="zh-CN"/>
        </w:rPr>
        <w:t>支持对象</w:t>
      </w:r>
      <w:r>
        <w:rPr>
          <w:rFonts w:hint="eastAsia" w:ascii="Times New Roman" w:hAnsi="Times New Roman" w:eastAsia="仿宋_GB2312" w:cs="Times New Roman"/>
          <w:color w:val="auto"/>
          <w:sz w:val="32"/>
          <w:szCs w:val="32"/>
          <w:lang w:val="zh-CN" w:eastAsia="zh-CN"/>
        </w:rPr>
        <w:t>包括产业发展、民生保障、基础设施、行政运转等方面。</w:t>
      </w:r>
    </w:p>
    <w:p w14:paraId="4DD0D876">
      <w:pPr>
        <w:keepNext w:val="0"/>
        <w:keepLines w:val="0"/>
        <w:pageBreakBefore w:val="0"/>
        <w:widowControl w:val="0"/>
        <w:kinsoku/>
        <w:wordWrap/>
        <w:overflowPunct/>
        <w:topLinePunct w:val="0"/>
        <w:autoSpaceDE/>
        <w:autoSpaceDN/>
        <w:bidi w:val="0"/>
        <w:adjustRightInd/>
        <w:snapToGrid/>
        <w:spacing w:line="590" w:lineRule="exact"/>
        <w:ind w:left="0" w:leftChars="0" w:right="0" w:rightChars="0" w:firstLine="640" w:firstLineChars="200"/>
        <w:textAlignment w:val="auto"/>
        <w:outlineLvl w:val="9"/>
        <w:rPr>
          <w:rFonts w:hint="eastAsia" w:eastAsia="仿宋_GB2312" w:cs="Times New Roman"/>
          <w:color w:val="auto"/>
          <w:sz w:val="32"/>
          <w:szCs w:val="32"/>
          <w:lang w:eastAsia="zh-CN"/>
        </w:rPr>
      </w:pPr>
      <w:r>
        <w:rPr>
          <w:rFonts w:hint="eastAsia" w:ascii="楷体_GB2312" w:hAnsi="楷体_GB2312" w:eastAsia="楷体_GB2312" w:cs="楷体_GB2312"/>
          <w:color w:val="auto"/>
          <w:sz w:val="32"/>
          <w:szCs w:val="32"/>
          <w:lang w:val="en-US" w:eastAsia="zh-CN"/>
        </w:rPr>
        <w:t>1.产业发展。</w:t>
      </w:r>
      <w:r>
        <w:rPr>
          <w:rFonts w:hint="eastAsia" w:ascii="Times New Roman" w:hAnsi="Times New Roman" w:eastAsia="仿宋_GB2312" w:cs="Times New Roman"/>
          <w:color w:val="auto"/>
          <w:sz w:val="32"/>
          <w:szCs w:val="32"/>
          <w:lang w:eastAsia="zh-CN"/>
        </w:rPr>
        <w:t>围绕</w:t>
      </w:r>
      <w:r>
        <w:rPr>
          <w:rFonts w:hint="eastAsia" w:eastAsia="仿宋_GB2312" w:cs="Times New Roman"/>
          <w:color w:val="auto"/>
          <w:sz w:val="32"/>
          <w:szCs w:val="32"/>
          <w:lang w:eastAsia="zh-CN"/>
        </w:rPr>
        <w:t>符合性、成长性、经济性进行绩效分析。</w:t>
      </w:r>
    </w:p>
    <w:p w14:paraId="0453EED9">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该项目实施属于</w:t>
      </w:r>
      <w:r>
        <w:rPr>
          <w:rFonts w:hint="eastAsia" w:eastAsia="仿宋_GB2312" w:cs="Times New Roman"/>
          <w:sz w:val="32"/>
          <w:szCs w:val="32"/>
          <w:lang w:val="en-US" w:eastAsia="zh-CN"/>
        </w:rPr>
        <w:t>安居区“推进乡村振兴，实现农业强区跨越式发展”“十四五”规划</w:t>
      </w:r>
      <w:r>
        <w:rPr>
          <w:rFonts w:hint="eastAsia" w:ascii="Times New Roman" w:hAnsi="Times New Roman" w:eastAsia="仿宋_GB2312" w:cs="Times New Roman"/>
          <w:sz w:val="32"/>
          <w:szCs w:val="32"/>
          <w:lang w:val="en-US" w:eastAsia="zh-CN"/>
        </w:rPr>
        <w:t>内容，属于政府支持范围，且符合财政事权支出责任划分规定；资金投向与项目总体规划、</w:t>
      </w:r>
      <w:r>
        <w:rPr>
          <w:rFonts w:hint="eastAsia" w:eastAsia="仿宋_GB2312" w:cs="Times New Roman"/>
          <w:sz w:val="32"/>
          <w:szCs w:val="32"/>
          <w:lang w:val="en-US" w:eastAsia="zh-CN"/>
        </w:rPr>
        <w:t>水利建设</w:t>
      </w:r>
      <w:r>
        <w:rPr>
          <w:rFonts w:hint="eastAsia" w:ascii="Times New Roman" w:hAnsi="Times New Roman" w:eastAsia="仿宋_GB2312" w:cs="Times New Roman"/>
          <w:sz w:val="32"/>
          <w:szCs w:val="32"/>
          <w:lang w:val="en-US" w:eastAsia="zh-CN"/>
        </w:rPr>
        <w:t>事业发展相匹配；自评得5分。</w:t>
      </w:r>
    </w:p>
    <w:p w14:paraId="6C8A216C">
      <w:pPr>
        <w:keepNext w:val="0"/>
        <w:keepLines w:val="0"/>
        <w:pageBreakBefore w:val="0"/>
        <w:widowControl w:val="0"/>
        <w:kinsoku/>
        <w:wordWrap/>
        <w:overflowPunct/>
        <w:topLinePunct w:val="0"/>
        <w:autoSpaceDE/>
        <w:autoSpaceDN/>
        <w:bidi w:val="0"/>
        <w:adjustRightInd/>
        <w:snapToGrid/>
        <w:spacing w:line="590" w:lineRule="exact"/>
        <w:ind w:left="0" w:leftChars="0" w:right="0" w:rightChars="0" w:firstLine="640" w:firstLineChars="200"/>
        <w:textAlignment w:val="auto"/>
        <w:outlineLvl w:val="9"/>
        <w:rPr>
          <w:rFonts w:hint="eastAsia" w:eastAsia="仿宋_GB2312" w:cs="Times New Roman"/>
          <w:color w:val="auto"/>
          <w:sz w:val="32"/>
          <w:szCs w:val="32"/>
          <w:lang w:eastAsia="zh-CN"/>
        </w:rPr>
      </w:pPr>
      <w:r>
        <w:rPr>
          <w:rFonts w:hint="eastAsia" w:ascii="楷体_GB2312" w:hAnsi="楷体_GB2312" w:eastAsia="楷体_GB2312" w:cs="楷体_GB2312"/>
          <w:color w:val="auto"/>
          <w:sz w:val="32"/>
          <w:szCs w:val="32"/>
          <w:lang w:val="en-US" w:eastAsia="zh-CN"/>
        </w:rPr>
        <w:t>2.</w:t>
      </w:r>
      <w:r>
        <w:rPr>
          <w:rFonts w:hint="eastAsia" w:ascii="楷体_GB2312" w:hAnsi="楷体_GB2312" w:eastAsia="楷体_GB2312" w:cs="楷体_GB2312"/>
          <w:color w:val="auto"/>
          <w:sz w:val="32"/>
          <w:szCs w:val="32"/>
          <w:lang w:val="zh-CN" w:eastAsia="zh-CN"/>
        </w:rPr>
        <w:t>民生保障。</w:t>
      </w:r>
      <w:r>
        <w:rPr>
          <w:rFonts w:hint="eastAsia" w:ascii="Times New Roman" w:hAnsi="Times New Roman" w:eastAsia="仿宋_GB2312" w:cs="Times New Roman"/>
          <w:color w:val="auto"/>
          <w:sz w:val="32"/>
          <w:szCs w:val="32"/>
          <w:lang w:eastAsia="zh-CN"/>
        </w:rPr>
        <w:t>围绕</w:t>
      </w:r>
      <w:r>
        <w:rPr>
          <w:rFonts w:hint="eastAsia" w:eastAsia="仿宋_GB2312" w:cs="Times New Roman"/>
          <w:color w:val="auto"/>
          <w:sz w:val="32"/>
          <w:szCs w:val="32"/>
          <w:lang w:eastAsia="zh-CN"/>
        </w:rPr>
        <w:t>区域均衡性、对象精准性、标准合理性、群总满意度进行绩效分析。</w:t>
      </w:r>
    </w:p>
    <w:p w14:paraId="7D738259">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（1）区域均衡性：该项目由“</w:t>
      </w:r>
      <w:r>
        <w:rPr>
          <w:rFonts w:hint="eastAsia" w:eastAsia="仿宋_GB2312" w:cs="Times New Roman"/>
          <w:sz w:val="32"/>
          <w:szCs w:val="32"/>
          <w:lang w:val="en-US" w:eastAsia="zh-CN"/>
        </w:rPr>
        <w:t>遂财农【2024】1号</w:t>
      </w:r>
      <w:r>
        <w:rPr>
          <w:rFonts w:hint="eastAsia" w:ascii="Times New Roman" w:hAnsi="Times New Roman" w:eastAsia="仿宋_GB2312" w:cs="Times New Roman"/>
          <w:sz w:val="32"/>
          <w:szCs w:val="32"/>
          <w:lang w:val="en-US" w:eastAsia="zh-CN"/>
        </w:rPr>
        <w:t>”文件分配，我局所属地区分配符合实际，自评得5分。</w:t>
      </w:r>
    </w:p>
    <w:p w14:paraId="64A81661">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default" w:eastAsia="仿宋_GB2312"/>
          <w:sz w:val="32"/>
          <w:szCs w:val="32"/>
          <w:lang w:val="en-US" w:eastAsia="zh-CN"/>
        </w:rPr>
      </w:pPr>
      <w:r>
        <w:rPr>
          <w:rFonts w:hint="eastAsia" w:ascii="Times New Roman" w:hAnsi="Times New Roman" w:eastAsia="仿宋_GB2312" w:cs="Times New Roman"/>
          <w:sz w:val="32"/>
          <w:szCs w:val="32"/>
          <w:lang w:val="en-US" w:eastAsia="zh-CN"/>
        </w:rPr>
        <w:t>（2）标准合理性：该项目针对项目实施支付的</w:t>
      </w:r>
      <w:r>
        <w:rPr>
          <w:rFonts w:hint="eastAsia" w:eastAsia="仿宋_GB2312" w:cs="Times New Roman"/>
          <w:sz w:val="32"/>
          <w:szCs w:val="32"/>
          <w:lang w:val="en-US" w:eastAsia="zh-CN"/>
        </w:rPr>
        <w:t>1笔25700000.00</w:t>
      </w:r>
      <w:r>
        <w:rPr>
          <w:rFonts w:hint="eastAsia" w:ascii="Times New Roman" w:hAnsi="Times New Roman" w:eastAsia="仿宋_GB2312" w:cs="Times New Roman"/>
          <w:sz w:val="32"/>
          <w:szCs w:val="32"/>
          <w:lang w:val="en-US" w:eastAsia="zh-CN"/>
        </w:rPr>
        <w:t>元，进行了抽样调查，未发现灌区续建配套与节水改造</w:t>
      </w:r>
      <w:r>
        <w:rPr>
          <w:rFonts w:hint="eastAsia" w:eastAsia="仿宋_GB2312" w:cs="Times New Roman"/>
          <w:sz w:val="32"/>
          <w:szCs w:val="32"/>
          <w:lang w:val="en-US" w:eastAsia="zh-CN"/>
        </w:rPr>
        <w:t>区域、人群</w:t>
      </w:r>
      <w:r>
        <w:rPr>
          <w:rFonts w:hint="eastAsia" w:ascii="Times New Roman" w:hAnsi="Times New Roman" w:eastAsia="仿宋_GB2312" w:cs="Times New Roman"/>
          <w:sz w:val="32"/>
          <w:szCs w:val="32"/>
          <w:lang w:val="en-US" w:eastAsia="zh-CN"/>
        </w:rPr>
        <w:t>存在异常情况，自评得5分</w:t>
      </w:r>
      <w:r>
        <w:rPr>
          <w:rFonts w:hint="eastAsia" w:eastAsia="仿宋_GB2312" w:cs="Times New Roman"/>
          <w:sz w:val="32"/>
          <w:szCs w:val="32"/>
          <w:lang w:val="en-US" w:eastAsia="zh-CN"/>
        </w:rPr>
        <w:t>。</w:t>
      </w:r>
    </w:p>
    <w:p w14:paraId="1B2B6AD6">
      <w:pPr>
        <w:numPr>
          <w:ilvl w:val="0"/>
          <w:numId w:val="0"/>
        </w:numPr>
        <w:autoSpaceDE/>
        <w:adjustRightInd w:val="0"/>
        <w:snapToGrid w:val="0"/>
        <w:spacing w:beforeLines="0" w:afterLines="0" w:line="576" w:lineRule="exact"/>
        <w:ind w:firstLine="640" w:firstLineChars="200"/>
        <w:textAlignment w:val="auto"/>
        <w:outlineLvl w:val="9"/>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（3）群</w:t>
      </w:r>
      <w:r>
        <w:rPr>
          <w:rFonts w:hint="eastAsia" w:eastAsia="仿宋_GB2312" w:cs="Times New Roman"/>
          <w:sz w:val="32"/>
          <w:szCs w:val="32"/>
          <w:lang w:val="en-US" w:eastAsia="zh-CN"/>
        </w:rPr>
        <w:t>众</w:t>
      </w:r>
      <w:r>
        <w:rPr>
          <w:rFonts w:hint="eastAsia" w:ascii="Times New Roman" w:hAnsi="Times New Roman" w:eastAsia="仿宋_GB2312" w:cs="Times New Roman"/>
          <w:sz w:val="32"/>
          <w:szCs w:val="32"/>
          <w:lang w:val="en-US" w:eastAsia="zh-CN"/>
        </w:rPr>
        <w:t>满意度：群众满意度9</w:t>
      </w:r>
      <w:r>
        <w:rPr>
          <w:rFonts w:hint="eastAsia" w:eastAsia="仿宋_GB2312" w:cs="Times New Roman"/>
          <w:sz w:val="32"/>
          <w:szCs w:val="32"/>
          <w:lang w:val="en-US" w:eastAsia="zh-CN"/>
        </w:rPr>
        <w:t>0</w:t>
      </w:r>
      <w:r>
        <w:rPr>
          <w:rFonts w:hint="eastAsia" w:ascii="Times New Roman" w:hAnsi="Times New Roman" w:eastAsia="仿宋_GB2312" w:cs="Times New Roman"/>
          <w:sz w:val="32"/>
          <w:szCs w:val="32"/>
          <w:lang w:val="en-US" w:eastAsia="zh-CN"/>
        </w:rPr>
        <w:t>%，</w:t>
      </w:r>
      <w:r>
        <w:rPr>
          <w:rFonts w:hint="eastAsia" w:eastAsia="仿宋_GB2312" w:cs="Times New Roman"/>
          <w:sz w:val="32"/>
          <w:szCs w:val="32"/>
          <w:lang w:val="en-US" w:eastAsia="zh-CN"/>
        </w:rPr>
        <w:t>项目</w:t>
      </w:r>
      <w:r>
        <w:rPr>
          <w:rFonts w:hint="eastAsia" w:ascii="Times New Roman" w:hAnsi="Times New Roman" w:eastAsia="仿宋_GB2312" w:cs="Times New Roman"/>
          <w:sz w:val="32"/>
          <w:szCs w:val="32"/>
          <w:lang w:val="en-US" w:eastAsia="zh-CN"/>
        </w:rPr>
        <w:t>完成后，通过</w:t>
      </w:r>
      <w:r>
        <w:rPr>
          <w:rFonts w:hint="eastAsia" w:eastAsia="仿宋_GB2312" w:cs="Times New Roman"/>
          <w:sz w:val="32"/>
          <w:szCs w:val="32"/>
          <w:lang w:val="en-US" w:eastAsia="zh-CN"/>
        </w:rPr>
        <w:t>增发国债水利补助资金（两中心五馆段防洪治理工程）</w:t>
      </w:r>
      <w:r>
        <w:rPr>
          <w:rFonts w:hint="eastAsia" w:ascii="Times New Roman" w:hAnsi="Times New Roman" w:eastAsia="仿宋_GB2312" w:cs="Times New Roman"/>
          <w:sz w:val="32"/>
          <w:szCs w:val="32"/>
          <w:lang w:val="en-US" w:eastAsia="zh-CN"/>
        </w:rPr>
        <w:t>，惠及</w:t>
      </w:r>
      <w:r>
        <w:rPr>
          <w:rFonts w:hint="eastAsia" w:eastAsia="仿宋_GB2312" w:cs="Times New Roman"/>
          <w:sz w:val="32"/>
          <w:szCs w:val="32"/>
          <w:lang w:val="en-US" w:eastAsia="zh-CN"/>
        </w:rPr>
        <w:t>全区群众</w:t>
      </w:r>
      <w:r>
        <w:rPr>
          <w:rFonts w:hint="eastAsia" w:ascii="Times New Roman" w:hAnsi="Times New Roman" w:eastAsia="仿宋_GB2312" w:cs="Times New Roman"/>
          <w:sz w:val="32"/>
          <w:szCs w:val="32"/>
          <w:lang w:val="en-US" w:eastAsia="zh-CN"/>
        </w:rPr>
        <w:t>，</w:t>
      </w:r>
      <w:r>
        <w:rPr>
          <w:rFonts w:hint="eastAsia" w:eastAsia="仿宋_GB2312" w:cs="Times New Roman"/>
          <w:sz w:val="32"/>
          <w:szCs w:val="32"/>
          <w:lang w:val="en-US" w:eastAsia="zh-CN"/>
        </w:rPr>
        <w:t>群众基本满意，</w:t>
      </w:r>
      <w:r>
        <w:rPr>
          <w:rFonts w:hint="eastAsia" w:ascii="Times New Roman" w:hAnsi="Times New Roman" w:eastAsia="仿宋_GB2312" w:cs="Times New Roman"/>
          <w:sz w:val="32"/>
          <w:szCs w:val="32"/>
          <w:lang w:val="en-US" w:eastAsia="zh-CN"/>
        </w:rPr>
        <w:t>自评得</w:t>
      </w:r>
      <w:r>
        <w:rPr>
          <w:rFonts w:hint="eastAsia" w:eastAsia="仿宋_GB2312" w:cs="Times New Roman"/>
          <w:sz w:val="32"/>
          <w:szCs w:val="32"/>
          <w:lang w:val="en-US" w:eastAsia="zh-CN"/>
        </w:rPr>
        <w:t>4</w:t>
      </w:r>
      <w:r>
        <w:rPr>
          <w:rFonts w:hint="eastAsia" w:ascii="Times New Roman" w:hAnsi="Times New Roman" w:eastAsia="仿宋_GB2312" w:cs="Times New Roman"/>
          <w:sz w:val="32"/>
          <w:szCs w:val="32"/>
          <w:lang w:val="en-US" w:eastAsia="zh-CN"/>
        </w:rPr>
        <w:t>分。</w:t>
      </w:r>
    </w:p>
    <w:p w14:paraId="05C0A227">
      <w:pPr>
        <w:keepNext w:val="0"/>
        <w:keepLines w:val="0"/>
        <w:pageBreakBefore w:val="0"/>
        <w:widowControl w:val="0"/>
        <w:kinsoku/>
        <w:wordWrap/>
        <w:overflowPunct/>
        <w:topLinePunct w:val="0"/>
        <w:autoSpaceDE/>
        <w:autoSpaceDN/>
        <w:bidi w:val="0"/>
        <w:adjustRightInd/>
        <w:snapToGrid/>
        <w:spacing w:line="590" w:lineRule="exact"/>
        <w:ind w:left="0" w:leftChars="0" w:right="0" w:rightChars="0" w:firstLine="640" w:firstLineChars="200"/>
        <w:textAlignment w:val="auto"/>
        <w:outlineLvl w:val="9"/>
        <w:rPr>
          <w:rFonts w:hint="eastAsia" w:eastAsia="仿宋_GB2312" w:cs="Times New Roman"/>
          <w:color w:val="auto"/>
          <w:sz w:val="32"/>
          <w:szCs w:val="32"/>
          <w:lang w:val="zh-CN" w:eastAsia="zh-CN"/>
        </w:rPr>
      </w:pPr>
      <w:r>
        <w:rPr>
          <w:rFonts w:hint="eastAsia" w:ascii="楷体_GB2312" w:hAnsi="楷体_GB2312" w:eastAsia="楷体_GB2312" w:cs="楷体_GB2312"/>
          <w:color w:val="auto"/>
          <w:sz w:val="32"/>
          <w:szCs w:val="32"/>
          <w:lang w:val="en-US" w:eastAsia="zh-CN"/>
        </w:rPr>
        <w:t>4.</w:t>
      </w:r>
      <w:r>
        <w:rPr>
          <w:rFonts w:hint="eastAsia" w:ascii="楷体_GB2312" w:hAnsi="楷体_GB2312" w:eastAsia="楷体_GB2312" w:cs="楷体_GB2312"/>
          <w:color w:val="auto"/>
          <w:sz w:val="32"/>
          <w:szCs w:val="32"/>
          <w:lang w:val="zh-CN" w:eastAsia="zh-CN"/>
        </w:rPr>
        <w:t>行政运转。</w:t>
      </w:r>
      <w:r>
        <w:rPr>
          <w:rFonts w:hint="eastAsia" w:eastAsia="仿宋_GB2312" w:cs="Times New Roman"/>
          <w:color w:val="auto"/>
          <w:sz w:val="32"/>
          <w:szCs w:val="32"/>
          <w:lang w:val="zh-CN" w:eastAsia="zh-CN"/>
        </w:rPr>
        <w:t>围绕用途合规性、程序合规性、标准合规性进行绩效分析。</w:t>
      </w:r>
    </w:p>
    <w:p w14:paraId="277548E5">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用途合规：该项目用途符合“</w:t>
      </w:r>
      <w:r>
        <w:rPr>
          <w:rFonts w:hint="eastAsia" w:eastAsia="仿宋_GB2312" w:cs="Times New Roman"/>
          <w:sz w:val="32"/>
          <w:szCs w:val="32"/>
          <w:lang w:val="en-US" w:eastAsia="zh-CN"/>
        </w:rPr>
        <w:t>遂财农【2024】1号</w:t>
      </w:r>
      <w:r>
        <w:rPr>
          <w:rFonts w:hint="eastAsia" w:ascii="Times New Roman" w:hAnsi="Times New Roman" w:eastAsia="仿宋_GB2312" w:cs="Times New Roman"/>
          <w:sz w:val="32"/>
          <w:szCs w:val="32"/>
          <w:lang w:val="en-US" w:eastAsia="zh-CN"/>
        </w:rPr>
        <w:t>”文件规定内容</w:t>
      </w:r>
      <w:r>
        <w:rPr>
          <w:rFonts w:hint="eastAsia" w:eastAsia="仿宋_GB2312" w:cs="Times New Roman"/>
          <w:sz w:val="32"/>
          <w:szCs w:val="32"/>
          <w:lang w:val="en-US" w:eastAsia="zh-CN"/>
        </w:rPr>
        <w:t>，</w:t>
      </w:r>
      <w:r>
        <w:rPr>
          <w:rFonts w:hint="eastAsia" w:ascii="Times New Roman" w:hAnsi="Times New Roman" w:eastAsia="仿宋_GB2312" w:cs="Times New Roman"/>
          <w:sz w:val="32"/>
          <w:szCs w:val="32"/>
          <w:lang w:val="en-US" w:eastAsia="zh-CN"/>
        </w:rPr>
        <w:t>自评得</w:t>
      </w:r>
      <w:r>
        <w:rPr>
          <w:rFonts w:hint="eastAsia" w:eastAsia="仿宋_GB2312" w:cs="Times New Roman"/>
          <w:sz w:val="32"/>
          <w:szCs w:val="32"/>
          <w:lang w:val="en-US" w:eastAsia="zh-CN"/>
        </w:rPr>
        <w:t>3</w:t>
      </w:r>
      <w:r>
        <w:rPr>
          <w:rFonts w:hint="eastAsia" w:ascii="Times New Roman" w:hAnsi="Times New Roman" w:eastAsia="仿宋_GB2312" w:cs="Times New Roman"/>
          <w:sz w:val="32"/>
          <w:szCs w:val="32"/>
          <w:lang w:val="en-US" w:eastAsia="zh-CN"/>
        </w:rPr>
        <w:t>分。</w:t>
      </w:r>
    </w:p>
    <w:p w14:paraId="66121033">
      <w:pPr>
        <w:keepNext w:val="0"/>
        <w:keepLines w:val="0"/>
        <w:pageBreakBefore w:val="0"/>
        <w:widowControl w:val="0"/>
        <w:kinsoku/>
        <w:wordWrap/>
        <w:overflowPunct/>
        <w:topLinePunct w:val="0"/>
        <w:autoSpaceDE/>
        <w:autoSpaceDN/>
        <w:bidi w:val="0"/>
        <w:adjustRightInd/>
        <w:snapToGrid/>
        <w:spacing w:line="590" w:lineRule="exact"/>
        <w:ind w:right="0" w:rightChars="0" w:firstLine="640"/>
        <w:textAlignment w:val="auto"/>
        <w:outlineLvl w:val="9"/>
        <w:rPr>
          <w:rFonts w:hint="eastAsia" w:eastAsia="仿宋_GB2312" w:cs="Times New Roman"/>
          <w:color w:val="auto"/>
          <w:sz w:val="32"/>
          <w:szCs w:val="32"/>
          <w:lang w:val="zh-CN" w:eastAsia="zh-CN"/>
        </w:rPr>
      </w:pPr>
      <w:r>
        <w:rPr>
          <w:rFonts w:hint="eastAsia" w:ascii="楷体_GB2312" w:hAnsi="宋体" w:eastAsia="楷体_GB2312" w:cs="Times New Roman"/>
          <w:b/>
          <w:color w:val="auto"/>
          <w:sz w:val="32"/>
          <w:szCs w:val="32"/>
          <w:highlight w:val="none"/>
          <w:u w:val="none"/>
          <w:lang w:val="zh-CN"/>
        </w:rPr>
        <w:t>（三）</w:t>
      </w:r>
      <w:r>
        <w:rPr>
          <w:rFonts w:hint="eastAsia" w:ascii="楷体_GB2312" w:hAnsi="宋体" w:eastAsia="楷体_GB2312" w:cs="Times New Roman"/>
          <w:b/>
          <w:color w:val="auto"/>
          <w:sz w:val="32"/>
          <w:szCs w:val="32"/>
          <w:highlight w:val="none"/>
          <w:u w:val="none"/>
          <w:lang w:val="en-US" w:eastAsia="zh-CN"/>
        </w:rPr>
        <w:t>个性指标</w:t>
      </w:r>
      <w:r>
        <w:rPr>
          <w:rFonts w:hint="default" w:ascii="Times New Roman" w:hAnsi="Times New Roman" w:eastAsia="楷体_GB2312" w:cs="Times New Roman"/>
          <w:b/>
          <w:bCs/>
          <w:color w:val="000000"/>
          <w:kern w:val="0"/>
          <w:sz w:val="32"/>
          <w:szCs w:val="32"/>
          <w:highlight w:val="none"/>
          <w:shd w:val="clear" w:color="auto" w:fill="FFFFFF"/>
          <w:lang w:val="zh-CN"/>
        </w:rPr>
        <w:t>绩效分析。</w:t>
      </w:r>
      <w:r>
        <w:rPr>
          <w:rFonts w:hint="eastAsia" w:eastAsia="仿宋_GB2312" w:cs="Times New Roman"/>
          <w:color w:val="auto"/>
          <w:sz w:val="32"/>
          <w:szCs w:val="32"/>
          <w:lang w:val="zh-CN" w:eastAsia="zh-CN"/>
        </w:rPr>
        <w:t>根据项目个性自行设定部分指标，反映该项指标执行完成情况。</w:t>
      </w:r>
    </w:p>
    <w:p w14:paraId="2C43BF15">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1.社会效益指标：</w:t>
      </w:r>
      <w:r>
        <w:rPr>
          <w:rFonts w:hint="eastAsia" w:eastAsia="仿宋_GB2312"/>
          <w:sz w:val="32"/>
          <w:szCs w:val="32"/>
          <w:lang w:val="en-US" w:eastAsia="zh-CN"/>
        </w:rPr>
        <w:t>水土流失综合治理面积15平方公里</w:t>
      </w:r>
      <w:r>
        <w:rPr>
          <w:rFonts w:hint="eastAsia" w:eastAsia="仿宋_GB2312" w:cs="Times New Roman"/>
          <w:sz w:val="32"/>
          <w:szCs w:val="32"/>
          <w:lang w:val="en-US" w:eastAsia="zh-CN"/>
        </w:rPr>
        <w:t>，</w:t>
      </w:r>
      <w:r>
        <w:rPr>
          <w:rFonts w:hint="eastAsia" w:ascii="Times New Roman" w:hAnsi="Times New Roman" w:eastAsia="仿宋_GB2312" w:cs="Times New Roman"/>
          <w:sz w:val="32"/>
          <w:szCs w:val="32"/>
          <w:lang w:val="en-US" w:eastAsia="zh-CN"/>
        </w:rPr>
        <w:t>自评得</w:t>
      </w:r>
      <w:r>
        <w:rPr>
          <w:rFonts w:hint="eastAsia" w:eastAsia="仿宋_GB2312" w:cs="Times New Roman"/>
          <w:sz w:val="32"/>
          <w:szCs w:val="32"/>
          <w:lang w:val="en-US" w:eastAsia="zh-CN"/>
        </w:rPr>
        <w:t>6.2</w:t>
      </w:r>
      <w:r>
        <w:rPr>
          <w:rFonts w:hint="eastAsia" w:ascii="Times New Roman" w:hAnsi="Times New Roman" w:eastAsia="仿宋_GB2312" w:cs="Times New Roman"/>
          <w:sz w:val="32"/>
          <w:szCs w:val="32"/>
          <w:lang w:val="en-US" w:eastAsia="zh-CN"/>
        </w:rPr>
        <w:t>分。</w:t>
      </w:r>
    </w:p>
    <w:p w14:paraId="072AC8D3">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2.可持续性影响指标：</w:t>
      </w:r>
      <w:r>
        <w:rPr>
          <w:rFonts w:hint="eastAsia" w:eastAsia="仿宋_GB2312"/>
          <w:sz w:val="32"/>
          <w:szCs w:val="32"/>
          <w:lang w:val="en-US" w:eastAsia="zh-CN"/>
        </w:rPr>
        <w:t>已建工程是否良性运行</w:t>
      </w:r>
      <w:r>
        <w:rPr>
          <w:rFonts w:hint="eastAsia" w:eastAsia="仿宋_GB2312" w:cs="Times New Roman"/>
          <w:sz w:val="32"/>
          <w:szCs w:val="32"/>
          <w:lang w:val="en-US" w:eastAsia="zh-CN"/>
        </w:rPr>
        <w:t>，2024年度已完工项目良性运行，自评得5分</w:t>
      </w:r>
      <w:r>
        <w:rPr>
          <w:rFonts w:hint="eastAsia" w:ascii="Times New Roman" w:hAnsi="Times New Roman" w:eastAsia="仿宋_GB2312" w:cs="Times New Roman"/>
          <w:sz w:val="32"/>
          <w:szCs w:val="32"/>
          <w:lang w:val="en-US" w:eastAsia="zh-CN"/>
        </w:rPr>
        <w:t>。</w:t>
      </w:r>
    </w:p>
    <w:p w14:paraId="3821920C">
      <w:pPr>
        <w:pStyle w:val="12"/>
        <w:keepNext w:val="0"/>
        <w:keepLines w:val="0"/>
        <w:pageBreakBefore w:val="0"/>
        <w:numPr>
          <w:ilvl w:val="0"/>
          <w:numId w:val="0"/>
        </w:numPr>
        <w:tabs>
          <w:tab w:val="left" w:pos="2160"/>
        </w:tabs>
        <w:kinsoku/>
        <w:wordWrap/>
        <w:overflowPunct/>
        <w:topLinePunct w:val="0"/>
        <w:autoSpaceDE/>
        <w:autoSpaceDN/>
        <w:bidi w:val="0"/>
        <w:adjustRightInd/>
        <w:snapToGrid/>
        <w:spacing w:line="590" w:lineRule="exact"/>
        <w:ind w:right="0" w:rightChars="0" w:firstLine="640" w:firstLineChars="200"/>
        <w:textAlignment w:val="auto"/>
        <w:rPr>
          <w:rFonts w:hint="eastAsia" w:ascii="黑体" w:hAnsi="宋体" w:eastAsia="黑体"/>
          <w:color w:val="auto"/>
          <w:sz w:val="32"/>
          <w:szCs w:val="32"/>
          <w:highlight w:val="none"/>
          <w:u w:val="none"/>
        </w:rPr>
      </w:pPr>
      <w:r>
        <w:rPr>
          <w:rFonts w:hint="eastAsia" w:ascii="黑体" w:hAnsi="宋体" w:eastAsia="黑体"/>
          <w:color w:val="auto"/>
          <w:sz w:val="32"/>
          <w:szCs w:val="32"/>
          <w:highlight w:val="none"/>
          <w:u w:val="none"/>
          <w:lang w:eastAsia="zh-CN"/>
        </w:rPr>
        <w:t>四</w:t>
      </w:r>
      <w:r>
        <w:rPr>
          <w:rFonts w:hint="eastAsia" w:ascii="黑体" w:hAnsi="宋体" w:eastAsia="黑体"/>
          <w:color w:val="auto"/>
          <w:sz w:val="32"/>
          <w:szCs w:val="32"/>
          <w:highlight w:val="none"/>
          <w:u w:val="none"/>
        </w:rPr>
        <w:t>、评价结论</w:t>
      </w:r>
    </w:p>
    <w:p w14:paraId="201356F8">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eastAsia" w:ascii="Times New Roman" w:hAnsi="Times New Roman" w:eastAsia="仿宋_GB2312" w:cs="Times New Roman"/>
          <w:sz w:val="32"/>
          <w:szCs w:val="32"/>
          <w:lang w:val="zh-CN" w:eastAsia="zh-CN"/>
        </w:rPr>
      </w:pPr>
      <w:r>
        <w:rPr>
          <w:rFonts w:hint="eastAsia" w:ascii="Times New Roman" w:hAnsi="Times New Roman" w:eastAsia="仿宋_GB2312" w:cs="Times New Roman"/>
          <w:sz w:val="32"/>
          <w:szCs w:val="32"/>
          <w:lang w:val="en-US" w:eastAsia="zh-CN"/>
        </w:rPr>
        <w:t>我局按照既定的评价指标和评价方法，从决策、过程、产出、效益四方面对</w:t>
      </w:r>
      <w:r>
        <w:rPr>
          <w:rFonts w:hint="eastAsia" w:ascii="仿宋_GB2312" w:hAnsi="仿宋_GB2312" w:eastAsia="仿宋_GB2312" w:cs="仿宋_GB2312"/>
          <w:color w:val="auto"/>
          <w:kern w:val="0"/>
          <w:sz w:val="32"/>
          <w:szCs w:val="32"/>
          <w:highlight w:val="none"/>
          <w:u w:val="none"/>
          <w:shd w:val="clear" w:color="auto" w:fill="FFFFFF"/>
          <w:lang w:val="en-US" w:eastAsia="zh-CN"/>
        </w:rPr>
        <w:t>51090424T000011597787-遂财建【2024】8号增发国债水利补助资金（两中心五馆段防洪治理工程）</w:t>
      </w:r>
      <w:r>
        <w:rPr>
          <w:rFonts w:hint="eastAsia" w:ascii="Times New Roman" w:hAnsi="Times New Roman" w:eastAsia="仿宋_GB2312" w:cs="Times New Roman"/>
          <w:sz w:val="32"/>
          <w:szCs w:val="32"/>
          <w:lang w:val="en-US" w:eastAsia="zh-CN"/>
        </w:rPr>
        <w:t>项目进行绩效评价，最终确定绩效评价得分</w:t>
      </w:r>
      <w:r>
        <w:rPr>
          <w:rFonts w:hint="eastAsia" w:eastAsia="仿宋_GB2312" w:cs="Times New Roman"/>
          <w:sz w:val="32"/>
          <w:szCs w:val="32"/>
          <w:lang w:val="en-US" w:eastAsia="zh-CN"/>
        </w:rPr>
        <w:t>88.20</w:t>
      </w:r>
      <w:r>
        <w:rPr>
          <w:rFonts w:hint="eastAsia" w:ascii="Times New Roman" w:hAnsi="Times New Roman" w:eastAsia="仿宋_GB2312" w:cs="Times New Roman"/>
          <w:sz w:val="32"/>
          <w:szCs w:val="32"/>
          <w:lang w:val="en-US" w:eastAsia="zh-CN"/>
        </w:rPr>
        <w:t>分；评价等级为</w:t>
      </w:r>
      <w:r>
        <w:rPr>
          <w:rFonts w:hint="eastAsia" w:eastAsia="仿宋_GB2312" w:cs="Times New Roman"/>
          <w:sz w:val="32"/>
          <w:szCs w:val="32"/>
          <w:lang w:val="en-US" w:eastAsia="zh-CN"/>
        </w:rPr>
        <w:t>良</w:t>
      </w:r>
      <w:r>
        <w:rPr>
          <w:rFonts w:hint="eastAsia" w:ascii="Times New Roman" w:hAnsi="Times New Roman" w:eastAsia="仿宋_GB2312" w:cs="Times New Roman"/>
          <w:sz w:val="32"/>
          <w:szCs w:val="32"/>
          <w:lang w:val="zh-CN" w:eastAsia="zh-CN"/>
        </w:rPr>
        <w:t>。</w:t>
      </w:r>
    </w:p>
    <w:p w14:paraId="7923E5FA">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总体上，</w:t>
      </w:r>
      <w:r>
        <w:rPr>
          <w:rFonts w:hint="eastAsia" w:ascii="仿宋_GB2312" w:hAnsi="仿宋_GB2312" w:eastAsia="仿宋_GB2312" w:cs="仿宋_GB2312"/>
          <w:color w:val="auto"/>
          <w:kern w:val="0"/>
          <w:sz w:val="32"/>
          <w:szCs w:val="32"/>
          <w:highlight w:val="none"/>
          <w:u w:val="none"/>
          <w:shd w:val="clear" w:color="auto" w:fill="FFFFFF"/>
          <w:lang w:val="en-US" w:eastAsia="zh-CN"/>
        </w:rPr>
        <w:t>51090424T000011597787-遂财建【2024】8号增发国债水利补助资金（两中心五馆段防洪治理工程）项目</w:t>
      </w:r>
      <w:r>
        <w:rPr>
          <w:rFonts w:hint="eastAsia" w:ascii="Times New Roman" w:hAnsi="Times New Roman" w:eastAsia="仿宋_GB2312" w:cs="Times New Roman"/>
          <w:sz w:val="32"/>
          <w:szCs w:val="32"/>
          <w:lang w:val="en-US" w:eastAsia="zh-CN"/>
        </w:rPr>
        <w:t>申报依据充分，程序规范，预算编制合理，资金到位及时，资金分配合理，管理制度健全，资金支出进度合理，项目计划内容均已按照预期目标基本完成。</w:t>
      </w:r>
    </w:p>
    <w:p w14:paraId="3504649A">
      <w:pPr>
        <w:pStyle w:val="12"/>
        <w:keepNext w:val="0"/>
        <w:keepLines w:val="0"/>
        <w:pageBreakBefore w:val="0"/>
        <w:numPr>
          <w:ilvl w:val="0"/>
          <w:numId w:val="0"/>
        </w:numPr>
        <w:tabs>
          <w:tab w:val="left" w:pos="2160"/>
        </w:tabs>
        <w:kinsoku/>
        <w:wordWrap/>
        <w:overflowPunct/>
        <w:topLinePunct w:val="0"/>
        <w:autoSpaceDE/>
        <w:autoSpaceDN/>
        <w:bidi w:val="0"/>
        <w:adjustRightInd/>
        <w:snapToGrid/>
        <w:spacing w:line="590" w:lineRule="exact"/>
        <w:ind w:right="0" w:rightChars="0" w:firstLine="640" w:firstLineChars="200"/>
        <w:textAlignment w:val="auto"/>
        <w:rPr>
          <w:rFonts w:hint="eastAsia" w:ascii="黑体" w:hAnsi="宋体" w:eastAsia="黑体"/>
          <w:color w:val="auto"/>
          <w:sz w:val="32"/>
          <w:szCs w:val="32"/>
          <w:highlight w:val="none"/>
          <w:u w:val="none"/>
          <w:lang w:val="en-US" w:eastAsia="zh-CN"/>
        </w:rPr>
      </w:pPr>
      <w:r>
        <w:rPr>
          <w:rFonts w:hint="eastAsia" w:ascii="黑体" w:hAnsi="宋体" w:eastAsia="黑体"/>
          <w:color w:val="auto"/>
          <w:sz w:val="32"/>
          <w:szCs w:val="32"/>
          <w:highlight w:val="none"/>
          <w:u w:val="none"/>
          <w:lang w:val="en-US" w:eastAsia="zh-CN"/>
        </w:rPr>
        <w:t>五、存在主要问题</w:t>
      </w:r>
    </w:p>
    <w:p w14:paraId="5754FCCE">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eastAsia" w:eastAsia="仿宋_GB2312" w:cs="Times New Roman"/>
          <w:sz w:val="32"/>
          <w:szCs w:val="32"/>
          <w:lang w:val="zh-CN" w:eastAsia="zh-CN"/>
        </w:rPr>
      </w:pPr>
      <w:r>
        <w:rPr>
          <w:rFonts w:hint="eastAsia" w:eastAsia="仿宋_GB2312" w:cs="Times New Roman"/>
          <w:sz w:val="32"/>
          <w:szCs w:val="32"/>
          <w:lang w:val="zh-CN" w:eastAsia="zh-CN"/>
        </w:rPr>
        <w:t>（</w:t>
      </w:r>
      <w:r>
        <w:rPr>
          <w:rFonts w:hint="eastAsia" w:eastAsia="仿宋_GB2312" w:cs="Times New Roman"/>
          <w:sz w:val="32"/>
          <w:szCs w:val="32"/>
          <w:lang w:val="en-US" w:eastAsia="zh-CN"/>
        </w:rPr>
        <w:t>一</w:t>
      </w:r>
      <w:r>
        <w:rPr>
          <w:rFonts w:hint="eastAsia" w:eastAsia="仿宋_GB2312" w:cs="Times New Roman"/>
          <w:sz w:val="32"/>
          <w:szCs w:val="32"/>
          <w:lang w:val="zh-CN" w:eastAsia="zh-CN"/>
        </w:rPr>
        <w:t>）‌前期规划不足‌</w:t>
      </w:r>
    </w:p>
    <w:p w14:paraId="6AE6ADF9">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eastAsia" w:eastAsia="仿宋_GB2312" w:cs="Times New Roman"/>
          <w:sz w:val="32"/>
          <w:szCs w:val="32"/>
          <w:lang w:val="zh-CN" w:eastAsia="zh-CN"/>
        </w:rPr>
      </w:pPr>
      <w:r>
        <w:rPr>
          <w:rFonts w:hint="eastAsia" w:eastAsia="仿宋_GB2312" w:cs="Times New Roman"/>
          <w:sz w:val="32"/>
          <w:szCs w:val="32"/>
          <w:lang w:val="zh-CN" w:eastAsia="zh-CN"/>
        </w:rPr>
        <w:t>河道水文数据不完善，导致设计防洪标准（如20年一遇）与实际行洪需求不匹配。</w:t>
      </w:r>
    </w:p>
    <w:p w14:paraId="70E27637">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eastAsia" w:eastAsia="仿宋_GB2312" w:cs="Times New Roman"/>
          <w:sz w:val="32"/>
          <w:szCs w:val="32"/>
          <w:lang w:val="zh-CN" w:eastAsia="zh-CN"/>
        </w:rPr>
      </w:pPr>
      <w:r>
        <w:rPr>
          <w:rFonts w:hint="eastAsia" w:eastAsia="仿宋_GB2312" w:cs="Times New Roman"/>
          <w:sz w:val="32"/>
          <w:szCs w:val="32"/>
          <w:lang w:val="zh-CN" w:eastAsia="zh-CN"/>
        </w:rPr>
        <w:t>（</w:t>
      </w:r>
      <w:r>
        <w:rPr>
          <w:rFonts w:hint="eastAsia" w:eastAsia="仿宋_GB2312" w:cs="Times New Roman"/>
          <w:sz w:val="32"/>
          <w:szCs w:val="32"/>
          <w:lang w:val="en-US" w:eastAsia="zh-CN"/>
        </w:rPr>
        <w:t>二</w:t>
      </w:r>
      <w:r>
        <w:rPr>
          <w:rFonts w:hint="eastAsia" w:eastAsia="仿宋_GB2312" w:cs="Times New Roman"/>
          <w:sz w:val="32"/>
          <w:szCs w:val="32"/>
          <w:lang w:val="zh-CN" w:eastAsia="zh-CN"/>
        </w:rPr>
        <w:t>）‌生态保护短板‌</w:t>
      </w:r>
    </w:p>
    <w:p w14:paraId="19ECD851">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eastAsia" w:eastAsia="仿宋_GB2312" w:cs="Times New Roman"/>
          <w:sz w:val="32"/>
          <w:szCs w:val="32"/>
          <w:lang w:val="zh-CN" w:eastAsia="zh-CN"/>
        </w:rPr>
      </w:pPr>
      <w:r>
        <w:rPr>
          <w:rFonts w:hint="eastAsia" w:eastAsia="仿宋_GB2312" w:cs="Times New Roman"/>
          <w:sz w:val="32"/>
          <w:szCs w:val="32"/>
          <w:lang w:val="zh-CN" w:eastAsia="zh-CN"/>
        </w:rPr>
        <w:t>硬质护岸占比过高（达70%），破坏原生植被，影响河道生态廊道功能。</w:t>
      </w:r>
    </w:p>
    <w:p w14:paraId="790DF358">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default" w:eastAsia="仿宋_GB2312" w:cs="Times New Roman"/>
          <w:sz w:val="32"/>
          <w:szCs w:val="32"/>
          <w:lang w:val="zh-CN" w:eastAsia="zh-CN"/>
        </w:rPr>
      </w:pPr>
      <w:r>
        <w:rPr>
          <w:rFonts w:hint="eastAsia" w:eastAsia="仿宋_GB2312" w:cs="Times New Roman"/>
          <w:sz w:val="32"/>
          <w:szCs w:val="32"/>
          <w:lang w:val="zh-CN" w:eastAsia="zh-CN"/>
        </w:rPr>
        <w:t>（</w:t>
      </w:r>
      <w:r>
        <w:rPr>
          <w:rFonts w:hint="eastAsia" w:eastAsia="仿宋_GB2312" w:cs="Times New Roman"/>
          <w:sz w:val="32"/>
          <w:szCs w:val="32"/>
          <w:lang w:val="en-US" w:eastAsia="zh-CN"/>
        </w:rPr>
        <w:t>三</w:t>
      </w:r>
      <w:r>
        <w:rPr>
          <w:rFonts w:hint="eastAsia" w:eastAsia="仿宋_GB2312" w:cs="Times New Roman"/>
          <w:sz w:val="32"/>
          <w:szCs w:val="32"/>
          <w:lang w:val="zh-CN" w:eastAsia="zh-CN"/>
        </w:rPr>
        <w:t>）</w:t>
      </w:r>
      <w:r>
        <w:rPr>
          <w:rFonts w:hint="default" w:eastAsia="仿宋_GB2312" w:cs="Times New Roman"/>
          <w:sz w:val="32"/>
          <w:szCs w:val="32"/>
          <w:lang w:val="zh-CN" w:eastAsia="zh-CN"/>
        </w:rPr>
        <w:t>资金使用结构性矛盾</w:t>
      </w:r>
    </w:p>
    <w:p w14:paraId="218D2D04">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default" w:eastAsia="仿宋_GB2312" w:cs="Times New Roman"/>
          <w:sz w:val="32"/>
          <w:szCs w:val="32"/>
          <w:lang w:val="zh-CN" w:eastAsia="zh-CN"/>
        </w:rPr>
      </w:pPr>
      <w:r>
        <w:rPr>
          <w:rFonts w:hint="default" w:eastAsia="仿宋_GB2312" w:cs="Times New Roman"/>
          <w:sz w:val="32"/>
          <w:szCs w:val="32"/>
          <w:lang w:val="zh-CN" w:eastAsia="zh-CN"/>
        </w:rPr>
        <w:t>农村饮水工程维修养护资金</w:t>
      </w:r>
      <w:r>
        <w:rPr>
          <w:rFonts w:hint="eastAsia" w:eastAsia="仿宋_GB2312" w:cs="Times New Roman"/>
          <w:sz w:val="32"/>
          <w:szCs w:val="32"/>
          <w:lang w:val="en-US" w:eastAsia="zh-CN"/>
        </w:rPr>
        <w:t>不足</w:t>
      </w:r>
      <w:r>
        <w:rPr>
          <w:rFonts w:hint="default" w:eastAsia="仿宋_GB2312" w:cs="Times New Roman"/>
          <w:sz w:val="32"/>
          <w:szCs w:val="32"/>
          <w:lang w:val="zh-CN" w:eastAsia="zh-CN"/>
        </w:rPr>
        <w:t>，与基础设施老化程度不匹配</w:t>
      </w:r>
      <w:r>
        <w:rPr>
          <w:rFonts w:hint="eastAsia" w:eastAsia="仿宋_GB2312" w:cs="Times New Roman"/>
          <w:sz w:val="32"/>
          <w:szCs w:val="32"/>
          <w:lang w:val="zh-CN" w:eastAsia="zh-CN"/>
        </w:rPr>
        <w:t>。</w:t>
      </w:r>
    </w:p>
    <w:p w14:paraId="139773B3">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default" w:eastAsia="仿宋_GB2312" w:cs="Times New Roman"/>
          <w:sz w:val="32"/>
          <w:szCs w:val="32"/>
          <w:lang w:val="zh-CN" w:eastAsia="zh-CN"/>
        </w:rPr>
      </w:pPr>
      <w:r>
        <w:rPr>
          <w:rFonts w:hint="eastAsia" w:eastAsia="仿宋_GB2312" w:cs="Times New Roman"/>
          <w:sz w:val="32"/>
          <w:szCs w:val="32"/>
          <w:lang w:val="zh-CN" w:eastAsia="zh-CN"/>
        </w:rPr>
        <w:t>（</w:t>
      </w:r>
      <w:r>
        <w:rPr>
          <w:rFonts w:hint="eastAsia" w:eastAsia="仿宋_GB2312" w:cs="Times New Roman"/>
          <w:sz w:val="32"/>
          <w:szCs w:val="32"/>
          <w:lang w:val="en-US" w:eastAsia="zh-CN"/>
        </w:rPr>
        <w:t>四</w:t>
      </w:r>
      <w:r>
        <w:rPr>
          <w:rFonts w:hint="eastAsia" w:eastAsia="仿宋_GB2312" w:cs="Times New Roman"/>
          <w:sz w:val="32"/>
          <w:szCs w:val="32"/>
          <w:lang w:val="zh-CN" w:eastAsia="zh-CN"/>
        </w:rPr>
        <w:t>）</w:t>
      </w:r>
      <w:r>
        <w:rPr>
          <w:rFonts w:hint="default" w:eastAsia="仿宋_GB2312" w:cs="Times New Roman"/>
          <w:sz w:val="32"/>
          <w:szCs w:val="32"/>
          <w:lang w:val="zh-CN" w:eastAsia="zh-CN"/>
        </w:rPr>
        <w:t>管理机制待完善</w:t>
      </w:r>
    </w:p>
    <w:p w14:paraId="3A66F6C8">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default" w:eastAsia="仿宋_GB2312" w:cs="Times New Roman"/>
          <w:sz w:val="32"/>
          <w:szCs w:val="32"/>
          <w:lang w:val="zh-CN" w:eastAsia="zh-CN"/>
        </w:rPr>
      </w:pPr>
      <w:r>
        <w:rPr>
          <w:rFonts w:hint="default" w:eastAsia="仿宋_GB2312" w:cs="Times New Roman"/>
          <w:sz w:val="32"/>
          <w:szCs w:val="32"/>
          <w:lang w:val="zh-CN" w:eastAsia="zh-CN"/>
        </w:rPr>
        <w:t>项目业主分散在乡镇政府，水利局统筹协调难度大</w:t>
      </w:r>
      <w:r>
        <w:rPr>
          <w:rFonts w:hint="eastAsia" w:eastAsia="仿宋_GB2312" w:cs="Times New Roman"/>
          <w:sz w:val="32"/>
          <w:szCs w:val="32"/>
          <w:lang w:val="zh-CN" w:eastAsia="zh-CN"/>
        </w:rPr>
        <w:t>；</w:t>
      </w:r>
      <w:r>
        <w:rPr>
          <w:rFonts w:hint="default" w:eastAsia="仿宋_GB2312" w:cs="Times New Roman"/>
          <w:sz w:val="32"/>
          <w:szCs w:val="32"/>
          <w:lang w:val="zh-CN" w:eastAsia="zh-CN"/>
        </w:rPr>
        <w:t>人口动态调整机制不健全，影响资金精准投放</w:t>
      </w:r>
      <w:r>
        <w:rPr>
          <w:rFonts w:hint="eastAsia" w:eastAsia="仿宋_GB2312" w:cs="Times New Roman"/>
          <w:sz w:val="32"/>
          <w:szCs w:val="32"/>
          <w:lang w:val="zh-CN" w:eastAsia="zh-CN"/>
        </w:rPr>
        <w:t>。</w:t>
      </w:r>
    </w:p>
    <w:p w14:paraId="7E4B25BD">
      <w:pPr>
        <w:pStyle w:val="12"/>
        <w:keepNext w:val="0"/>
        <w:keepLines w:val="0"/>
        <w:pageBreakBefore w:val="0"/>
        <w:numPr>
          <w:ilvl w:val="0"/>
          <w:numId w:val="0"/>
        </w:numPr>
        <w:tabs>
          <w:tab w:val="left" w:pos="2160"/>
        </w:tabs>
        <w:kinsoku/>
        <w:wordWrap/>
        <w:overflowPunct/>
        <w:topLinePunct w:val="0"/>
        <w:autoSpaceDE/>
        <w:autoSpaceDN/>
        <w:bidi w:val="0"/>
        <w:adjustRightInd/>
        <w:snapToGrid/>
        <w:spacing w:line="590" w:lineRule="exact"/>
        <w:ind w:right="0" w:rightChars="0" w:firstLine="640" w:firstLineChars="200"/>
        <w:textAlignment w:val="auto"/>
        <w:rPr>
          <w:rFonts w:hint="eastAsia" w:ascii="黑体" w:hAnsi="宋体" w:eastAsia="黑体"/>
          <w:color w:val="auto"/>
          <w:sz w:val="32"/>
          <w:szCs w:val="32"/>
          <w:highlight w:val="none"/>
          <w:u w:val="none"/>
          <w:lang w:val="zh-CN" w:eastAsia="zh-CN"/>
        </w:rPr>
      </w:pPr>
      <w:r>
        <w:rPr>
          <w:rFonts w:hint="eastAsia" w:ascii="黑体" w:hAnsi="宋体" w:eastAsia="黑体"/>
          <w:color w:val="auto"/>
          <w:sz w:val="32"/>
          <w:szCs w:val="32"/>
          <w:highlight w:val="none"/>
          <w:u w:val="none"/>
          <w:lang w:val="zh-CN" w:eastAsia="zh-CN"/>
        </w:rPr>
        <w:t>六、改进建议</w:t>
      </w:r>
    </w:p>
    <w:p w14:paraId="691DEDB3">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default" w:eastAsia="仿宋_GB2312" w:cs="Times New Roman"/>
          <w:sz w:val="32"/>
          <w:szCs w:val="32"/>
          <w:lang w:val="zh-CN" w:eastAsia="zh-CN"/>
        </w:rPr>
      </w:pPr>
      <w:r>
        <w:rPr>
          <w:rFonts w:hint="eastAsia" w:eastAsia="仿宋_GB2312" w:cs="Times New Roman"/>
          <w:sz w:val="32"/>
          <w:szCs w:val="32"/>
          <w:lang w:val="zh-CN" w:eastAsia="zh-CN"/>
        </w:rPr>
        <w:t>（</w:t>
      </w:r>
      <w:r>
        <w:rPr>
          <w:rFonts w:hint="eastAsia" w:eastAsia="仿宋_GB2312" w:cs="Times New Roman"/>
          <w:sz w:val="32"/>
          <w:szCs w:val="32"/>
          <w:lang w:val="en-US" w:eastAsia="zh-CN"/>
        </w:rPr>
        <w:t>一</w:t>
      </w:r>
      <w:r>
        <w:rPr>
          <w:rFonts w:hint="eastAsia" w:eastAsia="仿宋_GB2312" w:cs="Times New Roman"/>
          <w:sz w:val="32"/>
          <w:szCs w:val="32"/>
          <w:lang w:val="zh-CN" w:eastAsia="zh-CN"/>
        </w:rPr>
        <w:t>）</w:t>
      </w:r>
      <w:r>
        <w:rPr>
          <w:rFonts w:hint="default" w:eastAsia="仿宋_GB2312"/>
          <w:sz w:val="32"/>
          <w:szCs w:val="32"/>
          <w:lang w:val="zh-CN" w:eastAsia="zh-CN"/>
        </w:rPr>
        <w:t>‌强化科学规划</w:t>
      </w:r>
    </w:p>
    <w:p w14:paraId="3F3A71CD">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default" w:eastAsia="仿宋_GB2312" w:cs="Times New Roman"/>
          <w:sz w:val="32"/>
          <w:szCs w:val="32"/>
          <w:lang w:val="zh-CN" w:eastAsia="zh-CN"/>
        </w:rPr>
      </w:pPr>
      <w:r>
        <w:rPr>
          <w:rFonts w:hint="default" w:eastAsia="仿宋_GB2312" w:cs="Times New Roman"/>
          <w:sz w:val="32"/>
          <w:szCs w:val="32"/>
          <w:lang w:val="zh-CN" w:eastAsia="zh-CN"/>
        </w:rPr>
        <w:t>补充水文监测数据，采用‌"生态堤防+防洪墙"复合设计‌，平衡防洪与生态需求。</w:t>
      </w:r>
    </w:p>
    <w:p w14:paraId="35D89521">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default" w:eastAsia="仿宋_GB2312" w:cs="Times New Roman"/>
          <w:sz w:val="32"/>
          <w:szCs w:val="32"/>
          <w:lang w:val="zh-CN" w:eastAsia="zh-CN"/>
        </w:rPr>
      </w:pPr>
      <w:r>
        <w:rPr>
          <w:rFonts w:hint="default" w:eastAsia="仿宋_GB2312" w:cs="Times New Roman"/>
          <w:sz w:val="32"/>
          <w:szCs w:val="32"/>
          <w:lang w:val="zh-CN" w:eastAsia="zh-CN"/>
        </w:rPr>
        <w:t>建立‌村民协商平台‌，公示补偿标准，引入第三方评估机构。</w:t>
      </w:r>
    </w:p>
    <w:p w14:paraId="5E1295D9">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eastAsia" w:eastAsia="仿宋_GB2312" w:cs="Times New Roman"/>
          <w:sz w:val="32"/>
          <w:szCs w:val="32"/>
          <w:lang w:val="zh-CN" w:eastAsia="zh-CN"/>
        </w:rPr>
      </w:pPr>
      <w:r>
        <w:rPr>
          <w:rFonts w:hint="eastAsia" w:eastAsia="仿宋_GB2312" w:cs="Times New Roman"/>
          <w:sz w:val="32"/>
          <w:szCs w:val="32"/>
          <w:lang w:val="zh-CN" w:eastAsia="zh-CN"/>
        </w:rPr>
        <w:t>（</w:t>
      </w:r>
      <w:r>
        <w:rPr>
          <w:rFonts w:hint="eastAsia" w:eastAsia="仿宋_GB2312" w:cs="Times New Roman"/>
          <w:sz w:val="32"/>
          <w:szCs w:val="32"/>
          <w:lang w:val="en-US" w:eastAsia="zh-CN"/>
        </w:rPr>
        <w:t>二</w:t>
      </w:r>
      <w:r>
        <w:rPr>
          <w:rFonts w:hint="eastAsia" w:eastAsia="仿宋_GB2312" w:cs="Times New Roman"/>
          <w:sz w:val="32"/>
          <w:szCs w:val="32"/>
          <w:lang w:val="zh-CN" w:eastAsia="zh-CN"/>
        </w:rPr>
        <w:t>）‌生态修复措施‌</w:t>
      </w:r>
    </w:p>
    <w:p w14:paraId="164CA7B8">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eastAsia" w:eastAsia="仿宋_GB2312" w:cs="Times New Roman"/>
          <w:sz w:val="32"/>
          <w:szCs w:val="32"/>
          <w:lang w:val="zh-CN" w:eastAsia="zh-CN"/>
        </w:rPr>
      </w:pPr>
      <w:r>
        <w:rPr>
          <w:rFonts w:hint="eastAsia" w:eastAsia="仿宋_GB2312" w:cs="Times New Roman"/>
          <w:sz w:val="32"/>
          <w:szCs w:val="32"/>
          <w:lang w:val="zh-CN" w:eastAsia="zh-CN"/>
        </w:rPr>
        <w:t>将30%硬质护岸改为‌生态框格护坡‌，种植芦苇等本土植物。</w:t>
      </w:r>
    </w:p>
    <w:p w14:paraId="2C9F8179">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rPr>
          <w:rFonts w:hint="eastAsia" w:eastAsia="仿宋_GB2312" w:cs="Times New Roman"/>
          <w:sz w:val="32"/>
          <w:szCs w:val="32"/>
          <w:lang w:val="zh-CN" w:eastAsia="zh-CN"/>
        </w:rPr>
      </w:pPr>
      <w:r>
        <w:rPr>
          <w:rFonts w:hint="eastAsia" w:eastAsia="仿宋_GB2312" w:cs="Times New Roman"/>
          <w:sz w:val="32"/>
          <w:szCs w:val="32"/>
          <w:lang w:val="zh-CN" w:eastAsia="zh-CN"/>
        </w:rPr>
        <w:t>配套建设‌人工湿地‌净化面源污染，纳入河长制考核</w:t>
      </w:r>
    </w:p>
    <w:p w14:paraId="5BBDA703">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outlineLvl w:val="9"/>
        <w:rPr>
          <w:rFonts w:hint="eastAsia" w:ascii="Times New Roman" w:hAnsi="Times New Roman" w:eastAsia="仿宋_GB2312" w:cs="Times New Roman"/>
          <w:color w:val="000000"/>
          <w:kern w:val="0"/>
          <w:sz w:val="32"/>
          <w:szCs w:val="32"/>
          <w:highlight w:val="none"/>
          <w:shd w:val="clear" w:color="auto" w:fill="FFFFFF"/>
          <w:lang w:val="en-US" w:eastAsia="zh-CN"/>
        </w:rPr>
      </w:pPr>
      <w:r>
        <w:rPr>
          <w:rFonts w:hint="eastAsia" w:eastAsia="仿宋_GB2312" w:cs="Times New Roman"/>
          <w:sz w:val="32"/>
          <w:szCs w:val="32"/>
          <w:lang w:val="zh-CN" w:eastAsia="zh-CN"/>
        </w:rPr>
        <w:t>（</w:t>
      </w:r>
      <w:r>
        <w:rPr>
          <w:rFonts w:hint="eastAsia" w:eastAsia="仿宋_GB2312" w:cs="Times New Roman"/>
          <w:sz w:val="32"/>
          <w:szCs w:val="32"/>
          <w:lang w:val="en-US" w:eastAsia="zh-CN"/>
        </w:rPr>
        <w:t>二</w:t>
      </w:r>
      <w:r>
        <w:rPr>
          <w:rFonts w:hint="eastAsia" w:eastAsia="仿宋_GB2312" w:cs="Times New Roman"/>
          <w:sz w:val="32"/>
          <w:szCs w:val="32"/>
          <w:lang w:val="zh-CN" w:eastAsia="zh-CN"/>
        </w:rPr>
        <w:t>）</w:t>
      </w:r>
      <w:r>
        <w:rPr>
          <w:rFonts w:hint="eastAsia" w:ascii="Times New Roman" w:hAnsi="Times New Roman" w:eastAsia="仿宋_GB2312" w:cs="Times New Roman"/>
          <w:color w:val="000000"/>
          <w:kern w:val="0"/>
          <w:sz w:val="32"/>
          <w:szCs w:val="32"/>
          <w:highlight w:val="none"/>
          <w:shd w:val="clear" w:color="auto" w:fill="FFFFFF"/>
          <w:lang w:val="en-US" w:eastAsia="zh-CN"/>
        </w:rPr>
        <w:t>长效保障建议‌</w:t>
      </w:r>
    </w:p>
    <w:p w14:paraId="196D741B">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outlineLvl w:val="9"/>
        <w:rPr>
          <w:rFonts w:hint="eastAsia" w:ascii="Times New Roman" w:hAnsi="Times New Roman" w:eastAsia="仿宋_GB2312" w:cs="Times New Roman"/>
          <w:color w:val="000000"/>
          <w:kern w:val="0"/>
          <w:sz w:val="32"/>
          <w:szCs w:val="32"/>
          <w:highlight w:val="none"/>
          <w:shd w:val="clear" w:color="auto" w:fill="FFFFFF"/>
          <w:lang w:val="en-US" w:eastAsia="zh-CN"/>
        </w:rPr>
      </w:pPr>
      <w:r>
        <w:rPr>
          <w:rFonts w:hint="eastAsia" w:ascii="Times New Roman" w:hAnsi="Times New Roman" w:eastAsia="仿宋_GB2312" w:cs="Times New Roman"/>
          <w:color w:val="000000"/>
          <w:kern w:val="0"/>
          <w:sz w:val="32"/>
          <w:szCs w:val="32"/>
          <w:highlight w:val="none"/>
          <w:shd w:val="clear" w:color="auto" w:fill="FFFFFF"/>
          <w:lang w:val="en-US" w:eastAsia="zh-CN"/>
        </w:rPr>
        <w:t>建立‌工程后评价制度‌，次年汛期后开展防洪效能评估。</w:t>
      </w:r>
    </w:p>
    <w:p w14:paraId="2A32D8BD">
      <w:pPr>
        <w:keepNext w:val="0"/>
        <w:keepLines w:val="0"/>
        <w:pageBreakBefore w:val="0"/>
        <w:kinsoku/>
        <w:wordWrap/>
        <w:overflowPunct/>
        <w:topLinePunct w:val="0"/>
        <w:autoSpaceDE/>
        <w:autoSpaceDN/>
        <w:bidi w:val="0"/>
        <w:adjustRightInd/>
        <w:snapToGrid/>
        <w:spacing w:line="590" w:lineRule="exact"/>
        <w:ind w:left="740" w:leftChars="200" w:right="0" w:rightChars="0" w:hanging="320" w:hangingChars="100"/>
        <w:textAlignment w:val="auto"/>
        <w:outlineLvl w:val="9"/>
        <w:rPr>
          <w:rFonts w:hint="default" w:ascii="Times New Roman" w:hAnsi="Times New Roman" w:eastAsia="仿宋_GB2312" w:cs="Times New Roman"/>
          <w:color w:val="000000"/>
          <w:kern w:val="0"/>
          <w:sz w:val="32"/>
          <w:szCs w:val="32"/>
          <w:highlight w:val="none"/>
          <w:shd w:val="clear" w:color="auto" w:fill="FFFFFF"/>
          <w:lang w:val="en-US" w:eastAsia="zh-CN"/>
        </w:rPr>
      </w:pPr>
      <w:r>
        <w:rPr>
          <w:rFonts w:hint="eastAsia" w:ascii="Times New Roman" w:hAnsi="Times New Roman" w:eastAsia="仿宋_GB2312" w:cs="Times New Roman"/>
          <w:color w:val="000000"/>
          <w:kern w:val="0"/>
          <w:sz w:val="32"/>
          <w:szCs w:val="32"/>
          <w:highlight w:val="none"/>
          <w:shd w:val="clear" w:color="auto" w:fill="FFFFFF"/>
          <w:lang w:val="en-US" w:eastAsia="zh-CN"/>
        </w:rPr>
        <w:t>设立‌村民义务监督员‌，定期公开工程进度和资金使用情</w:t>
      </w:r>
      <w:r>
        <w:rPr>
          <w:rFonts w:hint="eastAsia" w:eastAsia="仿宋_GB2312" w:cs="Times New Roman"/>
          <w:color w:val="000000"/>
          <w:kern w:val="0"/>
          <w:sz w:val="32"/>
          <w:szCs w:val="32"/>
          <w:highlight w:val="none"/>
          <w:shd w:val="clear" w:color="auto" w:fill="FFFFFF"/>
          <w:lang w:val="en-US" w:eastAsia="zh-CN"/>
        </w:rPr>
        <w:t>况。</w:t>
      </w:r>
    </w:p>
    <w:p w14:paraId="7B1052F0">
      <w:pPr>
        <w:keepNext w:val="0"/>
        <w:keepLines w:val="0"/>
        <w:pageBreakBefore w:val="0"/>
        <w:kinsoku/>
        <w:wordWrap/>
        <w:overflowPunct/>
        <w:topLinePunct w:val="0"/>
        <w:autoSpaceDE/>
        <w:autoSpaceDN/>
        <w:bidi w:val="0"/>
        <w:adjustRightInd/>
        <w:snapToGrid/>
        <w:spacing w:line="590" w:lineRule="exact"/>
        <w:ind w:left="0" w:leftChars="0" w:right="0" w:rightChars="0" w:firstLine="640" w:firstLineChars="200"/>
        <w:textAlignment w:val="auto"/>
        <w:outlineLvl w:val="9"/>
        <w:rPr>
          <w:rFonts w:hint="eastAsia" w:ascii="Times New Roman" w:hAnsi="Times New Roman" w:eastAsia="仿宋_GB2312" w:cs="Times New Roman"/>
          <w:color w:val="000000"/>
          <w:kern w:val="0"/>
          <w:sz w:val="32"/>
          <w:szCs w:val="32"/>
          <w:highlight w:val="none"/>
          <w:shd w:val="clear" w:color="auto" w:fill="FFFFFF"/>
          <w:lang w:val="en-US" w:eastAsia="zh-CN"/>
        </w:rPr>
      </w:pPr>
      <w:r>
        <w:rPr>
          <w:rFonts w:hint="eastAsia" w:ascii="Times New Roman" w:hAnsi="Times New Roman" w:eastAsia="仿宋_GB2312" w:cs="Times New Roman"/>
          <w:color w:val="000000"/>
          <w:kern w:val="0"/>
          <w:sz w:val="32"/>
          <w:szCs w:val="32"/>
          <w:highlight w:val="none"/>
          <w:shd w:val="clear" w:color="auto" w:fill="FFFFFF"/>
          <w:lang w:val="en-US" w:eastAsia="zh-CN"/>
        </w:rPr>
        <w:t>附表：1.</w:t>
      </w:r>
      <w:r>
        <w:rPr>
          <w:rFonts w:hint="eastAsia" w:eastAsia="仿宋_GB2312" w:cs="Times New Roman"/>
          <w:color w:val="000000"/>
          <w:kern w:val="0"/>
          <w:sz w:val="32"/>
          <w:szCs w:val="32"/>
          <w:highlight w:val="none"/>
          <w:shd w:val="clear" w:color="auto" w:fill="FFFFFF"/>
          <w:lang w:val="en-US" w:eastAsia="zh-CN"/>
        </w:rPr>
        <w:t xml:space="preserve"> </w:t>
      </w:r>
      <w:r>
        <w:rPr>
          <w:rFonts w:hint="eastAsia" w:ascii="Times New Roman" w:hAnsi="Times New Roman" w:eastAsia="仿宋_GB2312" w:cs="Times New Roman"/>
          <w:color w:val="000000"/>
          <w:kern w:val="0"/>
          <w:sz w:val="32"/>
          <w:szCs w:val="32"/>
          <w:highlight w:val="none"/>
          <w:shd w:val="clear" w:color="auto" w:fill="FFFFFF"/>
          <w:lang w:val="en-US" w:eastAsia="zh-CN"/>
        </w:rPr>
        <w:t>项目资金分配涉及所有点位自评得分情况表</w:t>
      </w:r>
    </w:p>
    <w:p w14:paraId="2EEDE920">
      <w:pPr>
        <w:keepNext w:val="0"/>
        <w:keepLines w:val="0"/>
        <w:pageBreakBefore w:val="0"/>
        <w:kinsoku/>
        <w:wordWrap/>
        <w:overflowPunct/>
        <w:topLinePunct w:val="0"/>
        <w:autoSpaceDE/>
        <w:autoSpaceDN/>
        <w:bidi w:val="0"/>
        <w:adjustRightInd/>
        <w:snapToGrid/>
        <w:spacing w:line="590" w:lineRule="exact"/>
        <w:ind w:left="0" w:leftChars="0" w:right="0" w:rightChars="0" w:firstLine="1600" w:firstLineChars="500"/>
        <w:textAlignment w:val="auto"/>
        <w:outlineLvl w:val="9"/>
        <w:rPr>
          <w:rFonts w:hint="default" w:ascii="Times New Roman" w:hAnsi="Times New Roman" w:eastAsia="仿宋_GB2312" w:cs="Times New Roman"/>
          <w:color w:val="000000"/>
          <w:kern w:val="0"/>
          <w:sz w:val="32"/>
          <w:szCs w:val="32"/>
          <w:highlight w:val="none"/>
          <w:shd w:val="clear" w:color="auto" w:fill="FFFFFF"/>
          <w:lang w:val="en-US" w:eastAsia="zh-CN"/>
        </w:rPr>
      </w:pPr>
      <w:r>
        <w:rPr>
          <w:rFonts w:hint="eastAsia" w:ascii="Times New Roman" w:hAnsi="Times New Roman" w:eastAsia="仿宋_GB2312" w:cs="Times New Roman"/>
          <w:color w:val="000000"/>
          <w:kern w:val="0"/>
          <w:sz w:val="32"/>
          <w:szCs w:val="32"/>
          <w:highlight w:val="none"/>
          <w:shd w:val="clear" w:color="auto" w:fill="FFFFFF"/>
          <w:lang w:val="en-US" w:eastAsia="zh-CN"/>
        </w:rPr>
        <w:t>2.</w:t>
      </w:r>
      <w:r>
        <w:rPr>
          <w:rFonts w:hint="eastAsia" w:eastAsia="仿宋_GB2312" w:cs="Times New Roman"/>
          <w:color w:val="000000"/>
          <w:kern w:val="0"/>
          <w:sz w:val="32"/>
          <w:szCs w:val="32"/>
          <w:highlight w:val="none"/>
          <w:shd w:val="clear" w:color="auto" w:fill="FFFFFF"/>
          <w:lang w:val="en-US" w:eastAsia="zh-CN"/>
        </w:rPr>
        <w:t xml:space="preserve"> </w:t>
      </w:r>
      <w:r>
        <w:rPr>
          <w:rFonts w:hint="eastAsia" w:ascii="Times New Roman" w:hAnsi="Times New Roman" w:eastAsia="仿宋_GB2312" w:cs="Times New Roman"/>
          <w:color w:val="000000"/>
          <w:kern w:val="0"/>
          <w:sz w:val="32"/>
          <w:szCs w:val="32"/>
          <w:highlight w:val="none"/>
          <w:shd w:val="clear" w:color="auto" w:fill="FFFFFF"/>
          <w:lang w:val="en-US" w:eastAsia="zh-CN"/>
        </w:rPr>
        <w:t>专项</w:t>
      </w:r>
      <w:r>
        <w:rPr>
          <w:rFonts w:hint="eastAsia" w:eastAsia="仿宋_GB2312" w:cs="Times New Roman"/>
          <w:color w:val="000000"/>
          <w:kern w:val="0"/>
          <w:sz w:val="32"/>
          <w:szCs w:val="32"/>
          <w:highlight w:val="none"/>
          <w:shd w:val="clear" w:color="auto" w:fill="FFFFFF"/>
          <w:lang w:val="en-US" w:eastAsia="zh-CN"/>
        </w:rPr>
        <w:t>资金</w:t>
      </w:r>
      <w:r>
        <w:rPr>
          <w:rFonts w:hint="eastAsia" w:ascii="Times New Roman" w:hAnsi="Times New Roman" w:eastAsia="仿宋_GB2312" w:cs="Times New Roman"/>
          <w:color w:val="000000"/>
          <w:kern w:val="0"/>
          <w:sz w:val="32"/>
          <w:szCs w:val="32"/>
          <w:highlight w:val="none"/>
          <w:shd w:val="clear" w:color="auto" w:fill="FFFFFF"/>
          <w:lang w:val="en-US" w:eastAsia="zh-CN"/>
        </w:rPr>
        <w:t>绩效目标完成情况自评表</w:t>
      </w:r>
    </w:p>
    <w:p w14:paraId="0412E2C0">
      <w:pPr>
        <w:keepNext w:val="0"/>
        <w:keepLines w:val="0"/>
        <w:pageBreakBefore w:val="0"/>
        <w:kinsoku/>
        <w:wordWrap/>
        <w:overflowPunct/>
        <w:topLinePunct w:val="0"/>
        <w:autoSpaceDE/>
        <w:autoSpaceDN/>
        <w:bidi w:val="0"/>
        <w:adjustRightInd/>
        <w:snapToGrid/>
        <w:spacing w:line="590" w:lineRule="exact"/>
        <w:ind w:left="0" w:leftChars="0" w:right="0" w:rightChars="0" w:firstLine="420" w:firstLineChars="200"/>
        <w:textAlignment w:val="auto"/>
        <w:outlineLvl w:val="9"/>
        <w:rPr>
          <w:rFonts w:hint="eastAsia" w:ascii="Times New Roman" w:hAnsi="Times New Roman" w:eastAsia="仿宋_GB2312" w:cs="Times New Roman"/>
          <w:color w:val="000000"/>
          <w:kern w:val="0"/>
          <w:szCs w:val="32"/>
          <w:highlight w:val="none"/>
          <w:shd w:val="clear" w:color="auto" w:fill="FFFFFF"/>
          <w:lang w:val="zh-CN" w:eastAsia="zh-CN"/>
        </w:rPr>
      </w:pPr>
      <w:r>
        <w:rPr>
          <w:rFonts w:hint="eastAsia" w:ascii="Times New Roman" w:hAnsi="Times New Roman" w:eastAsia="仿宋_GB2312" w:cs="Times New Roman"/>
          <w:color w:val="000000"/>
          <w:kern w:val="0"/>
          <w:szCs w:val="32"/>
          <w:highlight w:val="none"/>
          <w:shd w:val="clear" w:color="auto" w:fill="FFFFFF"/>
          <w:lang w:val="zh-CN" w:eastAsia="zh-CN"/>
        </w:rPr>
        <w:br w:type="page"/>
      </w:r>
    </w:p>
    <w:p w14:paraId="6F8D9363">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contextualSpacing/>
        <w:jc w:val="left"/>
        <w:textAlignment w:val="auto"/>
        <w:rPr>
          <w:rFonts w:hint="eastAsia" w:ascii="黑体" w:hAnsi="黑体" w:eastAsia="黑体" w:cs="黑体"/>
          <w:b w:val="0"/>
          <w:bCs w:val="0"/>
          <w:color w:val="auto"/>
          <w:kern w:val="0"/>
          <w:sz w:val="32"/>
          <w:szCs w:val="32"/>
          <w:highlight w:val="none"/>
          <w:u w:val="none"/>
          <w:shd w:val="clear" w:color="auto" w:fill="FFFFFF"/>
          <w:lang w:val="zh-CN" w:eastAsia="zh-CN"/>
        </w:rPr>
      </w:pPr>
      <w:r>
        <w:rPr>
          <w:rFonts w:hint="eastAsia" w:ascii="黑体" w:hAnsi="黑体" w:eastAsia="黑体" w:cs="黑体"/>
          <w:b w:val="0"/>
          <w:bCs w:val="0"/>
          <w:color w:val="auto"/>
          <w:kern w:val="0"/>
          <w:sz w:val="32"/>
          <w:szCs w:val="32"/>
          <w:highlight w:val="none"/>
          <w:u w:val="none"/>
          <w:shd w:val="clear" w:color="auto" w:fill="FFFFFF"/>
          <w:lang w:val="zh-CN" w:eastAsia="zh-CN"/>
        </w:rPr>
        <w:t>附表</w:t>
      </w:r>
      <w:r>
        <w:rPr>
          <w:rFonts w:hint="eastAsia" w:ascii="黑体" w:hAnsi="黑体" w:eastAsia="黑体" w:cs="黑体"/>
          <w:b w:val="0"/>
          <w:bCs w:val="0"/>
          <w:color w:val="auto"/>
          <w:kern w:val="0"/>
          <w:sz w:val="32"/>
          <w:szCs w:val="32"/>
          <w:highlight w:val="none"/>
          <w:u w:val="none"/>
          <w:shd w:val="clear" w:color="auto" w:fill="FFFFFF"/>
          <w:lang w:val="en-US" w:eastAsia="zh-CN"/>
        </w:rPr>
        <w:t>1</w:t>
      </w:r>
    </w:p>
    <w:p w14:paraId="70896347">
      <w:pPr>
        <w:keepNext w:val="0"/>
        <w:keepLines w:val="0"/>
        <w:pageBreakBefore w:val="0"/>
        <w:kinsoku/>
        <w:wordWrap/>
        <w:overflowPunct/>
        <w:topLinePunct w:val="0"/>
        <w:autoSpaceDE/>
        <w:autoSpaceDN/>
        <w:bidi w:val="0"/>
        <w:spacing w:line="578" w:lineRule="exact"/>
        <w:ind w:left="0" w:leftChars="0"/>
        <w:jc w:val="center"/>
        <w:textAlignment w:val="auto"/>
        <w:rPr>
          <w:rFonts w:hint="eastAsia" w:ascii="方正小标宋_GBK" w:hAnsi="方正小标宋_GBK" w:eastAsia="方正小标宋_GBK" w:cs="方正小标宋_GBK"/>
          <w:b w:val="0"/>
          <w:bCs w:val="0"/>
          <w:color w:val="auto"/>
          <w:sz w:val="40"/>
          <w:szCs w:val="40"/>
          <w:highlight w:val="none"/>
          <w:u w:val="none"/>
          <w:lang w:val="en-US" w:eastAsia="zh-CN"/>
        </w:rPr>
      </w:pPr>
      <w:r>
        <w:rPr>
          <w:rFonts w:hint="eastAsia" w:ascii="方正小标宋_GBK" w:hAnsi="方正小标宋_GBK" w:eastAsia="方正小标宋_GBK" w:cs="方正小标宋_GBK"/>
          <w:b w:val="0"/>
          <w:bCs w:val="0"/>
          <w:color w:val="auto"/>
          <w:sz w:val="40"/>
          <w:szCs w:val="40"/>
          <w:highlight w:val="none"/>
          <w:u w:val="none"/>
          <w:lang w:val="en-US" w:eastAsia="zh-CN"/>
        </w:rPr>
        <w:t>项目资金分配涉及所有点位自评得分情况表</w:t>
      </w:r>
    </w:p>
    <w:tbl>
      <w:tblPr>
        <w:tblStyle w:val="24"/>
        <w:tblW w:w="88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3"/>
        <w:gridCol w:w="3843"/>
        <w:gridCol w:w="2861"/>
        <w:gridCol w:w="993"/>
      </w:tblGrid>
      <w:tr w14:paraId="1B60D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top"/>
          </w:tcPr>
          <w:p w14:paraId="583ECF40">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黑体" w:hAnsi="黑体" w:eastAsia="黑体" w:cs="黑体"/>
                <w:b w:val="0"/>
                <w:bCs w:val="0"/>
                <w:color w:val="auto"/>
                <w:sz w:val="24"/>
                <w:szCs w:val="24"/>
                <w:highlight w:val="none"/>
                <w:u w:val="none"/>
                <w:vertAlign w:val="baseline"/>
                <w:lang w:val="en-US" w:eastAsia="zh-CN"/>
              </w:rPr>
            </w:pPr>
            <w:r>
              <w:rPr>
                <w:rFonts w:hint="eastAsia" w:ascii="黑体" w:hAnsi="黑体" w:eastAsia="黑体" w:cs="黑体"/>
                <w:b w:val="0"/>
                <w:bCs w:val="0"/>
                <w:color w:val="auto"/>
                <w:sz w:val="24"/>
                <w:szCs w:val="24"/>
                <w:highlight w:val="none"/>
                <w:u w:val="none"/>
                <w:vertAlign w:val="baseline"/>
                <w:lang w:val="en-US" w:eastAsia="zh-CN"/>
              </w:rPr>
              <w:t>序号</w:t>
            </w:r>
          </w:p>
        </w:tc>
        <w:tc>
          <w:tcPr>
            <w:tcW w:w="3843" w:type="dxa"/>
            <w:vAlign w:val="top"/>
          </w:tcPr>
          <w:p w14:paraId="11E732E6">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黑体" w:hAnsi="黑体" w:eastAsia="黑体" w:cs="黑体"/>
                <w:b w:val="0"/>
                <w:bCs w:val="0"/>
                <w:color w:val="auto"/>
                <w:sz w:val="24"/>
                <w:szCs w:val="24"/>
                <w:highlight w:val="none"/>
                <w:u w:val="none"/>
                <w:vertAlign w:val="baseline"/>
                <w:lang w:val="en" w:eastAsia="zh-CN"/>
              </w:rPr>
            </w:pPr>
            <w:r>
              <w:rPr>
                <w:rFonts w:hint="eastAsia" w:ascii="黑体" w:hAnsi="黑体" w:eastAsia="黑体" w:cs="黑体"/>
                <w:b w:val="0"/>
                <w:bCs w:val="0"/>
                <w:color w:val="auto"/>
                <w:sz w:val="24"/>
                <w:szCs w:val="24"/>
                <w:highlight w:val="none"/>
                <w:u w:val="none"/>
                <w:vertAlign w:val="baseline"/>
                <w:lang w:val="en-US" w:eastAsia="zh-CN"/>
              </w:rPr>
              <w:t>项目资金末端分配点位</w:t>
            </w:r>
          </w:p>
        </w:tc>
        <w:tc>
          <w:tcPr>
            <w:tcW w:w="2861" w:type="dxa"/>
            <w:vAlign w:val="top"/>
          </w:tcPr>
          <w:p w14:paraId="1333592D">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黑体" w:hAnsi="黑体" w:eastAsia="黑体" w:cs="黑体"/>
                <w:b w:val="0"/>
                <w:bCs w:val="0"/>
                <w:color w:val="auto"/>
                <w:sz w:val="24"/>
                <w:szCs w:val="24"/>
                <w:highlight w:val="none"/>
                <w:u w:val="none"/>
                <w:vertAlign w:val="baseline"/>
                <w:lang w:val="en-US" w:eastAsia="zh-CN"/>
              </w:rPr>
            </w:pPr>
            <w:r>
              <w:rPr>
                <w:rFonts w:hint="eastAsia" w:ascii="黑体" w:hAnsi="黑体" w:eastAsia="黑体" w:cs="黑体"/>
                <w:b w:val="0"/>
                <w:bCs w:val="0"/>
                <w:color w:val="auto"/>
                <w:sz w:val="24"/>
                <w:szCs w:val="24"/>
                <w:highlight w:val="none"/>
                <w:u w:val="none"/>
                <w:vertAlign w:val="baseline"/>
                <w:lang w:val="en" w:eastAsia="zh-CN"/>
              </w:rPr>
              <w:t>自评得分（百分制）</w:t>
            </w:r>
          </w:p>
        </w:tc>
        <w:tc>
          <w:tcPr>
            <w:tcW w:w="993" w:type="dxa"/>
            <w:vAlign w:val="top"/>
          </w:tcPr>
          <w:p w14:paraId="5D4DE2BA">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黑体" w:hAnsi="黑体" w:eastAsia="黑体" w:cs="黑体"/>
                <w:b w:val="0"/>
                <w:bCs w:val="0"/>
                <w:color w:val="auto"/>
                <w:sz w:val="24"/>
                <w:szCs w:val="24"/>
                <w:highlight w:val="none"/>
                <w:u w:val="none"/>
                <w:vertAlign w:val="baseline"/>
                <w:lang w:val="en-US" w:eastAsia="zh-CN"/>
              </w:rPr>
            </w:pPr>
            <w:r>
              <w:rPr>
                <w:rFonts w:hint="eastAsia" w:ascii="黑体" w:hAnsi="黑体" w:eastAsia="黑体" w:cs="黑体"/>
                <w:b w:val="0"/>
                <w:bCs w:val="0"/>
                <w:color w:val="auto"/>
                <w:sz w:val="24"/>
                <w:szCs w:val="24"/>
                <w:highlight w:val="none"/>
                <w:u w:val="none"/>
                <w:vertAlign w:val="baseline"/>
                <w:lang w:val="en-US" w:eastAsia="zh-CN"/>
              </w:rPr>
              <w:t>备注</w:t>
            </w:r>
          </w:p>
        </w:tc>
      </w:tr>
      <w:tr w14:paraId="1D3E2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exact"/>
          <w:jc w:val="center"/>
        </w:trPr>
        <w:tc>
          <w:tcPr>
            <w:tcW w:w="1123" w:type="dxa"/>
            <w:vAlign w:val="top"/>
          </w:tcPr>
          <w:p w14:paraId="67AE71E4">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宋体" w:hAnsi="宋体" w:eastAsia="宋体" w:cs="宋体"/>
                <w:b w:val="0"/>
                <w:bCs w:val="0"/>
                <w:color w:val="auto"/>
                <w:sz w:val="24"/>
                <w:szCs w:val="24"/>
                <w:highlight w:val="none"/>
                <w:u w:val="none"/>
                <w:lang w:val="en-US" w:eastAsia="zh-CN"/>
              </w:rPr>
            </w:pPr>
            <w:r>
              <w:rPr>
                <w:rFonts w:hint="eastAsia" w:ascii="宋体" w:hAnsi="宋体" w:eastAsia="仿宋_GB2312" w:cs="宋体"/>
                <w:b w:val="0"/>
                <w:bCs w:val="0"/>
                <w:color w:val="auto"/>
                <w:sz w:val="24"/>
                <w:szCs w:val="24"/>
                <w:highlight w:val="none"/>
                <w:u w:val="none"/>
                <w:lang w:val="en-US" w:eastAsia="zh-CN"/>
              </w:rPr>
              <w:t>1</w:t>
            </w:r>
          </w:p>
        </w:tc>
        <w:tc>
          <w:tcPr>
            <w:tcW w:w="3843" w:type="dxa"/>
            <w:vAlign w:val="top"/>
          </w:tcPr>
          <w:p w14:paraId="33C0D0B0">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default" w:ascii="宋体" w:hAnsi="宋体" w:cs="宋体"/>
                <w:color w:val="auto"/>
                <w:sz w:val="24"/>
                <w:szCs w:val="24"/>
                <w:highlight w:val="none"/>
                <w:u w:val="none"/>
                <w:vertAlign w:val="baseline"/>
                <w:lang w:val="en-US" w:eastAsia="zh-CN"/>
              </w:rPr>
            </w:pPr>
            <w:r>
              <w:rPr>
                <w:rFonts w:hint="eastAsia" w:ascii="宋体" w:hAnsi="宋体" w:eastAsia="仿宋_GB2312" w:cs="宋体"/>
                <w:color w:val="auto"/>
                <w:sz w:val="24"/>
                <w:szCs w:val="24"/>
                <w:highlight w:val="none"/>
                <w:u w:val="none"/>
                <w:vertAlign w:val="baseline"/>
                <w:lang w:val="en-US" w:eastAsia="zh-CN"/>
              </w:rPr>
              <w:t>安居区水利局增发国债水利补助资金（两中心五馆段防洪治理工程）</w:t>
            </w:r>
          </w:p>
        </w:tc>
        <w:tc>
          <w:tcPr>
            <w:tcW w:w="2861" w:type="dxa"/>
            <w:vAlign w:val="top"/>
          </w:tcPr>
          <w:p w14:paraId="38B9A809">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default" w:ascii="宋体" w:hAnsi="宋体" w:cs="宋体"/>
                <w:color w:val="auto"/>
                <w:sz w:val="24"/>
                <w:szCs w:val="24"/>
                <w:highlight w:val="none"/>
                <w:u w:val="none"/>
                <w:vertAlign w:val="baseline"/>
                <w:lang w:val="en-US" w:eastAsia="zh-CN"/>
              </w:rPr>
            </w:pPr>
            <w:r>
              <w:rPr>
                <w:rFonts w:hint="eastAsia" w:ascii="宋体" w:hAnsi="宋体" w:eastAsia="仿宋_GB2312" w:cs="宋体"/>
                <w:color w:val="auto"/>
                <w:sz w:val="24"/>
                <w:szCs w:val="24"/>
                <w:highlight w:val="none"/>
                <w:u w:val="none"/>
                <w:vertAlign w:val="baseline"/>
                <w:lang w:val="en-US" w:eastAsia="zh-CN"/>
              </w:rPr>
              <w:t>88.20</w:t>
            </w:r>
          </w:p>
        </w:tc>
        <w:tc>
          <w:tcPr>
            <w:tcW w:w="993" w:type="dxa"/>
            <w:vAlign w:val="top"/>
          </w:tcPr>
          <w:p w14:paraId="1E0A9D2C">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US" w:eastAsia="zh-CN"/>
              </w:rPr>
            </w:pPr>
          </w:p>
        </w:tc>
      </w:tr>
      <w:tr w14:paraId="4EE98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top"/>
          </w:tcPr>
          <w:p w14:paraId="11DC882F">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宋体" w:hAnsi="宋体" w:eastAsia="宋体" w:cs="宋体"/>
                <w:b w:val="0"/>
                <w:bCs w:val="0"/>
                <w:color w:val="auto"/>
                <w:sz w:val="24"/>
                <w:szCs w:val="24"/>
                <w:highlight w:val="none"/>
                <w:u w:val="none"/>
                <w:lang w:val="en-US" w:eastAsia="zh-CN"/>
              </w:rPr>
            </w:pPr>
            <w:r>
              <w:rPr>
                <w:rFonts w:hint="eastAsia" w:ascii="宋体" w:hAnsi="宋体" w:eastAsia="仿宋_GB2312" w:cs="宋体"/>
                <w:b w:val="0"/>
                <w:bCs w:val="0"/>
                <w:color w:val="auto"/>
                <w:sz w:val="24"/>
                <w:szCs w:val="24"/>
                <w:highlight w:val="none"/>
                <w:u w:val="none"/>
                <w:lang w:val="en-US" w:eastAsia="zh-CN"/>
              </w:rPr>
              <w:t>2</w:t>
            </w:r>
          </w:p>
        </w:tc>
        <w:tc>
          <w:tcPr>
            <w:tcW w:w="3843" w:type="dxa"/>
            <w:vAlign w:val="top"/>
          </w:tcPr>
          <w:p w14:paraId="52603732">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 w:eastAsia="zh-CN"/>
              </w:rPr>
            </w:pPr>
          </w:p>
        </w:tc>
        <w:tc>
          <w:tcPr>
            <w:tcW w:w="2861" w:type="dxa"/>
            <w:vAlign w:val="top"/>
          </w:tcPr>
          <w:p w14:paraId="0F1E9549">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 w:eastAsia="zh-CN"/>
              </w:rPr>
            </w:pPr>
          </w:p>
        </w:tc>
        <w:tc>
          <w:tcPr>
            <w:tcW w:w="993" w:type="dxa"/>
            <w:vAlign w:val="top"/>
          </w:tcPr>
          <w:p w14:paraId="6C9FAAFA">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US" w:eastAsia="zh-CN"/>
              </w:rPr>
            </w:pPr>
          </w:p>
        </w:tc>
      </w:tr>
      <w:tr w14:paraId="77849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top"/>
          </w:tcPr>
          <w:p w14:paraId="2CB25FA9">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宋体" w:hAnsi="宋体" w:eastAsia="宋体" w:cs="宋体"/>
                <w:b w:val="0"/>
                <w:bCs w:val="0"/>
                <w:color w:val="auto"/>
                <w:sz w:val="24"/>
                <w:szCs w:val="24"/>
                <w:highlight w:val="none"/>
                <w:u w:val="none"/>
                <w:lang w:val="en-US" w:eastAsia="zh-CN"/>
              </w:rPr>
            </w:pPr>
            <w:r>
              <w:rPr>
                <w:rFonts w:hint="eastAsia" w:ascii="宋体" w:hAnsi="宋体" w:eastAsia="仿宋_GB2312" w:cs="宋体"/>
                <w:b w:val="0"/>
                <w:bCs w:val="0"/>
                <w:color w:val="auto"/>
                <w:sz w:val="24"/>
                <w:szCs w:val="24"/>
                <w:highlight w:val="none"/>
                <w:u w:val="none"/>
                <w:lang w:val="en-US" w:eastAsia="zh-CN"/>
              </w:rPr>
              <w:t>3</w:t>
            </w:r>
          </w:p>
        </w:tc>
        <w:tc>
          <w:tcPr>
            <w:tcW w:w="3843" w:type="dxa"/>
            <w:vAlign w:val="top"/>
          </w:tcPr>
          <w:p w14:paraId="6E6F9A34">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 w:eastAsia="zh-CN"/>
              </w:rPr>
            </w:pPr>
          </w:p>
        </w:tc>
        <w:tc>
          <w:tcPr>
            <w:tcW w:w="2861" w:type="dxa"/>
            <w:vAlign w:val="top"/>
          </w:tcPr>
          <w:p w14:paraId="1F07FFC8">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 w:eastAsia="zh-CN"/>
              </w:rPr>
            </w:pPr>
          </w:p>
        </w:tc>
        <w:tc>
          <w:tcPr>
            <w:tcW w:w="993" w:type="dxa"/>
            <w:vAlign w:val="top"/>
          </w:tcPr>
          <w:p w14:paraId="1B5FC010">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US" w:eastAsia="zh-CN"/>
              </w:rPr>
            </w:pPr>
          </w:p>
        </w:tc>
      </w:tr>
      <w:tr w14:paraId="1EC9D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top"/>
          </w:tcPr>
          <w:p w14:paraId="451DF45A">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宋体" w:hAnsi="宋体" w:eastAsia="宋体" w:cs="宋体"/>
                <w:b w:val="0"/>
                <w:bCs w:val="0"/>
                <w:color w:val="auto"/>
                <w:sz w:val="24"/>
                <w:szCs w:val="24"/>
                <w:highlight w:val="none"/>
                <w:u w:val="none"/>
                <w:lang w:val="en-US" w:eastAsia="zh-CN"/>
              </w:rPr>
            </w:pPr>
            <w:r>
              <w:rPr>
                <w:rFonts w:hint="eastAsia" w:ascii="宋体" w:hAnsi="宋体" w:eastAsia="仿宋_GB2312" w:cs="宋体"/>
                <w:b w:val="0"/>
                <w:bCs w:val="0"/>
                <w:color w:val="auto"/>
                <w:sz w:val="24"/>
                <w:szCs w:val="24"/>
                <w:highlight w:val="none"/>
                <w:u w:val="none"/>
                <w:lang w:val="en-US" w:eastAsia="zh-CN"/>
              </w:rPr>
              <w:t>4</w:t>
            </w:r>
          </w:p>
        </w:tc>
        <w:tc>
          <w:tcPr>
            <w:tcW w:w="3843" w:type="dxa"/>
            <w:vAlign w:val="top"/>
          </w:tcPr>
          <w:p w14:paraId="18F715B4">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 w:eastAsia="zh-CN"/>
              </w:rPr>
            </w:pPr>
          </w:p>
        </w:tc>
        <w:tc>
          <w:tcPr>
            <w:tcW w:w="2861" w:type="dxa"/>
            <w:vAlign w:val="top"/>
          </w:tcPr>
          <w:p w14:paraId="7D28E98B">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 w:eastAsia="zh-CN"/>
              </w:rPr>
            </w:pPr>
          </w:p>
        </w:tc>
        <w:tc>
          <w:tcPr>
            <w:tcW w:w="993" w:type="dxa"/>
            <w:vAlign w:val="top"/>
          </w:tcPr>
          <w:p w14:paraId="35431713">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US" w:eastAsia="zh-CN"/>
              </w:rPr>
            </w:pPr>
          </w:p>
        </w:tc>
      </w:tr>
      <w:tr w14:paraId="6511D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top"/>
          </w:tcPr>
          <w:p w14:paraId="68A4EEA1">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宋体" w:hAnsi="宋体" w:eastAsia="宋体" w:cs="宋体"/>
                <w:b w:val="0"/>
                <w:bCs w:val="0"/>
                <w:color w:val="auto"/>
                <w:sz w:val="24"/>
                <w:szCs w:val="24"/>
                <w:highlight w:val="none"/>
                <w:u w:val="none"/>
                <w:lang w:val="en-US" w:eastAsia="zh-CN"/>
              </w:rPr>
            </w:pPr>
            <w:r>
              <w:rPr>
                <w:rFonts w:hint="eastAsia" w:ascii="宋体" w:hAnsi="宋体" w:eastAsia="仿宋_GB2312" w:cs="宋体"/>
                <w:b w:val="0"/>
                <w:bCs w:val="0"/>
                <w:color w:val="auto"/>
                <w:sz w:val="24"/>
                <w:szCs w:val="24"/>
                <w:highlight w:val="none"/>
                <w:u w:val="none"/>
                <w:lang w:val="en-US" w:eastAsia="zh-CN"/>
              </w:rPr>
              <w:t>5</w:t>
            </w:r>
          </w:p>
        </w:tc>
        <w:tc>
          <w:tcPr>
            <w:tcW w:w="3843" w:type="dxa"/>
            <w:vAlign w:val="top"/>
          </w:tcPr>
          <w:p w14:paraId="35DA35B2">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 w:eastAsia="zh-CN"/>
              </w:rPr>
            </w:pPr>
          </w:p>
        </w:tc>
        <w:tc>
          <w:tcPr>
            <w:tcW w:w="2861" w:type="dxa"/>
            <w:vAlign w:val="top"/>
          </w:tcPr>
          <w:p w14:paraId="35932792">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 w:eastAsia="zh-CN"/>
              </w:rPr>
            </w:pPr>
          </w:p>
        </w:tc>
        <w:tc>
          <w:tcPr>
            <w:tcW w:w="993" w:type="dxa"/>
            <w:vAlign w:val="top"/>
          </w:tcPr>
          <w:p w14:paraId="1E1D7C4E">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US" w:eastAsia="zh-CN"/>
              </w:rPr>
            </w:pPr>
          </w:p>
        </w:tc>
      </w:tr>
      <w:tr w14:paraId="00546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top"/>
          </w:tcPr>
          <w:p w14:paraId="2E4759F9">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宋体" w:hAnsi="宋体" w:eastAsia="宋体" w:cs="宋体"/>
                <w:b w:val="0"/>
                <w:bCs w:val="0"/>
                <w:color w:val="auto"/>
                <w:sz w:val="24"/>
                <w:szCs w:val="24"/>
                <w:highlight w:val="none"/>
                <w:u w:val="none"/>
                <w:lang w:val="en-US" w:eastAsia="zh-CN"/>
              </w:rPr>
            </w:pPr>
            <w:r>
              <w:rPr>
                <w:rFonts w:hint="eastAsia" w:ascii="宋体" w:hAnsi="宋体" w:eastAsia="仿宋_GB2312" w:cs="宋体"/>
                <w:b w:val="0"/>
                <w:bCs w:val="0"/>
                <w:color w:val="auto"/>
                <w:sz w:val="24"/>
                <w:szCs w:val="24"/>
                <w:highlight w:val="none"/>
                <w:u w:val="none"/>
                <w:lang w:val="en-US" w:eastAsia="zh-CN"/>
              </w:rPr>
              <w:t>6</w:t>
            </w:r>
          </w:p>
        </w:tc>
        <w:tc>
          <w:tcPr>
            <w:tcW w:w="3843" w:type="dxa"/>
            <w:vAlign w:val="top"/>
          </w:tcPr>
          <w:p w14:paraId="22C128E5">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 w:eastAsia="zh-CN"/>
              </w:rPr>
            </w:pPr>
          </w:p>
        </w:tc>
        <w:tc>
          <w:tcPr>
            <w:tcW w:w="2861" w:type="dxa"/>
            <w:vAlign w:val="top"/>
          </w:tcPr>
          <w:p w14:paraId="3FF61C2E">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 w:eastAsia="zh-CN"/>
              </w:rPr>
            </w:pPr>
          </w:p>
        </w:tc>
        <w:tc>
          <w:tcPr>
            <w:tcW w:w="993" w:type="dxa"/>
            <w:vAlign w:val="top"/>
          </w:tcPr>
          <w:p w14:paraId="13BDF47C">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US" w:eastAsia="zh-CN"/>
              </w:rPr>
            </w:pPr>
          </w:p>
        </w:tc>
      </w:tr>
      <w:tr w14:paraId="11AAC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top"/>
          </w:tcPr>
          <w:p w14:paraId="3C005E34">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宋体" w:hAnsi="宋体" w:eastAsia="宋体" w:cs="宋体"/>
                <w:b w:val="0"/>
                <w:bCs w:val="0"/>
                <w:color w:val="auto"/>
                <w:sz w:val="24"/>
                <w:szCs w:val="24"/>
                <w:highlight w:val="none"/>
                <w:u w:val="none"/>
                <w:lang w:val="en-US" w:eastAsia="zh-CN"/>
              </w:rPr>
            </w:pPr>
            <w:r>
              <w:rPr>
                <w:rFonts w:hint="eastAsia" w:ascii="宋体" w:hAnsi="宋体" w:eastAsia="仿宋_GB2312" w:cs="宋体"/>
                <w:b w:val="0"/>
                <w:bCs w:val="0"/>
                <w:color w:val="auto"/>
                <w:sz w:val="24"/>
                <w:szCs w:val="24"/>
                <w:highlight w:val="none"/>
                <w:u w:val="none"/>
                <w:lang w:val="en-US" w:eastAsia="zh-CN"/>
              </w:rPr>
              <w:t>7</w:t>
            </w:r>
          </w:p>
        </w:tc>
        <w:tc>
          <w:tcPr>
            <w:tcW w:w="3843" w:type="dxa"/>
            <w:vAlign w:val="top"/>
          </w:tcPr>
          <w:p w14:paraId="2EFDCE4E">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 w:eastAsia="zh-CN"/>
              </w:rPr>
            </w:pPr>
          </w:p>
        </w:tc>
        <w:tc>
          <w:tcPr>
            <w:tcW w:w="2861" w:type="dxa"/>
            <w:vAlign w:val="top"/>
          </w:tcPr>
          <w:p w14:paraId="1AD5DF76">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 w:eastAsia="zh-CN"/>
              </w:rPr>
            </w:pPr>
          </w:p>
        </w:tc>
        <w:tc>
          <w:tcPr>
            <w:tcW w:w="993" w:type="dxa"/>
            <w:vAlign w:val="top"/>
          </w:tcPr>
          <w:p w14:paraId="67B541DD">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US" w:eastAsia="zh-CN"/>
              </w:rPr>
            </w:pPr>
          </w:p>
        </w:tc>
      </w:tr>
      <w:tr w14:paraId="226F4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top"/>
          </w:tcPr>
          <w:p w14:paraId="7EECAF51">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宋体" w:hAnsi="宋体" w:eastAsia="宋体" w:cs="宋体"/>
                <w:b w:val="0"/>
                <w:bCs w:val="0"/>
                <w:color w:val="auto"/>
                <w:sz w:val="24"/>
                <w:szCs w:val="24"/>
                <w:highlight w:val="none"/>
                <w:u w:val="none"/>
                <w:lang w:val="en-US" w:eastAsia="zh-CN"/>
              </w:rPr>
            </w:pPr>
            <w:r>
              <w:rPr>
                <w:rFonts w:hint="eastAsia" w:ascii="宋体" w:hAnsi="宋体" w:eastAsia="仿宋_GB2312" w:cs="宋体"/>
                <w:b w:val="0"/>
                <w:bCs w:val="0"/>
                <w:color w:val="auto"/>
                <w:sz w:val="24"/>
                <w:szCs w:val="24"/>
                <w:highlight w:val="none"/>
                <w:u w:val="none"/>
                <w:lang w:val="en-US" w:eastAsia="zh-CN"/>
              </w:rPr>
              <w:t>8</w:t>
            </w:r>
          </w:p>
        </w:tc>
        <w:tc>
          <w:tcPr>
            <w:tcW w:w="3843" w:type="dxa"/>
            <w:vAlign w:val="top"/>
          </w:tcPr>
          <w:p w14:paraId="5D3C0546">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 w:eastAsia="zh-CN"/>
              </w:rPr>
            </w:pPr>
          </w:p>
        </w:tc>
        <w:tc>
          <w:tcPr>
            <w:tcW w:w="2861" w:type="dxa"/>
            <w:vAlign w:val="top"/>
          </w:tcPr>
          <w:p w14:paraId="6086FA34">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 w:eastAsia="zh-CN"/>
              </w:rPr>
            </w:pPr>
          </w:p>
        </w:tc>
        <w:tc>
          <w:tcPr>
            <w:tcW w:w="993" w:type="dxa"/>
            <w:vAlign w:val="top"/>
          </w:tcPr>
          <w:p w14:paraId="5963F107">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US" w:eastAsia="zh-CN"/>
              </w:rPr>
            </w:pPr>
          </w:p>
        </w:tc>
      </w:tr>
      <w:tr w14:paraId="2865B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123" w:type="dxa"/>
            <w:vAlign w:val="top"/>
          </w:tcPr>
          <w:p w14:paraId="207B7F9E">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eastAsia" w:ascii="宋体" w:hAnsi="宋体" w:eastAsia="宋体" w:cs="宋体"/>
                <w:color w:val="auto"/>
                <w:sz w:val="24"/>
                <w:szCs w:val="24"/>
                <w:highlight w:val="none"/>
                <w:u w:val="none"/>
                <w:lang w:val="en-US" w:eastAsia="zh-CN"/>
              </w:rPr>
            </w:pPr>
            <w:r>
              <w:rPr>
                <w:rFonts w:hint="eastAsia" w:ascii="宋体" w:hAnsi="宋体" w:eastAsia="仿宋_GB2312" w:cs="宋体"/>
                <w:color w:val="auto"/>
                <w:sz w:val="24"/>
                <w:szCs w:val="24"/>
                <w:highlight w:val="none"/>
                <w:u w:val="none"/>
                <w:lang w:val="en-US" w:eastAsia="zh-CN"/>
              </w:rPr>
              <w:t>……</w:t>
            </w:r>
          </w:p>
        </w:tc>
        <w:tc>
          <w:tcPr>
            <w:tcW w:w="3843" w:type="dxa"/>
            <w:vAlign w:val="top"/>
          </w:tcPr>
          <w:p w14:paraId="4CBA1CDA">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 w:eastAsia="zh-CN"/>
              </w:rPr>
            </w:pPr>
          </w:p>
        </w:tc>
        <w:tc>
          <w:tcPr>
            <w:tcW w:w="2861" w:type="dxa"/>
            <w:vAlign w:val="top"/>
          </w:tcPr>
          <w:p w14:paraId="2B6A0F12">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 w:eastAsia="zh-CN"/>
              </w:rPr>
            </w:pPr>
          </w:p>
        </w:tc>
        <w:tc>
          <w:tcPr>
            <w:tcW w:w="993" w:type="dxa"/>
            <w:vAlign w:val="top"/>
          </w:tcPr>
          <w:p w14:paraId="174923B5">
            <w:pPr>
              <w:keepNext w:val="0"/>
              <w:keepLines w:val="0"/>
              <w:pageBreakBefore w:val="0"/>
              <w:widowControl w:val="0"/>
              <w:kinsoku/>
              <w:wordWrap/>
              <w:overflowPunct/>
              <w:topLinePunct w:val="0"/>
              <w:autoSpaceDE/>
              <w:autoSpaceDN/>
              <w:bidi w:val="0"/>
              <w:adjustRightInd/>
              <w:snapToGrid/>
              <w:spacing w:line="300" w:lineRule="exact"/>
              <w:ind w:left="0" w:leftChars="0"/>
              <w:textAlignment w:val="auto"/>
              <w:outlineLvl w:val="9"/>
              <w:rPr>
                <w:rFonts w:hint="eastAsia" w:ascii="宋体" w:hAnsi="宋体" w:cs="宋体"/>
                <w:color w:val="auto"/>
                <w:sz w:val="24"/>
                <w:szCs w:val="24"/>
                <w:highlight w:val="none"/>
                <w:u w:val="none"/>
                <w:vertAlign w:val="baseline"/>
                <w:lang w:val="en-US" w:eastAsia="zh-CN"/>
              </w:rPr>
            </w:pPr>
          </w:p>
        </w:tc>
      </w:tr>
    </w:tbl>
    <w:p w14:paraId="478F7346">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宋体" w:hAnsi="宋体" w:eastAsia="仿宋_GB2312" w:cs="宋体"/>
          <w:b w:val="0"/>
          <w:bCs w:val="0"/>
          <w:color w:val="auto"/>
          <w:sz w:val="21"/>
          <w:szCs w:val="21"/>
          <w:highlight w:val="none"/>
          <w:u w:val="none"/>
          <w:vertAlign w:val="baseline"/>
          <w:lang w:val="en-US" w:eastAsia="zh-CN"/>
        </w:rPr>
      </w:pPr>
      <w:r>
        <w:rPr>
          <w:rFonts w:hint="eastAsia" w:ascii="宋体" w:hAnsi="宋体" w:eastAsia="仿宋_GB2312" w:cs="宋体"/>
          <w:b w:val="0"/>
          <w:bCs w:val="0"/>
          <w:color w:val="auto"/>
          <w:sz w:val="21"/>
          <w:szCs w:val="21"/>
          <w:highlight w:val="none"/>
          <w:u w:val="none"/>
          <w:vertAlign w:val="baseline"/>
          <w:lang w:val="en-US" w:eastAsia="zh-CN"/>
        </w:rPr>
        <w:t>备注：1.项目资金末端分配点位包括县（市、区）、市级部门下属单位及一次性单位等。</w:t>
      </w:r>
    </w:p>
    <w:p w14:paraId="0A1D15D3">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630" w:firstLineChars="300"/>
        <w:jc w:val="left"/>
        <w:textAlignment w:val="auto"/>
        <w:rPr>
          <w:rFonts w:hint="eastAsia" w:ascii="宋体" w:hAnsi="宋体" w:eastAsia="仿宋_GB2312" w:cs="宋体"/>
          <w:b w:val="0"/>
          <w:bCs w:val="0"/>
          <w:color w:val="auto"/>
          <w:sz w:val="21"/>
          <w:szCs w:val="21"/>
          <w:highlight w:val="none"/>
          <w:u w:val="none"/>
          <w:vertAlign w:val="baseline"/>
          <w:lang w:val="en-US" w:eastAsia="zh-CN"/>
        </w:rPr>
      </w:pPr>
      <w:r>
        <w:rPr>
          <w:rFonts w:hint="eastAsia" w:ascii="宋体" w:hAnsi="宋体" w:eastAsia="仿宋_GB2312" w:cs="宋体"/>
          <w:b w:val="0"/>
          <w:bCs w:val="0"/>
          <w:color w:val="auto"/>
          <w:sz w:val="21"/>
          <w:szCs w:val="21"/>
          <w:highlight w:val="none"/>
          <w:u w:val="none"/>
          <w:vertAlign w:val="baseline"/>
          <w:lang w:val="en-US" w:eastAsia="zh-CN"/>
        </w:rPr>
        <w:t>2.自评得分（百分制）从高到低划分为优、良、中、差四个档次，各个档次数量占比分别为20%、20%、55%、5%，且不同档次间得分分值应体现差异化，同档次得分分值相同的比例不超过该档次总数量的10%。</w:t>
      </w:r>
    </w:p>
    <w:p w14:paraId="66DE2E56">
      <w:pPr>
        <w:rPr>
          <w:rFonts w:hint="eastAsia" w:ascii="Times New Roman" w:hAnsi="Times New Roman" w:eastAsia="仿宋_GB2312" w:cs="Times New Roman"/>
          <w:kern w:val="2"/>
          <w:sz w:val="32"/>
          <w:szCs w:val="24"/>
          <w:highlight w:val="none"/>
          <w:lang w:val="en-US" w:eastAsia="zh-CN" w:bidi="ar-SA"/>
        </w:rPr>
      </w:pPr>
      <w:r>
        <w:rPr>
          <w:rFonts w:hint="eastAsia" w:ascii="Times New Roman" w:hAnsi="Times New Roman" w:eastAsia="仿宋_GB2312" w:cs="Times New Roman"/>
          <w:kern w:val="2"/>
          <w:sz w:val="32"/>
          <w:szCs w:val="24"/>
          <w:highlight w:val="none"/>
          <w:lang w:val="en-US" w:eastAsia="zh-CN" w:bidi="ar-SA"/>
        </w:rPr>
        <w:br w:type="page"/>
      </w:r>
    </w:p>
    <w:p w14:paraId="7CAC852C">
      <w:pPr>
        <w:pStyle w:val="3"/>
        <w:keepNext w:val="0"/>
        <w:keepLines w:val="0"/>
        <w:pageBreakBefore w:val="0"/>
        <w:kinsoku/>
        <w:wordWrap/>
        <w:overflowPunct/>
        <w:topLinePunct w:val="0"/>
        <w:autoSpaceDE/>
        <w:autoSpaceDN/>
        <w:bidi w:val="0"/>
        <w:spacing w:after="0" w:line="578" w:lineRule="exact"/>
        <w:ind w:left="0" w:leftChars="0" w:firstLine="0" w:firstLineChars="0"/>
        <w:rPr>
          <w:rFonts w:hint="default" w:ascii="Times New Roman" w:hAnsi="Times New Roman" w:eastAsia="黑体" w:cs="Times New Roman"/>
          <w:kern w:val="2"/>
          <w:sz w:val="32"/>
          <w:szCs w:val="24"/>
          <w:highlight w:val="none"/>
          <w:lang w:val="en-US" w:eastAsia="zh-CN" w:bidi="ar-SA"/>
        </w:rPr>
      </w:pPr>
      <w:r>
        <w:rPr>
          <w:rFonts w:hint="default" w:ascii="Times New Roman" w:hAnsi="Times New Roman" w:eastAsia="黑体" w:cs="Times New Roman"/>
          <w:kern w:val="2"/>
          <w:sz w:val="32"/>
          <w:szCs w:val="24"/>
          <w:highlight w:val="none"/>
          <w:lang w:val="en-US" w:eastAsia="zh-CN" w:bidi="ar-SA"/>
        </w:rPr>
        <w:t>附表2</w:t>
      </w:r>
    </w:p>
    <w:p w14:paraId="3E82C90B">
      <w:pPr>
        <w:pStyle w:val="3"/>
        <w:keepNext w:val="0"/>
        <w:keepLines w:val="0"/>
        <w:pageBreakBefore w:val="0"/>
        <w:kinsoku/>
        <w:wordWrap/>
        <w:overflowPunct/>
        <w:topLinePunct w:val="0"/>
        <w:autoSpaceDE/>
        <w:autoSpaceDN/>
        <w:bidi w:val="0"/>
        <w:spacing w:after="0" w:line="578" w:lineRule="exact"/>
        <w:ind w:left="0" w:leftChars="0"/>
        <w:rPr>
          <w:rFonts w:hint="default" w:ascii="黑体" w:hAnsi="黑体" w:eastAsia="黑体" w:cs="黑体"/>
          <w:sz w:val="24"/>
          <w:szCs w:val="24"/>
          <w:highlight w:val="none"/>
          <w:lang w:val="en-US" w:eastAsia="zh-CN"/>
        </w:rPr>
      </w:pPr>
    </w:p>
    <w:tbl>
      <w:tblPr>
        <w:tblStyle w:val="2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06"/>
        <w:gridCol w:w="727"/>
        <w:gridCol w:w="732"/>
        <w:gridCol w:w="1986"/>
        <w:gridCol w:w="1078"/>
        <w:gridCol w:w="1028"/>
        <w:gridCol w:w="854"/>
        <w:gridCol w:w="864"/>
        <w:gridCol w:w="1086"/>
      </w:tblGrid>
      <w:tr w14:paraId="0930FB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000"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C04CF05">
            <w:pPr>
              <w:keepNext w:val="0"/>
              <w:keepLines w:val="0"/>
              <w:widowControl/>
              <w:suppressLineNumbers w:val="0"/>
              <w:jc w:val="center"/>
              <w:textAlignment w:val="center"/>
              <w:rPr>
                <w:rFonts w:ascii="方正小标宋简体" w:hAnsi="方正小标宋简体" w:eastAsia="方正小标宋简体" w:cs="方正小标宋简体"/>
                <w:i w:val="0"/>
                <w:iCs w:val="0"/>
                <w:color w:val="000000"/>
                <w:sz w:val="40"/>
                <w:szCs w:val="40"/>
                <w:u w:val="none"/>
              </w:rPr>
            </w:pPr>
            <w:r>
              <w:rPr>
                <w:rFonts w:hint="eastAsia" w:ascii="方正小标宋简体" w:hAnsi="方正小标宋简体" w:eastAsia="方正小标宋简体" w:cs="方正小标宋简体"/>
                <w:i w:val="0"/>
                <w:iCs w:val="0"/>
                <w:color w:val="000000"/>
                <w:kern w:val="0"/>
                <w:sz w:val="40"/>
                <w:szCs w:val="40"/>
                <w:u w:val="none"/>
                <w:lang w:val="en-US" w:eastAsia="zh-CN" w:bidi="ar"/>
              </w:rPr>
              <w:t>专项资金绩效目标完成情况自评表</w:t>
            </w:r>
          </w:p>
        </w:tc>
      </w:tr>
      <w:tr w14:paraId="602C41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2291"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DE16AB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项目名称</w:t>
            </w:r>
          </w:p>
        </w:tc>
        <w:tc>
          <w:tcPr>
            <w:tcW w:w="270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F28101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51090424T000011597787-遂财建【2024】8号增发国债水利补助资金（两中心五馆段防洪治理工程）</w:t>
            </w:r>
          </w:p>
        </w:tc>
      </w:tr>
      <w:tr w14:paraId="281F1D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2291"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540277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预算单位</w:t>
            </w:r>
          </w:p>
        </w:tc>
        <w:tc>
          <w:tcPr>
            <w:tcW w:w="270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B08B9B7">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仿宋_GB2312" w:cs="宋体"/>
                <w:i w:val="0"/>
                <w:iCs w:val="0"/>
                <w:color w:val="000000"/>
                <w:kern w:val="0"/>
                <w:sz w:val="24"/>
                <w:szCs w:val="24"/>
                <w:u w:val="none"/>
                <w:lang w:val="en-US" w:eastAsia="zh-CN" w:bidi="ar"/>
              </w:rPr>
              <w:t>遂宁市安居区水利局</w:t>
            </w:r>
          </w:p>
        </w:tc>
      </w:tr>
      <w:tr w14:paraId="37CD74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2291"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DE42D8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项目类型</w:t>
            </w:r>
          </w:p>
        </w:tc>
        <w:tc>
          <w:tcPr>
            <w:tcW w:w="270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142FD3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阶段性项目</w:t>
            </w:r>
          </w:p>
        </w:tc>
      </w:tr>
      <w:tr w14:paraId="365BE4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39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7C3DB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项目 概况</w:t>
            </w:r>
          </w:p>
        </w:tc>
        <w:tc>
          <w:tcPr>
            <w:tcW w:w="1900"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81B16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中长期规划（名称、文号，仅指常年项目）</w:t>
            </w:r>
          </w:p>
        </w:tc>
        <w:tc>
          <w:tcPr>
            <w:tcW w:w="2708" w:type="pct"/>
            <w:gridSpan w:val="5"/>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48F15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《四川省财政厅 四川省水利厅关于印发&lt;四川省水利发展资金管理办法&gt;的通知》（川财农〔2023〕29号）《遂宁市水利监督管理实施办法（试行）》，遂财农【2024】1号</w:t>
            </w:r>
          </w:p>
        </w:tc>
      </w:tr>
      <w:tr w14:paraId="32B2DA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25" w:hRule="atLeast"/>
        </w:trPr>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C5F5DB">
            <w:pPr>
              <w:jc w:val="center"/>
              <w:rPr>
                <w:rFonts w:hint="eastAsia" w:ascii="宋体" w:hAnsi="宋体" w:eastAsia="宋体" w:cs="宋体"/>
                <w:i w:val="0"/>
                <w:iCs w:val="0"/>
                <w:color w:val="000000"/>
                <w:sz w:val="24"/>
                <w:szCs w:val="24"/>
                <w:u w:val="none"/>
              </w:rPr>
            </w:pPr>
          </w:p>
        </w:tc>
        <w:tc>
          <w:tcPr>
            <w:tcW w:w="1900"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F0C199">
            <w:pPr>
              <w:jc w:val="center"/>
              <w:rPr>
                <w:rFonts w:hint="eastAsia" w:ascii="宋体" w:hAnsi="宋体" w:eastAsia="宋体" w:cs="宋体"/>
                <w:i w:val="0"/>
                <w:iCs w:val="0"/>
                <w:color w:val="000000"/>
                <w:sz w:val="24"/>
                <w:szCs w:val="24"/>
                <w:u w:val="none"/>
              </w:rPr>
            </w:pPr>
          </w:p>
        </w:tc>
        <w:tc>
          <w:tcPr>
            <w:tcW w:w="2708" w:type="pct"/>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01B6E8">
            <w:pPr>
              <w:jc w:val="center"/>
              <w:rPr>
                <w:rFonts w:hint="eastAsia" w:ascii="宋体" w:hAnsi="宋体" w:eastAsia="宋体" w:cs="宋体"/>
                <w:i w:val="0"/>
                <w:iCs w:val="0"/>
                <w:color w:val="000000"/>
                <w:sz w:val="24"/>
                <w:szCs w:val="24"/>
                <w:u w:val="none"/>
              </w:rPr>
            </w:pPr>
          </w:p>
        </w:tc>
      </w:tr>
      <w:tr w14:paraId="2191F9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51E97D">
            <w:pPr>
              <w:jc w:val="center"/>
              <w:rPr>
                <w:rFonts w:hint="eastAsia" w:ascii="宋体" w:hAnsi="宋体" w:eastAsia="宋体" w:cs="宋体"/>
                <w:i w:val="0"/>
                <w:iCs w:val="0"/>
                <w:color w:val="000000"/>
                <w:sz w:val="24"/>
                <w:szCs w:val="24"/>
                <w:u w:val="none"/>
              </w:rPr>
            </w:pPr>
          </w:p>
        </w:tc>
        <w:tc>
          <w:tcPr>
            <w:tcW w:w="190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C38798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资金管理办法（名称、文号）</w:t>
            </w:r>
          </w:p>
        </w:tc>
        <w:tc>
          <w:tcPr>
            <w:tcW w:w="270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94174C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遂财农【2024】1号、《单位内部控制管理制度》</w:t>
            </w:r>
          </w:p>
        </w:tc>
      </w:tr>
      <w:tr w14:paraId="3D671B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0" w:hRule="atLeast"/>
        </w:trPr>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5C151C">
            <w:pPr>
              <w:jc w:val="center"/>
              <w:rPr>
                <w:rFonts w:hint="eastAsia" w:ascii="宋体" w:hAnsi="宋体" w:eastAsia="宋体" w:cs="宋体"/>
                <w:i w:val="0"/>
                <w:iCs w:val="0"/>
                <w:color w:val="000000"/>
                <w:sz w:val="24"/>
                <w:szCs w:val="24"/>
                <w:u w:val="none"/>
              </w:rPr>
            </w:pPr>
          </w:p>
        </w:tc>
        <w:tc>
          <w:tcPr>
            <w:tcW w:w="190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43C64C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绩效分配方式</w:t>
            </w:r>
          </w:p>
        </w:tc>
        <w:tc>
          <w:tcPr>
            <w:tcW w:w="5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FDD07D">
            <w:pPr>
              <w:keepNext w:val="0"/>
              <w:keepLines w:val="0"/>
              <w:widowControl/>
              <w:suppressLineNumbers w:val="0"/>
              <w:jc w:val="center"/>
              <w:textAlignment w:val="center"/>
              <w:rPr>
                <w:rFonts w:ascii="Wingdings 2" w:hAnsi="Wingdings 2" w:eastAsia="Wingdings 2" w:cs="Wingdings 2"/>
                <w:i w:val="0"/>
                <w:iCs w:val="0"/>
                <w:color w:val="000000"/>
                <w:sz w:val="24"/>
                <w:szCs w:val="24"/>
                <w:u w:val="none"/>
              </w:rPr>
            </w:pPr>
            <w:r>
              <w:rPr>
                <w:rStyle w:val="53"/>
                <w:lang w:val="en-US" w:eastAsia="zh-CN" w:bidi="ar"/>
              </w:rPr>
              <w:t>£</w:t>
            </w:r>
            <w:r>
              <w:rPr>
                <w:rStyle w:val="54"/>
                <w:rFonts w:eastAsia="仿宋_GB2312"/>
                <w:lang w:val="en-US" w:eastAsia="zh-CN" w:bidi="ar"/>
              </w:rPr>
              <w:t>因素法</w:t>
            </w:r>
          </w:p>
        </w:tc>
        <w:tc>
          <w:tcPr>
            <w:tcW w:w="103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72407D">
            <w:pPr>
              <w:keepNext w:val="0"/>
              <w:keepLines w:val="0"/>
              <w:widowControl/>
              <w:suppressLineNumbers w:val="0"/>
              <w:jc w:val="center"/>
              <w:textAlignment w:val="center"/>
              <w:rPr>
                <w:rFonts w:hint="default" w:ascii="Wingdings 2" w:hAnsi="Wingdings 2" w:eastAsia="Wingdings 2" w:cs="Wingdings 2"/>
                <w:i w:val="0"/>
                <w:iCs w:val="0"/>
                <w:color w:val="000000"/>
                <w:sz w:val="24"/>
                <w:szCs w:val="24"/>
                <w:u w:val="none"/>
              </w:rPr>
            </w:pPr>
            <w:r>
              <w:rPr>
                <w:rFonts w:hint="default" w:ascii="Wingdings 2" w:hAnsi="Wingdings 2" w:eastAsia="Wingdings 2" w:cs="Wingdings 2"/>
                <w:i w:val="0"/>
                <w:iCs w:val="0"/>
                <w:color w:val="000000"/>
                <w:kern w:val="0"/>
                <w:sz w:val="24"/>
                <w:szCs w:val="24"/>
                <w:u w:val="none"/>
                <w:lang w:val="en-US" w:eastAsia="zh-CN" w:bidi="ar"/>
              </w:rPr>
              <w:t>£项目法</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A14C5D">
            <w:pPr>
              <w:keepNext w:val="0"/>
              <w:keepLines w:val="0"/>
              <w:widowControl/>
              <w:suppressLineNumbers w:val="0"/>
              <w:jc w:val="center"/>
              <w:textAlignment w:val="center"/>
              <w:rPr>
                <w:rFonts w:hint="default" w:ascii="Wingdings 2" w:hAnsi="Wingdings 2" w:eastAsia="Wingdings 2" w:cs="Wingdings 2"/>
                <w:i w:val="0"/>
                <w:iCs w:val="0"/>
                <w:color w:val="000000"/>
                <w:sz w:val="24"/>
                <w:szCs w:val="24"/>
                <w:u w:val="none"/>
              </w:rPr>
            </w:pPr>
            <w:r>
              <w:rPr>
                <w:rStyle w:val="53"/>
                <w:lang w:val="en-US" w:eastAsia="zh-CN" w:bidi="ar"/>
              </w:rPr>
              <w:t>R</w:t>
            </w:r>
            <w:r>
              <w:rPr>
                <w:rStyle w:val="54"/>
                <w:rFonts w:eastAsia="仿宋_GB2312"/>
                <w:lang w:val="en-US" w:eastAsia="zh-CN" w:bidi="ar"/>
              </w:rPr>
              <w:t>据实据效</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6F0D31">
            <w:pPr>
              <w:keepNext w:val="0"/>
              <w:keepLines w:val="0"/>
              <w:widowControl/>
              <w:suppressLineNumbers w:val="0"/>
              <w:jc w:val="center"/>
              <w:textAlignment w:val="center"/>
              <w:rPr>
                <w:rFonts w:hint="default" w:ascii="Wingdings 2" w:hAnsi="Wingdings 2" w:eastAsia="Wingdings 2" w:cs="Wingdings 2"/>
                <w:i w:val="0"/>
                <w:iCs w:val="0"/>
                <w:color w:val="000000"/>
                <w:sz w:val="24"/>
                <w:szCs w:val="24"/>
                <w:u w:val="none"/>
              </w:rPr>
            </w:pPr>
            <w:r>
              <w:rPr>
                <w:rStyle w:val="53"/>
                <w:lang w:val="en-US" w:eastAsia="zh-CN" w:bidi="ar"/>
              </w:rPr>
              <w:t>£</w:t>
            </w:r>
            <w:r>
              <w:rPr>
                <w:rStyle w:val="54"/>
                <w:rFonts w:eastAsia="仿宋_GB2312"/>
                <w:lang w:val="en-US" w:eastAsia="zh-CN" w:bidi="ar"/>
              </w:rPr>
              <w:t>因素法与项目法相结合</w:t>
            </w:r>
          </w:p>
        </w:tc>
      </w:tr>
      <w:tr w14:paraId="54307D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5B3ABA">
            <w:pPr>
              <w:jc w:val="center"/>
              <w:rPr>
                <w:rFonts w:hint="eastAsia" w:ascii="宋体" w:hAnsi="宋体" w:eastAsia="宋体" w:cs="宋体"/>
                <w:i w:val="0"/>
                <w:iCs w:val="0"/>
                <w:color w:val="000000"/>
                <w:sz w:val="24"/>
                <w:szCs w:val="24"/>
                <w:u w:val="none"/>
              </w:rPr>
            </w:pPr>
          </w:p>
        </w:tc>
        <w:tc>
          <w:tcPr>
            <w:tcW w:w="190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7842C0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立项依据</w:t>
            </w:r>
          </w:p>
        </w:tc>
        <w:tc>
          <w:tcPr>
            <w:tcW w:w="270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D15403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遂财农【2024】1号</w:t>
            </w:r>
          </w:p>
        </w:tc>
      </w:tr>
      <w:tr w14:paraId="1D359C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A8F9CE">
            <w:pPr>
              <w:jc w:val="center"/>
              <w:rPr>
                <w:rFonts w:hint="eastAsia" w:ascii="宋体" w:hAnsi="宋体" w:eastAsia="宋体" w:cs="宋体"/>
                <w:i w:val="0"/>
                <w:iCs w:val="0"/>
                <w:color w:val="000000"/>
                <w:sz w:val="24"/>
                <w:szCs w:val="24"/>
                <w:u w:val="none"/>
              </w:rPr>
            </w:pPr>
          </w:p>
        </w:tc>
        <w:tc>
          <w:tcPr>
            <w:tcW w:w="190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188ED9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使用范围</w:t>
            </w:r>
          </w:p>
        </w:tc>
        <w:tc>
          <w:tcPr>
            <w:tcW w:w="270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8F47CE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该项目支持方向主要为灌区续建配套与节水改造</w:t>
            </w:r>
          </w:p>
        </w:tc>
      </w:tr>
      <w:tr w14:paraId="71BAA2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B41B09">
            <w:pPr>
              <w:jc w:val="center"/>
              <w:rPr>
                <w:rFonts w:hint="eastAsia" w:ascii="宋体" w:hAnsi="宋体" w:eastAsia="宋体" w:cs="宋体"/>
                <w:i w:val="0"/>
                <w:iCs w:val="0"/>
                <w:color w:val="000000"/>
                <w:sz w:val="24"/>
                <w:szCs w:val="24"/>
                <w:u w:val="none"/>
              </w:rPr>
            </w:pPr>
          </w:p>
        </w:tc>
        <w:tc>
          <w:tcPr>
            <w:tcW w:w="190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761A70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申报（补助）条件</w:t>
            </w:r>
          </w:p>
        </w:tc>
        <w:tc>
          <w:tcPr>
            <w:tcW w:w="270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CD0883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上级安排项目</w:t>
            </w:r>
          </w:p>
        </w:tc>
      </w:tr>
      <w:tr w14:paraId="7BA22E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470FB5">
            <w:pPr>
              <w:jc w:val="center"/>
              <w:rPr>
                <w:rFonts w:hint="eastAsia" w:ascii="宋体" w:hAnsi="宋体" w:eastAsia="宋体" w:cs="宋体"/>
                <w:i w:val="0"/>
                <w:iCs w:val="0"/>
                <w:color w:val="000000"/>
                <w:sz w:val="24"/>
                <w:szCs w:val="24"/>
                <w:u w:val="none"/>
              </w:rPr>
            </w:pPr>
          </w:p>
        </w:tc>
        <w:tc>
          <w:tcPr>
            <w:tcW w:w="190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612E8A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项目起止年限</w:t>
            </w:r>
          </w:p>
        </w:tc>
        <w:tc>
          <w:tcPr>
            <w:tcW w:w="270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9C936A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2024.01.01-2024.12.31</w:t>
            </w:r>
          </w:p>
        </w:tc>
      </w:tr>
      <w:tr w14:paraId="338739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791"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772D7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项目资金</w:t>
            </w:r>
            <w:r>
              <w:rPr>
                <w:rFonts w:hint="eastAsia" w:ascii="宋体" w:hAnsi="宋体" w:eastAsia="仿宋_GB2312" w:cs="宋体"/>
                <w:i w:val="0"/>
                <w:iCs w:val="0"/>
                <w:color w:val="000000"/>
                <w:kern w:val="0"/>
                <w:sz w:val="24"/>
                <w:szCs w:val="24"/>
                <w:u w:val="none"/>
                <w:lang w:val="en-US" w:eastAsia="zh-CN" w:bidi="ar"/>
              </w:rPr>
              <w:br w:type="textWrapping"/>
            </w:r>
            <w:r>
              <w:rPr>
                <w:rFonts w:hint="eastAsia" w:ascii="宋体" w:hAnsi="宋体" w:eastAsia="仿宋_GB2312" w:cs="宋体"/>
                <w:i w:val="0"/>
                <w:iCs w:val="0"/>
                <w:color w:val="000000"/>
                <w:kern w:val="0"/>
                <w:sz w:val="24"/>
                <w:szCs w:val="24"/>
                <w:u w:val="none"/>
                <w:lang w:val="en-US" w:eastAsia="zh-CN" w:bidi="ar"/>
              </w:rPr>
              <w:t>（万元）</w:t>
            </w:r>
          </w:p>
        </w:tc>
        <w:tc>
          <w:tcPr>
            <w:tcW w:w="149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47C69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 xml:space="preserve">  年度资金总额：</w:t>
            </w:r>
          </w:p>
        </w:tc>
        <w:tc>
          <w:tcPr>
            <w:tcW w:w="270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7479F12">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仿宋_GB2312" w:cs="宋体"/>
                <w:i w:val="0"/>
                <w:iCs w:val="0"/>
                <w:color w:val="000000"/>
                <w:kern w:val="0"/>
                <w:sz w:val="24"/>
                <w:szCs w:val="24"/>
                <w:u w:val="none"/>
                <w:lang w:val="en-US" w:eastAsia="zh-CN" w:bidi="ar"/>
              </w:rPr>
              <w:t>25700000.00</w:t>
            </w:r>
          </w:p>
        </w:tc>
      </w:tr>
      <w:tr w14:paraId="027D3A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791"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F10624">
            <w:pPr>
              <w:jc w:val="center"/>
              <w:rPr>
                <w:rFonts w:hint="eastAsia" w:ascii="宋体" w:hAnsi="宋体" w:eastAsia="宋体" w:cs="宋体"/>
                <w:i w:val="0"/>
                <w:iCs w:val="0"/>
                <w:color w:val="000000"/>
                <w:sz w:val="24"/>
                <w:szCs w:val="24"/>
                <w:u w:val="none"/>
              </w:rPr>
            </w:pPr>
          </w:p>
        </w:tc>
        <w:tc>
          <w:tcPr>
            <w:tcW w:w="149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903C2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4"/>
                <w:rFonts w:eastAsia="仿宋_GB2312"/>
                <w:lang w:val="en-US" w:eastAsia="zh-CN" w:bidi="ar"/>
              </w:rPr>
              <w:t xml:space="preserve">      其中：财政拨款</w:t>
            </w:r>
          </w:p>
        </w:tc>
        <w:tc>
          <w:tcPr>
            <w:tcW w:w="270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D29FA4A">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仿宋_GB2312" w:cs="宋体"/>
                <w:i w:val="0"/>
                <w:iCs w:val="0"/>
                <w:color w:val="000000"/>
                <w:kern w:val="0"/>
                <w:sz w:val="24"/>
                <w:szCs w:val="24"/>
                <w:u w:val="none"/>
                <w:lang w:val="en-US" w:eastAsia="zh-CN" w:bidi="ar"/>
              </w:rPr>
              <w:t>25700000.00</w:t>
            </w:r>
          </w:p>
        </w:tc>
      </w:tr>
      <w:tr w14:paraId="253084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791"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87E7B7">
            <w:pPr>
              <w:jc w:val="center"/>
              <w:rPr>
                <w:rFonts w:hint="eastAsia" w:ascii="宋体" w:hAnsi="宋体" w:eastAsia="宋体" w:cs="宋体"/>
                <w:i w:val="0"/>
                <w:iCs w:val="0"/>
                <w:color w:val="000000"/>
                <w:sz w:val="24"/>
                <w:szCs w:val="24"/>
                <w:u w:val="none"/>
              </w:rPr>
            </w:pPr>
          </w:p>
        </w:tc>
        <w:tc>
          <w:tcPr>
            <w:tcW w:w="149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9E44AD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 xml:space="preserve">            其他资金</w:t>
            </w:r>
          </w:p>
        </w:tc>
        <w:tc>
          <w:tcPr>
            <w:tcW w:w="270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04CC1B5">
            <w:pPr>
              <w:jc w:val="center"/>
              <w:rPr>
                <w:rFonts w:hint="eastAsia" w:ascii="宋体" w:hAnsi="宋体" w:eastAsia="宋体" w:cs="宋体"/>
                <w:i w:val="0"/>
                <w:iCs w:val="0"/>
                <w:color w:val="000000"/>
                <w:sz w:val="24"/>
                <w:szCs w:val="24"/>
                <w:u w:val="none"/>
              </w:rPr>
            </w:pPr>
          </w:p>
        </w:tc>
      </w:tr>
      <w:tr w14:paraId="458B7F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39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9E127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总体目标</w:t>
            </w:r>
          </w:p>
        </w:tc>
        <w:tc>
          <w:tcPr>
            <w:tcW w:w="4609"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F80C5C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年度目标</w:t>
            </w:r>
          </w:p>
        </w:tc>
      </w:tr>
      <w:tr w14:paraId="0793AE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6" w:hRule="atLeast"/>
        </w:trPr>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FF448F">
            <w:pPr>
              <w:jc w:val="center"/>
              <w:rPr>
                <w:rFonts w:hint="eastAsia" w:ascii="宋体" w:hAnsi="宋体" w:eastAsia="宋体" w:cs="宋体"/>
                <w:i w:val="0"/>
                <w:iCs w:val="0"/>
                <w:color w:val="000000"/>
                <w:sz w:val="24"/>
                <w:szCs w:val="24"/>
                <w:u w:val="none"/>
              </w:rPr>
            </w:pPr>
          </w:p>
        </w:tc>
        <w:tc>
          <w:tcPr>
            <w:tcW w:w="4609"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950E1A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新生水库灌区续建配套与节水改造</w:t>
            </w:r>
          </w:p>
        </w:tc>
      </w:tr>
      <w:tr w14:paraId="000F26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0" w:hRule="atLeast"/>
        </w:trPr>
        <w:tc>
          <w:tcPr>
            <w:tcW w:w="39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CCAC9B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绩效 指标</w:t>
            </w:r>
          </w:p>
        </w:tc>
        <w:tc>
          <w:tcPr>
            <w:tcW w:w="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22B33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一级指标</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DBE60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二级指标</w:t>
            </w:r>
          </w:p>
        </w:tc>
        <w:tc>
          <w:tcPr>
            <w:tcW w:w="10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BCB78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三级指标</w:t>
            </w:r>
          </w:p>
        </w:tc>
        <w:tc>
          <w:tcPr>
            <w:tcW w:w="5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AF2A5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指标性质</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30414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指标值</w:t>
            </w: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97575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度量单位</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F257D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权重</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9555D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实际完成指标值</w:t>
            </w:r>
          </w:p>
        </w:tc>
      </w:tr>
      <w:tr w14:paraId="58A50E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3079AD">
            <w:pPr>
              <w:jc w:val="center"/>
              <w:rPr>
                <w:rFonts w:hint="eastAsia" w:ascii="宋体" w:hAnsi="宋体" w:eastAsia="宋体" w:cs="宋体"/>
                <w:i w:val="0"/>
                <w:iCs w:val="0"/>
                <w:color w:val="000000"/>
                <w:sz w:val="24"/>
                <w:szCs w:val="24"/>
                <w:u w:val="none"/>
              </w:rPr>
            </w:pPr>
          </w:p>
        </w:tc>
        <w:tc>
          <w:tcPr>
            <w:tcW w:w="40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70E46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产出指标</w:t>
            </w:r>
          </w:p>
        </w:tc>
        <w:tc>
          <w:tcPr>
            <w:tcW w:w="404" w:type="pct"/>
            <w:tcBorders>
              <w:top w:val="single" w:color="000000" w:sz="4" w:space="0"/>
              <w:left w:val="single" w:color="000000" w:sz="4" w:space="0"/>
              <w:right w:val="single" w:color="000000" w:sz="4" w:space="0"/>
            </w:tcBorders>
            <w:shd w:val="clear" w:color="auto" w:fill="auto"/>
            <w:vAlign w:val="center"/>
          </w:tcPr>
          <w:p w14:paraId="4840BC6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数量指标</w:t>
            </w:r>
          </w:p>
        </w:tc>
        <w:tc>
          <w:tcPr>
            <w:tcW w:w="10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C93BF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流域面积200-3000平方公里中小河流流域长度</w:t>
            </w:r>
          </w:p>
        </w:tc>
        <w:tc>
          <w:tcPr>
            <w:tcW w:w="5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B47C7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170B8D">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6</w:t>
            </w: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ABA14E">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公里</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981C00">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10</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44A447">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7公里</w:t>
            </w:r>
          </w:p>
        </w:tc>
      </w:tr>
      <w:tr w14:paraId="4BD6F6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B1F2E3">
            <w:pPr>
              <w:jc w:val="center"/>
              <w:rPr>
                <w:rFonts w:hint="eastAsia" w:ascii="宋体" w:hAnsi="宋体" w:eastAsia="宋体" w:cs="宋体"/>
                <w:i w:val="0"/>
                <w:iCs w:val="0"/>
                <w:color w:val="000000"/>
                <w:sz w:val="24"/>
                <w:szCs w:val="24"/>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FAB35F">
            <w:pPr>
              <w:jc w:val="center"/>
              <w:rPr>
                <w:rFonts w:hint="eastAsia" w:ascii="宋体" w:hAnsi="宋体" w:eastAsia="宋体" w:cs="宋体"/>
                <w:i w:val="0"/>
                <w:iCs w:val="0"/>
                <w:color w:val="000000"/>
                <w:sz w:val="24"/>
                <w:szCs w:val="24"/>
                <w:u w:val="none"/>
              </w:rPr>
            </w:pP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9DA55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质量指标</w:t>
            </w:r>
          </w:p>
        </w:tc>
        <w:tc>
          <w:tcPr>
            <w:tcW w:w="10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60DFE6">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工程验收合格率</w:t>
            </w:r>
          </w:p>
        </w:tc>
        <w:tc>
          <w:tcPr>
            <w:tcW w:w="5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9B2A5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276F8F">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90</w:t>
            </w: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9294B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20E345">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10</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B52068">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100%</w:t>
            </w:r>
          </w:p>
        </w:tc>
      </w:tr>
      <w:tr w14:paraId="74CB83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7" w:hRule="atLeast"/>
        </w:trPr>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44892E">
            <w:pPr>
              <w:jc w:val="center"/>
              <w:rPr>
                <w:rFonts w:hint="eastAsia" w:ascii="宋体" w:hAnsi="宋体" w:eastAsia="宋体" w:cs="宋体"/>
                <w:i w:val="0"/>
                <w:iCs w:val="0"/>
                <w:color w:val="000000"/>
                <w:sz w:val="24"/>
                <w:szCs w:val="24"/>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7695E4">
            <w:pPr>
              <w:jc w:val="center"/>
              <w:rPr>
                <w:rFonts w:hint="eastAsia" w:ascii="宋体" w:hAnsi="宋体" w:eastAsia="宋体" w:cs="宋体"/>
                <w:i w:val="0"/>
                <w:iCs w:val="0"/>
                <w:color w:val="000000"/>
                <w:sz w:val="24"/>
                <w:szCs w:val="24"/>
                <w:u w:val="none"/>
              </w:rPr>
            </w:pP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54642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时效指标</w:t>
            </w:r>
          </w:p>
        </w:tc>
        <w:tc>
          <w:tcPr>
            <w:tcW w:w="10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1BED5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资金拨付及时率</w:t>
            </w:r>
          </w:p>
        </w:tc>
        <w:tc>
          <w:tcPr>
            <w:tcW w:w="5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A2E34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FF2324">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10</w:t>
            </w: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46C54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工作日</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5FDB94">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10</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93D886">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10个工作日</w:t>
            </w:r>
          </w:p>
        </w:tc>
      </w:tr>
      <w:tr w14:paraId="6214B8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D8C344">
            <w:pPr>
              <w:jc w:val="center"/>
              <w:rPr>
                <w:rFonts w:hint="eastAsia" w:ascii="宋体" w:hAnsi="宋体" w:eastAsia="宋体" w:cs="宋体"/>
                <w:i w:val="0"/>
                <w:iCs w:val="0"/>
                <w:color w:val="000000"/>
                <w:sz w:val="24"/>
                <w:szCs w:val="24"/>
                <w:u w:val="none"/>
              </w:rPr>
            </w:pPr>
          </w:p>
        </w:tc>
        <w:tc>
          <w:tcPr>
            <w:tcW w:w="40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8BF3A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效益指标</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0FED18">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仿宋_GB2312" w:cs="宋体"/>
                <w:i w:val="0"/>
                <w:iCs w:val="0"/>
                <w:color w:val="000000"/>
                <w:kern w:val="0"/>
                <w:sz w:val="24"/>
                <w:szCs w:val="24"/>
                <w:u w:val="none"/>
                <w:lang w:val="en-US" w:eastAsia="zh-CN" w:bidi="ar"/>
              </w:rPr>
              <w:t>社会效益指标</w:t>
            </w:r>
          </w:p>
        </w:tc>
        <w:tc>
          <w:tcPr>
            <w:tcW w:w="10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208DB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水土流失综合治理面积15平方公里</w:t>
            </w:r>
          </w:p>
        </w:tc>
        <w:tc>
          <w:tcPr>
            <w:tcW w:w="5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AAF87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3C2DD4">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15</w:t>
            </w: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3E7F94">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平方公里</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3E0FC7">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20</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9AD800">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15平方公里</w:t>
            </w:r>
          </w:p>
        </w:tc>
      </w:tr>
      <w:tr w14:paraId="4DFC1D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4" w:hRule="atLeast"/>
        </w:trPr>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149C58">
            <w:pPr>
              <w:jc w:val="center"/>
              <w:rPr>
                <w:rFonts w:hint="eastAsia" w:ascii="宋体" w:hAnsi="宋体" w:eastAsia="宋体" w:cs="宋体"/>
                <w:i w:val="0"/>
                <w:iCs w:val="0"/>
                <w:color w:val="000000"/>
                <w:sz w:val="24"/>
                <w:szCs w:val="24"/>
                <w:u w:val="none"/>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1ED26B">
            <w:pPr>
              <w:jc w:val="center"/>
              <w:rPr>
                <w:rFonts w:hint="eastAsia" w:ascii="宋体" w:hAnsi="宋体" w:eastAsia="宋体" w:cs="宋体"/>
                <w:i w:val="0"/>
                <w:iCs w:val="0"/>
                <w:color w:val="000000"/>
                <w:sz w:val="24"/>
                <w:szCs w:val="24"/>
                <w:u w:val="none"/>
              </w:rPr>
            </w:pP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34217D">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仿宋_GB2312" w:cs="宋体"/>
                <w:i w:val="0"/>
                <w:iCs w:val="0"/>
                <w:color w:val="000000"/>
                <w:kern w:val="0"/>
                <w:sz w:val="24"/>
                <w:szCs w:val="24"/>
                <w:u w:val="none"/>
                <w:lang w:val="en-US" w:eastAsia="zh-CN" w:bidi="ar"/>
              </w:rPr>
              <w:t>可持续影响指标</w:t>
            </w:r>
          </w:p>
        </w:tc>
        <w:tc>
          <w:tcPr>
            <w:tcW w:w="10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0D7E47">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已完工项目良性运行比例100%</w:t>
            </w:r>
          </w:p>
        </w:tc>
        <w:tc>
          <w:tcPr>
            <w:tcW w:w="5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8B515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定性</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47C0ED">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100</w:t>
            </w: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DC98D3">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100%</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968B85">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10</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713AD2">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100%</w:t>
            </w:r>
          </w:p>
        </w:tc>
      </w:tr>
      <w:tr w14:paraId="70725F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6456A2">
            <w:pPr>
              <w:jc w:val="center"/>
              <w:rPr>
                <w:rFonts w:hint="eastAsia" w:ascii="宋体" w:hAnsi="宋体" w:eastAsia="宋体" w:cs="宋体"/>
                <w:i w:val="0"/>
                <w:iCs w:val="0"/>
                <w:color w:val="000000"/>
                <w:sz w:val="24"/>
                <w:szCs w:val="24"/>
                <w:u w:val="none"/>
              </w:rPr>
            </w:pPr>
          </w:p>
        </w:tc>
        <w:tc>
          <w:tcPr>
            <w:tcW w:w="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8BECF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满意度指标</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61AA4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满意度指标</w:t>
            </w:r>
          </w:p>
        </w:tc>
        <w:tc>
          <w:tcPr>
            <w:tcW w:w="10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27604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受益群众满意度</w:t>
            </w:r>
          </w:p>
        </w:tc>
        <w:tc>
          <w:tcPr>
            <w:tcW w:w="5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18B8F3">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AF7558">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90</w:t>
            </w: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B03EE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85FC2E">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10</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BE56B7">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100%</w:t>
            </w:r>
          </w:p>
        </w:tc>
      </w:tr>
      <w:tr w14:paraId="4C9AF2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4AABBB">
            <w:pPr>
              <w:jc w:val="center"/>
              <w:rPr>
                <w:rFonts w:hint="eastAsia" w:ascii="宋体" w:hAnsi="宋体" w:eastAsia="宋体" w:cs="宋体"/>
                <w:i w:val="0"/>
                <w:iCs w:val="0"/>
                <w:color w:val="000000"/>
                <w:sz w:val="24"/>
                <w:szCs w:val="24"/>
                <w:u w:val="none"/>
              </w:rPr>
            </w:pPr>
          </w:p>
        </w:tc>
        <w:tc>
          <w:tcPr>
            <w:tcW w:w="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DBA6C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成本指标</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F880A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仿宋_GB2312" w:cs="宋体"/>
                <w:i w:val="0"/>
                <w:iCs w:val="0"/>
                <w:color w:val="000000"/>
                <w:kern w:val="0"/>
                <w:sz w:val="24"/>
                <w:szCs w:val="24"/>
                <w:u w:val="none"/>
                <w:lang w:val="en-US" w:eastAsia="zh-CN" w:bidi="ar"/>
              </w:rPr>
              <w:t>经济成本指标</w:t>
            </w:r>
          </w:p>
        </w:tc>
        <w:tc>
          <w:tcPr>
            <w:tcW w:w="10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C310B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总投资偏差率</w:t>
            </w:r>
          </w:p>
        </w:tc>
        <w:tc>
          <w:tcPr>
            <w:tcW w:w="5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29CDC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F80FF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5</w:t>
            </w: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25E8A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3CBAB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10</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A40520">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仿宋_GB2312" w:cs="宋体"/>
                <w:i w:val="0"/>
                <w:iCs w:val="0"/>
                <w:color w:val="000000"/>
                <w:kern w:val="0"/>
                <w:sz w:val="24"/>
                <w:szCs w:val="24"/>
                <w:u w:val="none"/>
                <w:lang w:val="en-US" w:eastAsia="zh-CN" w:bidi="ar"/>
              </w:rPr>
              <w:t>0%</w:t>
            </w:r>
          </w:p>
        </w:tc>
      </w:tr>
    </w:tbl>
    <w:p w14:paraId="0ACC31E9">
      <w:pPr>
        <w:pStyle w:val="3"/>
        <w:keepNext w:val="0"/>
        <w:keepLines w:val="0"/>
        <w:pageBreakBefore w:val="0"/>
        <w:kinsoku/>
        <w:wordWrap/>
        <w:overflowPunct/>
        <w:topLinePunct w:val="0"/>
        <w:autoSpaceDE/>
        <w:autoSpaceDN/>
        <w:bidi w:val="0"/>
        <w:spacing w:after="0" w:line="578" w:lineRule="exact"/>
        <w:ind w:left="0" w:leftChars="0"/>
        <w:rPr>
          <w:rFonts w:hint="default" w:ascii="黑体" w:hAnsi="黑体" w:eastAsia="黑体" w:cs="黑体"/>
          <w:sz w:val="24"/>
          <w:szCs w:val="24"/>
          <w:highlight w:val="none"/>
          <w:lang w:val="en-US" w:eastAsia="zh-CN"/>
        </w:rPr>
      </w:pPr>
    </w:p>
    <w:p w14:paraId="68F6CFF1">
      <w:pPr>
        <w:spacing w:line="600" w:lineRule="exact"/>
        <w:jc w:val="center"/>
        <w:outlineLvl w:val="0"/>
        <w:rPr>
          <w:rFonts w:hint="eastAsia" w:ascii="黑体" w:hAnsi="黑体" w:eastAsia="黑体"/>
          <w:color w:val="auto"/>
          <w:sz w:val="44"/>
          <w:szCs w:val="44"/>
          <w:highlight w:val="none"/>
        </w:rPr>
      </w:pPr>
    </w:p>
    <w:p w14:paraId="57CE1019">
      <w:pPr>
        <w:spacing w:line="600" w:lineRule="exact"/>
        <w:jc w:val="center"/>
        <w:outlineLvl w:val="0"/>
        <w:rPr>
          <w:rFonts w:hint="eastAsia" w:ascii="黑体" w:hAnsi="黑体" w:eastAsia="黑体"/>
          <w:color w:val="auto"/>
          <w:sz w:val="44"/>
          <w:szCs w:val="44"/>
          <w:highlight w:val="none"/>
        </w:rPr>
      </w:pPr>
    </w:p>
    <w:p w14:paraId="32988E9E">
      <w:pPr>
        <w:spacing w:line="600" w:lineRule="exact"/>
        <w:jc w:val="center"/>
        <w:outlineLvl w:val="0"/>
        <w:rPr>
          <w:rFonts w:hint="eastAsia" w:ascii="黑体" w:hAnsi="黑体" w:eastAsia="黑体"/>
          <w:color w:val="auto"/>
          <w:sz w:val="44"/>
          <w:szCs w:val="44"/>
          <w:highlight w:val="none"/>
        </w:rPr>
      </w:pPr>
    </w:p>
    <w:p w14:paraId="0D172F04">
      <w:pPr>
        <w:spacing w:line="600" w:lineRule="exact"/>
        <w:jc w:val="center"/>
        <w:outlineLvl w:val="0"/>
        <w:rPr>
          <w:rFonts w:hint="eastAsia" w:ascii="黑体" w:hAnsi="黑体" w:eastAsia="黑体"/>
          <w:color w:val="auto"/>
          <w:sz w:val="44"/>
          <w:szCs w:val="44"/>
          <w:highlight w:val="none"/>
        </w:rPr>
      </w:pPr>
    </w:p>
    <w:p w14:paraId="37BD8BF3">
      <w:pPr>
        <w:spacing w:line="600" w:lineRule="exact"/>
        <w:jc w:val="center"/>
        <w:outlineLvl w:val="0"/>
        <w:rPr>
          <w:rStyle w:val="38"/>
          <w:rFonts w:hint="eastAsia" w:ascii="黑体" w:hAnsi="黑体" w:eastAsia="黑体"/>
          <w:b w:val="0"/>
          <w:color w:val="auto"/>
          <w:highlight w:val="none"/>
        </w:rPr>
      </w:pPr>
      <w:bookmarkStart w:id="195" w:name="_Toc22782"/>
      <w:r>
        <w:rPr>
          <w:rFonts w:hint="eastAsia" w:ascii="黑体" w:hAnsi="黑体" w:eastAsia="黑体"/>
          <w:color w:val="auto"/>
          <w:sz w:val="44"/>
          <w:szCs w:val="44"/>
          <w:highlight w:val="none"/>
        </w:rPr>
        <w:t>第</w:t>
      </w:r>
      <w:r>
        <w:rPr>
          <w:rStyle w:val="38"/>
          <w:rFonts w:hint="eastAsia" w:ascii="黑体" w:hAnsi="黑体" w:eastAsia="黑体"/>
          <w:b w:val="0"/>
          <w:color w:val="auto"/>
          <w:highlight w:val="none"/>
        </w:rPr>
        <w:t>五部分 附表</w:t>
      </w:r>
      <w:bookmarkEnd w:id="166"/>
      <w:bookmarkEnd w:id="170"/>
      <w:bookmarkEnd w:id="189"/>
      <w:bookmarkEnd w:id="190"/>
      <w:bookmarkEnd w:id="195"/>
      <w:bookmarkStart w:id="196" w:name="_Toc15396619"/>
    </w:p>
    <w:p w14:paraId="755D932E">
      <w:pPr>
        <w:pStyle w:val="2"/>
        <w:rPr>
          <w:rFonts w:hint="eastAsia" w:eastAsia="仿宋_GB2312"/>
        </w:rPr>
      </w:pPr>
    </w:p>
    <w:p w14:paraId="6D19ED58">
      <w:pPr>
        <w:pStyle w:val="6"/>
        <w:keepNext w:val="0"/>
        <w:keepLines w:val="0"/>
        <w:spacing w:before="0" w:after="0" w:line="560" w:lineRule="exact"/>
        <w:rPr>
          <w:rFonts w:ascii="仿宋" w:hAnsi="仿宋" w:eastAsia="仿宋"/>
          <w:color w:val="auto"/>
          <w:highlight w:val="none"/>
        </w:rPr>
      </w:pPr>
      <w:bookmarkStart w:id="197" w:name="_Toc27462_WPSOffice_Level2"/>
      <w:bookmarkStart w:id="198" w:name="_Toc318"/>
      <w:bookmarkStart w:id="199" w:name="_Toc5945"/>
      <w:r>
        <w:rPr>
          <w:rFonts w:hint="eastAsia" w:ascii="仿宋" w:hAnsi="仿宋" w:eastAsia="仿宋"/>
          <w:b w:val="0"/>
          <w:color w:val="auto"/>
          <w:highlight w:val="none"/>
        </w:rPr>
        <w:t>一、收</w:t>
      </w:r>
      <w:r>
        <w:rPr>
          <w:rStyle w:val="39"/>
          <w:rFonts w:hint="eastAsia" w:ascii="仿宋" w:hAnsi="仿宋" w:eastAsia="仿宋"/>
          <w:b w:val="0"/>
          <w:bCs w:val="0"/>
          <w:color w:val="auto"/>
          <w:highlight w:val="none"/>
        </w:rPr>
        <w:t>入支出决算总表</w:t>
      </w:r>
      <w:bookmarkEnd w:id="196"/>
      <w:bookmarkEnd w:id="197"/>
      <w:bookmarkEnd w:id="198"/>
      <w:bookmarkEnd w:id="199"/>
    </w:p>
    <w:p w14:paraId="3CF8368C">
      <w:pPr>
        <w:pStyle w:val="6"/>
        <w:keepNext w:val="0"/>
        <w:keepLines w:val="0"/>
        <w:spacing w:before="0" w:after="0" w:line="560" w:lineRule="exact"/>
        <w:rPr>
          <w:rFonts w:ascii="仿宋" w:hAnsi="仿宋" w:eastAsia="仿宋"/>
          <w:color w:val="auto"/>
          <w:highlight w:val="none"/>
        </w:rPr>
      </w:pPr>
      <w:bookmarkStart w:id="200" w:name="_Toc20892_WPSOffice_Level2"/>
      <w:bookmarkStart w:id="201" w:name="_Toc15396620"/>
      <w:bookmarkStart w:id="202" w:name="_Toc29024"/>
      <w:bookmarkStart w:id="203" w:name="_Toc12675"/>
      <w:r>
        <w:rPr>
          <w:rFonts w:hint="eastAsia" w:ascii="仿宋" w:hAnsi="仿宋" w:eastAsia="仿宋"/>
          <w:b w:val="0"/>
          <w:color w:val="auto"/>
          <w:highlight w:val="none"/>
        </w:rPr>
        <w:t>二、收</w:t>
      </w:r>
      <w:r>
        <w:rPr>
          <w:rStyle w:val="39"/>
          <w:rFonts w:hint="eastAsia" w:ascii="仿宋" w:hAnsi="仿宋" w:eastAsia="仿宋"/>
          <w:b w:val="0"/>
          <w:bCs w:val="0"/>
          <w:color w:val="auto"/>
          <w:highlight w:val="none"/>
        </w:rPr>
        <w:t>入决算表</w:t>
      </w:r>
      <w:bookmarkEnd w:id="200"/>
      <w:bookmarkEnd w:id="201"/>
      <w:bookmarkEnd w:id="202"/>
      <w:bookmarkEnd w:id="203"/>
    </w:p>
    <w:p w14:paraId="6F7E69CD">
      <w:pPr>
        <w:pStyle w:val="6"/>
        <w:keepNext w:val="0"/>
        <w:keepLines w:val="0"/>
        <w:spacing w:before="0" w:after="0" w:line="560" w:lineRule="exact"/>
        <w:rPr>
          <w:rFonts w:ascii="仿宋" w:hAnsi="仿宋" w:eastAsia="仿宋"/>
          <w:color w:val="auto"/>
          <w:highlight w:val="none"/>
        </w:rPr>
      </w:pPr>
      <w:bookmarkStart w:id="204" w:name="_Toc18459"/>
      <w:bookmarkStart w:id="205" w:name="_Toc5139"/>
      <w:bookmarkStart w:id="206" w:name="_Toc15492_WPSOffice_Level2"/>
      <w:bookmarkStart w:id="207" w:name="_Toc15396621"/>
      <w:r>
        <w:rPr>
          <w:rStyle w:val="39"/>
          <w:rFonts w:hint="eastAsia" w:ascii="仿宋" w:hAnsi="仿宋" w:eastAsia="仿宋"/>
          <w:b w:val="0"/>
          <w:bCs w:val="0"/>
          <w:color w:val="auto"/>
          <w:highlight w:val="none"/>
        </w:rPr>
        <w:t>三、</w:t>
      </w:r>
      <w:r>
        <w:rPr>
          <w:rFonts w:hint="eastAsia" w:ascii="仿宋" w:hAnsi="仿宋" w:eastAsia="仿宋"/>
          <w:b w:val="0"/>
          <w:color w:val="auto"/>
          <w:highlight w:val="none"/>
        </w:rPr>
        <w:t>支</w:t>
      </w:r>
      <w:r>
        <w:rPr>
          <w:rStyle w:val="39"/>
          <w:rFonts w:hint="eastAsia" w:ascii="仿宋" w:hAnsi="仿宋" w:eastAsia="仿宋"/>
          <w:b w:val="0"/>
          <w:bCs w:val="0"/>
          <w:color w:val="auto"/>
          <w:highlight w:val="none"/>
        </w:rPr>
        <w:t>出决算表</w:t>
      </w:r>
      <w:bookmarkEnd w:id="204"/>
      <w:bookmarkEnd w:id="205"/>
      <w:bookmarkEnd w:id="206"/>
      <w:bookmarkEnd w:id="207"/>
    </w:p>
    <w:p w14:paraId="5BD9E247">
      <w:pPr>
        <w:pStyle w:val="6"/>
        <w:keepNext w:val="0"/>
        <w:keepLines w:val="0"/>
        <w:spacing w:before="0" w:after="0" w:line="560" w:lineRule="exact"/>
        <w:rPr>
          <w:rFonts w:ascii="仿宋" w:hAnsi="仿宋" w:eastAsia="仿宋"/>
          <w:b w:val="0"/>
          <w:color w:val="auto"/>
          <w:highlight w:val="none"/>
        </w:rPr>
      </w:pPr>
      <w:bookmarkStart w:id="208" w:name="_Toc2419"/>
      <w:bookmarkStart w:id="209" w:name="_Toc15396622"/>
      <w:bookmarkStart w:id="210" w:name="_Toc17161"/>
      <w:bookmarkStart w:id="211" w:name="_Toc22975_WPSOffice_Level2"/>
      <w:r>
        <w:rPr>
          <w:rStyle w:val="39"/>
          <w:rFonts w:hint="eastAsia" w:ascii="仿宋" w:hAnsi="仿宋" w:eastAsia="仿宋"/>
          <w:b w:val="0"/>
          <w:bCs w:val="0"/>
          <w:color w:val="auto"/>
          <w:highlight w:val="none"/>
        </w:rPr>
        <w:t>四、</w:t>
      </w:r>
      <w:r>
        <w:rPr>
          <w:rFonts w:hint="eastAsia" w:ascii="仿宋" w:hAnsi="仿宋" w:eastAsia="仿宋"/>
          <w:b w:val="0"/>
          <w:color w:val="auto"/>
          <w:highlight w:val="none"/>
        </w:rPr>
        <w:t>财</w:t>
      </w:r>
      <w:r>
        <w:rPr>
          <w:rStyle w:val="39"/>
          <w:rFonts w:hint="eastAsia" w:ascii="仿宋" w:hAnsi="仿宋" w:eastAsia="仿宋"/>
          <w:b w:val="0"/>
          <w:bCs w:val="0"/>
          <w:color w:val="auto"/>
          <w:highlight w:val="none"/>
        </w:rPr>
        <w:t>政拨款收入支出决算总表</w:t>
      </w:r>
      <w:bookmarkEnd w:id="208"/>
      <w:bookmarkEnd w:id="209"/>
      <w:bookmarkEnd w:id="210"/>
      <w:bookmarkEnd w:id="211"/>
    </w:p>
    <w:p w14:paraId="49B10967">
      <w:pPr>
        <w:pStyle w:val="6"/>
        <w:keepNext w:val="0"/>
        <w:keepLines w:val="0"/>
        <w:spacing w:before="0" w:after="0" w:line="560" w:lineRule="exact"/>
        <w:rPr>
          <w:rStyle w:val="39"/>
          <w:rFonts w:ascii="仿宋" w:hAnsi="仿宋" w:eastAsia="仿宋"/>
          <w:b w:val="0"/>
          <w:bCs w:val="0"/>
          <w:color w:val="auto"/>
          <w:highlight w:val="none"/>
        </w:rPr>
      </w:pPr>
      <w:bookmarkStart w:id="212" w:name="_Toc297_WPSOffice_Level2"/>
      <w:bookmarkStart w:id="213" w:name="_Toc14156"/>
      <w:bookmarkStart w:id="214" w:name="_Toc32278"/>
      <w:bookmarkStart w:id="215" w:name="_Toc15396623"/>
      <w:r>
        <w:rPr>
          <w:rStyle w:val="39"/>
          <w:rFonts w:hint="eastAsia" w:ascii="仿宋" w:hAnsi="仿宋" w:eastAsia="仿宋"/>
          <w:b w:val="0"/>
          <w:bCs w:val="0"/>
          <w:color w:val="auto"/>
          <w:highlight w:val="none"/>
        </w:rPr>
        <w:t>五、</w:t>
      </w:r>
      <w:r>
        <w:rPr>
          <w:rFonts w:hint="eastAsia" w:ascii="仿宋" w:hAnsi="仿宋" w:eastAsia="仿宋"/>
          <w:b w:val="0"/>
          <w:color w:val="auto"/>
          <w:highlight w:val="none"/>
        </w:rPr>
        <w:t>财</w:t>
      </w:r>
      <w:r>
        <w:rPr>
          <w:rStyle w:val="39"/>
          <w:rFonts w:hint="eastAsia" w:ascii="仿宋" w:hAnsi="仿宋" w:eastAsia="仿宋"/>
          <w:b w:val="0"/>
          <w:bCs w:val="0"/>
          <w:color w:val="auto"/>
          <w:highlight w:val="none"/>
        </w:rPr>
        <w:t>政拨款支出决算明细表</w:t>
      </w:r>
      <w:bookmarkEnd w:id="212"/>
      <w:bookmarkEnd w:id="213"/>
      <w:bookmarkEnd w:id="214"/>
      <w:bookmarkEnd w:id="215"/>
      <w:bookmarkStart w:id="216" w:name="_Toc15396624"/>
    </w:p>
    <w:p w14:paraId="7411C1CC">
      <w:pPr>
        <w:pStyle w:val="6"/>
        <w:keepNext w:val="0"/>
        <w:keepLines w:val="0"/>
        <w:spacing w:before="0" w:after="0" w:line="560" w:lineRule="exact"/>
        <w:rPr>
          <w:rFonts w:ascii="仿宋" w:hAnsi="仿宋" w:eastAsia="仿宋"/>
          <w:color w:val="auto"/>
          <w:highlight w:val="none"/>
        </w:rPr>
      </w:pPr>
      <w:bookmarkStart w:id="217" w:name="_Toc1998"/>
      <w:bookmarkStart w:id="218" w:name="_Toc712_WPSOffice_Level2"/>
      <w:bookmarkStart w:id="219" w:name="_Toc6740"/>
      <w:r>
        <w:rPr>
          <w:rStyle w:val="39"/>
          <w:rFonts w:hint="eastAsia" w:ascii="仿宋" w:hAnsi="仿宋" w:eastAsia="仿宋"/>
          <w:b w:val="0"/>
          <w:bCs w:val="0"/>
          <w:color w:val="auto"/>
          <w:highlight w:val="none"/>
        </w:rPr>
        <w:t>六、</w:t>
      </w:r>
      <w:r>
        <w:rPr>
          <w:rFonts w:hint="eastAsia" w:ascii="仿宋" w:hAnsi="仿宋" w:eastAsia="仿宋"/>
          <w:b w:val="0"/>
          <w:color w:val="auto"/>
          <w:highlight w:val="none"/>
        </w:rPr>
        <w:t>一</w:t>
      </w:r>
      <w:r>
        <w:rPr>
          <w:rStyle w:val="39"/>
          <w:rFonts w:hint="eastAsia" w:ascii="仿宋" w:hAnsi="仿宋" w:eastAsia="仿宋"/>
          <w:b w:val="0"/>
          <w:bCs w:val="0"/>
          <w:color w:val="auto"/>
          <w:highlight w:val="none"/>
        </w:rPr>
        <w:t>般公共预算财政拨款支出决算表</w:t>
      </w:r>
      <w:bookmarkEnd w:id="216"/>
      <w:bookmarkEnd w:id="217"/>
      <w:bookmarkEnd w:id="218"/>
      <w:bookmarkEnd w:id="219"/>
    </w:p>
    <w:p w14:paraId="1DA0FAD4">
      <w:pPr>
        <w:pStyle w:val="6"/>
        <w:keepNext w:val="0"/>
        <w:keepLines w:val="0"/>
        <w:spacing w:before="0" w:after="0" w:line="560" w:lineRule="exact"/>
        <w:rPr>
          <w:rFonts w:ascii="仿宋" w:hAnsi="仿宋" w:eastAsia="仿宋"/>
          <w:color w:val="auto"/>
          <w:highlight w:val="none"/>
        </w:rPr>
      </w:pPr>
      <w:bookmarkStart w:id="220" w:name="_Toc30404_WPSOffice_Level2"/>
      <w:bookmarkStart w:id="221" w:name="_Toc11736"/>
      <w:bookmarkStart w:id="222" w:name="_Toc14616"/>
      <w:bookmarkStart w:id="223" w:name="_Toc15396625"/>
      <w:r>
        <w:rPr>
          <w:rStyle w:val="39"/>
          <w:rFonts w:hint="eastAsia" w:ascii="仿宋" w:hAnsi="仿宋" w:eastAsia="仿宋"/>
          <w:b w:val="0"/>
          <w:bCs w:val="0"/>
          <w:color w:val="auto"/>
          <w:highlight w:val="none"/>
        </w:rPr>
        <w:t>七、</w:t>
      </w:r>
      <w:r>
        <w:rPr>
          <w:rFonts w:hint="eastAsia" w:ascii="仿宋" w:hAnsi="仿宋" w:eastAsia="仿宋"/>
          <w:b w:val="0"/>
          <w:color w:val="auto"/>
          <w:highlight w:val="none"/>
        </w:rPr>
        <w:t>一</w:t>
      </w:r>
      <w:r>
        <w:rPr>
          <w:rStyle w:val="39"/>
          <w:rFonts w:hint="eastAsia" w:ascii="仿宋" w:hAnsi="仿宋" w:eastAsia="仿宋"/>
          <w:b w:val="0"/>
          <w:bCs w:val="0"/>
          <w:color w:val="auto"/>
          <w:highlight w:val="none"/>
        </w:rPr>
        <w:t>般公共预算财政拨款支出决算明细表</w:t>
      </w:r>
      <w:bookmarkEnd w:id="220"/>
      <w:bookmarkEnd w:id="221"/>
      <w:bookmarkEnd w:id="222"/>
      <w:bookmarkEnd w:id="223"/>
    </w:p>
    <w:p w14:paraId="7E5BBE11">
      <w:pPr>
        <w:pStyle w:val="6"/>
        <w:keepNext w:val="0"/>
        <w:keepLines w:val="0"/>
        <w:spacing w:before="0" w:after="0" w:line="560" w:lineRule="exact"/>
        <w:rPr>
          <w:rFonts w:ascii="仿宋" w:hAnsi="仿宋" w:eastAsia="仿宋"/>
          <w:color w:val="auto"/>
          <w:highlight w:val="none"/>
        </w:rPr>
      </w:pPr>
      <w:bookmarkStart w:id="224" w:name="_Toc20216_WPSOffice_Level2"/>
      <w:bookmarkStart w:id="225" w:name="_Toc30338"/>
      <w:bookmarkStart w:id="226" w:name="_Toc31931"/>
      <w:bookmarkStart w:id="227" w:name="_Toc15396626"/>
      <w:r>
        <w:rPr>
          <w:rStyle w:val="39"/>
          <w:rFonts w:hint="eastAsia" w:ascii="仿宋" w:hAnsi="仿宋" w:eastAsia="仿宋"/>
          <w:b w:val="0"/>
          <w:bCs w:val="0"/>
          <w:color w:val="auto"/>
          <w:highlight w:val="none"/>
        </w:rPr>
        <w:t>八、</w:t>
      </w:r>
      <w:r>
        <w:rPr>
          <w:rFonts w:hint="eastAsia" w:ascii="仿宋" w:hAnsi="仿宋" w:eastAsia="仿宋"/>
          <w:b w:val="0"/>
          <w:color w:val="auto"/>
          <w:highlight w:val="none"/>
        </w:rPr>
        <w:t>一</w:t>
      </w:r>
      <w:r>
        <w:rPr>
          <w:rStyle w:val="39"/>
          <w:rFonts w:hint="eastAsia" w:ascii="仿宋" w:hAnsi="仿宋" w:eastAsia="仿宋"/>
          <w:b w:val="0"/>
          <w:bCs w:val="0"/>
          <w:color w:val="auto"/>
          <w:highlight w:val="none"/>
        </w:rPr>
        <w:t>般公共预算财政拨款基本支出决算表</w:t>
      </w:r>
      <w:bookmarkEnd w:id="224"/>
      <w:bookmarkEnd w:id="225"/>
      <w:bookmarkEnd w:id="226"/>
      <w:bookmarkEnd w:id="227"/>
    </w:p>
    <w:p w14:paraId="05299F1D">
      <w:pPr>
        <w:pStyle w:val="6"/>
        <w:keepNext w:val="0"/>
        <w:keepLines w:val="0"/>
        <w:spacing w:before="0" w:after="0" w:line="560" w:lineRule="exact"/>
        <w:rPr>
          <w:rFonts w:ascii="仿宋" w:hAnsi="仿宋" w:eastAsia="仿宋"/>
          <w:color w:val="auto"/>
          <w:highlight w:val="none"/>
        </w:rPr>
      </w:pPr>
      <w:bookmarkStart w:id="228" w:name="_Toc11132"/>
      <w:bookmarkStart w:id="229" w:name="_Toc3539_WPSOffice_Level2"/>
      <w:bookmarkStart w:id="230" w:name="_Toc7957"/>
      <w:bookmarkStart w:id="231" w:name="_Toc15396627"/>
      <w:r>
        <w:rPr>
          <w:rStyle w:val="39"/>
          <w:rFonts w:hint="eastAsia" w:ascii="仿宋" w:hAnsi="仿宋" w:eastAsia="仿宋"/>
          <w:b w:val="0"/>
          <w:bCs w:val="0"/>
          <w:color w:val="auto"/>
          <w:highlight w:val="none"/>
        </w:rPr>
        <w:t>九、</w:t>
      </w:r>
      <w:r>
        <w:rPr>
          <w:rFonts w:hint="eastAsia" w:ascii="仿宋" w:hAnsi="仿宋" w:eastAsia="仿宋"/>
          <w:b w:val="0"/>
          <w:color w:val="auto"/>
          <w:highlight w:val="none"/>
        </w:rPr>
        <w:t>一</w:t>
      </w:r>
      <w:r>
        <w:rPr>
          <w:rStyle w:val="39"/>
          <w:rFonts w:hint="eastAsia" w:ascii="仿宋" w:hAnsi="仿宋" w:eastAsia="仿宋"/>
          <w:b w:val="0"/>
          <w:bCs w:val="0"/>
          <w:color w:val="auto"/>
          <w:highlight w:val="none"/>
        </w:rPr>
        <w:t>般公共预算财政拨款项目支出决算表</w:t>
      </w:r>
      <w:bookmarkEnd w:id="228"/>
      <w:bookmarkEnd w:id="229"/>
      <w:bookmarkEnd w:id="230"/>
      <w:bookmarkEnd w:id="231"/>
    </w:p>
    <w:p w14:paraId="41206C2A">
      <w:pPr>
        <w:pStyle w:val="6"/>
        <w:keepNext w:val="0"/>
        <w:keepLines w:val="0"/>
        <w:spacing w:before="0" w:after="0" w:line="560" w:lineRule="exact"/>
        <w:rPr>
          <w:rFonts w:ascii="仿宋" w:hAnsi="仿宋" w:eastAsia="仿宋"/>
          <w:color w:val="auto"/>
          <w:highlight w:val="none"/>
        </w:rPr>
      </w:pPr>
      <w:bookmarkStart w:id="232" w:name="_Toc15396628"/>
      <w:bookmarkStart w:id="233" w:name="_Toc29102"/>
      <w:bookmarkStart w:id="234" w:name="_Toc14620"/>
      <w:bookmarkStart w:id="235" w:name="_Toc3851_WPSOffice_Level2"/>
      <w:r>
        <w:rPr>
          <w:rStyle w:val="39"/>
          <w:rFonts w:hint="eastAsia" w:ascii="仿宋" w:hAnsi="仿宋" w:eastAsia="仿宋"/>
          <w:b w:val="0"/>
          <w:bCs w:val="0"/>
          <w:color w:val="auto"/>
          <w:highlight w:val="none"/>
        </w:rPr>
        <w:t>十、</w:t>
      </w:r>
      <w:bookmarkEnd w:id="232"/>
      <w:r>
        <w:rPr>
          <w:rFonts w:hint="eastAsia" w:ascii="仿宋" w:hAnsi="仿宋" w:eastAsia="仿宋"/>
          <w:b w:val="0"/>
          <w:color w:val="auto"/>
          <w:highlight w:val="none"/>
        </w:rPr>
        <w:t>政</w:t>
      </w:r>
      <w:r>
        <w:rPr>
          <w:rStyle w:val="39"/>
          <w:rFonts w:hint="eastAsia" w:ascii="仿宋" w:hAnsi="仿宋" w:eastAsia="仿宋"/>
          <w:b w:val="0"/>
          <w:bCs w:val="0"/>
          <w:color w:val="auto"/>
          <w:highlight w:val="none"/>
        </w:rPr>
        <w:t>府性基金预算财政拨款收入支出决算表</w:t>
      </w:r>
      <w:bookmarkEnd w:id="233"/>
      <w:bookmarkEnd w:id="234"/>
      <w:bookmarkEnd w:id="235"/>
    </w:p>
    <w:p w14:paraId="3DC37EF1">
      <w:pPr>
        <w:pStyle w:val="6"/>
        <w:keepNext w:val="0"/>
        <w:keepLines w:val="0"/>
        <w:spacing w:before="0" w:after="0" w:line="560" w:lineRule="exact"/>
        <w:rPr>
          <w:rFonts w:ascii="仿宋" w:hAnsi="仿宋" w:eastAsia="仿宋"/>
          <w:color w:val="auto"/>
          <w:highlight w:val="none"/>
        </w:rPr>
      </w:pPr>
      <w:bookmarkStart w:id="236" w:name="_Toc15396629"/>
      <w:bookmarkStart w:id="237" w:name="_Toc10602"/>
      <w:bookmarkStart w:id="238" w:name="_Toc7542"/>
      <w:bookmarkStart w:id="239" w:name="_Toc21877_WPSOffice_Level2"/>
      <w:r>
        <w:rPr>
          <w:rStyle w:val="39"/>
          <w:rFonts w:hint="eastAsia" w:ascii="仿宋" w:hAnsi="仿宋" w:eastAsia="仿宋"/>
          <w:b w:val="0"/>
          <w:bCs w:val="0"/>
          <w:color w:val="auto"/>
          <w:highlight w:val="none"/>
        </w:rPr>
        <w:t>十一、</w:t>
      </w:r>
      <w:bookmarkEnd w:id="236"/>
      <w:r>
        <w:rPr>
          <w:rFonts w:hint="eastAsia" w:ascii="仿宋" w:hAnsi="仿宋" w:eastAsia="仿宋"/>
          <w:b w:val="0"/>
          <w:color w:val="auto"/>
          <w:highlight w:val="none"/>
        </w:rPr>
        <w:t>国</w:t>
      </w:r>
      <w:r>
        <w:rPr>
          <w:rStyle w:val="39"/>
          <w:rFonts w:hint="eastAsia" w:ascii="仿宋" w:hAnsi="仿宋" w:eastAsia="仿宋"/>
          <w:b w:val="0"/>
          <w:bCs w:val="0"/>
          <w:color w:val="auto"/>
          <w:highlight w:val="none"/>
        </w:rPr>
        <w:t>有资本经营预算</w:t>
      </w:r>
      <w:r>
        <w:rPr>
          <w:rStyle w:val="39"/>
          <w:rFonts w:hint="eastAsia" w:ascii="仿宋" w:hAnsi="仿宋" w:eastAsia="仿宋"/>
          <w:b w:val="0"/>
          <w:bCs w:val="0"/>
          <w:color w:val="auto"/>
          <w:highlight w:val="none"/>
          <w:lang w:eastAsia="zh-CN"/>
        </w:rPr>
        <w:t>财政拨款收入</w:t>
      </w:r>
      <w:r>
        <w:rPr>
          <w:rStyle w:val="39"/>
          <w:rFonts w:hint="eastAsia" w:ascii="仿宋" w:hAnsi="仿宋" w:eastAsia="仿宋"/>
          <w:b w:val="0"/>
          <w:bCs w:val="0"/>
          <w:color w:val="auto"/>
          <w:highlight w:val="none"/>
        </w:rPr>
        <w:t>支出决算表</w:t>
      </w:r>
      <w:bookmarkEnd w:id="237"/>
      <w:bookmarkEnd w:id="238"/>
      <w:bookmarkEnd w:id="239"/>
    </w:p>
    <w:p w14:paraId="2CFC5362">
      <w:pPr>
        <w:pStyle w:val="6"/>
        <w:keepNext w:val="0"/>
        <w:keepLines w:val="0"/>
        <w:spacing w:before="0" w:after="0" w:line="560" w:lineRule="exact"/>
        <w:rPr>
          <w:rFonts w:ascii="仿宋" w:hAnsi="仿宋" w:eastAsia="仿宋"/>
          <w:color w:val="auto"/>
          <w:highlight w:val="none"/>
        </w:rPr>
      </w:pPr>
      <w:bookmarkStart w:id="240" w:name="_Toc15396630"/>
      <w:bookmarkStart w:id="241" w:name="_Toc20485"/>
      <w:bookmarkStart w:id="242" w:name="_Toc7728"/>
      <w:bookmarkStart w:id="243" w:name="_Toc22964_WPSOffice_Level2"/>
      <w:r>
        <w:rPr>
          <w:rStyle w:val="39"/>
          <w:rFonts w:hint="eastAsia" w:ascii="仿宋" w:hAnsi="仿宋" w:eastAsia="仿宋"/>
          <w:b w:val="0"/>
          <w:bCs w:val="0"/>
          <w:color w:val="auto"/>
          <w:highlight w:val="none"/>
        </w:rPr>
        <w:t>十二、</w:t>
      </w:r>
      <w:bookmarkEnd w:id="240"/>
      <w:r>
        <w:rPr>
          <w:rStyle w:val="39"/>
          <w:rFonts w:hint="eastAsia" w:ascii="仿宋" w:hAnsi="仿宋" w:eastAsia="仿宋"/>
          <w:b w:val="0"/>
          <w:bCs w:val="0"/>
          <w:color w:val="auto"/>
          <w:highlight w:val="none"/>
          <w:lang w:eastAsia="zh-CN"/>
        </w:rPr>
        <w:t>国有资本经营预算财政拨款支出决算表</w:t>
      </w:r>
      <w:bookmarkEnd w:id="241"/>
      <w:bookmarkEnd w:id="242"/>
      <w:bookmarkEnd w:id="243"/>
    </w:p>
    <w:p w14:paraId="3A12CFDF">
      <w:pPr>
        <w:pStyle w:val="6"/>
        <w:keepNext w:val="0"/>
        <w:keepLines w:val="0"/>
        <w:spacing w:before="0" w:after="0" w:line="560" w:lineRule="exact"/>
        <w:rPr>
          <w:rFonts w:hint="eastAsia" w:eastAsia="仿宋"/>
          <w:color w:val="auto"/>
          <w:highlight w:val="none"/>
          <w:lang w:eastAsia="zh-CN"/>
        </w:rPr>
      </w:pPr>
      <w:bookmarkStart w:id="244" w:name="_Toc15396631"/>
      <w:bookmarkStart w:id="245" w:name="_Toc29875"/>
      <w:bookmarkStart w:id="246" w:name="_Toc25974_WPSOffice_Level2"/>
      <w:bookmarkStart w:id="247" w:name="_Toc31518"/>
      <w:r>
        <w:rPr>
          <w:rStyle w:val="39"/>
          <w:rFonts w:hint="eastAsia" w:ascii="仿宋" w:hAnsi="仿宋" w:eastAsia="仿宋"/>
          <w:b w:val="0"/>
          <w:bCs w:val="0"/>
          <w:color w:val="auto"/>
          <w:highlight w:val="none"/>
        </w:rPr>
        <w:t>十三、</w:t>
      </w:r>
      <w:bookmarkEnd w:id="244"/>
      <w:r>
        <w:rPr>
          <w:rStyle w:val="39"/>
          <w:rFonts w:hint="eastAsia" w:ascii="仿宋" w:hAnsi="仿宋" w:eastAsia="仿宋"/>
          <w:b w:val="0"/>
          <w:bCs w:val="0"/>
          <w:color w:val="auto"/>
          <w:highlight w:val="none"/>
          <w:lang w:eastAsia="zh-CN"/>
        </w:rPr>
        <w:t>财政拨款“三公”经费支出决算表</w:t>
      </w:r>
      <w:bookmarkEnd w:id="245"/>
      <w:bookmarkEnd w:id="246"/>
      <w:bookmarkEnd w:id="247"/>
    </w:p>
    <w:sectPr>
      <w:pgSz w:w="11906" w:h="16838"/>
      <w:pgMar w:top="2098" w:right="1474" w:bottom="1984" w:left="1587" w:header="851" w:footer="992" w:gutter="0"/>
      <w:pgNumType w:fmt="decimal"/>
      <w:cols w:space="0" w:num="1"/>
      <w:rtlGutter w:val="0"/>
      <w:docGrid w:type="lines" w:linePitch="31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Calibri Light">
    <w:altName w:val="Calibri"/>
    <w:panose1 w:val="020F0302020204030204"/>
    <w:charset w:val="00"/>
    <w:family w:val="swiss"/>
    <w:pitch w:val="default"/>
    <w:sig w:usb0="00000000" w:usb1="00000000" w:usb2="00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小标宋_GBK">
    <w:altName w:val="微软雅黑"/>
    <w:panose1 w:val="03000509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
    <w:altName w:val="Times New Roman"/>
    <w:panose1 w:val="00000000000000000000"/>
    <w:charset w:val="00"/>
    <w:family w:val="roman"/>
    <w:pitch w:val="default"/>
    <w:sig w:usb0="00000000" w:usb1="00000000" w:usb2="00000000" w:usb3="00000000" w:csb0="00000000" w:csb1="00000000"/>
  </w:font>
  <w:font w:name="Wingdings 2">
    <w:altName w:val="Wingdings"/>
    <w:panose1 w:val="05020102010507070707"/>
    <w:charset w:val="00"/>
    <w:family w:val="auto"/>
    <w:pitch w:val="default"/>
    <w:sig w:usb0="00000000" w:usb1="00000000" w:usb2="00000000" w:usb3="00000000" w:csb0="80000000" w:csb1="00000000"/>
  </w:font>
  <w:font w:name="方正小标宋简体">
    <w:altName w:val="黑体"/>
    <w:panose1 w:val="02010601030101010101"/>
    <w:charset w:val="86"/>
    <w:family w:val="script"/>
    <w:pitch w:val="default"/>
    <w:sig w:usb0="00000000" w:usb1="00000000" w:usb2="00000000" w:usb3="00000000" w:csb0="00040000" w:csb1="00000000"/>
  </w:font>
  <w:font w:name="方正黑体_GBK">
    <w:altName w:val="微软雅黑"/>
    <w:panose1 w:val="03000509000000000000"/>
    <w:charset w:val="86"/>
    <w:family w:val="auto"/>
    <w:pitch w:val="default"/>
    <w:sig w:usb0="00000000" w:usb1="00000000" w:usb2="00000000" w:usb3="00000000" w:csb0="00040000"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MS PGothic">
    <w:panose1 w:val="020B0600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A46D8D">
    <w:pPr>
      <w:pStyle w:val="15"/>
      <w:jc w:val="center"/>
      <w:rPr>
        <w:rFonts w:hint="default" w:eastAsia="仿宋_GB2312"/>
        <w:sz w:val="18"/>
        <w:lang w:val="en-US" w:eastAsia="zh-CN"/>
      </w:rPr>
    </w:pPr>
  </w:p>
  <w:p w14:paraId="5A20A650">
    <w:pPr>
      <w:pStyle w:val="15"/>
      <w:jc w:val="center"/>
      <w:rPr>
        <w:rFonts w:hint="eastAsia" w:eastAsia="仿宋_GB2312"/>
        <w:sz w:val="18"/>
        <w:lang w:val="en-US" w:eastAsia="zh-CN"/>
      </w:rPr>
    </w:pPr>
  </w:p>
  <w:p w14:paraId="17DC31FB">
    <w:pPr>
      <w:pStyle w:val="15"/>
      <w:jc w:val="center"/>
      <w:rPr>
        <w:rFonts w:eastAsia="仿宋_GB2312"/>
      </w:rPr>
    </w:pPr>
    <w:sdt>
      <w:sdtPr>
        <w:rPr>
          <w:rFonts w:eastAsia="仿宋_GB2312"/>
        </w:rPr>
        <w:id w:val="-1994781956"/>
        <w:showingPlcHdr/>
      </w:sdtPr>
      <w:sdtEndPr>
        <w:rPr>
          <w:rFonts w:eastAsia="仿宋_GB2312"/>
        </w:rPr>
      </w:sdtEndP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36AC67">
    <w:pPr>
      <w:pStyle w:val="15"/>
      <w:rPr>
        <w:rFonts w:hint="default" w:eastAsia="宋体"/>
        <w:lang w:val="en-US" w:eastAsia="zh-CN"/>
      </w:rPr>
    </w:pPr>
    <w:r>
      <w:rPr>
        <w:sz w:val="18"/>
      </w:rPr>
      <mc:AlternateContent>
        <mc:Choice Requires="wps">
          <w:drawing>
            <wp:anchor distT="0" distB="0" distL="114300" distR="114300" simplePos="0" relativeHeight="251665408" behindDoc="0" locked="0" layoutInCell="1" allowOverlap="1">
              <wp:simplePos x="0" y="0"/>
              <wp:positionH relativeFrom="margin">
                <wp:align>left</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777231">
                          <w:pPr>
                            <w:pStyle w:val="1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69777231">
                    <w:pPr>
                      <w:pStyle w:val="1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r>
      <w:rPr>
        <w:rFonts w:hint="eastAsia"/>
        <w:sz w:val="18"/>
        <w:lang w:val="en-US" w:eastAsia="zh-CN"/>
      </w:rPr>
      <w:t>36</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E181FE">
    <w:pPr>
      <w:pStyle w:val="15"/>
      <w:jc w:val="center"/>
      <w:rPr>
        <w:rFonts w:hint="default" w:eastAsia="仿宋_GB2312"/>
        <w:sz w:val="18"/>
        <w:lang w:val="en-US" w:eastAsia="zh-CN"/>
      </w:rPr>
    </w:pPr>
  </w:p>
  <w:p w14:paraId="250C1901">
    <w:pPr>
      <w:pStyle w:val="15"/>
      <w:jc w:val="center"/>
      <w:rPr>
        <w:rFonts w:hint="eastAsia" w:eastAsia="仿宋_GB2312"/>
        <w:sz w:val="18"/>
        <w:lang w:val="en-US" w:eastAsia="zh-CN"/>
      </w:rPr>
    </w:pPr>
  </w:p>
  <w:p w14:paraId="6587744D">
    <w:pPr>
      <w:pStyle w:val="15"/>
      <w:jc w:val="center"/>
      <w:rPr>
        <w:rFonts w:eastAsia="仿宋_GB2312"/>
      </w:rPr>
    </w:pPr>
    <w:sdt>
      <w:sdtPr>
        <w:rPr>
          <w:rFonts w:eastAsia="仿宋_GB2312"/>
        </w:rPr>
        <w:id w:val="147461029"/>
        <w:showingPlcHdr/>
      </w:sdtPr>
      <w:sdtEndPr>
        <w:rPr>
          <w:rFonts w:eastAsia="仿宋_GB2312"/>
        </w:rPr>
      </w:sdtEndPr>
      <w:sdtContent/>
    </w:sdt>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A3B7C8">
    <w:pPr>
      <w:pStyle w:val="15"/>
      <w:jc w:val="center"/>
      <w:rPr>
        <w:rFonts w:hint="default" w:eastAsia="仿宋_GB2312"/>
        <w:sz w:val="18"/>
        <w:lang w:val="en-US" w:eastAsia="zh-CN"/>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61359E">
                          <w:pPr>
                            <w:pStyle w:val="1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5D61359E">
                    <w:pPr>
                      <w:pStyle w:val="1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p>
  <w:p w14:paraId="404B0D47">
    <w:pPr>
      <w:pStyle w:val="15"/>
      <w:jc w:val="center"/>
      <w:rPr>
        <w:rFonts w:hint="eastAsia" w:eastAsia="仿宋_GB2312"/>
        <w:sz w:val="18"/>
        <w:lang w:val="en-US" w:eastAsia="zh-CN"/>
      </w:rPr>
    </w:pPr>
  </w:p>
  <w:p w14:paraId="2BA68DB7">
    <w:pPr>
      <w:pStyle w:val="15"/>
      <w:jc w:val="center"/>
      <w:rPr>
        <w:rFonts w:eastAsia="仿宋_GB2312"/>
      </w:rPr>
    </w:pPr>
    <w:sdt>
      <w:sdtPr>
        <w:rPr>
          <w:rFonts w:eastAsia="仿宋_GB2312"/>
        </w:rPr>
        <w:id w:val="147452336"/>
        <w:showingPlcHdr/>
      </w:sdtPr>
      <w:sdtEndPr>
        <w:rPr>
          <w:rFonts w:eastAsia="仿宋_GB2312"/>
        </w:rPr>
      </w:sdtEndPr>
      <w:sdtContent/>
    </w:sdt>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F1FC1">
    <w:pPr>
      <w:pStyle w:val="1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1767013"/>
    <w:multiLevelType w:val="singleLevel"/>
    <w:tmpl w:val="C1767013"/>
    <w:lvl w:ilvl="0" w:tentative="0">
      <w:start w:val="3"/>
      <w:numFmt w:val="decimal"/>
      <w:suff w:val="nothing"/>
      <w:lvlText w:val="（%1）"/>
      <w:lvlJc w:val="left"/>
    </w:lvl>
  </w:abstractNum>
  <w:abstractNum w:abstractNumId="1">
    <w:nsid w:val="CF652CEC"/>
    <w:multiLevelType w:val="singleLevel"/>
    <w:tmpl w:val="CF652CEC"/>
    <w:lvl w:ilvl="0" w:tentative="0">
      <w:start w:val="9"/>
      <w:numFmt w:val="chineseCounting"/>
      <w:suff w:val="nothing"/>
      <w:lvlText w:val="%1、"/>
      <w:lvlJc w:val="left"/>
      <w:rPr>
        <w:rFonts w:hint="eastAsia"/>
      </w:rPr>
    </w:lvl>
  </w:abstractNum>
  <w:abstractNum w:abstractNumId="2">
    <w:nsid w:val="D67C979C"/>
    <w:multiLevelType w:val="singleLevel"/>
    <w:tmpl w:val="D67C979C"/>
    <w:lvl w:ilvl="0" w:tentative="0">
      <w:start w:val="4"/>
      <w:numFmt w:val="decimal"/>
      <w:suff w:val="nothing"/>
      <w:lvlText w:val="（%1）"/>
      <w:lvlJc w:val="left"/>
    </w:lvl>
  </w:abstractNum>
  <w:abstractNum w:abstractNumId="3">
    <w:nsid w:val="E2FA047D"/>
    <w:multiLevelType w:val="singleLevel"/>
    <w:tmpl w:val="E2FA047D"/>
    <w:lvl w:ilvl="0" w:tentative="0">
      <w:start w:val="3"/>
      <w:numFmt w:val="chineseCounting"/>
      <w:suff w:val="space"/>
      <w:lvlText w:val="第%1部分"/>
      <w:lvlJc w:val="left"/>
      <w:rPr>
        <w:rFonts w:hint="eastAsia"/>
      </w:rPr>
    </w:lvl>
  </w:abstractNum>
  <w:abstractNum w:abstractNumId="4">
    <w:nsid w:val="0B0A9D70"/>
    <w:multiLevelType w:val="singleLevel"/>
    <w:tmpl w:val="0B0A9D70"/>
    <w:lvl w:ilvl="0" w:tentative="0">
      <w:start w:val="1"/>
      <w:numFmt w:val="decimal"/>
      <w:pStyle w:val="9"/>
      <w:lvlText w:val="%1."/>
      <w:lvlJc w:val="left"/>
      <w:pPr>
        <w:tabs>
          <w:tab w:val="left" w:pos="360"/>
        </w:tabs>
        <w:ind w:left="360" w:hanging="360"/>
      </w:pPr>
    </w:lvl>
  </w:abstractNum>
  <w:abstractNum w:abstractNumId="5">
    <w:nsid w:val="1272550B"/>
    <w:multiLevelType w:val="multilevel"/>
    <w:tmpl w:val="1272550B"/>
    <w:lvl w:ilvl="0" w:tentative="0">
      <w:start w:val="1"/>
      <w:numFmt w:val="japaneseCounting"/>
      <w:lvlText w:val="%1、"/>
      <w:lvlJc w:val="left"/>
      <w:pPr>
        <w:ind w:left="1360" w:hanging="720"/>
      </w:pPr>
      <w:rPr>
        <w:rFonts w:hint="default"/>
        <w:b w:val="0"/>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6">
    <w:nsid w:val="182B0D1C"/>
    <w:multiLevelType w:val="singleLevel"/>
    <w:tmpl w:val="182B0D1C"/>
    <w:lvl w:ilvl="0" w:tentative="0">
      <w:start w:val="1"/>
      <w:numFmt w:val="decimal"/>
      <w:suff w:val="nothing"/>
      <w:lvlText w:val="（%1）"/>
      <w:lvlJc w:val="left"/>
    </w:lvl>
  </w:abstractNum>
  <w:abstractNum w:abstractNumId="7">
    <w:nsid w:val="2143D1DC"/>
    <w:multiLevelType w:val="singleLevel"/>
    <w:tmpl w:val="2143D1DC"/>
    <w:lvl w:ilvl="0" w:tentative="0">
      <w:start w:val="1"/>
      <w:numFmt w:val="decimalEnclosedCircleChinese"/>
      <w:suff w:val="nothing"/>
      <w:lvlText w:val="%1　"/>
      <w:lvlJc w:val="left"/>
      <w:pPr>
        <w:ind w:left="0" w:firstLine="400"/>
      </w:pPr>
      <w:rPr>
        <w:rFonts w:hint="eastAsia"/>
      </w:rPr>
    </w:lvl>
  </w:abstractNum>
  <w:abstractNum w:abstractNumId="8">
    <w:nsid w:val="42835D23"/>
    <w:multiLevelType w:val="singleLevel"/>
    <w:tmpl w:val="42835D23"/>
    <w:lvl w:ilvl="0" w:tentative="0">
      <w:start w:val="4"/>
      <w:numFmt w:val="decimal"/>
      <w:suff w:val="nothing"/>
      <w:lvlText w:val="（%1）"/>
      <w:lvlJc w:val="left"/>
    </w:lvl>
  </w:abstractNum>
  <w:num w:numId="1">
    <w:abstractNumId w:val="4"/>
  </w:num>
  <w:num w:numId="2">
    <w:abstractNumId w:val="5"/>
  </w:num>
  <w:num w:numId="3">
    <w:abstractNumId w:val="1"/>
  </w:num>
  <w:num w:numId="4">
    <w:abstractNumId w:val="8"/>
  </w:num>
  <w:num w:numId="5">
    <w:abstractNumId w:val="3"/>
  </w:num>
  <w:num w:numId="6">
    <w:abstractNumId w:val="2"/>
  </w:num>
  <w:num w:numId="7">
    <w:abstractNumId w:val="6"/>
  </w:num>
  <w:num w:numId="8">
    <w:abstractNumId w:val="0"/>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bordersDoNotSurroundHeader w:val="0"/>
  <w:bordersDoNotSurroundFooter w:val="0"/>
  <w:revisionView w:markup="0"/>
  <w:trackRevisions w:val="1"/>
  <w:documentProtection w:enforcement="0"/>
  <w:defaultTabStop w:val="420"/>
  <w:drawingGridHorizontalSpacing w:val="105"/>
  <w:drawingGridVerticalSpacing w:val="159"/>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E2ZjFlZGEyNGY3NGUxMjg5ZjdiZWRkZTgzNTdkYmIifQ=="/>
  </w:docVars>
  <w:rsids>
    <w:rsidRoot w:val="00F1361C"/>
    <w:rsid w:val="000222C6"/>
    <w:rsid w:val="0002549F"/>
    <w:rsid w:val="000468DB"/>
    <w:rsid w:val="0006487A"/>
    <w:rsid w:val="00065F8F"/>
    <w:rsid w:val="00070A43"/>
    <w:rsid w:val="000768F2"/>
    <w:rsid w:val="0009184B"/>
    <w:rsid w:val="00094236"/>
    <w:rsid w:val="0009593C"/>
    <w:rsid w:val="00097322"/>
    <w:rsid w:val="000A6A92"/>
    <w:rsid w:val="000B047F"/>
    <w:rsid w:val="000B5923"/>
    <w:rsid w:val="000B5A48"/>
    <w:rsid w:val="000B6FF3"/>
    <w:rsid w:val="000C3467"/>
    <w:rsid w:val="000C3CA6"/>
    <w:rsid w:val="000D1267"/>
    <w:rsid w:val="000D1D50"/>
    <w:rsid w:val="000D5782"/>
    <w:rsid w:val="000E6613"/>
    <w:rsid w:val="000E7119"/>
    <w:rsid w:val="00114E9B"/>
    <w:rsid w:val="00142216"/>
    <w:rsid w:val="00144D6A"/>
    <w:rsid w:val="0014729F"/>
    <w:rsid w:val="00157BAB"/>
    <w:rsid w:val="001654D1"/>
    <w:rsid w:val="00174518"/>
    <w:rsid w:val="0018106D"/>
    <w:rsid w:val="001877A7"/>
    <w:rsid w:val="00191536"/>
    <w:rsid w:val="00196687"/>
    <w:rsid w:val="001C0962"/>
    <w:rsid w:val="001D7531"/>
    <w:rsid w:val="001E737D"/>
    <w:rsid w:val="001F0592"/>
    <w:rsid w:val="001F7506"/>
    <w:rsid w:val="002006CD"/>
    <w:rsid w:val="00202B36"/>
    <w:rsid w:val="00204B7A"/>
    <w:rsid w:val="00204CDE"/>
    <w:rsid w:val="0021101A"/>
    <w:rsid w:val="00220536"/>
    <w:rsid w:val="00235629"/>
    <w:rsid w:val="00260C38"/>
    <w:rsid w:val="002616C0"/>
    <w:rsid w:val="00265372"/>
    <w:rsid w:val="002662AA"/>
    <w:rsid w:val="00280496"/>
    <w:rsid w:val="00294DC9"/>
    <w:rsid w:val="00295495"/>
    <w:rsid w:val="002A31DE"/>
    <w:rsid w:val="002B2613"/>
    <w:rsid w:val="002D6D05"/>
    <w:rsid w:val="002F1818"/>
    <w:rsid w:val="002F567B"/>
    <w:rsid w:val="003216A9"/>
    <w:rsid w:val="00335A74"/>
    <w:rsid w:val="0036561B"/>
    <w:rsid w:val="0037013F"/>
    <w:rsid w:val="00380C92"/>
    <w:rsid w:val="003A484F"/>
    <w:rsid w:val="003A4883"/>
    <w:rsid w:val="003B0BE0"/>
    <w:rsid w:val="003B0C1B"/>
    <w:rsid w:val="003B688C"/>
    <w:rsid w:val="003C0291"/>
    <w:rsid w:val="003C39AE"/>
    <w:rsid w:val="003C7B60"/>
    <w:rsid w:val="003D0C0F"/>
    <w:rsid w:val="003D1FB2"/>
    <w:rsid w:val="003D66DA"/>
    <w:rsid w:val="003E1310"/>
    <w:rsid w:val="003E6F55"/>
    <w:rsid w:val="00406254"/>
    <w:rsid w:val="004223DE"/>
    <w:rsid w:val="00434489"/>
    <w:rsid w:val="00437085"/>
    <w:rsid w:val="00443880"/>
    <w:rsid w:val="004464F4"/>
    <w:rsid w:val="00471401"/>
    <w:rsid w:val="00473F31"/>
    <w:rsid w:val="0048263A"/>
    <w:rsid w:val="00487E5D"/>
    <w:rsid w:val="004A711F"/>
    <w:rsid w:val="004B199D"/>
    <w:rsid w:val="004B4690"/>
    <w:rsid w:val="004E0A2D"/>
    <w:rsid w:val="004E206B"/>
    <w:rsid w:val="004E6DF7"/>
    <w:rsid w:val="004F0FBD"/>
    <w:rsid w:val="00505A47"/>
    <w:rsid w:val="00512FDA"/>
    <w:rsid w:val="00520DA0"/>
    <w:rsid w:val="005664BB"/>
    <w:rsid w:val="00566FFA"/>
    <w:rsid w:val="0057481D"/>
    <w:rsid w:val="0058486E"/>
    <w:rsid w:val="00585B33"/>
    <w:rsid w:val="0059014D"/>
    <w:rsid w:val="005B5C64"/>
    <w:rsid w:val="005C5337"/>
    <w:rsid w:val="005C6BD0"/>
    <w:rsid w:val="005D1C8B"/>
    <w:rsid w:val="005D468D"/>
    <w:rsid w:val="005D5CED"/>
    <w:rsid w:val="005F1A4C"/>
    <w:rsid w:val="00605688"/>
    <w:rsid w:val="006070AF"/>
    <w:rsid w:val="00607E6C"/>
    <w:rsid w:val="006101B1"/>
    <w:rsid w:val="00614E44"/>
    <w:rsid w:val="0062270A"/>
    <w:rsid w:val="00622830"/>
    <w:rsid w:val="00623DA0"/>
    <w:rsid w:val="00630AEF"/>
    <w:rsid w:val="006325F8"/>
    <w:rsid w:val="00633463"/>
    <w:rsid w:val="00634C9A"/>
    <w:rsid w:val="006440E4"/>
    <w:rsid w:val="0066343B"/>
    <w:rsid w:val="00664777"/>
    <w:rsid w:val="006748A4"/>
    <w:rsid w:val="00681A31"/>
    <w:rsid w:val="00683E73"/>
    <w:rsid w:val="006A3141"/>
    <w:rsid w:val="006A5E34"/>
    <w:rsid w:val="006B2422"/>
    <w:rsid w:val="006B2B9A"/>
    <w:rsid w:val="006C1937"/>
    <w:rsid w:val="006F020C"/>
    <w:rsid w:val="007127B7"/>
    <w:rsid w:val="0071798E"/>
    <w:rsid w:val="007416B6"/>
    <w:rsid w:val="00746F48"/>
    <w:rsid w:val="0075404D"/>
    <w:rsid w:val="0076182A"/>
    <w:rsid w:val="00767B7E"/>
    <w:rsid w:val="007770C3"/>
    <w:rsid w:val="00784D24"/>
    <w:rsid w:val="00785FBA"/>
    <w:rsid w:val="00786E4A"/>
    <w:rsid w:val="007875EB"/>
    <w:rsid w:val="0079426B"/>
    <w:rsid w:val="007D1682"/>
    <w:rsid w:val="007D312A"/>
    <w:rsid w:val="007D3F19"/>
    <w:rsid w:val="007E23B0"/>
    <w:rsid w:val="007E23E5"/>
    <w:rsid w:val="007F1991"/>
    <w:rsid w:val="007F2C2F"/>
    <w:rsid w:val="007F55FC"/>
    <w:rsid w:val="007F5665"/>
    <w:rsid w:val="00800112"/>
    <w:rsid w:val="00813348"/>
    <w:rsid w:val="008253BB"/>
    <w:rsid w:val="0083706E"/>
    <w:rsid w:val="008408F6"/>
    <w:rsid w:val="008423A5"/>
    <w:rsid w:val="00850625"/>
    <w:rsid w:val="00853718"/>
    <w:rsid w:val="00855221"/>
    <w:rsid w:val="00860645"/>
    <w:rsid w:val="00871F71"/>
    <w:rsid w:val="00872FD8"/>
    <w:rsid w:val="00885AF4"/>
    <w:rsid w:val="008939CD"/>
    <w:rsid w:val="008B768C"/>
    <w:rsid w:val="008C4DB1"/>
    <w:rsid w:val="008C4EAF"/>
    <w:rsid w:val="008C5176"/>
    <w:rsid w:val="008C7FD0"/>
    <w:rsid w:val="008E1DE7"/>
    <w:rsid w:val="008E707C"/>
    <w:rsid w:val="00900B08"/>
    <w:rsid w:val="00902155"/>
    <w:rsid w:val="00902FA3"/>
    <w:rsid w:val="00923564"/>
    <w:rsid w:val="0092392E"/>
    <w:rsid w:val="009315F9"/>
    <w:rsid w:val="00933499"/>
    <w:rsid w:val="00935C98"/>
    <w:rsid w:val="00946945"/>
    <w:rsid w:val="00951248"/>
    <w:rsid w:val="0095152F"/>
    <w:rsid w:val="00954C49"/>
    <w:rsid w:val="00955E37"/>
    <w:rsid w:val="0097099F"/>
    <w:rsid w:val="00971997"/>
    <w:rsid w:val="00971FFC"/>
    <w:rsid w:val="0098660A"/>
    <w:rsid w:val="009931C3"/>
    <w:rsid w:val="009B2C43"/>
    <w:rsid w:val="009B4EAE"/>
    <w:rsid w:val="009B7573"/>
    <w:rsid w:val="009C22F4"/>
    <w:rsid w:val="009C2A4B"/>
    <w:rsid w:val="009C2E98"/>
    <w:rsid w:val="009D3447"/>
    <w:rsid w:val="009D4711"/>
    <w:rsid w:val="009F1185"/>
    <w:rsid w:val="009F18CD"/>
    <w:rsid w:val="009F2A13"/>
    <w:rsid w:val="009F7527"/>
    <w:rsid w:val="00A04EB0"/>
    <w:rsid w:val="00A13CC1"/>
    <w:rsid w:val="00A16847"/>
    <w:rsid w:val="00A237D8"/>
    <w:rsid w:val="00A268C4"/>
    <w:rsid w:val="00A307CD"/>
    <w:rsid w:val="00A331C8"/>
    <w:rsid w:val="00A40A00"/>
    <w:rsid w:val="00A4142F"/>
    <w:rsid w:val="00A422EB"/>
    <w:rsid w:val="00A45BB7"/>
    <w:rsid w:val="00A56DF2"/>
    <w:rsid w:val="00A56E6E"/>
    <w:rsid w:val="00A67AB5"/>
    <w:rsid w:val="00A733B2"/>
    <w:rsid w:val="00A741C2"/>
    <w:rsid w:val="00A91760"/>
    <w:rsid w:val="00A93B00"/>
    <w:rsid w:val="00A93C21"/>
    <w:rsid w:val="00AB64C9"/>
    <w:rsid w:val="00AC3C6A"/>
    <w:rsid w:val="00AD5620"/>
    <w:rsid w:val="00AD656B"/>
    <w:rsid w:val="00AD7C1B"/>
    <w:rsid w:val="00AE16BA"/>
    <w:rsid w:val="00AE1EBE"/>
    <w:rsid w:val="00B03C9D"/>
    <w:rsid w:val="00B060AE"/>
    <w:rsid w:val="00B10517"/>
    <w:rsid w:val="00B14E76"/>
    <w:rsid w:val="00B161B8"/>
    <w:rsid w:val="00B2048C"/>
    <w:rsid w:val="00B310B9"/>
    <w:rsid w:val="00B35F3F"/>
    <w:rsid w:val="00B36CBB"/>
    <w:rsid w:val="00B425E0"/>
    <w:rsid w:val="00B440AA"/>
    <w:rsid w:val="00B44B70"/>
    <w:rsid w:val="00B53C56"/>
    <w:rsid w:val="00B57DAF"/>
    <w:rsid w:val="00B77EA6"/>
    <w:rsid w:val="00B81598"/>
    <w:rsid w:val="00B841F1"/>
    <w:rsid w:val="00B944D6"/>
    <w:rsid w:val="00BB4DF0"/>
    <w:rsid w:val="00BC289F"/>
    <w:rsid w:val="00BC2D50"/>
    <w:rsid w:val="00BC5361"/>
    <w:rsid w:val="00BC5460"/>
    <w:rsid w:val="00BC6B50"/>
    <w:rsid w:val="00BD0E25"/>
    <w:rsid w:val="00BF5BD6"/>
    <w:rsid w:val="00C03E31"/>
    <w:rsid w:val="00C33E72"/>
    <w:rsid w:val="00C354B2"/>
    <w:rsid w:val="00C35554"/>
    <w:rsid w:val="00C42709"/>
    <w:rsid w:val="00C533CC"/>
    <w:rsid w:val="00C5751C"/>
    <w:rsid w:val="00C61BFC"/>
    <w:rsid w:val="00C62B85"/>
    <w:rsid w:val="00C65438"/>
    <w:rsid w:val="00C87FD8"/>
    <w:rsid w:val="00C91381"/>
    <w:rsid w:val="00C91CBB"/>
    <w:rsid w:val="00CB4E70"/>
    <w:rsid w:val="00CC09B6"/>
    <w:rsid w:val="00CC666F"/>
    <w:rsid w:val="00CD1E3F"/>
    <w:rsid w:val="00CE44F6"/>
    <w:rsid w:val="00CE49DA"/>
    <w:rsid w:val="00CE7B61"/>
    <w:rsid w:val="00D00095"/>
    <w:rsid w:val="00D114F0"/>
    <w:rsid w:val="00D20620"/>
    <w:rsid w:val="00D254F7"/>
    <w:rsid w:val="00D26091"/>
    <w:rsid w:val="00D2685C"/>
    <w:rsid w:val="00D34E7C"/>
    <w:rsid w:val="00D35489"/>
    <w:rsid w:val="00D36AFE"/>
    <w:rsid w:val="00D51276"/>
    <w:rsid w:val="00D7035F"/>
    <w:rsid w:val="00DA634F"/>
    <w:rsid w:val="00DA65AC"/>
    <w:rsid w:val="00DB1913"/>
    <w:rsid w:val="00DC410D"/>
    <w:rsid w:val="00DC5A81"/>
    <w:rsid w:val="00DC68CA"/>
    <w:rsid w:val="00DC7CBA"/>
    <w:rsid w:val="00DD73B7"/>
    <w:rsid w:val="00DF28BC"/>
    <w:rsid w:val="00DF34B9"/>
    <w:rsid w:val="00E01053"/>
    <w:rsid w:val="00E07ACF"/>
    <w:rsid w:val="00E331A1"/>
    <w:rsid w:val="00E33202"/>
    <w:rsid w:val="00E336A9"/>
    <w:rsid w:val="00E472B1"/>
    <w:rsid w:val="00E50624"/>
    <w:rsid w:val="00E568DF"/>
    <w:rsid w:val="00E64269"/>
    <w:rsid w:val="00E82267"/>
    <w:rsid w:val="00E853CE"/>
    <w:rsid w:val="00E867B6"/>
    <w:rsid w:val="00EA010F"/>
    <w:rsid w:val="00ED1B63"/>
    <w:rsid w:val="00ED3C1F"/>
    <w:rsid w:val="00ED4085"/>
    <w:rsid w:val="00ED420E"/>
    <w:rsid w:val="00ED6FBE"/>
    <w:rsid w:val="00EE2F57"/>
    <w:rsid w:val="00EF4C34"/>
    <w:rsid w:val="00EF77C6"/>
    <w:rsid w:val="00F05438"/>
    <w:rsid w:val="00F1361C"/>
    <w:rsid w:val="00F156F0"/>
    <w:rsid w:val="00F160C7"/>
    <w:rsid w:val="00F2408F"/>
    <w:rsid w:val="00F240E9"/>
    <w:rsid w:val="00F36D8F"/>
    <w:rsid w:val="00F417B1"/>
    <w:rsid w:val="00F45853"/>
    <w:rsid w:val="00F602DF"/>
    <w:rsid w:val="00F754A1"/>
    <w:rsid w:val="00F81FD9"/>
    <w:rsid w:val="00F841AA"/>
    <w:rsid w:val="00F84A94"/>
    <w:rsid w:val="00F87E96"/>
    <w:rsid w:val="00FA23E8"/>
    <w:rsid w:val="00FC10C9"/>
    <w:rsid w:val="00FD3CC1"/>
    <w:rsid w:val="00FF1E02"/>
    <w:rsid w:val="00FF30B4"/>
    <w:rsid w:val="01284633"/>
    <w:rsid w:val="015975B8"/>
    <w:rsid w:val="02143E91"/>
    <w:rsid w:val="02641B0C"/>
    <w:rsid w:val="029D52B0"/>
    <w:rsid w:val="02F83A9F"/>
    <w:rsid w:val="03C72CC7"/>
    <w:rsid w:val="04DD3F64"/>
    <w:rsid w:val="05060636"/>
    <w:rsid w:val="05194523"/>
    <w:rsid w:val="05441301"/>
    <w:rsid w:val="05A91292"/>
    <w:rsid w:val="05B10123"/>
    <w:rsid w:val="061816F7"/>
    <w:rsid w:val="066E0107"/>
    <w:rsid w:val="071254EE"/>
    <w:rsid w:val="078A505C"/>
    <w:rsid w:val="07996F6E"/>
    <w:rsid w:val="07CC4C9D"/>
    <w:rsid w:val="087A17C2"/>
    <w:rsid w:val="08C6543B"/>
    <w:rsid w:val="08D56B94"/>
    <w:rsid w:val="093F51ED"/>
    <w:rsid w:val="099F2786"/>
    <w:rsid w:val="09E92566"/>
    <w:rsid w:val="0A2032A3"/>
    <w:rsid w:val="0A286569"/>
    <w:rsid w:val="0A392F67"/>
    <w:rsid w:val="0A3B7D8D"/>
    <w:rsid w:val="0ACF264C"/>
    <w:rsid w:val="0B256693"/>
    <w:rsid w:val="0C6845F6"/>
    <w:rsid w:val="0C94386A"/>
    <w:rsid w:val="0C965DB8"/>
    <w:rsid w:val="0CB35CD6"/>
    <w:rsid w:val="0CD64351"/>
    <w:rsid w:val="0D412C5A"/>
    <w:rsid w:val="0D4C6269"/>
    <w:rsid w:val="0E0174D2"/>
    <w:rsid w:val="0E1A3B33"/>
    <w:rsid w:val="0F11623D"/>
    <w:rsid w:val="0F98263C"/>
    <w:rsid w:val="0FB8254D"/>
    <w:rsid w:val="0FC215E3"/>
    <w:rsid w:val="101860EC"/>
    <w:rsid w:val="1083128D"/>
    <w:rsid w:val="10875DAF"/>
    <w:rsid w:val="10B47942"/>
    <w:rsid w:val="10C055FF"/>
    <w:rsid w:val="10DF0286"/>
    <w:rsid w:val="10E32902"/>
    <w:rsid w:val="118107EC"/>
    <w:rsid w:val="11A51CAD"/>
    <w:rsid w:val="127C5E1C"/>
    <w:rsid w:val="12A6059B"/>
    <w:rsid w:val="13067D70"/>
    <w:rsid w:val="13631201"/>
    <w:rsid w:val="13D50BC4"/>
    <w:rsid w:val="140B5313"/>
    <w:rsid w:val="141355E0"/>
    <w:rsid w:val="142A08CB"/>
    <w:rsid w:val="1468561C"/>
    <w:rsid w:val="14C9317B"/>
    <w:rsid w:val="1546274A"/>
    <w:rsid w:val="15553679"/>
    <w:rsid w:val="15B209D6"/>
    <w:rsid w:val="15D815FC"/>
    <w:rsid w:val="15FD3695"/>
    <w:rsid w:val="164327C1"/>
    <w:rsid w:val="16BB723D"/>
    <w:rsid w:val="16C85A95"/>
    <w:rsid w:val="16F2564D"/>
    <w:rsid w:val="17226BEC"/>
    <w:rsid w:val="17605470"/>
    <w:rsid w:val="17825445"/>
    <w:rsid w:val="18561C0B"/>
    <w:rsid w:val="18955FD5"/>
    <w:rsid w:val="189A20DF"/>
    <w:rsid w:val="18BE612E"/>
    <w:rsid w:val="193C1B5E"/>
    <w:rsid w:val="19481788"/>
    <w:rsid w:val="19B347CE"/>
    <w:rsid w:val="1AB329C1"/>
    <w:rsid w:val="1B240018"/>
    <w:rsid w:val="1BC31283"/>
    <w:rsid w:val="1BE8440E"/>
    <w:rsid w:val="1BF64F14"/>
    <w:rsid w:val="1C0C71B1"/>
    <w:rsid w:val="1C0D1946"/>
    <w:rsid w:val="1CA77B19"/>
    <w:rsid w:val="1D0E106C"/>
    <w:rsid w:val="1D155CEE"/>
    <w:rsid w:val="1D792624"/>
    <w:rsid w:val="1DBE79BD"/>
    <w:rsid w:val="1DC243C9"/>
    <w:rsid w:val="1DDB5C55"/>
    <w:rsid w:val="1E30404E"/>
    <w:rsid w:val="1E374DCC"/>
    <w:rsid w:val="1E37701A"/>
    <w:rsid w:val="1E3A3BD5"/>
    <w:rsid w:val="1E844908"/>
    <w:rsid w:val="1EF67CA4"/>
    <w:rsid w:val="1EFF0422"/>
    <w:rsid w:val="1F246864"/>
    <w:rsid w:val="1F912EFB"/>
    <w:rsid w:val="1FA604BC"/>
    <w:rsid w:val="1FF35744"/>
    <w:rsid w:val="204A4CA9"/>
    <w:rsid w:val="205630F0"/>
    <w:rsid w:val="2084144E"/>
    <w:rsid w:val="20E63E37"/>
    <w:rsid w:val="2125605F"/>
    <w:rsid w:val="213C0ED8"/>
    <w:rsid w:val="213F1DD6"/>
    <w:rsid w:val="21814F10"/>
    <w:rsid w:val="2188552B"/>
    <w:rsid w:val="22A8538E"/>
    <w:rsid w:val="23860B96"/>
    <w:rsid w:val="2402781F"/>
    <w:rsid w:val="240371BF"/>
    <w:rsid w:val="2405271B"/>
    <w:rsid w:val="24625495"/>
    <w:rsid w:val="248D4C08"/>
    <w:rsid w:val="249C1E08"/>
    <w:rsid w:val="24CD7549"/>
    <w:rsid w:val="24D215AA"/>
    <w:rsid w:val="24FC4FB3"/>
    <w:rsid w:val="2500728E"/>
    <w:rsid w:val="2532799E"/>
    <w:rsid w:val="2535484C"/>
    <w:rsid w:val="25F45A9F"/>
    <w:rsid w:val="26413EFB"/>
    <w:rsid w:val="26487037"/>
    <w:rsid w:val="267F14F3"/>
    <w:rsid w:val="268838D8"/>
    <w:rsid w:val="269F0C21"/>
    <w:rsid w:val="27CA4857"/>
    <w:rsid w:val="27D03315"/>
    <w:rsid w:val="27D663B3"/>
    <w:rsid w:val="280D178D"/>
    <w:rsid w:val="2835183D"/>
    <w:rsid w:val="28BE5CD7"/>
    <w:rsid w:val="290328CC"/>
    <w:rsid w:val="299E3412"/>
    <w:rsid w:val="29B86C00"/>
    <w:rsid w:val="29D43E53"/>
    <w:rsid w:val="29D4763F"/>
    <w:rsid w:val="29D91848"/>
    <w:rsid w:val="29EA6817"/>
    <w:rsid w:val="29FD04D3"/>
    <w:rsid w:val="2A1477A9"/>
    <w:rsid w:val="2A2D4EC2"/>
    <w:rsid w:val="2A6766FC"/>
    <w:rsid w:val="2B506412"/>
    <w:rsid w:val="2B6E1F87"/>
    <w:rsid w:val="2C0C2C22"/>
    <w:rsid w:val="2C8A61B5"/>
    <w:rsid w:val="2D095047"/>
    <w:rsid w:val="2D5500CB"/>
    <w:rsid w:val="2D9D22C4"/>
    <w:rsid w:val="2DBE48DF"/>
    <w:rsid w:val="2DF04E50"/>
    <w:rsid w:val="2EC70EAF"/>
    <w:rsid w:val="2F040D46"/>
    <w:rsid w:val="2F462582"/>
    <w:rsid w:val="2FBA233C"/>
    <w:rsid w:val="2FBF120C"/>
    <w:rsid w:val="318D26EA"/>
    <w:rsid w:val="319F7F4E"/>
    <w:rsid w:val="32ED2840"/>
    <w:rsid w:val="3304709D"/>
    <w:rsid w:val="332046D5"/>
    <w:rsid w:val="339F40E7"/>
    <w:rsid w:val="34192013"/>
    <w:rsid w:val="34207D7A"/>
    <w:rsid w:val="344B5458"/>
    <w:rsid w:val="345500D1"/>
    <w:rsid w:val="34B538F1"/>
    <w:rsid w:val="34E43691"/>
    <w:rsid w:val="34F130D5"/>
    <w:rsid w:val="355E0B4C"/>
    <w:rsid w:val="362A2F9C"/>
    <w:rsid w:val="36A7479B"/>
    <w:rsid w:val="36AA5135"/>
    <w:rsid w:val="36C65A2A"/>
    <w:rsid w:val="36CE17DB"/>
    <w:rsid w:val="37456588"/>
    <w:rsid w:val="375717D0"/>
    <w:rsid w:val="376D39B2"/>
    <w:rsid w:val="37E16F03"/>
    <w:rsid w:val="388D1185"/>
    <w:rsid w:val="389A79A6"/>
    <w:rsid w:val="38A52E60"/>
    <w:rsid w:val="38D469F0"/>
    <w:rsid w:val="39121647"/>
    <w:rsid w:val="393F4A8E"/>
    <w:rsid w:val="39702442"/>
    <w:rsid w:val="397445C4"/>
    <w:rsid w:val="39AE1450"/>
    <w:rsid w:val="3A330AEA"/>
    <w:rsid w:val="3A4D6481"/>
    <w:rsid w:val="3B716BD9"/>
    <w:rsid w:val="3B81153F"/>
    <w:rsid w:val="3B8D69A3"/>
    <w:rsid w:val="3C4240D2"/>
    <w:rsid w:val="3C5D6E95"/>
    <w:rsid w:val="3D7524E2"/>
    <w:rsid w:val="3D98207C"/>
    <w:rsid w:val="3E01135B"/>
    <w:rsid w:val="3E336838"/>
    <w:rsid w:val="3E6B6D9C"/>
    <w:rsid w:val="3E78745D"/>
    <w:rsid w:val="3EAA44DC"/>
    <w:rsid w:val="3EBA5F5F"/>
    <w:rsid w:val="400D7A2B"/>
    <w:rsid w:val="40863DE0"/>
    <w:rsid w:val="40E50024"/>
    <w:rsid w:val="410F4ECA"/>
    <w:rsid w:val="41C1494D"/>
    <w:rsid w:val="42590A55"/>
    <w:rsid w:val="426923B8"/>
    <w:rsid w:val="429C4425"/>
    <w:rsid w:val="432B7F06"/>
    <w:rsid w:val="43B41D58"/>
    <w:rsid w:val="444F34AA"/>
    <w:rsid w:val="4453331F"/>
    <w:rsid w:val="44D25289"/>
    <w:rsid w:val="44D83825"/>
    <w:rsid w:val="44E268DA"/>
    <w:rsid w:val="45B232AF"/>
    <w:rsid w:val="45EF3DEE"/>
    <w:rsid w:val="465B4DF8"/>
    <w:rsid w:val="475A6773"/>
    <w:rsid w:val="47E735EA"/>
    <w:rsid w:val="48106B53"/>
    <w:rsid w:val="488257DE"/>
    <w:rsid w:val="488A12DA"/>
    <w:rsid w:val="48B9571B"/>
    <w:rsid w:val="48C20A74"/>
    <w:rsid w:val="48F86B09"/>
    <w:rsid w:val="49A54C04"/>
    <w:rsid w:val="49AB4005"/>
    <w:rsid w:val="4A2C002A"/>
    <w:rsid w:val="4A627F82"/>
    <w:rsid w:val="4A8E0042"/>
    <w:rsid w:val="4B0E749A"/>
    <w:rsid w:val="4B4F25DA"/>
    <w:rsid w:val="4BE068DB"/>
    <w:rsid w:val="4BFE27AF"/>
    <w:rsid w:val="4C1064A1"/>
    <w:rsid w:val="4C1A1A7D"/>
    <w:rsid w:val="4C2C3074"/>
    <w:rsid w:val="4D577224"/>
    <w:rsid w:val="4D826C2E"/>
    <w:rsid w:val="4DF16B98"/>
    <w:rsid w:val="4DFE177C"/>
    <w:rsid w:val="4E05655C"/>
    <w:rsid w:val="4E19718F"/>
    <w:rsid w:val="4E9D79D1"/>
    <w:rsid w:val="4EAB630A"/>
    <w:rsid w:val="4ECE2238"/>
    <w:rsid w:val="4EFE586F"/>
    <w:rsid w:val="4F5035EE"/>
    <w:rsid w:val="4F6D7F7A"/>
    <w:rsid w:val="4F985D15"/>
    <w:rsid w:val="4FE37C4D"/>
    <w:rsid w:val="503C37D4"/>
    <w:rsid w:val="506B746C"/>
    <w:rsid w:val="5072519B"/>
    <w:rsid w:val="50C669F8"/>
    <w:rsid w:val="5119769F"/>
    <w:rsid w:val="512869C9"/>
    <w:rsid w:val="51FA3520"/>
    <w:rsid w:val="52C85D96"/>
    <w:rsid w:val="52FE2BB3"/>
    <w:rsid w:val="53383696"/>
    <w:rsid w:val="537E6D0A"/>
    <w:rsid w:val="53C438F2"/>
    <w:rsid w:val="53F561A1"/>
    <w:rsid w:val="540C3C84"/>
    <w:rsid w:val="54D8352B"/>
    <w:rsid w:val="55ED53DC"/>
    <w:rsid w:val="56126651"/>
    <w:rsid w:val="56CF7746"/>
    <w:rsid w:val="56EB0202"/>
    <w:rsid w:val="570A3D11"/>
    <w:rsid w:val="57835872"/>
    <w:rsid w:val="588B7105"/>
    <w:rsid w:val="592506ED"/>
    <w:rsid w:val="59762CD8"/>
    <w:rsid w:val="5A1131F3"/>
    <w:rsid w:val="5A442DBC"/>
    <w:rsid w:val="5A9F1323"/>
    <w:rsid w:val="5AF92295"/>
    <w:rsid w:val="5B4377F2"/>
    <w:rsid w:val="5BD07A57"/>
    <w:rsid w:val="5BF907F8"/>
    <w:rsid w:val="5C391356"/>
    <w:rsid w:val="5C5D4499"/>
    <w:rsid w:val="5C814A76"/>
    <w:rsid w:val="5CC47070"/>
    <w:rsid w:val="5CC8701A"/>
    <w:rsid w:val="5CD71FC4"/>
    <w:rsid w:val="5CE5161E"/>
    <w:rsid w:val="5D6E73F6"/>
    <w:rsid w:val="5D7560B6"/>
    <w:rsid w:val="5E437B09"/>
    <w:rsid w:val="5ECC25F9"/>
    <w:rsid w:val="5ED8640E"/>
    <w:rsid w:val="5F5D32FC"/>
    <w:rsid w:val="5F8D54E0"/>
    <w:rsid w:val="5FBF272C"/>
    <w:rsid w:val="5FCF2B6B"/>
    <w:rsid w:val="5FD62BFB"/>
    <w:rsid w:val="600336E7"/>
    <w:rsid w:val="609801A3"/>
    <w:rsid w:val="60B24CD4"/>
    <w:rsid w:val="61204D07"/>
    <w:rsid w:val="615114BA"/>
    <w:rsid w:val="615D7AB8"/>
    <w:rsid w:val="61B37CD9"/>
    <w:rsid w:val="633839B4"/>
    <w:rsid w:val="639D5F0D"/>
    <w:rsid w:val="63BA261B"/>
    <w:rsid w:val="64171B75"/>
    <w:rsid w:val="65566374"/>
    <w:rsid w:val="658642E4"/>
    <w:rsid w:val="659B749C"/>
    <w:rsid w:val="65BC5A35"/>
    <w:rsid w:val="65D61603"/>
    <w:rsid w:val="66061B48"/>
    <w:rsid w:val="66427A0E"/>
    <w:rsid w:val="66681A39"/>
    <w:rsid w:val="66D81969"/>
    <w:rsid w:val="67DF1E10"/>
    <w:rsid w:val="681E1391"/>
    <w:rsid w:val="682D6BBA"/>
    <w:rsid w:val="6839781C"/>
    <w:rsid w:val="683A0465"/>
    <w:rsid w:val="68715318"/>
    <w:rsid w:val="68B25D62"/>
    <w:rsid w:val="69CA5576"/>
    <w:rsid w:val="6A553543"/>
    <w:rsid w:val="6A8F4802"/>
    <w:rsid w:val="6AAA6A52"/>
    <w:rsid w:val="6AFA11A0"/>
    <w:rsid w:val="6B347157"/>
    <w:rsid w:val="6BBA6469"/>
    <w:rsid w:val="6BCE121D"/>
    <w:rsid w:val="6BF142CC"/>
    <w:rsid w:val="6C486C7C"/>
    <w:rsid w:val="6C4909E0"/>
    <w:rsid w:val="6C4A05C8"/>
    <w:rsid w:val="6C976A08"/>
    <w:rsid w:val="6D1D1228"/>
    <w:rsid w:val="6D6935CF"/>
    <w:rsid w:val="6D6F091A"/>
    <w:rsid w:val="6DB9605E"/>
    <w:rsid w:val="6DDD7632"/>
    <w:rsid w:val="6E2A3735"/>
    <w:rsid w:val="6E3E630B"/>
    <w:rsid w:val="6E626E61"/>
    <w:rsid w:val="6E7E3605"/>
    <w:rsid w:val="6ED26D5E"/>
    <w:rsid w:val="6EE97FE6"/>
    <w:rsid w:val="6EEA3154"/>
    <w:rsid w:val="6F1F18F3"/>
    <w:rsid w:val="6F292B3D"/>
    <w:rsid w:val="6F55769C"/>
    <w:rsid w:val="6F5F3399"/>
    <w:rsid w:val="6FD54146"/>
    <w:rsid w:val="6FF5CC65"/>
    <w:rsid w:val="70992760"/>
    <w:rsid w:val="70A24B63"/>
    <w:rsid w:val="71341C5F"/>
    <w:rsid w:val="71376E55"/>
    <w:rsid w:val="715C0E4B"/>
    <w:rsid w:val="71A71EA8"/>
    <w:rsid w:val="71C92444"/>
    <w:rsid w:val="726B3F3A"/>
    <w:rsid w:val="72734D90"/>
    <w:rsid w:val="729B3551"/>
    <w:rsid w:val="72D2562B"/>
    <w:rsid w:val="73AD73D5"/>
    <w:rsid w:val="73B6EB34"/>
    <w:rsid w:val="73BA005F"/>
    <w:rsid w:val="73FB6A64"/>
    <w:rsid w:val="741E6298"/>
    <w:rsid w:val="7435228F"/>
    <w:rsid w:val="744731E5"/>
    <w:rsid w:val="747145BE"/>
    <w:rsid w:val="750B428B"/>
    <w:rsid w:val="753B274E"/>
    <w:rsid w:val="75F14377"/>
    <w:rsid w:val="75FC5964"/>
    <w:rsid w:val="76765339"/>
    <w:rsid w:val="76CE63C0"/>
    <w:rsid w:val="76E3355F"/>
    <w:rsid w:val="77186251"/>
    <w:rsid w:val="77802A0E"/>
    <w:rsid w:val="778769C8"/>
    <w:rsid w:val="77BC1F95"/>
    <w:rsid w:val="78B45BC5"/>
    <w:rsid w:val="78B93D2D"/>
    <w:rsid w:val="78D50304"/>
    <w:rsid w:val="793C6789"/>
    <w:rsid w:val="79EE5BA4"/>
    <w:rsid w:val="79F62BD6"/>
    <w:rsid w:val="7A894339"/>
    <w:rsid w:val="7AB23C02"/>
    <w:rsid w:val="7AEA0B7C"/>
    <w:rsid w:val="7CBA2FE3"/>
    <w:rsid w:val="7D07647A"/>
    <w:rsid w:val="7D220754"/>
    <w:rsid w:val="7DC1360F"/>
    <w:rsid w:val="7DE75DCA"/>
    <w:rsid w:val="7E4A1FD7"/>
    <w:rsid w:val="7E77617F"/>
    <w:rsid w:val="7EEF11D3"/>
    <w:rsid w:val="7F6F0306"/>
    <w:rsid w:val="7FA30C79"/>
    <w:rsid w:val="7FB7269E"/>
    <w:rsid w:val="7FC96657"/>
    <w:rsid w:val="7FCA378E"/>
    <w:rsid w:val="D8D6DB89"/>
    <w:rsid w:val="DB6F4CAB"/>
    <w:rsid w:val="DF6F978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nhideWhenUsed="0" w:uiPriority="0" w:name="footnote text"/>
    <w:lsdException w:qFormat="1" w:uiPriority="99" w:name="annotation text"/>
    <w:lsdException w:qFormat="1" w:unhideWhenUsed="0" w:uiPriority="99"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qFormat="1" w:unhideWhenUsed="0" w:uiPriority="0" w:semiHidden="0"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link w:val="38"/>
    <w:qFormat/>
    <w:uiPriority w:val="9"/>
    <w:pPr>
      <w:keepNext/>
      <w:keepLines/>
      <w:spacing w:before="340" w:after="330" w:line="578" w:lineRule="auto"/>
      <w:outlineLvl w:val="0"/>
    </w:pPr>
    <w:rPr>
      <w:b/>
      <w:bCs/>
      <w:kern w:val="44"/>
      <w:sz w:val="44"/>
      <w:szCs w:val="44"/>
    </w:rPr>
  </w:style>
  <w:style w:type="paragraph" w:styleId="6">
    <w:name w:val="heading 2"/>
    <w:basedOn w:val="1"/>
    <w:next w:val="1"/>
    <w:link w:val="39"/>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7">
    <w:name w:val="heading 3"/>
    <w:basedOn w:val="1"/>
    <w:next w:val="1"/>
    <w:link w:val="42"/>
    <w:unhideWhenUsed/>
    <w:qFormat/>
    <w:uiPriority w:val="9"/>
    <w:pPr>
      <w:keepNext/>
      <w:keepLines/>
      <w:spacing w:before="260" w:after="260" w:line="416" w:lineRule="auto"/>
      <w:outlineLvl w:val="2"/>
    </w:pPr>
    <w:rPr>
      <w:b/>
      <w:bCs/>
      <w:sz w:val="32"/>
      <w:szCs w:val="32"/>
    </w:rPr>
  </w:style>
  <w:style w:type="paragraph" w:styleId="8">
    <w:name w:val="heading 4"/>
    <w:basedOn w:val="1"/>
    <w:next w:val="1"/>
    <w:qFormat/>
    <w:uiPriority w:val="0"/>
    <w:pPr>
      <w:keepNext/>
      <w:keepLines/>
      <w:spacing w:before="280" w:after="290" w:line="376" w:lineRule="auto"/>
      <w:outlineLvl w:val="3"/>
    </w:pPr>
    <w:rPr>
      <w:rFonts w:ascii="Calibri Light" w:hAnsi="Calibri Light"/>
      <w:b/>
      <w:bCs/>
      <w:sz w:val="28"/>
      <w:szCs w:val="28"/>
    </w:rPr>
  </w:style>
  <w:style w:type="character" w:default="1" w:styleId="25">
    <w:name w:val="Default Paragraph Font"/>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2">
    <w:name w:val="footnote text"/>
    <w:basedOn w:val="1"/>
    <w:next w:val="3"/>
    <w:semiHidden/>
    <w:qFormat/>
    <w:uiPriority w:val="0"/>
    <w:pPr>
      <w:snapToGrid w:val="0"/>
      <w:jc w:val="left"/>
    </w:pPr>
    <w:rPr>
      <w:sz w:val="18"/>
      <w:szCs w:val="18"/>
    </w:rPr>
  </w:style>
  <w:style w:type="paragraph" w:styleId="3">
    <w:name w:val="Body Text First Indent 2"/>
    <w:basedOn w:val="4"/>
    <w:unhideWhenUsed/>
    <w:qFormat/>
    <w:uiPriority w:val="99"/>
    <w:pPr>
      <w:ind w:firstLine="420" w:firstLineChars="200"/>
    </w:pPr>
  </w:style>
  <w:style w:type="paragraph" w:styleId="4">
    <w:name w:val="Body Text Indent"/>
    <w:basedOn w:val="1"/>
    <w:next w:val="3"/>
    <w:qFormat/>
    <w:uiPriority w:val="0"/>
    <w:pPr>
      <w:spacing w:after="120"/>
      <w:ind w:leftChars="200"/>
    </w:pPr>
    <w:rPr>
      <w:rFonts w:ascii="仿宋_GB2312"/>
      <w:szCs w:val="32"/>
    </w:rPr>
  </w:style>
  <w:style w:type="paragraph" w:styleId="9">
    <w:name w:val="List Number"/>
    <w:basedOn w:val="1"/>
    <w:semiHidden/>
    <w:unhideWhenUsed/>
    <w:qFormat/>
    <w:uiPriority w:val="99"/>
    <w:pPr>
      <w:numPr>
        <w:ilvl w:val="0"/>
        <w:numId w:val="1"/>
      </w:numPr>
    </w:pPr>
  </w:style>
  <w:style w:type="paragraph" w:styleId="10">
    <w:name w:val="Normal Indent"/>
    <w:basedOn w:val="1"/>
    <w:qFormat/>
    <w:uiPriority w:val="0"/>
    <w:pPr>
      <w:spacing w:before="156" w:beforeLines="50" w:line="360" w:lineRule="auto"/>
      <w:ind w:firstLine="480" w:firstLineChars="200"/>
    </w:pPr>
    <w:rPr>
      <w:rFonts w:eastAsia="仿宋"/>
      <w:sz w:val="24"/>
      <w:szCs w:val="23"/>
      <w:lang w:eastAsia="ar-SA"/>
    </w:rPr>
  </w:style>
  <w:style w:type="paragraph" w:styleId="11">
    <w:name w:val="annotation text"/>
    <w:basedOn w:val="1"/>
    <w:semiHidden/>
    <w:unhideWhenUsed/>
    <w:qFormat/>
    <w:uiPriority w:val="99"/>
    <w:pPr>
      <w:jc w:val="left"/>
    </w:pPr>
  </w:style>
  <w:style w:type="paragraph" w:styleId="12">
    <w:name w:val="Body Text"/>
    <w:basedOn w:val="1"/>
    <w:link w:val="35"/>
    <w:qFormat/>
    <w:uiPriority w:val="99"/>
    <w:pPr>
      <w:spacing w:beforeLines="30"/>
    </w:pPr>
    <w:rPr>
      <w:rFonts w:ascii="仿宋_GB2312" w:eastAsia="仿宋_GB2312"/>
      <w:kern w:val="0"/>
      <w:sz w:val="30"/>
    </w:rPr>
  </w:style>
  <w:style w:type="paragraph" w:styleId="13">
    <w:name w:val="toc 3"/>
    <w:basedOn w:val="1"/>
    <w:next w:val="1"/>
    <w:unhideWhenUsed/>
    <w:qFormat/>
    <w:uiPriority w:val="39"/>
    <w:pPr>
      <w:tabs>
        <w:tab w:val="right" w:leader="dot" w:pos="8296"/>
      </w:tabs>
      <w:ind w:left="840" w:leftChars="400"/>
    </w:pPr>
  </w:style>
  <w:style w:type="paragraph" w:styleId="14">
    <w:name w:val="Balloon Text"/>
    <w:basedOn w:val="1"/>
    <w:link w:val="41"/>
    <w:semiHidden/>
    <w:unhideWhenUsed/>
    <w:qFormat/>
    <w:uiPriority w:val="99"/>
    <w:rPr>
      <w:sz w:val="18"/>
      <w:szCs w:val="18"/>
    </w:rPr>
  </w:style>
  <w:style w:type="paragraph" w:styleId="15">
    <w:name w:val="footer"/>
    <w:basedOn w:val="1"/>
    <w:link w:val="33"/>
    <w:qFormat/>
    <w:uiPriority w:val="99"/>
    <w:pPr>
      <w:tabs>
        <w:tab w:val="center" w:pos="4153"/>
        <w:tab w:val="right" w:pos="8306"/>
      </w:tabs>
      <w:snapToGrid w:val="0"/>
      <w:jc w:val="left"/>
    </w:pPr>
    <w:rPr>
      <w:rFonts w:ascii="Calibri" w:hAnsi="Calibri"/>
      <w:kern w:val="0"/>
      <w:sz w:val="18"/>
      <w:szCs w:val="18"/>
    </w:rPr>
  </w:style>
  <w:style w:type="paragraph" w:styleId="16">
    <w:name w:val="header"/>
    <w:basedOn w:val="1"/>
    <w:link w:val="31"/>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7">
    <w:name w:val="toc 1"/>
    <w:basedOn w:val="1"/>
    <w:next w:val="1"/>
    <w:unhideWhenUsed/>
    <w:qFormat/>
    <w:uiPriority w:val="39"/>
    <w:pPr>
      <w:tabs>
        <w:tab w:val="right" w:leader="dot" w:pos="8296"/>
      </w:tabs>
      <w:spacing w:before="93"/>
      <w:jc w:val="center"/>
    </w:pPr>
    <w:rPr>
      <w:rFonts w:ascii="仿宋" w:hAnsi="仿宋" w:eastAsia="仿宋"/>
      <w:sz w:val="28"/>
      <w:szCs w:val="28"/>
    </w:rPr>
  </w:style>
  <w:style w:type="paragraph" w:styleId="18">
    <w:name w:val="Subtitle"/>
    <w:basedOn w:val="1"/>
    <w:next w:val="1"/>
    <w:qFormat/>
    <w:uiPriority w:val="0"/>
    <w:pPr>
      <w:spacing w:before="240" w:after="60" w:line="312" w:lineRule="auto"/>
      <w:jc w:val="center"/>
      <w:outlineLvl w:val="1"/>
    </w:pPr>
    <w:rPr>
      <w:rFonts w:ascii="Cambria" w:hAnsi="Cambria"/>
      <w:b/>
      <w:bCs/>
      <w:kern w:val="28"/>
      <w:sz w:val="32"/>
      <w:szCs w:val="32"/>
    </w:rPr>
  </w:style>
  <w:style w:type="paragraph" w:styleId="19">
    <w:name w:val="toc 2"/>
    <w:basedOn w:val="1"/>
    <w:next w:val="1"/>
    <w:unhideWhenUsed/>
    <w:qFormat/>
    <w:uiPriority w:val="39"/>
    <w:pPr>
      <w:tabs>
        <w:tab w:val="right" w:leader="dot" w:pos="8296"/>
      </w:tabs>
      <w:ind w:left="420" w:leftChars="200"/>
    </w:pPr>
  </w:style>
  <w:style w:type="paragraph" w:styleId="20">
    <w:name w:val="Normal (Web)"/>
    <w:basedOn w:val="1"/>
    <w:qFormat/>
    <w:uiPriority w:val="0"/>
    <w:pPr>
      <w:spacing w:beforeAutospacing="1" w:afterAutospacing="1"/>
      <w:jc w:val="left"/>
    </w:pPr>
    <w:rPr>
      <w:rFonts w:cs="Times New Roman"/>
      <w:kern w:val="0"/>
      <w:sz w:val="24"/>
    </w:rPr>
  </w:style>
  <w:style w:type="paragraph" w:styleId="21">
    <w:name w:val="Title"/>
    <w:qFormat/>
    <w:uiPriority w:val="0"/>
    <w:pPr>
      <w:widowControl w:val="0"/>
      <w:overflowPunct w:val="0"/>
      <w:topLinePunct/>
      <w:autoSpaceDN w:val="0"/>
      <w:spacing w:beforeLines="0" w:beforeAutospacing="0" w:afterLines="0" w:afterAutospacing="0"/>
      <w:jc w:val="center"/>
      <w:outlineLvl w:val="9"/>
    </w:pPr>
    <w:rPr>
      <w:rFonts w:ascii="Times New Roman" w:hAnsi="Times New Roman" w:eastAsia="方正小标宋_GBK" w:cs="Times New Roman"/>
      <w:spacing w:val="-6"/>
      <w:kern w:val="2"/>
      <w:sz w:val="44"/>
      <w:szCs w:val="32"/>
      <w:lang w:bidi="ar-SA"/>
    </w:rPr>
  </w:style>
  <w:style w:type="paragraph" w:styleId="22">
    <w:name w:val="Body Text First Indent"/>
    <w:basedOn w:val="12"/>
    <w:next w:val="12"/>
    <w:qFormat/>
    <w:uiPriority w:val="0"/>
    <w:pPr>
      <w:tabs>
        <w:tab w:val="left" w:pos="2160"/>
      </w:tabs>
      <w:ind w:firstLine="420" w:firstLineChars="100"/>
    </w:pPr>
  </w:style>
  <w:style w:type="table" w:styleId="24">
    <w:name w:val="Table Grid"/>
    <w:basedOn w:val="2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Strong"/>
    <w:basedOn w:val="25"/>
    <w:qFormat/>
    <w:uiPriority w:val="99"/>
    <w:rPr>
      <w:b/>
    </w:rPr>
  </w:style>
  <w:style w:type="character" w:styleId="27">
    <w:name w:val="Hyperlink"/>
    <w:basedOn w:val="25"/>
    <w:unhideWhenUsed/>
    <w:qFormat/>
    <w:uiPriority w:val="99"/>
    <w:rPr>
      <w:color w:val="0000FF" w:themeColor="hyperlink"/>
      <w:u w:val="single"/>
      <w14:textFill>
        <w14:solidFill>
          <w14:schemeClr w14:val="hlink"/>
        </w14:solidFill>
      </w14:textFill>
    </w:rPr>
  </w:style>
  <w:style w:type="paragraph" w:customStyle="1" w:styleId="28">
    <w:name w:val="标题 5（有编号）（绿盟科技）"/>
    <w:next w:val="1"/>
    <w:qFormat/>
    <w:uiPriority w:val="99"/>
    <w:pPr>
      <w:keepNext/>
      <w:keepLines/>
      <w:widowControl w:val="0"/>
      <w:spacing w:before="280" w:after="156" w:line="377" w:lineRule="auto"/>
      <w:jc w:val="left"/>
      <w:outlineLvl w:val="4"/>
    </w:pPr>
    <w:rPr>
      <w:rFonts w:ascii="Arial" w:hAnsi="Arial" w:eastAsia="黑体" w:cs="Times New Roman"/>
      <w:b/>
      <w:kern w:val="2"/>
      <w:sz w:val="24"/>
      <w:szCs w:val="28"/>
      <w:lang w:val="en-US" w:eastAsia="zh-CN" w:bidi="ar-SA"/>
    </w:rPr>
  </w:style>
  <w:style w:type="paragraph" w:customStyle="1" w:styleId="29">
    <w:name w:val="正文2"/>
    <w:basedOn w:val="1"/>
    <w:next w:val="1"/>
    <w:qFormat/>
    <w:uiPriority w:val="0"/>
  </w:style>
  <w:style w:type="character" w:customStyle="1" w:styleId="30">
    <w:name w:val="Header Char"/>
    <w:basedOn w:val="25"/>
    <w:semiHidden/>
    <w:qFormat/>
    <w:uiPriority w:val="99"/>
    <w:rPr>
      <w:rFonts w:ascii="Times New Roman" w:hAnsi="Times New Roman"/>
      <w:sz w:val="18"/>
      <w:szCs w:val="18"/>
    </w:rPr>
  </w:style>
  <w:style w:type="character" w:customStyle="1" w:styleId="31">
    <w:name w:val="页眉 Char"/>
    <w:link w:val="16"/>
    <w:semiHidden/>
    <w:qFormat/>
    <w:locked/>
    <w:uiPriority w:val="99"/>
    <w:rPr>
      <w:sz w:val="18"/>
    </w:rPr>
  </w:style>
  <w:style w:type="character" w:customStyle="1" w:styleId="32">
    <w:name w:val="Footer Char"/>
    <w:basedOn w:val="25"/>
    <w:semiHidden/>
    <w:qFormat/>
    <w:uiPriority w:val="99"/>
    <w:rPr>
      <w:rFonts w:ascii="Times New Roman" w:hAnsi="Times New Roman"/>
      <w:sz w:val="18"/>
      <w:szCs w:val="18"/>
    </w:rPr>
  </w:style>
  <w:style w:type="character" w:customStyle="1" w:styleId="33">
    <w:name w:val="页脚 Char"/>
    <w:link w:val="15"/>
    <w:qFormat/>
    <w:locked/>
    <w:uiPriority w:val="99"/>
    <w:rPr>
      <w:sz w:val="18"/>
    </w:rPr>
  </w:style>
  <w:style w:type="character" w:customStyle="1" w:styleId="34">
    <w:name w:val="Body Text Char"/>
    <w:basedOn w:val="25"/>
    <w:semiHidden/>
    <w:qFormat/>
    <w:uiPriority w:val="99"/>
    <w:rPr>
      <w:rFonts w:ascii="Times New Roman" w:hAnsi="Times New Roman"/>
      <w:szCs w:val="24"/>
    </w:rPr>
  </w:style>
  <w:style w:type="character" w:customStyle="1" w:styleId="35">
    <w:name w:val="正文文本 Char"/>
    <w:link w:val="12"/>
    <w:qFormat/>
    <w:locked/>
    <w:uiPriority w:val="99"/>
    <w:rPr>
      <w:rFonts w:ascii="仿宋_GB2312" w:hAnsi="Times New Roman" w:eastAsia="仿宋_GB2312"/>
      <w:sz w:val="24"/>
    </w:rPr>
  </w:style>
  <w:style w:type="paragraph" w:customStyle="1" w:styleId="36">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paragraph" w:styleId="37">
    <w:name w:val="List Paragraph"/>
    <w:basedOn w:val="1"/>
    <w:qFormat/>
    <w:uiPriority w:val="34"/>
    <w:pPr>
      <w:ind w:firstLine="420" w:firstLineChars="200"/>
    </w:pPr>
  </w:style>
  <w:style w:type="character" w:customStyle="1" w:styleId="38">
    <w:name w:val="标题 1 Char"/>
    <w:basedOn w:val="25"/>
    <w:link w:val="5"/>
    <w:qFormat/>
    <w:uiPriority w:val="9"/>
    <w:rPr>
      <w:rFonts w:ascii="Times New Roman" w:hAnsi="Times New Roman"/>
      <w:b/>
      <w:bCs/>
      <w:kern w:val="44"/>
      <w:sz w:val="44"/>
      <w:szCs w:val="44"/>
    </w:rPr>
  </w:style>
  <w:style w:type="character" w:customStyle="1" w:styleId="39">
    <w:name w:val="标题 2 Char"/>
    <w:basedOn w:val="25"/>
    <w:link w:val="6"/>
    <w:qFormat/>
    <w:uiPriority w:val="9"/>
    <w:rPr>
      <w:rFonts w:asciiTheme="majorHAnsi" w:hAnsiTheme="majorHAnsi" w:eastAsiaTheme="majorEastAsia" w:cstheme="majorBidi"/>
      <w:b/>
      <w:bCs/>
      <w:kern w:val="2"/>
      <w:sz w:val="32"/>
      <w:szCs w:val="32"/>
    </w:rPr>
  </w:style>
  <w:style w:type="paragraph" w:customStyle="1" w:styleId="40">
    <w:name w:val="TOC 标题1"/>
    <w:basedOn w:val="5"/>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41">
    <w:name w:val="批注框文本 Char"/>
    <w:basedOn w:val="25"/>
    <w:link w:val="14"/>
    <w:semiHidden/>
    <w:qFormat/>
    <w:uiPriority w:val="99"/>
    <w:rPr>
      <w:rFonts w:ascii="Times New Roman" w:hAnsi="Times New Roman"/>
      <w:kern w:val="2"/>
      <w:sz w:val="18"/>
      <w:szCs w:val="18"/>
    </w:rPr>
  </w:style>
  <w:style w:type="character" w:customStyle="1" w:styleId="42">
    <w:name w:val="标题 3 Char"/>
    <w:basedOn w:val="25"/>
    <w:link w:val="7"/>
    <w:qFormat/>
    <w:uiPriority w:val="9"/>
    <w:rPr>
      <w:rFonts w:ascii="Times New Roman" w:hAnsi="Times New Roman"/>
      <w:b/>
      <w:bCs/>
      <w:kern w:val="2"/>
      <w:sz w:val="32"/>
      <w:szCs w:val="32"/>
    </w:rPr>
  </w:style>
  <w:style w:type="paragraph" w:customStyle="1" w:styleId="43">
    <w:name w:val="TOC Heading"/>
    <w:basedOn w:val="5"/>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44">
    <w:name w:val="四号正文"/>
    <w:basedOn w:val="1"/>
    <w:qFormat/>
    <w:uiPriority w:val="0"/>
    <w:pPr>
      <w:spacing w:line="360" w:lineRule="auto"/>
    </w:pPr>
    <w:rPr>
      <w:rFonts w:ascii="??" w:hAnsi="??" w:eastAsia="宋体"/>
      <w:color w:val="000000"/>
      <w:kern w:val="0"/>
      <w:sz w:val="28"/>
      <w:szCs w:val="21"/>
      <w:lang w:val="zh-CN" w:eastAsia="zh-CN"/>
    </w:rPr>
  </w:style>
  <w:style w:type="paragraph" w:customStyle="1" w:styleId="45">
    <w:name w:val="WPSOffice手动目录 1"/>
    <w:qFormat/>
    <w:uiPriority w:val="0"/>
    <w:pPr>
      <w:ind w:leftChars="0"/>
    </w:pPr>
    <w:rPr>
      <w:rFonts w:ascii="Times New Roman" w:hAnsi="Times New Roman" w:eastAsia="宋体" w:cs="Times New Roman"/>
      <w:sz w:val="20"/>
      <w:szCs w:val="20"/>
    </w:rPr>
  </w:style>
  <w:style w:type="paragraph" w:customStyle="1" w:styleId="46">
    <w:name w:val="WPSOffice手动目录 2"/>
    <w:qFormat/>
    <w:uiPriority w:val="0"/>
    <w:pPr>
      <w:ind w:leftChars="200"/>
    </w:pPr>
    <w:rPr>
      <w:rFonts w:ascii="Times New Roman" w:hAnsi="Times New Roman" w:eastAsia="宋体" w:cs="Times New Roman"/>
      <w:sz w:val="20"/>
      <w:szCs w:val="20"/>
    </w:rPr>
  </w:style>
  <w:style w:type="paragraph" w:customStyle="1" w:styleId="47">
    <w:name w:val="WPSOffice手动目录 3"/>
    <w:qFormat/>
    <w:uiPriority w:val="0"/>
    <w:pPr>
      <w:ind w:leftChars="400"/>
    </w:pPr>
    <w:rPr>
      <w:rFonts w:ascii="Times New Roman" w:hAnsi="Times New Roman" w:eastAsia="宋体" w:cs="Times New Roman"/>
      <w:sz w:val="20"/>
      <w:szCs w:val="20"/>
    </w:rPr>
  </w:style>
  <w:style w:type="table" w:customStyle="1" w:styleId="48">
    <w:name w:val="Table Normal"/>
    <w:semiHidden/>
    <w:unhideWhenUsed/>
    <w:qFormat/>
    <w:uiPriority w:val="0"/>
    <w:tblPr>
      <w:tblCellMar>
        <w:top w:w="0" w:type="dxa"/>
        <w:left w:w="0" w:type="dxa"/>
        <w:bottom w:w="0" w:type="dxa"/>
        <w:right w:w="0" w:type="dxa"/>
      </w:tblCellMar>
    </w:tblPr>
  </w:style>
  <w:style w:type="paragraph" w:customStyle="1" w:styleId="49">
    <w:name w:val="章标题"/>
    <w:basedOn w:val="1"/>
    <w:next w:val="50"/>
    <w:qFormat/>
    <w:uiPriority w:val="99"/>
    <w:pPr>
      <w:widowControl/>
      <w:spacing w:before="158" w:after="153" w:line="323" w:lineRule="atLeast"/>
      <w:ind w:right="-120"/>
      <w:jc w:val="center"/>
      <w:textAlignment w:val="baseline"/>
    </w:pPr>
    <w:rPr>
      <w:color w:val="FF0000"/>
      <w:sz w:val="18"/>
    </w:rPr>
  </w:style>
  <w:style w:type="paragraph" w:customStyle="1" w:styleId="50">
    <w:name w:val="节标题"/>
    <w:basedOn w:val="1"/>
    <w:next w:val="1"/>
    <w:qFormat/>
    <w:uiPriority w:val="99"/>
    <w:pPr>
      <w:widowControl/>
      <w:spacing w:line="289" w:lineRule="atLeast"/>
      <w:jc w:val="center"/>
      <w:textAlignment w:val="baseline"/>
    </w:pPr>
    <w:rPr>
      <w:color w:val="000000"/>
      <w:sz w:val="28"/>
    </w:rPr>
  </w:style>
  <w:style w:type="character" w:customStyle="1" w:styleId="51">
    <w:name w:val="NormalCharacter"/>
    <w:qFormat/>
    <w:uiPriority w:val="0"/>
    <w:rPr>
      <w:rFonts w:ascii="Calibri" w:hAnsi="Calibri" w:eastAsia="宋体"/>
      <w:kern w:val="2"/>
      <w:sz w:val="21"/>
      <w:szCs w:val="24"/>
      <w:lang w:val="en-US" w:eastAsia="zh-CN" w:bidi="ar-SA"/>
    </w:rPr>
  </w:style>
  <w:style w:type="paragraph" w:customStyle="1" w:styleId="52">
    <w:name w:val="文本"/>
    <w:basedOn w:val="1"/>
    <w:next w:val="10"/>
    <w:qFormat/>
    <w:uiPriority w:val="0"/>
    <w:pPr>
      <w:ind w:firstLine="480"/>
    </w:pPr>
    <w:rPr>
      <w:rFonts w:cs="宋体"/>
      <w:color w:val="000000"/>
      <w:spacing w:val="-8"/>
    </w:rPr>
  </w:style>
  <w:style w:type="character" w:customStyle="1" w:styleId="53">
    <w:name w:val="font41"/>
    <w:basedOn w:val="25"/>
    <w:qFormat/>
    <w:uiPriority w:val="0"/>
    <w:rPr>
      <w:rFonts w:hint="default" w:ascii="Wingdings 2" w:hAnsi="Wingdings 2" w:eastAsia="Wingdings 2" w:cs="Wingdings 2"/>
      <w:color w:val="000000"/>
      <w:sz w:val="24"/>
      <w:szCs w:val="24"/>
      <w:u w:val="none"/>
    </w:rPr>
  </w:style>
  <w:style w:type="character" w:customStyle="1" w:styleId="54">
    <w:name w:val="font31"/>
    <w:basedOn w:val="25"/>
    <w:qFormat/>
    <w:uiPriority w:val="0"/>
    <w:rPr>
      <w:rFonts w:hint="eastAsia" w:ascii="宋体" w:hAnsi="宋体" w:eastAsia="宋体" w:cs="宋体"/>
      <w:color w:val="000000"/>
      <w:sz w:val="24"/>
      <w:szCs w:val="24"/>
      <w:u w:val="none"/>
    </w:rPr>
  </w:style>
  <w:style w:type="character" w:customStyle="1" w:styleId="55">
    <w:name w:val="font61"/>
    <w:basedOn w:val="25"/>
    <w:qFormat/>
    <w:uiPriority w:val="0"/>
    <w:rPr>
      <w:rFonts w:hint="eastAsia" w:ascii="宋体" w:hAnsi="宋体" w:eastAsia="宋体" w:cs="宋体"/>
      <w:color w:val="000000"/>
      <w:sz w:val="24"/>
      <w:szCs w:val="24"/>
      <w:u w:val="none"/>
    </w:rPr>
  </w:style>
  <w:style w:type="character" w:customStyle="1" w:styleId="56">
    <w:name w:val="font81"/>
    <w:basedOn w:val="25"/>
    <w:qFormat/>
    <w:uiPriority w:val="0"/>
    <w:rPr>
      <w:rFonts w:hint="default" w:ascii="Times New Roman" w:hAnsi="Times New Roman" w:cs="Times New Roman"/>
      <w:color w:val="000000"/>
      <w:sz w:val="32"/>
      <w:szCs w:val="32"/>
      <w:u w:val="none"/>
    </w:rPr>
  </w:style>
</w:styles>
</file>

<file path=word/_rels/document.xml.rels><?xml version="1.0" encoding="UTF-8" standalone="yes"?>
<Relationships xmlns="http://schemas.openxmlformats.org/package/2006/relationships"><Relationship Id="rId9" Type="http://schemas.openxmlformats.org/officeDocument/2006/relationships/chart" Target="charts/chart1.xml"/><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chart" Target="charts/chart7.xml"/><Relationship Id="rId14" Type="http://schemas.openxmlformats.org/officeDocument/2006/relationships/chart" Target="charts/chart6.xml"/><Relationship Id="rId13" Type="http://schemas.openxmlformats.org/officeDocument/2006/relationships/chart" Target="charts/chart5.xml"/><Relationship Id="rId12" Type="http://schemas.openxmlformats.org/officeDocument/2006/relationships/chart" Target="charts/chart4.xml"/><Relationship Id="rId11" Type="http://schemas.openxmlformats.org/officeDocument/2006/relationships/chart" Target="charts/chart3.xml"/><Relationship Id="rId10" Type="http://schemas.openxmlformats.org/officeDocument/2006/relationships/chart" Target="charts/chart2.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6.xlsx"/></Relationships>
</file>

<file path=word/charts/_rels/chart2.xml.rels><?xml version="1.0" encoding="UTF-8" standalone="yes"?>
<Relationships xmlns="http://schemas.openxmlformats.org/package/2006/relationships"><Relationship Id="rId1" Type="http://schemas.openxmlformats.org/officeDocument/2006/relationships/package" Target="../embeddings/Workbook7.xlsx"/></Relationships>
</file>

<file path=word/charts/_rels/chart3.xml.rels><?xml version="1.0" encoding="UTF-8" standalone="yes"?>
<Relationships xmlns="http://schemas.openxmlformats.org/package/2006/relationships"><Relationship Id="rId1" Type="http://schemas.openxmlformats.org/officeDocument/2006/relationships/package" Target="../embeddings/Workbook5.xlsx"/></Relationships>
</file>

<file path=word/charts/_rels/chart4.xml.rels><?xml version="1.0" encoding="UTF-8" standalone="yes"?>
<Relationships xmlns="http://schemas.openxmlformats.org/package/2006/relationships"><Relationship Id="rId1" Type="http://schemas.openxmlformats.org/officeDocument/2006/relationships/package" Target="../embeddings/Workbook2.xlsx"/></Relationships>
</file>

<file path=word/charts/_rels/chart5.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3.xlsx"/></Relationships>
</file>

<file path=word/charts/_rels/chart6.xml.rels><?xml version="1.0" encoding="UTF-8" standalone="yes"?>
<Relationships xmlns="http://schemas.openxmlformats.org/package/2006/relationships"><Relationship Id="rId1" Type="http://schemas.openxmlformats.org/officeDocument/2006/relationships/package" Target="../embeddings/Workbook4.xlsx"/></Relationships>
</file>

<file path=word/charts/_rels/chart7.xml.rels><?xml version="1.0" encoding="UTF-8" standalone="yes"?>
<Relationships xmlns="http://schemas.openxmlformats.org/package/2006/relationships"><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6"/>
    </mc:Choice>
    <mc:Fallback>
      <c:style val="16"/>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en-US"/>
              <a:t>　　　收、支变动情况图</a:t>
            </a:r>
            <a:endParaRPr lang="zh-CN"/>
          </a:p>
        </c:rich>
      </c:tx>
      <c:layout>
        <c:manualLayout>
          <c:xMode val="edge"/>
          <c:yMode val="edge"/>
          <c:x val="0.244414999435693"/>
          <c:y val="0.0285531642872363"/>
        </c:manualLayout>
      </c:layout>
      <c:overlay val="0"/>
    </c:title>
    <c:autoTitleDeleted val="0"/>
    <c:plotArea>
      <c:layout>
        <c:manualLayout>
          <c:layoutTarget val="inner"/>
          <c:xMode val="edge"/>
          <c:yMode val="edge"/>
          <c:x val="0.106633081444165"/>
          <c:y val="0.244729344729345"/>
          <c:w val="0.86448362720403"/>
          <c:h val="0.465527065527066"/>
        </c:manualLayout>
      </c:layout>
      <c:barChart>
        <c:barDir val="col"/>
        <c:grouping val="clustered"/>
        <c:varyColors val="0"/>
        <c:ser>
          <c:idx val="0"/>
          <c:order val="0"/>
          <c:tx>
            <c:strRef>
              <c:f>Sheet1!$B$1</c:f>
              <c:strCache>
                <c:ptCount val="1"/>
                <c:pt idx="0">
                  <c:v>2023年</c:v>
                </c:pt>
              </c:strCache>
            </c:strRef>
          </c:tx>
          <c:spPr>
            <a:gradFill>
              <a:gsLst>
                <a:gs pos="0">
                  <a:srgbClr val="9EE256"/>
                </a:gs>
                <a:gs pos="100000">
                  <a:srgbClr val="52762D"/>
                </a:gs>
              </a:gsLst>
              <a:lin ang="5400000" scaled="0"/>
            </a:gradFill>
          </c:spPr>
          <c:invertIfNegative val="0"/>
          <c:dPt>
            <c:idx val="0"/>
            <c:invertIfNegative val="0"/>
            <c:bubble3D val="0"/>
            <c:spPr>
              <a:gradFill>
                <a:gsLst>
                  <a:gs pos="0">
                    <a:srgbClr val="9EE256"/>
                  </a:gs>
                  <a:gs pos="100000">
                    <a:srgbClr val="52762D"/>
                  </a:gs>
                </a:gsLst>
                <a:lin ang="5400000" scaled="0"/>
              </a:gradFill>
            </c:spPr>
          </c:dPt>
          <c:dLbls>
            <c:dLbl>
              <c:idx val="0"/>
              <c:layout>
                <c:manualLayout>
                  <c:x val="-0.0100755667506297"/>
                  <c:y val="0.0128205128205128"/>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Sheet1!$A$2:$A$5</c:f>
              <c:strCache>
                <c:ptCount val="4"/>
                <c:pt idx="0">
                  <c:v>收入（万元）</c:v>
                </c:pt>
                <c:pt idx="1">
                  <c:v>支出（万元）</c:v>
                </c:pt>
              </c:strCache>
            </c:strRef>
          </c:cat>
          <c:val>
            <c:numRef>
              <c:f>Sheet1!$B$2:$B$5</c:f>
              <c:numCache>
                <c:formatCode>General</c:formatCode>
                <c:ptCount val="4"/>
                <c:pt idx="0">
                  <c:v>37230.82</c:v>
                </c:pt>
                <c:pt idx="1">
                  <c:v>37230.82</c:v>
                </c:pt>
              </c:numCache>
            </c:numRef>
          </c:val>
        </c:ser>
        <c:ser>
          <c:idx val="1"/>
          <c:order val="1"/>
          <c:tx>
            <c:strRef>
              <c:f>Sheet1!$C$1</c:f>
              <c:strCache>
                <c:ptCount val="1"/>
                <c:pt idx="0">
                  <c:v>2024年</c:v>
                </c:pt>
              </c:strCache>
            </c:strRef>
          </c:tx>
          <c:spPr>
            <a:gradFill>
              <a:gsLst>
                <a:gs pos="0">
                  <a:srgbClr val="007BD3"/>
                </a:gs>
                <a:gs pos="100000">
                  <a:srgbClr val="034373"/>
                </a:gs>
              </a:gsLst>
              <a:lin ang="5400000" scaled="0"/>
            </a:gradFill>
          </c:spPr>
          <c:invertIfNegative val="0"/>
          <c:dLbls>
            <c:dLbl>
              <c:idx val="0"/>
              <c:layout>
                <c:manualLayout>
                  <c:x val="0.0100755667506297"/>
                  <c:y val="0.017094017094017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25944584382872"/>
                  <c:y val="0.0128205128205128"/>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Sheet1!$A$2:$A$5</c:f>
              <c:strCache>
                <c:ptCount val="4"/>
                <c:pt idx="0">
                  <c:v>收入（万元）</c:v>
                </c:pt>
                <c:pt idx="1">
                  <c:v>支出（万元）</c:v>
                </c:pt>
              </c:strCache>
            </c:strRef>
          </c:cat>
          <c:val>
            <c:numRef>
              <c:f>Sheet1!$C$2:$C$5</c:f>
              <c:numCache>
                <c:formatCode>General</c:formatCode>
                <c:ptCount val="4"/>
                <c:pt idx="0">
                  <c:v>33322.22</c:v>
                </c:pt>
                <c:pt idx="1">
                  <c:v>33322.22</c:v>
                </c:pt>
              </c:numCache>
            </c:numRef>
          </c:val>
        </c:ser>
        <c:dLbls>
          <c:showLegendKey val="0"/>
          <c:showVal val="1"/>
          <c:showCatName val="0"/>
          <c:showSerName val="0"/>
          <c:showPercent val="0"/>
          <c:showBubbleSize val="0"/>
        </c:dLbls>
        <c:gapWidth val="75"/>
        <c:overlap val="-25"/>
        <c:axId val="118087680"/>
        <c:axId val="118089600"/>
      </c:barChart>
      <c:catAx>
        <c:axId val="118087680"/>
        <c:scaling>
          <c:orientation val="minMax"/>
        </c:scaling>
        <c:delete val="0"/>
        <c:axPos val="b"/>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18089600"/>
        <c:crosses val="autoZero"/>
        <c:auto val="1"/>
        <c:lblAlgn val="ctr"/>
        <c:lblOffset val="100"/>
        <c:noMultiLvlLbl val="0"/>
      </c:catAx>
      <c:valAx>
        <c:axId val="118089600"/>
        <c:scaling>
          <c:orientation val="minMax"/>
        </c:scaling>
        <c:delete val="0"/>
        <c:axPos val="l"/>
        <c:majorGridlines/>
        <c:numFmt formatCode="General"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18087680"/>
        <c:crosses val="autoZero"/>
        <c:crossBetween val="between"/>
      </c:valAx>
    </c:plotArea>
    <c:legend>
      <c:legendPos val="b"/>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e16bf0b1-bb10-4da3-88f8-1581eacf3988}"/>
      </c:ext>
    </c:extLst>
  </c:chart>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800" b="1" i="0" u="none" strike="noStrike" kern="1200" baseline="0">
                <a:solidFill>
                  <a:schemeClr val="tx1"/>
                </a:solidFill>
                <a:latin typeface="+mn-lt"/>
                <a:ea typeface="+mn-ea"/>
                <a:cs typeface="+mn-cs"/>
              </a:defRPr>
            </a:pPr>
            <a:r>
              <a:t>收入决算结构图</a:t>
            </a:r>
          </a:p>
        </c:rich>
      </c:tx>
      <c:layout>
        <c:manualLayout>
          <c:xMode val="edge"/>
          <c:yMode val="edge"/>
          <c:x val="0.341414746998829"/>
          <c:y val="0.0316505034237256"/>
        </c:manualLayout>
      </c:layout>
      <c:overlay val="0"/>
    </c:title>
    <c:autoTitleDeleted val="0"/>
    <c:plotArea>
      <c:layout>
        <c:manualLayout>
          <c:layoutTarget val="inner"/>
          <c:xMode val="edge"/>
          <c:yMode val="edge"/>
          <c:x val="0.321001221001221"/>
          <c:y val="0.21070637955323"/>
          <c:w val="0.365323565323565"/>
          <c:h val="0.602133226001207"/>
        </c:manualLayout>
      </c:layout>
      <c:pieChart>
        <c:varyColors val="1"/>
        <c:ser>
          <c:idx val="0"/>
          <c:order val="0"/>
          <c:tx>
            <c:strRef>
              <c:f>Sheet1!$B$1</c:f>
              <c:strCache>
                <c:ptCount val="1"/>
                <c:pt idx="0">
                  <c:v>收入决算结构图</c:v>
                </c:pt>
              </c:strCache>
            </c:strRef>
          </c:tx>
          <c:explosion val="0"/>
          <c:dPt>
            <c:idx val="0"/>
            <c:bubble3D val="0"/>
          </c:dPt>
          <c:dPt>
            <c:idx val="1"/>
            <c:bubble3D val="0"/>
          </c:dPt>
          <c:dLbls>
            <c:dLbl>
              <c:idx val="0"/>
              <c:layout>
                <c:manualLayout>
                  <c:x val="-0.0320433465481523"/>
                  <c:y val="-0.241172905487444"/>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14450194930798"/>
                  <c:y val="-0.0295489412288953"/>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ext>
            </c:extLst>
          </c:dLbls>
          <c:cat>
            <c:strRef>
              <c:f>Sheet1!$A$2:$A$3</c:f>
              <c:strCache>
                <c:ptCount val="2"/>
                <c:pt idx="0">
                  <c:v>一般公共预算财政拨款收入</c:v>
                </c:pt>
                <c:pt idx="1">
                  <c:v>政府性基金预算财政拨款收入</c:v>
                </c:pt>
              </c:strCache>
            </c:strRef>
          </c:cat>
          <c:val>
            <c:numRef>
              <c:f>Sheet1!$B$2:$B$3</c:f>
              <c:numCache>
                <c:formatCode>0.00%</c:formatCode>
                <c:ptCount val="2"/>
                <c:pt idx="0">
                  <c:v>0.8828</c:v>
                </c:pt>
                <c:pt idx="1">
                  <c:v>0.1172</c:v>
                </c:pt>
              </c:numCache>
            </c:numRef>
          </c:val>
        </c:ser>
        <c:dLbls>
          <c:showLegendKey val="0"/>
          <c:showVal val="1"/>
          <c:showCatName val="0"/>
          <c:showSerName val="0"/>
          <c:showPercent val="0"/>
          <c:showBubbleSize val="0"/>
          <c:showLeaderLines val="1"/>
        </c:dLbls>
        <c:firstSliceAng val="0"/>
      </c:pieChart>
    </c:plotArea>
    <c:legend>
      <c:legendPos val="b"/>
      <c:layout>
        <c:manualLayout>
          <c:xMode val="edge"/>
          <c:yMode val="edge"/>
          <c:x val="0.175213675213675"/>
          <c:y val="0.84685047293218"/>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zero"/>
    <c:showDLblsOverMax val="0"/>
    <c:extLst>
      <c:ext uri="{0b15fc19-7d7d-44ad-8c2d-2c3a37ce22c3}">
        <chartProps xmlns="https://web.wps.cn/et/2018/main" chartId="{9152820d-71b9-485c-9ee2-8d151f65a278}"/>
      </c:ext>
    </c:extLst>
  </c:chart>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3509668004378"/>
          <c:y val="0.0499429874572406"/>
        </c:manualLayout>
      </c:layout>
      <c:overlay val="0"/>
      <c:txPr>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p>
      </c:txPr>
    </c:title>
    <c:autoTitleDeleted val="0"/>
    <c:plotArea>
      <c:layout/>
      <c:pieChart>
        <c:varyColors val="1"/>
        <c:ser>
          <c:idx val="0"/>
          <c:order val="0"/>
          <c:tx>
            <c:strRef>
              <c:f>Sheet1!$B$1</c:f>
              <c:strCache>
                <c:ptCount val="1"/>
                <c:pt idx="0">
                  <c:v>支出决算结构图</c:v>
                </c:pt>
              </c:strCache>
            </c:strRef>
          </c:tx>
          <c:explosion val="0"/>
          <c:dPt>
            <c:idx val="0"/>
            <c:bubble3D val="0"/>
          </c:dPt>
          <c:dPt>
            <c:idx val="1"/>
            <c:bubble3D val="0"/>
          </c:dPt>
          <c:dLbls>
            <c:dLbl>
              <c:idx val="0"/>
              <c:layout>
                <c:manualLayout>
                  <c:x val="0.170201048591668"/>
                  <c:y val="0.0393622818534396"/>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75547535248668"/>
                  <c:y val="-0.198933072581595"/>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ext>
            </c:extLst>
          </c:dLbls>
          <c:cat>
            <c:strRef>
              <c:f>Sheet1!$A$2:$A$3</c:f>
              <c:strCache>
                <c:ptCount val="2"/>
                <c:pt idx="0">
                  <c:v>基本支出</c:v>
                </c:pt>
                <c:pt idx="1">
                  <c:v>项目支出</c:v>
                </c:pt>
              </c:strCache>
            </c:strRef>
          </c:cat>
          <c:val>
            <c:numRef>
              <c:f>Sheet1!$B$2:$B$3</c:f>
              <c:numCache>
                <c:formatCode>0.00%</c:formatCode>
                <c:ptCount val="2"/>
                <c:pt idx="0">
                  <c:v>0.0434</c:v>
                </c:pt>
                <c:pt idx="1">
                  <c:v>0.9566</c:v>
                </c:pt>
              </c:numCache>
            </c:numRef>
          </c:val>
        </c:ser>
        <c:dLbls>
          <c:showLegendKey val="0"/>
          <c:showVal val="1"/>
          <c:showCatName val="0"/>
          <c:showSerName val="0"/>
          <c:showPercent val="0"/>
          <c:showBubbleSize val="0"/>
          <c:showLeaderLines val="1"/>
        </c:dLbls>
        <c:firstSliceAng val="0"/>
      </c:pieChart>
    </c:plotArea>
    <c:legend>
      <c:legendPos val="b"/>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zero"/>
    <c:showDLblsOverMax val="0"/>
    <c:extLst>
      <c:ext uri="{0b15fc19-7d7d-44ad-8c2d-2c3a37ce22c3}">
        <chartProps xmlns="https://web.wps.cn/et/2018/main" chartId="{e0188746-cf74-40f2-a2a6-9532c9703e0a}"/>
      </c:ext>
    </c:extLst>
  </c:chart>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6"/>
    </mc:Choice>
    <mc:Fallback>
      <c:style val="16"/>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en-US"/>
              <a:t>财政拨款收、支变动情况图</a:t>
            </a:r>
            <a:endParaRPr lang="zh-CN"/>
          </a:p>
        </c:rich>
      </c:tx>
      <c:layout>
        <c:manualLayout>
          <c:xMode val="edge"/>
          <c:yMode val="edge"/>
          <c:x val="0.242100102198464"/>
          <c:y val="0.0288309842062378"/>
        </c:manualLayout>
      </c:layout>
      <c:overlay val="0"/>
    </c:title>
    <c:autoTitleDeleted val="0"/>
    <c:plotArea>
      <c:layout>
        <c:manualLayout>
          <c:layoutTarget val="inner"/>
          <c:xMode val="edge"/>
          <c:yMode val="edge"/>
          <c:x val="0.0985726280436608"/>
          <c:y val="0.244729344729345"/>
          <c:w val="0.86448362720403"/>
          <c:h val="0.465527065527066"/>
        </c:manualLayout>
      </c:layout>
      <c:barChart>
        <c:barDir val="col"/>
        <c:grouping val="clustered"/>
        <c:varyColors val="0"/>
        <c:ser>
          <c:idx val="0"/>
          <c:order val="0"/>
          <c:tx>
            <c:strRef>
              <c:f>Sheet1!$B$1</c:f>
              <c:strCache>
                <c:ptCount val="1"/>
                <c:pt idx="0">
                  <c:v>2023年</c:v>
                </c:pt>
              </c:strCache>
            </c:strRef>
          </c:tx>
          <c:spPr>
            <a:gradFill>
              <a:gsLst>
                <a:gs pos="0">
                  <a:srgbClr val="9EE256"/>
                </a:gs>
                <a:gs pos="100000">
                  <a:srgbClr val="52762D"/>
                </a:gs>
              </a:gsLst>
              <a:lin ang="5400000" scaled="0"/>
            </a:gradFill>
          </c:spPr>
          <c:invertIfNegative val="0"/>
          <c:dPt>
            <c:idx val="0"/>
            <c:invertIfNegative val="0"/>
            <c:bubble3D val="0"/>
            <c:spPr>
              <a:gradFill>
                <a:gsLst>
                  <a:gs pos="0">
                    <a:srgbClr val="9EE256"/>
                  </a:gs>
                  <a:gs pos="100000">
                    <a:srgbClr val="52762D"/>
                  </a:gs>
                </a:gsLst>
                <a:lin ang="5400000" scaled="0"/>
              </a:gradFill>
            </c:spPr>
          </c:dPt>
          <c:dLbls>
            <c:dLbl>
              <c:idx val="0"/>
              <c:layout>
                <c:manualLayout>
                  <c:x val="-0.0100755667506297"/>
                  <c:y val="0.0128205128205128"/>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Sheet1!$A$2:$A$5</c:f>
              <c:strCache>
                <c:ptCount val="4"/>
                <c:pt idx="0">
                  <c:v>收入（万元）</c:v>
                </c:pt>
                <c:pt idx="1">
                  <c:v>支出（万元）</c:v>
                </c:pt>
              </c:strCache>
            </c:strRef>
          </c:cat>
          <c:val>
            <c:numRef>
              <c:f>Sheet1!$B$2:$B$5</c:f>
              <c:numCache>
                <c:formatCode>General</c:formatCode>
                <c:ptCount val="4"/>
                <c:pt idx="0">
                  <c:v>37230.82</c:v>
                </c:pt>
                <c:pt idx="1">
                  <c:v>37230.82</c:v>
                </c:pt>
              </c:numCache>
            </c:numRef>
          </c:val>
        </c:ser>
        <c:ser>
          <c:idx val="1"/>
          <c:order val="1"/>
          <c:tx>
            <c:strRef>
              <c:f>Sheet1!$C$1</c:f>
              <c:strCache>
                <c:ptCount val="1"/>
                <c:pt idx="0">
                  <c:v>2024年</c:v>
                </c:pt>
              </c:strCache>
            </c:strRef>
          </c:tx>
          <c:spPr>
            <a:gradFill>
              <a:gsLst>
                <a:gs pos="0">
                  <a:srgbClr val="007BD3"/>
                </a:gs>
                <a:gs pos="100000">
                  <a:srgbClr val="034373"/>
                </a:gs>
              </a:gsLst>
              <a:lin ang="5400000" scaled="0"/>
            </a:gradFill>
          </c:spPr>
          <c:invertIfNegative val="0"/>
          <c:dLbls>
            <c:dLbl>
              <c:idx val="0"/>
              <c:layout>
                <c:manualLayout>
                  <c:x val="0.0100755667506297"/>
                  <c:y val="0.017094017094017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25944584382872"/>
                  <c:y val="0.0128205128205128"/>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Sheet1!$A$2:$A$5</c:f>
              <c:strCache>
                <c:ptCount val="4"/>
                <c:pt idx="0">
                  <c:v>收入（万元）</c:v>
                </c:pt>
                <c:pt idx="1">
                  <c:v>支出（万元）</c:v>
                </c:pt>
              </c:strCache>
            </c:strRef>
          </c:cat>
          <c:val>
            <c:numRef>
              <c:f>Sheet1!$C$2:$C$5</c:f>
              <c:numCache>
                <c:formatCode>General</c:formatCode>
                <c:ptCount val="4"/>
                <c:pt idx="0">
                  <c:v>33322.22</c:v>
                </c:pt>
                <c:pt idx="1">
                  <c:v>33322.22</c:v>
                </c:pt>
              </c:numCache>
            </c:numRef>
          </c:val>
        </c:ser>
        <c:dLbls>
          <c:showLegendKey val="0"/>
          <c:showVal val="1"/>
          <c:showCatName val="0"/>
          <c:showSerName val="0"/>
          <c:showPercent val="0"/>
          <c:showBubbleSize val="0"/>
        </c:dLbls>
        <c:gapWidth val="75"/>
        <c:overlap val="-25"/>
        <c:axId val="118087680"/>
        <c:axId val="118089600"/>
      </c:barChart>
      <c:catAx>
        <c:axId val="118087680"/>
        <c:scaling>
          <c:orientation val="minMax"/>
        </c:scaling>
        <c:delete val="0"/>
        <c:axPos val="b"/>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18089600"/>
        <c:crosses val="autoZero"/>
        <c:auto val="1"/>
        <c:lblAlgn val="ctr"/>
        <c:lblOffset val="100"/>
        <c:noMultiLvlLbl val="0"/>
      </c:catAx>
      <c:valAx>
        <c:axId val="118089600"/>
        <c:scaling>
          <c:orientation val="minMax"/>
        </c:scaling>
        <c:delete val="0"/>
        <c:axPos val="l"/>
        <c:majorGridlines/>
        <c:numFmt formatCode="General"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18087680"/>
        <c:crosses val="autoZero"/>
        <c:crossBetween val="between"/>
      </c:valAx>
    </c:plotArea>
    <c:legend>
      <c:legendPos val="b"/>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30692fa1-61d1-4e4b-8edc-87873fbe2447}"/>
      </c:ext>
    </c:extLst>
  </c:chart>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t>一般公共预算财政拨款支出决算变动</a:t>
            </a:r>
          </a:p>
        </c:rich>
      </c:tx>
      <c:layout/>
      <c:overlay val="0"/>
      <c:spPr>
        <a:noFill/>
        <a:ln>
          <a:noFill/>
        </a:ln>
        <a:effectLst/>
      </c:spPr>
    </c:title>
    <c:autoTitleDeleted val="0"/>
    <c:plotArea>
      <c:layout>
        <c:manualLayout>
          <c:layoutTarget val="inner"/>
          <c:xMode val="edge"/>
          <c:yMode val="edge"/>
          <c:x val="0.112423490488007"/>
          <c:y val="0.236088154269972"/>
          <c:w val="0.859454094292804"/>
          <c:h val="0.532066115702479"/>
        </c:manualLayout>
      </c:layout>
      <c:barChart>
        <c:barDir val="col"/>
        <c:grouping val="clustered"/>
        <c:varyColors val="0"/>
        <c:ser>
          <c:idx val="0"/>
          <c:order val="0"/>
          <c:tx>
            <c:strRef>
              <c:f>Sheet1!$B$1</c:f>
              <c:strCache>
                <c:ptCount val="1"/>
                <c:pt idx="0">
                  <c:v>2023年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Sheet1!$A$2</c:f>
              <c:strCache>
                <c:ptCount val="1"/>
                <c:pt idx="0">
                  <c:v>一般公共预算财政拨款支出（万元）</c:v>
                </c:pt>
              </c:strCache>
            </c:strRef>
          </c:cat>
          <c:val>
            <c:numRef>
              <c:f>Sheet1!$B$2</c:f>
              <c:numCache>
                <c:formatCode>General</c:formatCode>
                <c:ptCount val="1"/>
                <c:pt idx="0">
                  <c:v>23798.04</c:v>
                </c:pt>
              </c:numCache>
            </c:numRef>
          </c:val>
        </c:ser>
        <c:ser>
          <c:idx val="1"/>
          <c:order val="1"/>
          <c:tx>
            <c:strRef>
              <c:f>Sheet1!$C$1</c:f>
              <c:strCache>
                <c:ptCount val="1"/>
                <c:pt idx="0">
                  <c:v>2024年</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Sheet1!$A$2</c:f>
              <c:strCache>
                <c:ptCount val="1"/>
                <c:pt idx="0">
                  <c:v>一般公共预算财政拨款支出（万元）</c:v>
                </c:pt>
              </c:strCache>
            </c:strRef>
          </c:cat>
          <c:val>
            <c:numRef>
              <c:f>Sheet1!$C$2</c:f>
              <c:numCache>
                <c:formatCode>General</c:formatCode>
                <c:ptCount val="1"/>
                <c:pt idx="0">
                  <c:v>29415.79</c:v>
                </c:pt>
              </c:numCache>
            </c:numRef>
          </c:val>
        </c:ser>
        <c:dLbls>
          <c:showLegendKey val="0"/>
          <c:showVal val="1"/>
          <c:showCatName val="0"/>
          <c:showSerName val="0"/>
          <c:showPercent val="0"/>
          <c:showBubbleSize val="0"/>
        </c:dLbls>
        <c:gapWidth val="219"/>
        <c:overlap val="-27"/>
        <c:axId val="228514048"/>
        <c:axId val="228540416"/>
      </c:barChart>
      <c:catAx>
        <c:axId val="228514048"/>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28540416"/>
        <c:crosses val="autoZero"/>
        <c:auto val="1"/>
        <c:lblAlgn val="ctr"/>
        <c:lblOffset val="100"/>
        <c:noMultiLvlLbl val="0"/>
      </c:catAx>
      <c:valAx>
        <c:axId val="228540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28514048"/>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ffd78108-a0f6-40bb-8c3e-a3be2d01b820}"/>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2024年</c:v>
                </c:pt>
              </c:strCache>
            </c:strRef>
          </c:tx>
          <c:explosion val="0"/>
          <c:dPt>
            <c:idx val="0"/>
            <c:bubble3D val="0"/>
          </c:dPt>
          <c:dPt>
            <c:idx val="1"/>
            <c:bubble3D val="0"/>
          </c:dPt>
          <c:dPt>
            <c:idx val="2"/>
            <c:bubble3D val="0"/>
          </c:dPt>
          <c:dPt>
            <c:idx val="3"/>
            <c:bubble3D val="0"/>
          </c:dPt>
          <c:dPt>
            <c:idx val="4"/>
            <c:bubble3D val="0"/>
          </c:dPt>
          <c:dPt>
            <c:idx val="5"/>
            <c:bubble3D val="0"/>
          </c:dPt>
          <c:dLbls>
            <c:dLbl>
              <c:idx val="0"/>
              <c:layout>
                <c:manualLayout>
                  <c:x val="-0.0935976703155881"/>
                  <c:y val="-0.302941526335703"/>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172291568430792"/>
                  <c:y val="0.00443210491182123"/>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221394737617123"/>
                  <c:y val="-0.0105760946324291"/>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271191754535518"/>
                  <c:y val="0.0157666795241516"/>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126934606368563"/>
                  <c:y val="-0.0100769610083889"/>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00934831995181597"/>
                  <c:y val="-0.0098810729740235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ext>
            </c:extLst>
          </c:dLbls>
          <c:cat>
            <c:strRef>
              <c:f>Sheet1!$A$2:$A$7</c:f>
              <c:strCache>
                <c:ptCount val="6"/>
                <c:pt idx="0">
                  <c:v>农林水</c:v>
                </c:pt>
                <c:pt idx="1">
                  <c:v>节能环保</c:v>
                </c:pt>
                <c:pt idx="2">
                  <c:v>社会保障和就业</c:v>
                </c:pt>
                <c:pt idx="3">
                  <c:v>卫生健康</c:v>
                </c:pt>
                <c:pt idx="4">
                  <c:v>商贸事务</c:v>
                </c:pt>
                <c:pt idx="5">
                  <c:v>住房保障</c:v>
                </c:pt>
              </c:strCache>
            </c:strRef>
          </c:cat>
          <c:val>
            <c:numRef>
              <c:f>Sheet1!$B$2:$B$7</c:f>
              <c:numCache>
                <c:formatCode>0.00%</c:formatCode>
                <c:ptCount val="6"/>
                <c:pt idx="0">
                  <c:v>0.9163</c:v>
                </c:pt>
                <c:pt idx="1">
                  <c:v>0.07</c:v>
                </c:pt>
                <c:pt idx="2">
                  <c:v>0.0073</c:v>
                </c:pt>
                <c:pt idx="3">
                  <c:v>0.0028</c:v>
                </c:pt>
                <c:pt idx="4">
                  <c:v>0.0002</c:v>
                </c:pt>
                <c:pt idx="5">
                  <c:v>0.0034</c:v>
                </c:pt>
              </c:numCache>
            </c:numRef>
          </c:val>
        </c:ser>
        <c:dLbls>
          <c:showLegendKey val="0"/>
          <c:showVal val="1"/>
          <c:showCatName val="0"/>
          <c:showSerName val="0"/>
          <c:showPercent val="0"/>
          <c:showBubbleSize val="0"/>
          <c:showLeaderLines val="1"/>
        </c:dLbls>
        <c:firstSliceAng val="0"/>
      </c:pieChart>
    </c:plotArea>
    <c:legend>
      <c:legendPos val="r"/>
      <c:layout>
        <c:manualLayout>
          <c:xMode val="edge"/>
          <c:yMode val="edge"/>
          <c:x val="0.654700854700855"/>
          <c:y val="0.290456989247312"/>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zero"/>
    <c:showDLblsOverMax val="0"/>
    <c:extLst>
      <c:ext uri="{0b15fc19-7d7d-44ad-8c2d-2c3a37ce22c3}">
        <chartProps xmlns="https://web.wps.cn/et/2018/main" chartId="{513b1eb0-de53-4512-afa3-58bc15c1a234}"/>
      </c:ext>
    </c:extLst>
  </c:chart>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列1</c:v>
                </c:pt>
              </c:strCache>
            </c:strRef>
          </c:tx>
          <c:explosion val="0"/>
          <c:dPt>
            <c:idx val="0"/>
            <c:bubble3D val="0"/>
          </c:dPt>
          <c:dPt>
            <c:idx val="1"/>
            <c:bubble3D val="0"/>
          </c:dPt>
          <c:dLbls>
            <c:dLbl>
              <c:idx val="0"/>
              <c:layout>
                <c:manualLayout>
                  <c:x val="-0.115766831282824"/>
                  <c:y val="-0.197008537019894"/>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119288366893292"/>
                  <c:y val="0.120765452612861"/>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ext>
            </c:extLst>
          </c:dLbls>
          <c:cat>
            <c:strRef>
              <c:f>Sheet1!$A$2:$A$3</c:f>
              <c:strCache>
                <c:ptCount val="2"/>
                <c:pt idx="0">
                  <c:v>公务用车购置及运行维护费</c:v>
                </c:pt>
                <c:pt idx="1">
                  <c:v>公务接待费</c:v>
                </c:pt>
              </c:strCache>
            </c:strRef>
          </c:cat>
          <c:val>
            <c:numRef>
              <c:f>Sheet1!$B$2:$B$3</c:f>
              <c:numCache>
                <c:formatCode>0.00%</c:formatCode>
                <c:ptCount val="2"/>
                <c:pt idx="0">
                  <c:v>0.6803</c:v>
                </c:pt>
                <c:pt idx="1">
                  <c:v>0.3197</c:v>
                </c:pt>
              </c:numCache>
            </c:numRef>
          </c:val>
        </c:ser>
        <c:dLbls>
          <c:showLegendKey val="0"/>
          <c:showVal val="1"/>
          <c:showCatName val="0"/>
          <c:showSerName val="0"/>
          <c:showPercent val="0"/>
          <c:showBubbleSize val="0"/>
          <c:showLeaderLines val="1"/>
        </c:dLbls>
        <c:firstSliceAng val="0"/>
      </c:pieChart>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zero"/>
    <c:showDLblsOverMax val="0"/>
    <c:extLst>
      <c:ext uri="{0b15fc19-7d7d-44ad-8c2d-2c3a37ce22c3}">
        <chartProps xmlns="https://web.wps.cn/et/2018/main" chartId="{9a65adf5-9e0e-4675-8c77-7b76f7e67a06}"/>
      </c:ext>
    </c:extLst>
  </c:chart>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acrossLinear" id="2">
  <a:schemeClr val="accent1"/>
  <a:schemeClr val="accent2"/>
  <a:schemeClr val="accent3"/>
  <a:schemeClr val="accent4"/>
  <a:schemeClr val="accent5"/>
  <a:schemeClr val="accent6"/>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四川省财政厅</Company>
  <Pages>164</Pages>
  <Words>12024</Words>
  <Characters>13006</Characters>
  <Lines>61</Lines>
  <Paragraphs>17</Paragraphs>
  <TotalTime>57</TotalTime>
  <ScaleCrop>false</ScaleCrop>
  <LinksUpToDate>false</LinksUpToDate>
  <CharactersWithSpaces>13092</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2020-08-05T01:49:00Z</dcterms:created>
  <dc:creator>曹颖</dc:creator>
  <cp:lastModifiedBy>Administrator</cp:lastModifiedBy>
  <cp:lastPrinted>2023-07-31T02:35:00Z</cp:lastPrinted>
  <dcterms:modified xsi:type="dcterms:W3CDTF">2025-09-19T02:18:19Z</dcterms:modified>
  <dc:title>四川省***</dc:title>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DFA12A1030824576A568372E311D448C_13</vt:lpwstr>
  </property>
  <property fmtid="{D5CDD505-2E9C-101B-9397-08002B2CF9AE}" pid="4" name="KSOTemplateDocerSaveRecord">
    <vt:lpwstr>eyJoZGlkIjoiMjcwYjc0NzEyMzZlNTZmOWU5MGU4MTc5MzFmMjczNTkifQ==</vt:lpwstr>
  </property>
</Properties>
</file>