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1EED6C">
      <w:pPr>
        <w:pStyle w:val="202"/>
        <w:jc w:val="center"/>
        <w:rPr>
          <w:rFonts w:ascii="Times New Roman" w:hAnsi="Times New Roman" w:eastAsia="方正小标宋简体"/>
          <w:color w:val="000000"/>
          <w:sz w:val="44"/>
          <w:szCs w:val="44"/>
        </w:rPr>
      </w:pPr>
    </w:p>
    <w:p w14:paraId="1B9222E5">
      <w:pPr>
        <w:pStyle w:val="202"/>
        <w:jc w:val="center"/>
        <w:rPr>
          <w:rFonts w:ascii="Times New Roman" w:hAnsi="Times New Roman" w:eastAsia="方正小标宋简体"/>
          <w:color w:val="000000"/>
          <w:sz w:val="44"/>
          <w:szCs w:val="44"/>
        </w:rPr>
      </w:pPr>
    </w:p>
    <w:p w14:paraId="03BF8460">
      <w:pPr>
        <w:pStyle w:val="202"/>
        <w:jc w:val="center"/>
        <w:rPr>
          <w:rFonts w:ascii="Times New Roman" w:hAnsi="Times New Roman" w:eastAsia="方正小标宋简体"/>
          <w:color w:val="000000"/>
          <w:sz w:val="44"/>
          <w:szCs w:val="44"/>
        </w:rPr>
      </w:pPr>
    </w:p>
    <w:p w14:paraId="1D096381">
      <w:pPr>
        <w:pStyle w:val="202"/>
        <w:jc w:val="center"/>
        <w:rPr>
          <w:rFonts w:ascii="Times New Roman" w:hAnsi="Times New Roman" w:eastAsia="方正小标宋简体"/>
          <w:color w:val="000000"/>
          <w:sz w:val="44"/>
          <w:szCs w:val="44"/>
        </w:rPr>
      </w:pPr>
    </w:p>
    <w:p w14:paraId="62151871">
      <w:pPr>
        <w:pStyle w:val="202"/>
        <w:jc w:val="center"/>
        <w:rPr>
          <w:rFonts w:ascii="黑体" w:hAnsi="黑体" w:eastAsia="黑体" w:cs="黑体"/>
          <w:color w:val="000000"/>
          <w:sz w:val="52"/>
          <w:szCs w:val="52"/>
        </w:rPr>
      </w:pPr>
      <w:r>
        <w:rPr>
          <w:rFonts w:hint="eastAsia" w:ascii="黑体" w:hAnsi="黑体" w:eastAsia="黑体" w:cs="黑体"/>
          <w:color w:val="000000"/>
          <w:sz w:val="52"/>
          <w:szCs w:val="52"/>
        </w:rPr>
        <w:t>2024年度</w:t>
      </w:r>
      <w:bookmarkStart w:id="0" w:name="_Toc15396598"/>
      <w:bookmarkStart w:id="1" w:name="_Toc15377194"/>
      <w:bookmarkStart w:id="2" w:name="_Toc15396476"/>
      <w:bookmarkStart w:id="3" w:name="_Toc15377426"/>
      <w:bookmarkStart w:id="4" w:name="_Toc15378442"/>
    </w:p>
    <w:p w14:paraId="635FA489">
      <w:pPr>
        <w:pStyle w:val="202"/>
        <w:jc w:val="center"/>
        <w:rPr>
          <w:rFonts w:hint="eastAsia" w:ascii="黑体" w:hAnsi="黑体" w:eastAsia="黑体" w:cs="黑体"/>
          <w:color w:val="000000"/>
          <w:sz w:val="52"/>
          <w:szCs w:val="52"/>
        </w:rPr>
      </w:pPr>
      <w:r>
        <w:rPr>
          <w:rFonts w:hint="eastAsia" w:ascii="黑体" w:hAnsi="黑体" w:eastAsia="黑体" w:cs="黑体"/>
          <w:color w:val="000000"/>
          <w:sz w:val="52"/>
          <w:szCs w:val="52"/>
        </w:rPr>
        <w:t>四川省</w:t>
      </w:r>
      <w:bookmarkStart w:id="5" w:name="_Toc15306268"/>
      <w:r>
        <w:rPr>
          <w:rFonts w:hint="eastAsia" w:ascii="黑体" w:hAnsi="黑体" w:eastAsia="黑体" w:cs="黑体"/>
          <w:color w:val="000000"/>
          <w:sz w:val="52"/>
          <w:szCs w:val="52"/>
        </w:rPr>
        <w:t>遂宁市安居区司法局</w:t>
      </w:r>
    </w:p>
    <w:p w14:paraId="2B8DDC66">
      <w:pPr>
        <w:pStyle w:val="202"/>
        <w:jc w:val="center"/>
        <w:rPr>
          <w:rFonts w:ascii="黑体" w:hAnsi="黑体" w:eastAsia="黑体" w:cs="黑体"/>
          <w:color w:val="000000"/>
          <w:sz w:val="52"/>
          <w:szCs w:val="52"/>
        </w:rPr>
      </w:pPr>
      <w:r>
        <w:rPr>
          <w:rFonts w:hint="eastAsia" w:ascii="黑体" w:hAnsi="黑体" w:eastAsia="黑体" w:cs="黑体"/>
          <w:color w:val="000000"/>
          <w:sz w:val="52"/>
          <w:szCs w:val="52"/>
        </w:rPr>
        <w:t>部门决算</w:t>
      </w:r>
      <w:bookmarkEnd w:id="0"/>
      <w:bookmarkEnd w:id="1"/>
      <w:bookmarkEnd w:id="2"/>
      <w:bookmarkEnd w:id="3"/>
      <w:bookmarkEnd w:id="4"/>
      <w:bookmarkEnd w:id="5"/>
    </w:p>
    <w:p w14:paraId="1C4CFC6F">
      <w:pPr>
        <w:pStyle w:val="202"/>
        <w:spacing w:before="173"/>
        <w:rPr>
          <w:rFonts w:ascii="Times New Roman" w:eastAsia="方正小标宋简体"/>
          <w:sz w:val="44"/>
          <w:szCs w:val="44"/>
        </w:rPr>
      </w:pPr>
    </w:p>
    <w:p w14:paraId="2E385D20">
      <w:pPr>
        <w:widowControl/>
        <w:jc w:val="center"/>
        <w:rPr>
          <w:rFonts w:eastAsia="方正小标宋简体"/>
          <w:sz w:val="36"/>
          <w:szCs w:val="36"/>
        </w:rPr>
      </w:pPr>
    </w:p>
    <w:p w14:paraId="169AEB32">
      <w:pPr>
        <w:widowControl/>
        <w:jc w:val="center"/>
        <w:rPr>
          <w:rFonts w:eastAsia="方正小标宋简体"/>
          <w:sz w:val="36"/>
          <w:szCs w:val="36"/>
        </w:rPr>
      </w:pPr>
    </w:p>
    <w:p w14:paraId="1C79F209">
      <w:pPr>
        <w:widowControl/>
        <w:jc w:val="center"/>
        <w:rPr>
          <w:rFonts w:eastAsia="方正小标宋简体"/>
          <w:sz w:val="36"/>
          <w:szCs w:val="36"/>
        </w:rPr>
      </w:pPr>
    </w:p>
    <w:p w14:paraId="3265F6C3">
      <w:pPr>
        <w:widowControl/>
        <w:jc w:val="center"/>
        <w:rPr>
          <w:rFonts w:eastAsia="方正小标宋简体"/>
          <w:sz w:val="36"/>
          <w:szCs w:val="36"/>
        </w:rPr>
      </w:pPr>
      <w:r>
        <w:rPr>
          <w:rFonts w:hint="eastAsia" w:eastAsia="方正小标宋简体"/>
          <w:sz w:val="36"/>
          <w:szCs w:val="36"/>
        </w:rPr>
        <w:t xml:space="preserve"> </w:t>
      </w:r>
    </w:p>
    <w:p w14:paraId="0060BBA6">
      <w:pPr>
        <w:widowControl/>
        <w:jc w:val="center"/>
        <w:rPr>
          <w:rFonts w:eastAsia="方正小标宋简体"/>
          <w:sz w:val="36"/>
          <w:szCs w:val="36"/>
        </w:rPr>
      </w:pPr>
    </w:p>
    <w:p w14:paraId="6EB51963">
      <w:pPr>
        <w:widowControl/>
        <w:jc w:val="center"/>
        <w:rPr>
          <w:rFonts w:eastAsia="方正小标宋简体"/>
          <w:sz w:val="36"/>
          <w:szCs w:val="36"/>
        </w:rPr>
      </w:pPr>
    </w:p>
    <w:p w14:paraId="6E58563D">
      <w:pPr>
        <w:widowControl/>
        <w:jc w:val="center"/>
        <w:rPr>
          <w:rFonts w:eastAsia="方正小标宋简体"/>
          <w:sz w:val="36"/>
          <w:szCs w:val="36"/>
        </w:rPr>
      </w:pPr>
    </w:p>
    <w:p w14:paraId="302E2D89">
      <w:pPr>
        <w:widowControl/>
        <w:jc w:val="center"/>
        <w:rPr>
          <w:rFonts w:eastAsia="方正小标宋简体"/>
          <w:sz w:val="36"/>
          <w:szCs w:val="36"/>
        </w:rPr>
      </w:pPr>
    </w:p>
    <w:p w14:paraId="5483E45D">
      <w:pPr>
        <w:widowControl/>
        <w:jc w:val="center"/>
        <w:rPr>
          <w:rFonts w:eastAsia="方正小标宋简体"/>
          <w:sz w:val="36"/>
          <w:szCs w:val="36"/>
        </w:rPr>
      </w:pPr>
    </w:p>
    <w:p w14:paraId="3699CF82">
      <w:pPr>
        <w:widowControl/>
        <w:rPr>
          <w:rFonts w:eastAsia="方正小标宋简体"/>
          <w:sz w:val="36"/>
          <w:szCs w:val="36"/>
        </w:rPr>
      </w:pPr>
    </w:p>
    <w:p w14:paraId="41204D60">
      <w:pPr>
        <w:rPr>
          <w:rFonts w:eastAsia="方正小标宋简体"/>
          <w:sz w:val="36"/>
          <w:szCs w:val="36"/>
        </w:rPr>
      </w:pPr>
    </w:p>
    <w:p w14:paraId="2E45BC03">
      <w:pPr>
        <w:rPr>
          <w:rFonts w:eastAsia="方正小标宋简体"/>
          <w:sz w:val="36"/>
          <w:szCs w:val="36"/>
        </w:rPr>
      </w:pPr>
    </w:p>
    <w:p w14:paraId="443CEF43">
      <w:pPr>
        <w:rPr>
          <w:rFonts w:eastAsia="方正小标宋简体"/>
          <w:sz w:val="36"/>
          <w:szCs w:val="36"/>
        </w:rPr>
      </w:pPr>
    </w:p>
    <w:p w14:paraId="29190637">
      <w:pPr>
        <w:rPr>
          <w:rFonts w:eastAsia="方正小标宋简体"/>
          <w:sz w:val="36"/>
          <w:szCs w:val="36"/>
        </w:rPr>
      </w:pPr>
    </w:p>
    <w:p w14:paraId="16289F1E">
      <w:pPr>
        <w:jc w:val="center"/>
        <w:rPr>
          <w:rFonts w:eastAsia="方正小标宋简体"/>
          <w:sz w:val="36"/>
          <w:szCs w:val="36"/>
        </w:rPr>
      </w:pPr>
    </w:p>
    <w:p w14:paraId="44C1A7C5">
      <w:pPr>
        <w:rPr>
          <w:rFonts w:eastAsia="方正小标宋简体"/>
          <w:sz w:val="36"/>
          <w:szCs w:val="36"/>
        </w:rPr>
      </w:pPr>
    </w:p>
    <w:p w14:paraId="78DBA2B3">
      <w:pPr>
        <w:rPr>
          <w:rFonts w:eastAsia="方正小标宋简体"/>
          <w:sz w:val="36"/>
          <w:szCs w:val="36"/>
        </w:rPr>
        <w:sectPr>
          <w:headerReference r:id="rId3" w:type="default"/>
          <w:footerReference r:id="rId4" w:type="default"/>
          <w:pgSz w:w="11906" w:h="16838" w:orient="landscape"/>
          <w:pgMar w:top="1440" w:right="1803" w:bottom="1440" w:left="1803" w:header="851" w:footer="1701" w:gutter="0"/>
          <w:cols w:space="1701" w:num="1"/>
        </w:sectPr>
      </w:pPr>
    </w:p>
    <w:sdt>
      <w:sdtPr>
        <w:rPr>
          <w:rFonts w:ascii="仿宋" w:hAnsi="仿宋" w:eastAsia="仿宋"/>
          <w:sz w:val="28"/>
          <w:szCs w:val="28"/>
        </w:rPr>
        <w:id w:val="147481378"/>
        <w:docPartObj>
          <w:docPartGallery w:val="Table of Contents"/>
          <w:docPartUnique/>
        </w:docPartObj>
      </w:sdtPr>
      <w:sdtEndPr>
        <w:rPr>
          <w:rFonts w:hint="eastAsia" w:ascii="仿宋" w:hAnsi="仿宋" w:eastAsia="仿宋" w:cs="仿宋_GB2312"/>
          <w:sz w:val="28"/>
          <w:szCs w:val="28"/>
        </w:rPr>
      </w:sdtEndPr>
      <w:sdtContent>
        <w:p w14:paraId="35D67E77">
          <w:pPr>
            <w:jc w:val="center"/>
            <w:rPr>
              <w:rFonts w:ascii="仿宋" w:hAnsi="仿宋" w:eastAsia="仿宋" w:cs="黑体"/>
              <w:sz w:val="28"/>
              <w:szCs w:val="28"/>
            </w:rPr>
          </w:pPr>
          <w:bookmarkStart w:id="6" w:name="_Toc15377196"/>
          <w:bookmarkStart w:id="7" w:name="_Toc15396599"/>
          <w:r>
            <w:rPr>
              <w:rFonts w:hint="eastAsia" w:ascii="仿宋" w:hAnsi="仿宋" w:eastAsia="仿宋" w:cs="黑体"/>
              <w:sz w:val="28"/>
              <w:szCs w:val="28"/>
            </w:rPr>
            <w:t>目录</w:t>
          </w:r>
        </w:p>
        <w:p w14:paraId="3E9AA60E">
          <w:pPr>
            <w:pStyle w:val="30"/>
            <w:rPr>
              <w:rFonts w:ascii="仿宋" w:hAnsi="仿宋" w:eastAsia="仿宋"/>
              <w:sz w:val="28"/>
              <w:szCs w:val="28"/>
            </w:rPr>
          </w:pPr>
        </w:p>
        <w:p w14:paraId="1017594C">
          <w:pPr>
            <w:pStyle w:val="27"/>
            <w:tabs>
              <w:tab w:val="right" w:leader="dot" w:pos="8296"/>
            </w:tabs>
            <w:ind w:firstLine="1960" w:firstLineChars="700"/>
            <w:rPr>
              <w:rFonts w:ascii="仿宋" w:hAnsi="仿宋" w:eastAsia="仿宋"/>
              <w:sz w:val="28"/>
              <w:szCs w:val="28"/>
            </w:rPr>
          </w:pPr>
          <w:r>
            <w:rPr>
              <w:rFonts w:hint="eastAsia" w:ascii="仿宋" w:hAnsi="仿宋" w:eastAsia="仿宋" w:cs="仿宋_GB2312"/>
              <w:sz w:val="28"/>
              <w:szCs w:val="28"/>
            </w:rPr>
            <w:t>公开时间：2024年08月2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w:t>
          </w:r>
        </w:p>
        <w:p w14:paraId="77D6E421">
          <w:pPr>
            <w:pStyle w:val="30"/>
            <w:rPr>
              <w:rFonts w:ascii="仿宋" w:hAnsi="仿宋" w:eastAsia="仿宋"/>
              <w:sz w:val="28"/>
              <w:szCs w:val="28"/>
            </w:rPr>
          </w:pPr>
        </w:p>
        <w:p w14:paraId="6A055190">
          <w:pPr>
            <w:pStyle w:val="224"/>
            <w:tabs>
              <w:tab w:val="right" w:leader="dot" w:pos="9026"/>
            </w:tabs>
            <w:rPr>
              <w:rFonts w:ascii="仿宋" w:hAnsi="仿宋" w:eastAsia="仿宋"/>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TOC \o "1-3" \h \u </w:instrText>
          </w:r>
          <w:r>
            <w:rPr>
              <w:rFonts w:hint="eastAsia" w:ascii="仿宋" w:hAnsi="仿宋" w:eastAsia="仿宋" w:cs="仿宋_GB2312"/>
              <w:sz w:val="28"/>
              <w:szCs w:val="28"/>
            </w:rPr>
            <w:fldChar w:fldCharType="separate"/>
          </w:r>
          <w:r>
            <w:fldChar w:fldCharType="begin"/>
          </w:r>
          <w:r>
            <w:instrText xml:space="preserve"> HYPERLINK \l "_Toc9876" </w:instrText>
          </w:r>
          <w:r>
            <w:fldChar w:fldCharType="separate"/>
          </w:r>
          <w:r>
            <w:rPr>
              <w:rFonts w:hint="eastAsia" w:ascii="仿宋" w:hAnsi="仿宋" w:eastAsia="仿宋" w:cs="黑体"/>
              <w:sz w:val="28"/>
              <w:szCs w:val="28"/>
            </w:rPr>
            <w:t>第一部分 部门概况</w:t>
          </w:r>
          <w:r>
            <w:rPr>
              <w:rFonts w:hint="eastAsia" w:ascii="仿宋" w:hAnsi="仿宋" w:eastAsia="仿宋" w:cs="黑体"/>
              <w:sz w:val="28"/>
              <w:szCs w:val="28"/>
            </w:rPr>
            <w:tab/>
          </w:r>
          <w:r>
            <w:rPr>
              <w:rFonts w:hint="eastAsia" w:ascii="仿宋" w:hAnsi="仿宋" w:eastAsia="仿宋" w:cs="黑体"/>
              <w:sz w:val="28"/>
              <w:szCs w:val="28"/>
              <w:lang w:val="en-US" w:eastAsia="zh-CN"/>
            </w:rPr>
            <w:t>1</w:t>
          </w:r>
          <w:r>
            <w:rPr>
              <w:rFonts w:hint="eastAsia" w:ascii="仿宋" w:hAnsi="仿宋" w:eastAsia="仿宋" w:cs="黑体"/>
              <w:sz w:val="28"/>
              <w:szCs w:val="28"/>
            </w:rPr>
            <w:fldChar w:fldCharType="end"/>
          </w:r>
        </w:p>
        <w:p w14:paraId="5199DBD7">
          <w:pPr>
            <w:pStyle w:val="225"/>
            <w:tabs>
              <w:tab w:val="right" w:leader="dot" w:pos="9026"/>
            </w:tabs>
            <w:ind w:left="640"/>
            <w:rPr>
              <w:rFonts w:ascii="仿宋" w:hAnsi="仿宋" w:eastAsia="仿宋" w:cs="仿宋"/>
              <w:sz w:val="28"/>
              <w:szCs w:val="28"/>
            </w:rPr>
          </w:pPr>
          <w:r>
            <w:fldChar w:fldCharType="begin"/>
          </w:r>
          <w:r>
            <w:instrText xml:space="preserve"> HYPERLINK \l "_Toc1145" </w:instrText>
          </w:r>
          <w:r>
            <w:fldChar w:fldCharType="separate"/>
          </w:r>
          <w:r>
            <w:rPr>
              <w:rFonts w:hint="eastAsia" w:ascii="仿宋" w:hAnsi="仿宋" w:eastAsia="仿宋" w:cs="仿宋"/>
              <w:sz w:val="28"/>
              <w:szCs w:val="28"/>
            </w:rPr>
            <w:t>一、 部门职责</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p>
        <w:p w14:paraId="4ABDDC84">
          <w:pPr>
            <w:pStyle w:val="225"/>
            <w:tabs>
              <w:tab w:val="right" w:leader="dot" w:pos="9026"/>
            </w:tabs>
            <w:ind w:left="640"/>
            <w:rPr>
              <w:rFonts w:ascii="仿宋" w:hAnsi="仿宋" w:eastAsia="仿宋"/>
              <w:sz w:val="28"/>
              <w:szCs w:val="28"/>
            </w:rPr>
          </w:pPr>
          <w:r>
            <w:fldChar w:fldCharType="begin"/>
          </w:r>
          <w:r>
            <w:instrText xml:space="preserve"> HYPERLINK \l "_Toc3471" </w:instrText>
          </w:r>
          <w:r>
            <w:fldChar w:fldCharType="separate"/>
          </w:r>
          <w:r>
            <w:rPr>
              <w:rFonts w:hint="eastAsia" w:ascii="仿宋" w:hAnsi="仿宋" w:eastAsia="仿宋" w:cs="仿宋"/>
              <w:sz w:val="28"/>
              <w:szCs w:val="28"/>
            </w:rPr>
            <w:t>二、机构设置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_Toc3471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F47E1AC">
          <w:pPr>
            <w:pStyle w:val="224"/>
            <w:tabs>
              <w:tab w:val="right" w:leader="dot" w:pos="9026"/>
            </w:tabs>
            <w:rPr>
              <w:rFonts w:ascii="仿宋" w:hAnsi="仿宋" w:eastAsia="仿宋"/>
              <w:sz w:val="28"/>
              <w:szCs w:val="28"/>
            </w:rPr>
          </w:pPr>
          <w:r>
            <w:fldChar w:fldCharType="begin"/>
          </w:r>
          <w:r>
            <w:instrText xml:space="preserve"> HYPERLINK \l "_Toc8685" </w:instrText>
          </w:r>
          <w:r>
            <w:fldChar w:fldCharType="separate"/>
          </w:r>
          <w:r>
            <w:rPr>
              <w:rFonts w:hint="eastAsia" w:ascii="仿宋" w:hAnsi="仿宋" w:eastAsia="仿宋" w:cs="黑体"/>
              <w:sz w:val="28"/>
              <w:szCs w:val="28"/>
            </w:rPr>
            <w:t>第二部分 2024年度部门决算情况说明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_Toc8685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4206184D">
          <w:pPr>
            <w:pStyle w:val="225"/>
            <w:tabs>
              <w:tab w:val="right" w:leader="dot" w:pos="9026"/>
            </w:tabs>
            <w:ind w:left="640"/>
            <w:rPr>
              <w:rFonts w:ascii="仿宋" w:hAnsi="仿宋" w:eastAsia="仿宋" w:cs="仿宋"/>
              <w:sz w:val="28"/>
              <w:szCs w:val="28"/>
            </w:rPr>
          </w:pPr>
          <w:r>
            <w:fldChar w:fldCharType="begin"/>
          </w:r>
          <w:r>
            <w:instrText xml:space="preserve"> HYPERLINK \l "_Toc20001" </w:instrText>
          </w:r>
          <w:r>
            <w:fldChar w:fldCharType="separate"/>
          </w:r>
          <w:r>
            <w:rPr>
              <w:rFonts w:hint="eastAsia" w:ascii="仿宋" w:hAnsi="仿宋" w:eastAsia="仿宋" w:cs="仿宋"/>
              <w:sz w:val="28"/>
              <w:szCs w:val="28"/>
            </w:rPr>
            <w:t>一、 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_Toc20001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ED0E075">
          <w:pPr>
            <w:pStyle w:val="225"/>
            <w:tabs>
              <w:tab w:val="right" w:leader="dot" w:pos="9026"/>
            </w:tabs>
            <w:ind w:left="640"/>
            <w:rPr>
              <w:rFonts w:ascii="仿宋" w:hAnsi="仿宋" w:eastAsia="仿宋" w:cs="仿宋"/>
              <w:sz w:val="28"/>
              <w:szCs w:val="28"/>
            </w:rPr>
          </w:pPr>
          <w:r>
            <w:fldChar w:fldCharType="begin"/>
          </w:r>
          <w:r>
            <w:instrText xml:space="preserve"> HYPERLINK \l "_Toc25864" </w:instrText>
          </w:r>
          <w:r>
            <w:fldChar w:fldCharType="separate"/>
          </w:r>
          <w:r>
            <w:rPr>
              <w:rFonts w:hint="eastAsia" w:ascii="仿宋" w:hAnsi="仿宋" w:eastAsia="仿宋" w:cs="仿宋"/>
              <w:sz w:val="28"/>
              <w:szCs w:val="28"/>
            </w:rPr>
            <w:t>二、 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_Toc25864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A829F26">
          <w:pPr>
            <w:pStyle w:val="225"/>
            <w:tabs>
              <w:tab w:val="right" w:leader="dot" w:pos="9026"/>
            </w:tabs>
            <w:ind w:left="640"/>
            <w:rPr>
              <w:rFonts w:ascii="仿宋" w:hAnsi="仿宋" w:eastAsia="仿宋" w:cs="仿宋"/>
              <w:sz w:val="28"/>
              <w:szCs w:val="28"/>
            </w:rPr>
          </w:pPr>
          <w:r>
            <w:fldChar w:fldCharType="begin"/>
          </w:r>
          <w:r>
            <w:instrText xml:space="preserve"> HYPERLINK \l "_Toc32156" </w:instrText>
          </w:r>
          <w:r>
            <w:fldChar w:fldCharType="separate"/>
          </w:r>
          <w:r>
            <w:rPr>
              <w:rFonts w:hint="eastAsia" w:ascii="仿宋" w:hAnsi="仿宋" w:eastAsia="仿宋" w:cs="仿宋"/>
              <w:sz w:val="28"/>
              <w:szCs w:val="28"/>
            </w:rPr>
            <w:t>三、 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_Toc32156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D30D79D">
          <w:pPr>
            <w:pStyle w:val="225"/>
            <w:tabs>
              <w:tab w:val="right" w:leader="dot" w:pos="9026"/>
            </w:tabs>
            <w:ind w:left="640"/>
            <w:rPr>
              <w:rFonts w:ascii="仿宋" w:hAnsi="仿宋" w:eastAsia="仿宋" w:cs="仿宋"/>
              <w:sz w:val="28"/>
              <w:szCs w:val="28"/>
            </w:rPr>
          </w:pPr>
          <w:r>
            <w:fldChar w:fldCharType="begin"/>
          </w:r>
          <w:r>
            <w:instrText xml:space="preserve"> HYPERLINK \l "_Toc17137" </w:instrText>
          </w:r>
          <w: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14:paraId="3AA69FF2">
          <w:pPr>
            <w:pStyle w:val="225"/>
            <w:tabs>
              <w:tab w:val="right" w:leader="dot" w:pos="9026"/>
            </w:tabs>
            <w:ind w:left="640"/>
            <w:rPr>
              <w:rFonts w:ascii="仿宋" w:hAnsi="仿宋" w:eastAsia="仿宋" w:cs="仿宋"/>
              <w:sz w:val="28"/>
              <w:szCs w:val="28"/>
            </w:rPr>
          </w:pPr>
          <w:r>
            <w:fldChar w:fldCharType="begin"/>
          </w:r>
          <w:r>
            <w:instrText xml:space="preserve"> HYPERLINK \l "_Toc16000" </w:instrText>
          </w:r>
          <w: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_Toc16000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A9B6F00">
          <w:pPr>
            <w:pStyle w:val="225"/>
            <w:tabs>
              <w:tab w:val="right" w:leader="dot" w:pos="9026"/>
            </w:tabs>
            <w:ind w:left="640"/>
            <w:rPr>
              <w:rFonts w:hint="eastAsia" w:ascii="仿宋" w:hAnsi="仿宋" w:eastAsia="仿宋" w:cs="仿宋"/>
              <w:sz w:val="28"/>
              <w:szCs w:val="28"/>
              <w:lang w:val="en-US" w:eastAsia="zh-CN"/>
            </w:rPr>
          </w:pPr>
          <w:r>
            <w:fldChar w:fldCharType="begin"/>
          </w:r>
          <w:r>
            <w:instrText xml:space="preserve"> HYPERLINK \l "_Toc8519" </w:instrText>
          </w:r>
          <w: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46805279">
          <w:pPr>
            <w:pStyle w:val="225"/>
            <w:tabs>
              <w:tab w:val="right" w:leader="dot" w:pos="9026"/>
            </w:tabs>
            <w:ind w:left="640"/>
            <w:rPr>
              <w:rFonts w:ascii="仿宋" w:hAnsi="仿宋" w:eastAsia="仿宋" w:cs="仿宋"/>
              <w:sz w:val="28"/>
              <w:szCs w:val="28"/>
            </w:rPr>
          </w:pPr>
          <w:r>
            <w:fldChar w:fldCharType="begin"/>
          </w:r>
          <w:r>
            <w:instrText xml:space="preserve"> HYPERLINK \l "_Toc30667" </w:instrText>
          </w:r>
          <w:r>
            <w:fldChar w:fldCharType="separate"/>
          </w:r>
          <w:r>
            <w:rPr>
              <w:rFonts w:hint="eastAsia" w:ascii="仿宋" w:hAnsi="仿宋" w:eastAsia="仿宋" w:cs="仿宋"/>
              <w:sz w:val="28"/>
              <w:szCs w:val="28"/>
            </w:rPr>
            <w:t>七、财政拨款“三公”经费支出决算情况说明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_Toc30667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129B61">
          <w:pPr>
            <w:pStyle w:val="225"/>
            <w:tabs>
              <w:tab w:val="right" w:leader="dot" w:pos="9026"/>
            </w:tabs>
            <w:ind w:left="640"/>
            <w:rPr>
              <w:rFonts w:ascii="仿宋" w:hAnsi="仿宋" w:eastAsia="仿宋" w:cs="仿宋"/>
              <w:sz w:val="28"/>
              <w:szCs w:val="28"/>
            </w:rPr>
          </w:pPr>
          <w:r>
            <w:fldChar w:fldCharType="begin"/>
          </w:r>
          <w:r>
            <w:instrText xml:space="preserve"> HYPERLINK \l "_Toc21605" </w:instrText>
          </w:r>
          <w: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_Toc21605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44B02D2">
          <w:pPr>
            <w:pStyle w:val="225"/>
            <w:tabs>
              <w:tab w:val="right" w:leader="dot" w:pos="9026"/>
            </w:tabs>
            <w:ind w:left="640"/>
            <w:rPr>
              <w:rFonts w:ascii="仿宋" w:hAnsi="仿宋" w:eastAsia="仿宋" w:cs="仿宋"/>
              <w:sz w:val="28"/>
              <w:szCs w:val="28"/>
            </w:rPr>
          </w:pPr>
          <w:r>
            <w:fldChar w:fldCharType="begin"/>
          </w:r>
          <w:r>
            <w:instrText xml:space="preserve"> HYPERLINK \l "_Toc32114" </w:instrText>
          </w:r>
          <w: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_Toc32114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6BDE85B">
          <w:pPr>
            <w:pStyle w:val="225"/>
            <w:tabs>
              <w:tab w:val="right" w:leader="dot" w:pos="9026"/>
            </w:tabs>
            <w:ind w:left="640"/>
            <w:rPr>
              <w:rFonts w:ascii="仿宋" w:hAnsi="仿宋" w:eastAsia="仿宋"/>
              <w:sz w:val="28"/>
              <w:szCs w:val="28"/>
            </w:rPr>
          </w:pPr>
          <w:r>
            <w:fldChar w:fldCharType="begin"/>
          </w:r>
          <w:r>
            <w:instrText xml:space="preserve"> HYPERLINK \l "_Toc13293" </w:instrText>
          </w:r>
          <w:r>
            <w:fldChar w:fldCharType="separate"/>
          </w:r>
          <w:r>
            <w:rPr>
              <w:rFonts w:hint="eastAsia" w:ascii="仿宋" w:hAnsi="仿宋" w:eastAsia="仿宋" w:cs="仿宋"/>
              <w:sz w:val="28"/>
              <w:szCs w:val="28"/>
            </w:rPr>
            <w:t>十、 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_Toc13293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FD57A30">
          <w:pPr>
            <w:pStyle w:val="224"/>
            <w:tabs>
              <w:tab w:val="right" w:leader="dot" w:pos="9026"/>
            </w:tabs>
            <w:rPr>
              <w:rFonts w:ascii="仿宋" w:hAnsi="仿宋" w:eastAsia="仿宋" w:cs="黑体"/>
              <w:sz w:val="28"/>
              <w:szCs w:val="28"/>
            </w:rPr>
          </w:pPr>
          <w:r>
            <w:fldChar w:fldCharType="begin"/>
          </w:r>
          <w:r>
            <w:instrText xml:space="preserve"> HYPERLINK \l "_Toc3245" </w:instrText>
          </w:r>
          <w:r>
            <w:fldChar w:fldCharType="separate"/>
          </w:r>
          <w:r>
            <w:rPr>
              <w:rFonts w:hint="eastAsia" w:ascii="仿宋" w:hAnsi="仿宋" w:eastAsia="仿宋" w:cs="黑体"/>
              <w:sz w:val="28"/>
              <w:szCs w:val="28"/>
            </w:rPr>
            <w:t>第三部分 名词解释</w:t>
          </w:r>
          <w:r>
            <w:rPr>
              <w:rFonts w:hint="eastAsia" w:ascii="仿宋" w:hAnsi="仿宋" w:eastAsia="仿宋" w:cs="黑体"/>
              <w:sz w:val="28"/>
              <w:szCs w:val="28"/>
            </w:rPr>
            <w:tab/>
          </w:r>
          <w:r>
            <w:rPr>
              <w:rFonts w:hint="eastAsia" w:ascii="仿宋" w:hAnsi="仿宋" w:eastAsia="仿宋" w:cs="黑体"/>
              <w:sz w:val="28"/>
              <w:szCs w:val="28"/>
            </w:rPr>
            <w:fldChar w:fldCharType="begin"/>
          </w:r>
          <w:r>
            <w:rPr>
              <w:rFonts w:hint="eastAsia" w:ascii="仿宋" w:hAnsi="仿宋" w:eastAsia="仿宋" w:cs="黑体"/>
              <w:sz w:val="28"/>
              <w:szCs w:val="28"/>
            </w:rPr>
            <w:instrText xml:space="preserve"> PAGEREF _Toc3245 </w:instrText>
          </w:r>
          <w:r>
            <w:rPr>
              <w:rFonts w:hint="eastAsia" w:ascii="仿宋" w:hAnsi="仿宋" w:eastAsia="仿宋" w:cs="黑体"/>
              <w:sz w:val="28"/>
              <w:szCs w:val="28"/>
            </w:rPr>
            <w:fldChar w:fldCharType="separate"/>
          </w:r>
          <w:r>
            <w:rPr>
              <w:rFonts w:hint="eastAsia" w:ascii="仿宋" w:hAnsi="仿宋" w:eastAsia="仿宋" w:cs="黑体"/>
              <w:sz w:val="28"/>
              <w:szCs w:val="28"/>
            </w:rPr>
            <w:t>16</w:t>
          </w:r>
          <w:r>
            <w:rPr>
              <w:rFonts w:hint="eastAsia" w:ascii="仿宋" w:hAnsi="仿宋" w:eastAsia="仿宋" w:cs="黑体"/>
              <w:sz w:val="28"/>
              <w:szCs w:val="28"/>
            </w:rPr>
            <w:fldChar w:fldCharType="end"/>
          </w:r>
          <w:r>
            <w:rPr>
              <w:rFonts w:hint="eastAsia" w:ascii="仿宋" w:hAnsi="仿宋" w:eastAsia="仿宋" w:cs="黑体"/>
              <w:sz w:val="28"/>
              <w:szCs w:val="28"/>
            </w:rPr>
            <w:fldChar w:fldCharType="end"/>
          </w:r>
        </w:p>
        <w:p w14:paraId="0271F312">
          <w:pPr>
            <w:pStyle w:val="224"/>
            <w:tabs>
              <w:tab w:val="right" w:leader="dot" w:pos="9026"/>
            </w:tabs>
            <w:rPr>
              <w:rFonts w:hint="eastAsia" w:ascii="仿宋" w:hAnsi="仿宋" w:eastAsia="仿宋" w:cs="黑体"/>
              <w:sz w:val="28"/>
              <w:szCs w:val="28"/>
              <w:lang w:val="en-US" w:eastAsia="zh-CN"/>
            </w:rPr>
          </w:pPr>
          <w:r>
            <w:fldChar w:fldCharType="begin"/>
          </w:r>
          <w:r>
            <w:instrText xml:space="preserve"> HYPERLINK \l "_Toc766" </w:instrText>
          </w:r>
          <w:r>
            <w:fldChar w:fldCharType="separate"/>
          </w:r>
          <w:r>
            <w:rPr>
              <w:rFonts w:hint="eastAsia" w:ascii="仿宋" w:hAnsi="仿宋" w:eastAsia="仿宋" w:cs="黑体"/>
              <w:sz w:val="28"/>
              <w:szCs w:val="28"/>
            </w:rPr>
            <w:t>第四部分 附件</w:t>
          </w:r>
          <w:r>
            <w:rPr>
              <w:rFonts w:hint="eastAsia" w:ascii="仿宋" w:hAnsi="仿宋" w:eastAsia="仿宋" w:cs="黑体"/>
              <w:sz w:val="28"/>
              <w:szCs w:val="28"/>
            </w:rPr>
            <w:tab/>
          </w:r>
          <w:r>
            <w:rPr>
              <w:rFonts w:hint="eastAsia" w:ascii="仿宋" w:hAnsi="仿宋" w:eastAsia="仿宋" w:cs="黑体"/>
              <w:sz w:val="28"/>
              <w:szCs w:val="28"/>
              <w:lang w:val="en-US" w:eastAsia="zh-CN"/>
            </w:rPr>
            <w:t>2</w:t>
          </w:r>
          <w:r>
            <w:rPr>
              <w:rFonts w:hint="eastAsia" w:ascii="仿宋" w:hAnsi="仿宋" w:eastAsia="仿宋" w:cs="黑体"/>
              <w:sz w:val="28"/>
              <w:szCs w:val="28"/>
            </w:rPr>
            <w:fldChar w:fldCharType="end"/>
          </w:r>
          <w:r>
            <w:rPr>
              <w:rFonts w:hint="eastAsia" w:ascii="仿宋" w:hAnsi="仿宋" w:eastAsia="仿宋" w:cs="黑体"/>
              <w:sz w:val="28"/>
              <w:szCs w:val="28"/>
              <w:lang w:val="en-US" w:eastAsia="zh-CN"/>
            </w:rPr>
            <w:t>0</w:t>
          </w:r>
        </w:p>
        <w:p w14:paraId="10749BB0">
          <w:pPr>
            <w:pStyle w:val="224"/>
            <w:tabs>
              <w:tab w:val="right" w:leader="dot" w:pos="9026"/>
            </w:tabs>
            <w:rPr>
              <w:rFonts w:hint="eastAsia" w:ascii="仿宋" w:hAnsi="仿宋" w:eastAsia="仿宋"/>
              <w:sz w:val="28"/>
              <w:szCs w:val="28"/>
              <w:lang w:eastAsia="zh-CN"/>
            </w:rPr>
          </w:pPr>
          <w:r>
            <w:fldChar w:fldCharType="begin"/>
          </w:r>
          <w:r>
            <w:instrText xml:space="preserve"> HYPERLINK \l "_Toc14542" </w:instrText>
          </w:r>
          <w:r>
            <w:fldChar w:fldCharType="separate"/>
          </w:r>
          <w:r>
            <w:rPr>
              <w:rFonts w:hint="eastAsia" w:ascii="仿宋" w:hAnsi="仿宋" w:eastAsia="仿宋" w:cs="黑体"/>
              <w:sz w:val="28"/>
              <w:szCs w:val="28"/>
            </w:rPr>
            <w:t>第五部分 附表</w:t>
          </w:r>
          <w:r>
            <w:rPr>
              <w:rFonts w:hint="eastAsia" w:ascii="仿宋" w:hAnsi="仿宋" w:eastAsia="仿宋" w:cs="黑体"/>
              <w:sz w:val="28"/>
              <w:szCs w:val="28"/>
            </w:rPr>
            <w:tab/>
          </w:r>
          <w:r>
            <w:rPr>
              <w:rFonts w:hint="eastAsia" w:ascii="仿宋" w:hAnsi="仿宋" w:eastAsia="仿宋" w:cs="黑体"/>
              <w:sz w:val="28"/>
              <w:szCs w:val="28"/>
              <w:lang w:val="en-US" w:eastAsia="zh-CN"/>
            </w:rPr>
            <w:t>6</w:t>
          </w:r>
          <w:r>
            <w:rPr>
              <w:rFonts w:hint="eastAsia" w:ascii="仿宋" w:hAnsi="仿宋" w:eastAsia="仿宋" w:cs="黑体"/>
              <w:sz w:val="28"/>
              <w:szCs w:val="28"/>
            </w:rPr>
            <w:fldChar w:fldCharType="end"/>
          </w:r>
          <w:r>
            <w:rPr>
              <w:rFonts w:hint="eastAsia" w:ascii="仿宋" w:hAnsi="仿宋" w:eastAsia="仿宋" w:cs="黑体"/>
              <w:sz w:val="28"/>
              <w:szCs w:val="28"/>
              <w:lang w:val="en-US" w:eastAsia="zh-CN"/>
            </w:rPr>
            <w:t>8</w:t>
          </w:r>
        </w:p>
        <w:p w14:paraId="55F0D23A">
          <w:pPr>
            <w:pStyle w:val="225"/>
            <w:tabs>
              <w:tab w:val="right" w:leader="dot" w:pos="9026"/>
            </w:tabs>
            <w:ind w:left="640"/>
            <w:rPr>
              <w:rFonts w:hint="eastAsia" w:ascii="仿宋" w:hAnsi="仿宋" w:eastAsia="仿宋" w:cs="仿宋"/>
              <w:sz w:val="28"/>
              <w:szCs w:val="28"/>
              <w:lang w:eastAsia="zh-CN"/>
            </w:rPr>
          </w:pPr>
          <w:r>
            <w:fldChar w:fldCharType="begin"/>
          </w:r>
          <w:r>
            <w:instrText xml:space="preserve"> HYPERLINK \l "_Toc12137" </w:instrText>
          </w:r>
          <w:r>
            <w:fldChar w:fldCharType="separate"/>
          </w:r>
          <w:r>
            <w:rPr>
              <w:rFonts w:hint="eastAsia" w:ascii="仿宋" w:hAnsi="仿宋" w:eastAsia="仿宋" w:cs="仿宋"/>
              <w:sz w:val="28"/>
              <w:szCs w:val="28"/>
            </w:rPr>
            <w:t>一、收入支出决算总表</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6B2500E7">
          <w:pPr>
            <w:pStyle w:val="225"/>
            <w:tabs>
              <w:tab w:val="right" w:leader="dot" w:pos="9026"/>
            </w:tabs>
            <w:ind w:left="640"/>
            <w:rPr>
              <w:rFonts w:hint="eastAsia" w:ascii="仿宋" w:hAnsi="仿宋" w:eastAsia="仿宋" w:cs="仿宋"/>
              <w:sz w:val="28"/>
              <w:szCs w:val="28"/>
              <w:lang w:val="en-US" w:eastAsia="zh-CN"/>
            </w:rPr>
          </w:pPr>
          <w:r>
            <w:fldChar w:fldCharType="begin"/>
          </w:r>
          <w:r>
            <w:instrText xml:space="preserve"> HYPERLINK \l "_Toc1841" </w:instrText>
          </w:r>
          <w:r>
            <w:fldChar w:fldCharType="separate"/>
          </w:r>
          <w:r>
            <w:rPr>
              <w:rFonts w:hint="eastAsia" w:ascii="仿宋" w:hAnsi="仿宋" w:eastAsia="仿宋" w:cs="仿宋"/>
              <w:sz w:val="28"/>
              <w:szCs w:val="28"/>
            </w:rPr>
            <w:t>二、收入决算表</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799C3199">
          <w:pPr>
            <w:pStyle w:val="225"/>
            <w:tabs>
              <w:tab w:val="right" w:leader="dot" w:pos="9026"/>
            </w:tabs>
            <w:ind w:left="640"/>
            <w:rPr>
              <w:rFonts w:hint="eastAsia" w:ascii="仿宋" w:hAnsi="仿宋" w:eastAsia="仿宋" w:cs="仿宋"/>
              <w:sz w:val="28"/>
              <w:szCs w:val="28"/>
              <w:lang w:eastAsia="zh-CN"/>
            </w:rPr>
          </w:pPr>
          <w:r>
            <w:fldChar w:fldCharType="begin"/>
          </w:r>
          <w:r>
            <w:instrText xml:space="preserve"> HYPERLINK \l "_Toc10180" </w:instrText>
          </w:r>
          <w:r>
            <w:fldChar w:fldCharType="separate"/>
          </w:r>
          <w:r>
            <w:rPr>
              <w:rFonts w:hint="eastAsia" w:ascii="仿宋" w:hAnsi="仿宋" w:eastAsia="仿宋" w:cs="仿宋"/>
              <w:sz w:val="28"/>
              <w:szCs w:val="28"/>
            </w:rPr>
            <w:t>三、支出决算表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28D1893C">
          <w:pPr>
            <w:pStyle w:val="225"/>
            <w:tabs>
              <w:tab w:val="right" w:leader="dot" w:pos="9026"/>
            </w:tabs>
            <w:ind w:left="640"/>
            <w:rPr>
              <w:rFonts w:ascii="仿宋" w:hAnsi="仿宋" w:eastAsia="仿宋" w:cs="仿宋"/>
              <w:sz w:val="28"/>
              <w:szCs w:val="28"/>
            </w:rPr>
          </w:pPr>
          <w:r>
            <w:fldChar w:fldCharType="begin"/>
          </w:r>
          <w:r>
            <w:instrText xml:space="preserve"> HYPERLINK \l "_Toc32314" </w:instrText>
          </w:r>
          <w:r>
            <w:fldChar w:fldCharType="separate"/>
          </w:r>
          <w:r>
            <w:rPr>
              <w:rFonts w:hint="eastAsia" w:ascii="仿宋" w:hAnsi="仿宋" w:eastAsia="仿宋" w:cs="仿宋"/>
              <w:sz w:val="28"/>
              <w:szCs w:val="28"/>
            </w:rPr>
            <w:t>四、财政拨款收入支出决算总表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_Toc32314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B3BF6A1">
          <w:pPr>
            <w:pStyle w:val="225"/>
            <w:tabs>
              <w:tab w:val="right" w:leader="dot" w:pos="9026"/>
            </w:tabs>
            <w:ind w:left="640"/>
            <w:rPr>
              <w:rFonts w:hint="eastAsia" w:ascii="仿宋" w:hAnsi="仿宋" w:eastAsia="仿宋" w:cs="仿宋"/>
              <w:sz w:val="28"/>
              <w:szCs w:val="28"/>
              <w:lang w:eastAsia="zh-CN"/>
            </w:rPr>
          </w:pPr>
          <w:r>
            <w:fldChar w:fldCharType="begin"/>
          </w:r>
          <w:r>
            <w:instrText xml:space="preserve"> HYPERLINK \l "_Toc637" </w:instrText>
          </w:r>
          <w:r>
            <w:fldChar w:fldCharType="separate"/>
          </w:r>
          <w:r>
            <w:rPr>
              <w:rFonts w:hint="eastAsia" w:ascii="仿宋" w:hAnsi="仿宋" w:eastAsia="仿宋" w:cs="仿宋"/>
              <w:sz w:val="28"/>
              <w:szCs w:val="28"/>
            </w:rPr>
            <w:t>五、财政拨款支出决算明细表</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4238AF70">
          <w:pPr>
            <w:pStyle w:val="225"/>
            <w:tabs>
              <w:tab w:val="right" w:leader="dot" w:pos="9026"/>
            </w:tabs>
            <w:ind w:left="640"/>
            <w:rPr>
              <w:rFonts w:ascii="仿宋" w:hAnsi="仿宋" w:eastAsia="仿宋" w:cs="仿宋"/>
              <w:sz w:val="28"/>
              <w:szCs w:val="28"/>
            </w:rPr>
          </w:pPr>
          <w:r>
            <w:fldChar w:fldCharType="begin"/>
          </w:r>
          <w:r>
            <w:instrText xml:space="preserve"> HYPERLINK \l "_Toc3636" </w:instrText>
          </w:r>
          <w:r>
            <w:fldChar w:fldCharType="separate"/>
          </w:r>
          <w:r>
            <w:rPr>
              <w:rFonts w:hint="eastAsia" w:ascii="仿宋" w:hAnsi="仿宋" w:eastAsia="仿宋" w:cs="仿宋"/>
              <w:sz w:val="28"/>
              <w:szCs w:val="28"/>
            </w:rPr>
            <w:t>六、一般公共预算财政拨款支出决算表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_Toc3636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D0ED129">
          <w:pPr>
            <w:pStyle w:val="225"/>
            <w:tabs>
              <w:tab w:val="right" w:leader="dot" w:pos="9026"/>
            </w:tabs>
            <w:ind w:left="640"/>
            <w:rPr>
              <w:rFonts w:ascii="仿宋" w:hAnsi="仿宋" w:eastAsia="仿宋" w:cs="仿宋"/>
              <w:sz w:val="28"/>
              <w:szCs w:val="28"/>
            </w:rPr>
          </w:pPr>
          <w:r>
            <w:fldChar w:fldCharType="begin"/>
          </w:r>
          <w:r>
            <w:instrText xml:space="preserve"> HYPERLINK \l "_Toc21307" </w:instrText>
          </w:r>
          <w:r>
            <w:fldChar w:fldCharType="separate"/>
          </w:r>
          <w:r>
            <w:rPr>
              <w:rFonts w:hint="eastAsia" w:ascii="仿宋" w:hAnsi="仿宋" w:eastAsia="仿宋" w:cs="仿宋"/>
              <w:sz w:val="28"/>
              <w:szCs w:val="28"/>
            </w:rPr>
            <w:t>七、一般公共预算财政拨款支出决算明细表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_Toc21307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0235981">
          <w:pPr>
            <w:pStyle w:val="225"/>
            <w:tabs>
              <w:tab w:val="right" w:leader="dot" w:pos="9026"/>
            </w:tabs>
            <w:ind w:left="640"/>
            <w:rPr>
              <w:rFonts w:ascii="仿宋" w:hAnsi="仿宋" w:eastAsia="仿宋" w:cs="仿宋"/>
              <w:sz w:val="28"/>
              <w:szCs w:val="28"/>
            </w:rPr>
          </w:pPr>
          <w:r>
            <w:fldChar w:fldCharType="begin"/>
          </w:r>
          <w:r>
            <w:instrText xml:space="preserve"> HYPERLINK \l "_Toc30350" </w:instrText>
          </w:r>
          <w:r>
            <w:fldChar w:fldCharType="separate"/>
          </w:r>
          <w:r>
            <w:rPr>
              <w:rFonts w:hint="eastAsia" w:ascii="仿宋" w:hAnsi="仿宋" w:eastAsia="仿宋" w:cs="仿宋"/>
              <w:sz w:val="28"/>
              <w:szCs w:val="28"/>
            </w:rPr>
            <w:t>八、一般公共预算财政拨款基本支出决算表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_Toc30350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428F40B">
          <w:pPr>
            <w:pStyle w:val="225"/>
            <w:tabs>
              <w:tab w:val="right" w:leader="dot" w:pos="9026"/>
            </w:tabs>
            <w:ind w:left="640"/>
            <w:rPr>
              <w:rFonts w:ascii="仿宋" w:hAnsi="仿宋" w:eastAsia="仿宋" w:cs="仿宋"/>
              <w:sz w:val="28"/>
              <w:szCs w:val="28"/>
            </w:rPr>
          </w:pPr>
          <w:r>
            <w:fldChar w:fldCharType="begin"/>
          </w:r>
          <w:r>
            <w:instrText xml:space="preserve"> HYPERLINK \l "_Toc29843" </w:instrText>
          </w:r>
          <w:r>
            <w:fldChar w:fldCharType="separate"/>
          </w:r>
          <w:r>
            <w:rPr>
              <w:rFonts w:hint="eastAsia" w:ascii="仿宋" w:hAnsi="仿宋" w:eastAsia="仿宋" w:cs="仿宋"/>
              <w:sz w:val="28"/>
              <w:szCs w:val="28"/>
            </w:rPr>
            <w:t>九、一般公共预算财政拨款项目支出决算表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_Toc29843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808709D">
          <w:pPr>
            <w:pStyle w:val="225"/>
            <w:tabs>
              <w:tab w:val="right" w:leader="dot" w:pos="9026"/>
            </w:tabs>
            <w:ind w:left="640"/>
            <w:rPr>
              <w:rFonts w:ascii="仿宋" w:hAnsi="仿宋" w:eastAsia="仿宋" w:cs="仿宋"/>
              <w:sz w:val="28"/>
              <w:szCs w:val="28"/>
            </w:rPr>
          </w:pPr>
          <w:bookmarkStart w:id="8" w:name="OLE_LINK80"/>
          <w:bookmarkStart w:id="9" w:name="OLE_LINK79"/>
          <w:r>
            <w:rPr>
              <w:rFonts w:ascii="仿宋" w:hAnsi="仿宋" w:eastAsia="仿宋"/>
              <w:sz w:val="28"/>
              <w:szCs w:val="28"/>
            </w:rPr>
            <w:fldChar w:fldCharType="begin"/>
          </w:r>
          <w:r>
            <w:rPr>
              <w:rFonts w:ascii="仿宋" w:hAnsi="仿宋" w:eastAsia="仿宋"/>
              <w:sz w:val="28"/>
              <w:szCs w:val="28"/>
            </w:rPr>
            <w:instrText xml:space="preserve"> HYPERLINK \l "_Toc17657" </w:instrText>
          </w:r>
          <w:r>
            <w:rPr>
              <w:rFonts w:ascii="仿宋" w:hAnsi="仿宋" w:eastAsia="仿宋"/>
              <w:sz w:val="28"/>
              <w:szCs w:val="28"/>
            </w:rPr>
            <w:fldChar w:fldCharType="separate"/>
          </w:r>
          <w:r>
            <w:rPr>
              <w:rFonts w:hint="eastAsia" w:ascii="仿宋" w:hAnsi="仿宋" w:eastAsia="仿宋" w:cs="仿宋"/>
              <w:sz w:val="28"/>
              <w:szCs w:val="28"/>
            </w:rPr>
            <w:t>十、政府性基金预算财政拨款收入支出决算表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_Toc17657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ascii="仿宋" w:hAnsi="仿宋" w:eastAsia="仿宋" w:cs="仿宋"/>
              <w:sz w:val="28"/>
              <w:szCs w:val="28"/>
            </w:rPr>
            <w:fldChar w:fldCharType="end"/>
          </w:r>
        </w:p>
        <w:bookmarkEnd w:id="8"/>
        <w:bookmarkEnd w:id="9"/>
        <w:p w14:paraId="289C8BAE">
          <w:pPr>
            <w:pStyle w:val="225"/>
            <w:tabs>
              <w:tab w:val="right" w:leader="dot" w:pos="9026"/>
            </w:tabs>
            <w:ind w:left="640"/>
            <w:rPr>
              <w:rFonts w:ascii="仿宋" w:hAnsi="仿宋" w:eastAsia="仿宋" w:cs="仿宋"/>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"_Toc11540" </w:instrText>
          </w:r>
          <w:r>
            <w:rPr>
              <w:rFonts w:ascii="仿宋" w:hAnsi="仿宋" w:eastAsia="仿宋"/>
              <w:sz w:val="28"/>
              <w:szCs w:val="28"/>
            </w:rPr>
            <w:fldChar w:fldCharType="separate"/>
          </w:r>
          <w:r>
            <w:rPr>
              <w:rFonts w:hint="eastAsia" w:ascii="仿宋" w:hAnsi="仿宋" w:eastAsia="仿宋" w:cs="仿宋"/>
              <w:sz w:val="28"/>
              <w:szCs w:val="28"/>
            </w:rPr>
            <w:t>十一、国有资本经营预算财政拨款收入支出决算表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_Toc11540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ascii="仿宋" w:hAnsi="仿宋" w:eastAsia="仿宋" w:cs="仿宋"/>
              <w:sz w:val="28"/>
              <w:szCs w:val="28"/>
            </w:rPr>
            <w:fldChar w:fldCharType="end"/>
          </w:r>
        </w:p>
        <w:p w14:paraId="1ABF7B23">
          <w:pPr>
            <w:pStyle w:val="225"/>
            <w:tabs>
              <w:tab w:val="right" w:leader="dot" w:pos="9026"/>
            </w:tabs>
            <w:ind w:left="640"/>
            <w:rPr>
              <w:rFonts w:ascii="仿宋" w:hAnsi="仿宋" w:eastAsia="仿宋" w:cs="仿宋"/>
              <w:sz w:val="28"/>
              <w:szCs w:val="28"/>
            </w:rPr>
          </w:pPr>
          <w:r>
            <w:fldChar w:fldCharType="begin"/>
          </w:r>
          <w:r>
            <w:instrText xml:space="preserve"> HYPERLINK \l "_Toc32462" </w:instrText>
          </w:r>
          <w:r>
            <w:fldChar w:fldCharType="separate"/>
          </w:r>
          <w:r>
            <w:rPr>
              <w:rFonts w:hint="eastAsia" w:ascii="仿宋" w:hAnsi="仿宋" w:eastAsia="仿宋" w:cs="仿宋"/>
              <w:sz w:val="28"/>
              <w:szCs w:val="28"/>
            </w:rPr>
            <w:t>十二、国有资本经营预算财政拨款支出决算表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_Toc32462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EBFE2DF">
          <w:pPr>
            <w:pStyle w:val="225"/>
            <w:tabs>
              <w:tab w:val="right" w:leader="dot" w:pos="9026"/>
            </w:tabs>
            <w:ind w:left="640"/>
            <w:rPr>
              <w:rFonts w:ascii="仿宋" w:hAnsi="仿宋" w:eastAsia="仿宋"/>
              <w:sz w:val="28"/>
              <w:szCs w:val="28"/>
            </w:rPr>
          </w:pPr>
          <w:r>
            <w:fldChar w:fldCharType="begin"/>
          </w:r>
          <w:r>
            <w:instrText xml:space="preserve"> HYPERLINK \l "_Toc27058" </w:instrText>
          </w:r>
          <w:r>
            <w:fldChar w:fldCharType="separate"/>
          </w:r>
          <w:r>
            <w:rPr>
              <w:rFonts w:hint="eastAsia" w:ascii="仿宋" w:hAnsi="仿宋" w:eastAsia="仿宋" w:cs="仿宋"/>
              <w:sz w:val="28"/>
              <w:szCs w:val="28"/>
            </w:rPr>
            <w:t>十三、财政拨款“三公”经费支出决算表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_Toc27058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0A387E4">
          <w:pPr>
            <w:widowControl/>
            <w:spacing w:line="440" w:lineRule="exact"/>
            <w:rPr>
              <w:rFonts w:hint="eastAsia" w:ascii="仿宋" w:hAnsi="仿宋" w:eastAsia="仿宋" w:cs="仿宋_GB2312"/>
              <w:sz w:val="28"/>
              <w:szCs w:val="28"/>
            </w:rPr>
            <w:sectPr>
              <w:footerReference r:id="rId5" w:type="default"/>
              <w:pgSz w:w="11906" w:h="16838" w:orient="landscape"/>
              <w:pgMar w:top="1803" w:right="1440" w:bottom="1803" w:left="1440" w:header="851" w:footer="1701" w:gutter="0"/>
              <w:pgNumType w:start="1"/>
              <w:cols w:space="1701" w:num="1"/>
            </w:sectPr>
          </w:pPr>
        </w:p>
        <w:p w14:paraId="29AF4B1D">
          <w:pPr>
            <w:widowControl/>
            <w:spacing w:line="440" w:lineRule="exact"/>
            <w:rPr>
              <w:rFonts w:eastAsia="仿宋"/>
              <w:sz w:val="24"/>
            </w:rPr>
          </w:pPr>
          <w:r>
            <w:rPr>
              <w:rFonts w:hint="eastAsia" w:ascii="仿宋" w:hAnsi="仿宋" w:eastAsia="仿宋" w:cs="仿宋_GB2312"/>
              <w:sz w:val="28"/>
              <w:szCs w:val="28"/>
            </w:rPr>
            <w:fldChar w:fldCharType="end"/>
          </w:r>
        </w:p>
      </w:sdtContent>
    </w:sdt>
    <w:p w14:paraId="66E052FC">
      <w:pPr>
        <w:widowControl/>
        <w:spacing w:line="440" w:lineRule="exact"/>
        <w:ind w:firstLine="2180"/>
        <w:outlineLvl w:val="0"/>
        <w:rPr>
          <w:rStyle w:val="198"/>
          <w:rFonts w:eastAsia="黑体"/>
          <w:b w:val="0"/>
          <w:bCs w:val="0"/>
        </w:rPr>
      </w:pPr>
      <w:bookmarkStart w:id="10" w:name="_Toc9876"/>
      <w:r>
        <w:rPr>
          <w:rFonts w:eastAsia="黑体"/>
          <w:sz w:val="44"/>
          <w:szCs w:val="44"/>
        </w:rPr>
        <w:t xml:space="preserve">第一部分 </w:t>
      </w:r>
      <w:r>
        <w:rPr>
          <w:rStyle w:val="198"/>
          <w:rFonts w:eastAsia="黑体"/>
          <w:b w:val="0"/>
          <w:bCs w:val="0"/>
        </w:rPr>
        <w:t>部门概况</w:t>
      </w:r>
      <w:bookmarkEnd w:id="6"/>
      <w:bookmarkEnd w:id="7"/>
      <w:bookmarkEnd w:id="10"/>
    </w:p>
    <w:p w14:paraId="02376DF8">
      <w:pPr>
        <w:widowControl/>
        <w:jc w:val="left"/>
        <w:rPr>
          <w:rFonts w:eastAsia="黑体"/>
          <w:szCs w:val="32"/>
        </w:rPr>
      </w:pPr>
    </w:p>
    <w:p w14:paraId="7559778D">
      <w:pPr>
        <w:pStyle w:val="192"/>
        <w:numPr>
          <w:ilvl w:val="0"/>
          <w:numId w:val="3"/>
        </w:numPr>
        <w:rPr>
          <w:rFonts w:ascii="Times New Roman" w:hAnsi="Times New Roman" w:eastAsia="黑体"/>
          <w:b w:val="0"/>
          <w:i w:val="0"/>
        </w:rPr>
      </w:pPr>
      <w:bookmarkStart w:id="11" w:name="_Toc1145"/>
      <w:r>
        <w:rPr>
          <w:rFonts w:ascii="Times New Roman" w:hAnsi="Times New Roman" w:eastAsia="黑体"/>
          <w:b w:val="0"/>
          <w:i w:val="0"/>
        </w:rPr>
        <w:t>部门职责</w:t>
      </w:r>
      <w:bookmarkEnd w:id="11"/>
    </w:p>
    <w:p w14:paraId="289653D1">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仿宋" w:hAnsi="仿宋" w:eastAsia="仿宋" w:cs="仿宋"/>
        </w:rPr>
      </w:pPr>
      <w:bookmarkStart w:id="12" w:name="_Toc15396601"/>
      <w:bookmarkStart w:id="13" w:name="_Toc3471"/>
      <w:bookmarkStart w:id="14" w:name="_Toc15377200"/>
      <w:r>
        <w:rPr>
          <w:rFonts w:hint="eastAsia" w:ascii="仿宋" w:hAnsi="仿宋" w:eastAsia="仿宋" w:cs="仿宋"/>
        </w:rPr>
        <w:t>1.负责区委、区政府规范性文件、重大行政决策发布前的合法性审查。承办区政府规范性文件的报送备案工作。负责全区各级各部门规范性文件报送区政府的备案审查工作。组织开展规范性文件清理。负责区本级政府合同备案管理、区政府涉法事务处理。</w:t>
      </w:r>
    </w:p>
    <w:p w14:paraId="2290752A">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仿宋" w:hAnsi="仿宋" w:eastAsia="仿宋" w:cs="仿宋"/>
        </w:rPr>
      </w:pPr>
      <w:r>
        <w:rPr>
          <w:rFonts w:hint="eastAsia" w:ascii="仿宋" w:hAnsi="仿宋" w:eastAsia="仿宋" w:cs="仿宋"/>
        </w:rPr>
        <w:t>2.承担统筹推进法治政府建设的责任。监督指导全区各级各部门依法行政工作。负责综合协调、监督检查行政执法，指导推进行政执法体制改革有关工作，严格规范公正文明执法。指导监督全区行政复议、行政诉讼、行政裁决和行政赔偿工作，承办向区政府申请的行政复议、行政赔偿案件，代理区政府行政应诉案件。</w:t>
      </w:r>
    </w:p>
    <w:p w14:paraId="5D9FEDDA">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仿宋" w:hAnsi="仿宋" w:eastAsia="仿宋" w:cs="仿宋"/>
        </w:rPr>
      </w:pPr>
      <w:r>
        <w:rPr>
          <w:rFonts w:hint="eastAsia" w:ascii="仿宋" w:hAnsi="仿宋" w:eastAsia="仿宋" w:cs="仿宋"/>
        </w:rPr>
        <w:t>3.承担统筹规划法治社会建设的责任。负责拟订法治宣传教育规划，组织实施普法宣传，组织对外法治宣传。推动人民参与和促进法治建设。指导全区各级各</w:t>
      </w:r>
      <w:bookmarkStart w:id="150" w:name="_GoBack"/>
      <w:bookmarkEnd w:id="150"/>
      <w:r>
        <w:rPr>
          <w:rFonts w:hint="eastAsia" w:ascii="仿宋" w:hAnsi="仿宋" w:eastAsia="仿宋" w:cs="仿宋"/>
        </w:rPr>
        <w:t>部门依法治理和法治创建工作。指导调解工作。负责并指导人民监督员的选任管理工作。负责人民陪审员选任工作。推进司法所建设。</w:t>
      </w:r>
    </w:p>
    <w:p w14:paraId="7BDEB0E5">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仿宋" w:hAnsi="仿宋" w:eastAsia="仿宋" w:cs="仿宋"/>
        </w:rPr>
      </w:pPr>
      <w:r>
        <w:rPr>
          <w:rFonts w:hint="eastAsia" w:ascii="仿宋" w:hAnsi="仿宋" w:eastAsia="仿宋" w:cs="仿宋"/>
        </w:rPr>
        <w:t>4.指导、监督管理刑满释放人员的安置帮教工作；牵头组织有关单位和社区基层组织开展社区矫正工作，对社区矫正对象实施管理。</w:t>
      </w:r>
    </w:p>
    <w:p w14:paraId="19E8F578">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仿宋" w:hAnsi="仿宋" w:eastAsia="仿宋" w:cs="仿宋"/>
        </w:rPr>
      </w:pPr>
      <w:r>
        <w:rPr>
          <w:rFonts w:hint="eastAsia" w:ascii="仿宋" w:hAnsi="仿宋" w:eastAsia="仿宋" w:cs="仿宋"/>
        </w:rPr>
        <w:t>5.负责拟订全区公共法律服务体系建设规划并指导实施，统筹和布局全区城乡法律服务资源。指导监督律师、公证、法律援助和基层法律服务工作。</w:t>
      </w:r>
    </w:p>
    <w:p w14:paraId="051B3BC0">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仿宋" w:hAnsi="仿宋" w:eastAsia="仿宋" w:cs="仿宋"/>
        </w:rPr>
      </w:pPr>
      <w:r>
        <w:rPr>
          <w:rFonts w:hint="eastAsia" w:ascii="仿宋" w:hAnsi="仿宋" w:eastAsia="仿宋" w:cs="仿宋"/>
        </w:rPr>
        <w:t>6.负责本系统服装和警车管理工作。承担本系统财务、装备、设施、场所等保障工作。</w:t>
      </w:r>
    </w:p>
    <w:p w14:paraId="453DDEFF">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仿宋" w:hAnsi="仿宋" w:eastAsia="仿宋" w:cs="仿宋"/>
        </w:rPr>
      </w:pPr>
      <w:r>
        <w:rPr>
          <w:rFonts w:hint="eastAsia" w:ascii="仿宋" w:hAnsi="仿宋" w:eastAsia="仿宋" w:cs="仿宋"/>
        </w:rPr>
        <w:t>7.规划、协调、指导法治人才队伍建设相关工作，负责监督本系统队伍建设工作。</w:t>
      </w:r>
    </w:p>
    <w:p w14:paraId="47140C17">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仿宋" w:hAnsi="仿宋" w:eastAsia="仿宋" w:cs="仿宋"/>
        </w:rPr>
      </w:pPr>
      <w:r>
        <w:rPr>
          <w:rFonts w:hint="eastAsia" w:ascii="仿宋" w:hAnsi="仿宋" w:eastAsia="仿宋" w:cs="仿宋"/>
        </w:rPr>
        <w:t xml:space="preserve">8.负责并指导本系统行政审批工作。负责全区外来企业涉法政务服务和行政执法方面的投诉处理。 </w:t>
      </w:r>
    </w:p>
    <w:p w14:paraId="21AC8107">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仿宋" w:hAnsi="仿宋" w:eastAsia="仿宋" w:cs="仿宋"/>
        </w:rPr>
      </w:pPr>
      <w:r>
        <w:rPr>
          <w:rFonts w:hint="eastAsia" w:ascii="仿宋" w:hAnsi="仿宋" w:eastAsia="仿宋" w:cs="仿宋"/>
        </w:rPr>
        <w:t>9.负责职责范围内的安全生产和职业健康、生态环境保护、审批服务便民化、市场监管等工作。</w:t>
      </w:r>
    </w:p>
    <w:p w14:paraId="442688CB">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1"/>
        <w:rPr>
          <w:rFonts w:ascii="仿宋" w:hAnsi="仿宋" w:eastAsia="仿宋" w:cs="仿宋"/>
          <w:color w:val="000000"/>
          <w:szCs w:val="32"/>
        </w:rPr>
      </w:pPr>
      <w:r>
        <w:rPr>
          <w:rFonts w:hint="eastAsia" w:ascii="仿宋" w:hAnsi="仿宋" w:eastAsia="仿宋" w:cs="仿宋"/>
        </w:rPr>
        <w:t>10.完成区委和区政府交办的其</w:t>
      </w:r>
      <w:r>
        <w:rPr>
          <w:rFonts w:hint="eastAsia" w:ascii="仿宋" w:hAnsi="仿宋" w:eastAsia="仿宋" w:cs="仿宋"/>
          <w:color w:val="000000"/>
          <w:szCs w:val="32"/>
        </w:rPr>
        <w:t>他任务。</w:t>
      </w:r>
    </w:p>
    <w:p w14:paraId="6766EB91">
      <w:pPr>
        <w:keepNext w:val="0"/>
        <w:keepLines w:val="0"/>
        <w:pageBreakBefore w:val="0"/>
        <w:kinsoku/>
        <w:wordWrap/>
        <w:overflowPunct/>
        <w:topLinePunct w:val="0"/>
        <w:autoSpaceDE/>
        <w:autoSpaceDN/>
        <w:bidi w:val="0"/>
        <w:spacing w:line="560" w:lineRule="exact"/>
        <w:ind w:firstLine="320" w:firstLineChars="100"/>
        <w:textAlignment w:val="auto"/>
        <w:outlineLvl w:val="1"/>
        <w:rPr>
          <w:rStyle w:val="199"/>
          <w:rFonts w:ascii="Times New Roman" w:hAnsi="Times New Roman" w:eastAsia="黑体"/>
          <w:b w:val="0"/>
          <w:i w:val="0"/>
        </w:rPr>
      </w:pPr>
      <w:r>
        <w:rPr>
          <w:rFonts w:eastAsia="黑体"/>
        </w:rPr>
        <w:t>二、机</w:t>
      </w:r>
      <w:r>
        <w:rPr>
          <w:rStyle w:val="199"/>
          <w:rFonts w:ascii="Times New Roman" w:hAnsi="Times New Roman" w:eastAsia="黑体"/>
          <w:b w:val="0"/>
          <w:i w:val="0"/>
        </w:rPr>
        <w:t>构设置</w:t>
      </w:r>
      <w:bookmarkEnd w:id="12"/>
      <w:bookmarkEnd w:id="13"/>
      <w:bookmarkEnd w:id="14"/>
    </w:p>
    <w:p w14:paraId="6B4A14B2">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遂宁市安居区司法局下属二级预算单位1个，其中行政单位0个，参照公务员法管理的事业单位</w:t>
      </w:r>
      <w:r>
        <w:rPr>
          <w:rFonts w:hint="eastAsia" w:ascii="仿宋" w:hAnsi="仿宋" w:eastAsia="仿宋" w:cs="仿宋"/>
          <w:bCs/>
          <w:color w:val="000000"/>
          <w:szCs w:val="32"/>
        </w:rPr>
        <w:t>0</w:t>
      </w:r>
      <w:r>
        <w:rPr>
          <w:rFonts w:hint="eastAsia" w:ascii="仿宋" w:hAnsi="仿宋" w:eastAsia="仿宋" w:cs="仿宋"/>
          <w:color w:val="000000"/>
          <w:szCs w:val="32"/>
        </w:rPr>
        <w:t>个，其他事业单位1个。</w:t>
      </w:r>
    </w:p>
    <w:p w14:paraId="227103F0">
      <w:pPr>
        <w:pStyle w:val="16"/>
        <w:keepNext w:val="0"/>
        <w:keepLines w:val="0"/>
        <w:pageBreakBefore w:val="0"/>
        <w:kinsoku/>
        <w:wordWrap/>
        <w:overflowPunct/>
        <w:topLinePunct w:val="0"/>
        <w:autoSpaceDE/>
        <w:autoSpaceDN/>
        <w:bidi w:val="0"/>
        <w:adjustRightInd w:val="0"/>
        <w:snapToGrid w:val="0"/>
        <w:spacing w:line="560" w:lineRule="exact"/>
        <w:ind w:firstLine="480" w:firstLineChars="150"/>
        <w:textAlignment w:val="auto"/>
        <w:rPr>
          <w:rFonts w:ascii="仿宋" w:hAnsi="仿宋" w:eastAsia="仿宋" w:cs="仿宋"/>
          <w:color w:val="000000"/>
          <w:szCs w:val="32"/>
        </w:rPr>
      </w:pPr>
      <w:r>
        <w:rPr>
          <w:rFonts w:hint="eastAsia" w:ascii="仿宋" w:hAnsi="仿宋" w:eastAsia="仿宋" w:cs="仿宋"/>
          <w:color w:val="000000"/>
          <w:szCs w:val="32"/>
        </w:rPr>
        <w:t>无纳入</w:t>
      </w:r>
      <w:r>
        <w:rPr>
          <w:rFonts w:hint="eastAsia" w:ascii="仿宋" w:hAnsi="仿宋" w:eastAsia="仿宋" w:cs="仿宋"/>
          <w:color w:val="000000"/>
          <w:kern w:val="2"/>
          <w:szCs w:val="32"/>
        </w:rPr>
        <w:t>安居</w:t>
      </w:r>
      <w:r>
        <w:rPr>
          <w:rFonts w:hint="eastAsia" w:ascii="仿宋" w:hAnsi="仿宋" w:eastAsia="仿宋" w:cs="仿宋"/>
          <w:color w:val="000000"/>
          <w:szCs w:val="32"/>
        </w:rPr>
        <w:t>区司法局2024年度部门决算编制范围的二级预算单位</w:t>
      </w:r>
      <w:r>
        <w:rPr>
          <w:rFonts w:hint="eastAsia" w:ascii="Times New Roman" w:hAnsi="Times New Roman"/>
          <w:color w:val="000000"/>
          <w:szCs w:val="32"/>
        </w:rPr>
        <w:t>。</w:t>
      </w:r>
    </w:p>
    <w:p w14:paraId="4CAEA343">
      <w:pPr>
        <w:keepNext w:val="0"/>
        <w:keepLines w:val="0"/>
        <w:pageBreakBefore w:val="0"/>
        <w:widowControl/>
        <w:kinsoku/>
        <w:wordWrap/>
        <w:overflowPunct/>
        <w:topLinePunct w:val="0"/>
        <w:autoSpaceDE/>
        <w:autoSpaceDN/>
        <w:bidi w:val="0"/>
        <w:spacing w:line="560" w:lineRule="exact"/>
        <w:textAlignment w:val="auto"/>
        <w:rPr>
          <w:rFonts w:eastAsia="仿宋"/>
          <w:szCs w:val="32"/>
        </w:rPr>
      </w:pPr>
    </w:p>
    <w:p w14:paraId="24BCD7B7">
      <w:pPr>
        <w:widowControl/>
        <w:ind w:firstLine="872"/>
        <w:outlineLvl w:val="0"/>
        <w:rPr>
          <w:rFonts w:eastAsia="方正小标宋简体"/>
          <w:sz w:val="44"/>
          <w:szCs w:val="44"/>
        </w:rPr>
      </w:pPr>
      <w:bookmarkStart w:id="15" w:name="_Toc15377204"/>
      <w:bookmarkStart w:id="16" w:name="_Toc15396602"/>
      <w:bookmarkStart w:id="17" w:name="_Toc8685"/>
    </w:p>
    <w:p w14:paraId="55E16AA7">
      <w:pPr>
        <w:widowControl/>
        <w:ind w:firstLine="872"/>
        <w:outlineLvl w:val="0"/>
        <w:rPr>
          <w:rFonts w:eastAsia="方正小标宋简体"/>
          <w:sz w:val="44"/>
          <w:szCs w:val="44"/>
        </w:rPr>
      </w:pPr>
    </w:p>
    <w:p w14:paraId="46BF5211">
      <w:pPr>
        <w:widowControl/>
        <w:outlineLvl w:val="0"/>
        <w:rPr>
          <w:rFonts w:eastAsia="方正小标宋简体"/>
          <w:sz w:val="44"/>
          <w:szCs w:val="44"/>
        </w:rPr>
      </w:pPr>
    </w:p>
    <w:p w14:paraId="6DC4093B">
      <w:pPr>
        <w:widowControl/>
        <w:ind w:firstLine="872"/>
        <w:outlineLvl w:val="0"/>
        <w:rPr>
          <w:rFonts w:eastAsia="方正小标宋简体"/>
          <w:sz w:val="44"/>
          <w:szCs w:val="44"/>
        </w:rPr>
      </w:pPr>
    </w:p>
    <w:p w14:paraId="14866675">
      <w:pPr>
        <w:widowControl/>
        <w:ind w:firstLine="872"/>
        <w:outlineLvl w:val="0"/>
        <w:rPr>
          <w:rStyle w:val="198"/>
          <w:rFonts w:eastAsia="方正小标宋简体"/>
          <w:b w:val="0"/>
          <w:bCs w:val="0"/>
        </w:rPr>
      </w:pPr>
      <w:r>
        <w:rPr>
          <w:rFonts w:eastAsia="方正小标宋简体"/>
          <w:sz w:val="44"/>
          <w:szCs w:val="44"/>
        </w:rPr>
        <w:t>第二部分 202</w:t>
      </w:r>
      <w:r>
        <w:rPr>
          <w:rFonts w:hint="eastAsia" w:eastAsia="方正小标宋简体"/>
          <w:sz w:val="44"/>
          <w:szCs w:val="44"/>
        </w:rPr>
        <w:t>4</w:t>
      </w:r>
      <w:r>
        <w:rPr>
          <w:rFonts w:eastAsia="方正小标宋简体"/>
          <w:sz w:val="44"/>
          <w:szCs w:val="44"/>
        </w:rPr>
        <w:t>年度</w:t>
      </w:r>
      <w:r>
        <w:rPr>
          <w:rStyle w:val="198"/>
          <w:rFonts w:eastAsia="方正小标宋简体"/>
          <w:b w:val="0"/>
          <w:bCs w:val="0"/>
        </w:rPr>
        <w:t>部门决算情况说明</w:t>
      </w:r>
      <w:bookmarkEnd w:id="15"/>
      <w:bookmarkEnd w:id="16"/>
      <w:bookmarkEnd w:id="17"/>
    </w:p>
    <w:p w14:paraId="65D791D0"/>
    <w:p w14:paraId="29446173">
      <w:pPr>
        <w:pStyle w:val="220"/>
        <w:numPr>
          <w:ilvl w:val="0"/>
          <w:numId w:val="4"/>
        </w:numPr>
        <w:spacing w:line="560" w:lineRule="exact"/>
        <w:outlineLvl w:val="1"/>
        <w:rPr>
          <w:rStyle w:val="199"/>
          <w:rFonts w:ascii="Times New Roman" w:hAnsi="Times New Roman" w:eastAsia="黑体"/>
          <w:b w:val="0"/>
          <w:i w:val="0"/>
        </w:rPr>
      </w:pPr>
      <w:bookmarkStart w:id="18" w:name="_Toc15396603"/>
      <w:bookmarkStart w:id="19" w:name="_Toc15377205"/>
      <w:bookmarkStart w:id="20" w:name="_Toc20001"/>
      <w:r>
        <w:rPr>
          <w:rFonts w:eastAsia="黑体"/>
          <w:szCs w:val="32"/>
        </w:rPr>
        <w:t>收</w:t>
      </w:r>
      <w:r>
        <w:rPr>
          <w:rStyle w:val="199"/>
          <w:rFonts w:ascii="Times New Roman" w:hAnsi="Times New Roman" w:eastAsia="黑体"/>
          <w:b w:val="0"/>
          <w:i w:val="0"/>
        </w:rPr>
        <w:t>入支出决算总体情况说明</w:t>
      </w:r>
      <w:bookmarkEnd w:id="18"/>
      <w:bookmarkEnd w:id="19"/>
      <w:bookmarkEnd w:id="20"/>
    </w:p>
    <w:p w14:paraId="4889FA32">
      <w:pPr>
        <w:spacing w:line="560" w:lineRule="exact"/>
        <w:ind w:firstLine="632"/>
        <w:rPr>
          <w:rFonts w:hint="eastAsia" w:ascii="仿宋" w:hAnsi="仿宋" w:eastAsia="仿宋" w:cs="仿宋"/>
          <w:sz w:val="32"/>
          <w:szCs w:val="32"/>
        </w:rPr>
      </w:pPr>
      <w:r>
        <w:rPr>
          <w:rFonts w:hint="eastAsia" w:ascii="仿宋" w:hAnsi="仿宋" w:eastAsia="仿宋" w:cs="仿宋"/>
          <w:sz w:val="32"/>
          <w:szCs w:val="32"/>
        </w:rPr>
        <w:t>2024年度收、支总计均为1234.61万元。与2023年度相比，收、支总计各增加70.79万元，增长6.08%。主要变动原因是</w:t>
      </w:r>
      <w:bookmarkStart w:id="21" w:name="OLE_LINK15"/>
      <w:bookmarkStart w:id="22" w:name="OLE_LINK16"/>
      <w:r>
        <w:rPr>
          <w:rFonts w:hint="eastAsia" w:ascii="仿宋" w:hAnsi="仿宋" w:eastAsia="仿宋" w:cs="仿宋"/>
          <w:sz w:val="32"/>
          <w:szCs w:val="32"/>
        </w:rPr>
        <w:t>本年度单位公用经费增长69.09万元，项目经费增长49.76万元，其中人才发展专项经费增加0.9万元，人员经费减少48.06万元，主要是单位项目到期，需重新聘用人员。</w:t>
      </w:r>
    </w:p>
    <w:p w14:paraId="2DB1CE07">
      <w:pPr>
        <w:pStyle w:val="30"/>
        <w:rPr>
          <w:rFonts w:hint="eastAsia" w:ascii="仿宋" w:hAnsi="仿宋" w:eastAsia="仿宋" w:cs="仿宋"/>
          <w:sz w:val="32"/>
          <w:szCs w:val="32"/>
        </w:rPr>
      </w:pPr>
    </w:p>
    <w:bookmarkEnd w:id="21"/>
    <w:bookmarkEnd w:id="22"/>
    <w:p w14:paraId="5977B18C">
      <w:pPr>
        <w:pStyle w:val="195"/>
        <w:jc w:val="center"/>
        <w:rPr>
          <w:sz w:val="32"/>
          <w:szCs w:val="32"/>
        </w:rPr>
      </w:pPr>
      <w:r>
        <w:rPr>
          <w:rFonts w:hint="eastAsia"/>
          <w:sz w:val="32"/>
          <w:szCs w:val="32"/>
        </w:rPr>
        <w:drawing>
          <wp:inline distT="0" distB="0" distL="114300" distR="114300">
            <wp:extent cx="4528820" cy="3277870"/>
            <wp:effectExtent l="0" t="0" r="24130" b="177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09A706">
      <w:pPr>
        <w:spacing w:line="560" w:lineRule="exact"/>
        <w:ind w:firstLine="632"/>
        <w:rPr>
          <w:szCs w:val="32"/>
        </w:rPr>
      </w:pPr>
      <w:r>
        <w:rPr>
          <w:szCs w:val="32"/>
        </w:rPr>
        <w:t>（图1：收、支决算总计变动情况图）（柱状图）</w:t>
      </w:r>
    </w:p>
    <w:p w14:paraId="22FEB22F">
      <w:pPr>
        <w:pStyle w:val="196"/>
        <w:ind w:left="0" w:leftChars="0" w:firstLine="0" w:firstLineChars="0"/>
        <w:jc w:val="left"/>
        <w:rPr>
          <w:rFonts w:ascii="Times New Roman"/>
        </w:rPr>
      </w:pPr>
    </w:p>
    <w:p w14:paraId="400809E9">
      <w:pPr>
        <w:pStyle w:val="220"/>
        <w:numPr>
          <w:ilvl w:val="0"/>
          <w:numId w:val="4"/>
        </w:numPr>
        <w:spacing w:line="560" w:lineRule="exact"/>
        <w:outlineLvl w:val="1"/>
        <w:rPr>
          <w:rStyle w:val="199"/>
          <w:rFonts w:ascii="Times New Roman" w:hAnsi="Times New Roman" w:eastAsia="黑体"/>
          <w:b w:val="0"/>
          <w:i w:val="0"/>
        </w:rPr>
      </w:pPr>
      <w:bookmarkStart w:id="23" w:name="_Toc15396604"/>
      <w:bookmarkStart w:id="24" w:name="_Toc15377206"/>
      <w:bookmarkStart w:id="25" w:name="_Toc25864"/>
      <w:r>
        <w:rPr>
          <w:rFonts w:eastAsia="黑体"/>
          <w:szCs w:val="32"/>
        </w:rPr>
        <w:t>收</w:t>
      </w:r>
      <w:r>
        <w:rPr>
          <w:rStyle w:val="199"/>
          <w:rFonts w:ascii="Times New Roman" w:hAnsi="Times New Roman" w:eastAsia="黑体"/>
          <w:b w:val="0"/>
          <w:i w:val="0"/>
        </w:rPr>
        <w:t>入决算情况说明</w:t>
      </w:r>
      <w:bookmarkEnd w:id="23"/>
      <w:bookmarkEnd w:id="24"/>
      <w:bookmarkEnd w:id="25"/>
    </w:p>
    <w:p w14:paraId="68328A39">
      <w:pPr>
        <w:spacing w:line="560" w:lineRule="exact"/>
        <w:ind w:firstLine="632"/>
        <w:outlineLvl w:val="1"/>
        <w:rPr>
          <w:rFonts w:ascii="Times New Roman"/>
        </w:rPr>
      </w:pPr>
      <w:bookmarkStart w:id="26" w:name="_Toc1914"/>
      <w:r>
        <w:rPr>
          <w:rFonts w:hint="eastAsia" w:ascii="仿宋" w:hAnsi="仿宋" w:eastAsia="仿宋" w:cs="仿宋"/>
          <w:szCs w:val="32"/>
        </w:rPr>
        <w:t>2024年度本年收入合计1234.61万元，其中：一般公共预算财政拨款收入1233.71万元，占99.93%</w:t>
      </w:r>
      <w:bookmarkEnd w:id="26"/>
      <w:r>
        <w:rPr>
          <w:rFonts w:hint="eastAsia" w:ascii="仿宋" w:hAnsi="仿宋" w:eastAsia="仿宋" w:cs="仿宋"/>
          <w:szCs w:val="32"/>
        </w:rPr>
        <w:t>；政府性基金预算财政拨款收入0.9万元，占0.07%。</w:t>
      </w:r>
    </w:p>
    <w:p w14:paraId="544DCCD0">
      <w:pPr>
        <w:spacing w:line="560" w:lineRule="exact"/>
        <w:rPr>
          <w:szCs w:val="32"/>
        </w:rPr>
      </w:pPr>
    </w:p>
    <w:p w14:paraId="5D160B0F">
      <w:pPr>
        <w:pStyle w:val="30"/>
        <w:jc w:val="center"/>
      </w:pPr>
      <w:r>
        <w:rPr>
          <w:rFonts w:hint="eastAsia" w:ascii="Times New Roman"/>
        </w:rPr>
        <w:drawing>
          <wp:inline distT="0" distB="0" distL="114300" distR="114300">
            <wp:extent cx="2986405" cy="3154045"/>
            <wp:effectExtent l="0" t="0" r="23495" b="273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BA7EA8">
      <w:pPr>
        <w:spacing w:line="560" w:lineRule="exact"/>
        <w:ind w:firstLine="1580"/>
        <w:rPr>
          <w:szCs w:val="32"/>
        </w:rPr>
      </w:pPr>
      <w:r>
        <w:rPr>
          <w:szCs w:val="32"/>
        </w:rPr>
        <w:t>（图2：收入决算结构图）（饼状图）</w:t>
      </w:r>
    </w:p>
    <w:p w14:paraId="5E3693FD">
      <w:pPr>
        <w:pStyle w:val="220"/>
        <w:numPr>
          <w:ilvl w:val="0"/>
          <w:numId w:val="4"/>
        </w:numPr>
        <w:spacing w:line="560" w:lineRule="exact"/>
        <w:outlineLvl w:val="1"/>
        <w:rPr>
          <w:rStyle w:val="199"/>
          <w:rFonts w:ascii="Times New Roman" w:hAnsi="Times New Roman" w:eastAsia="黑体"/>
          <w:b w:val="0"/>
          <w:i w:val="0"/>
        </w:rPr>
      </w:pPr>
      <w:bookmarkStart w:id="27" w:name="_Toc15396605"/>
      <w:bookmarkStart w:id="28" w:name="_Toc15377207"/>
      <w:bookmarkStart w:id="29" w:name="_Toc32156"/>
      <w:r>
        <w:rPr>
          <w:rFonts w:eastAsia="黑体"/>
          <w:szCs w:val="32"/>
        </w:rPr>
        <w:t>支</w:t>
      </w:r>
      <w:r>
        <w:rPr>
          <w:rStyle w:val="199"/>
          <w:rFonts w:ascii="Times New Roman" w:hAnsi="Times New Roman" w:eastAsia="黑体"/>
          <w:b w:val="0"/>
          <w:i w:val="0"/>
        </w:rPr>
        <w:t>出决算情况说明</w:t>
      </w:r>
      <w:bookmarkEnd w:id="27"/>
      <w:bookmarkEnd w:id="28"/>
      <w:bookmarkEnd w:id="29"/>
    </w:p>
    <w:p w14:paraId="4C03FAE5">
      <w:pPr>
        <w:spacing w:line="560" w:lineRule="exact"/>
        <w:ind w:firstLine="632"/>
        <w:outlineLvl w:val="1"/>
        <w:rPr>
          <w:rFonts w:hint="eastAsia" w:ascii="仿宋" w:hAnsi="仿宋" w:eastAsia="仿宋" w:cs="仿宋"/>
          <w:szCs w:val="32"/>
          <w:shd w:val="pct10" w:color="auto" w:fill="FFFFFF"/>
        </w:rPr>
      </w:pPr>
      <w:bookmarkStart w:id="30" w:name="_Toc2558"/>
      <w:r>
        <w:rPr>
          <w:rFonts w:hint="eastAsia" w:ascii="仿宋" w:hAnsi="仿宋" w:eastAsia="仿宋" w:cs="仿宋"/>
          <w:szCs w:val="32"/>
        </w:rPr>
        <w:t>2024年度本年支出合计1234.61万元，其中：基本支出908.88万元，占73.62%；项目支出324.83万元，占26.38%。</w:t>
      </w:r>
      <w:bookmarkEnd w:id="30"/>
    </w:p>
    <w:p w14:paraId="70617A39">
      <w:pPr>
        <w:pStyle w:val="195"/>
        <w:jc w:val="center"/>
        <w:rPr>
          <w:rFonts w:ascii="Times New Roman"/>
        </w:rPr>
      </w:pPr>
      <w:r>
        <w:rPr>
          <w:rFonts w:hint="eastAsia" w:ascii="Times New Roman"/>
        </w:rPr>
        <w:drawing>
          <wp:inline distT="0" distB="0" distL="114300" distR="114300">
            <wp:extent cx="2837815" cy="2717165"/>
            <wp:effectExtent l="0" t="0" r="19685" b="2603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0B1090">
      <w:pPr>
        <w:spacing w:line="560" w:lineRule="exact"/>
        <w:ind w:firstLine="1580"/>
        <w:rPr>
          <w:rFonts w:eastAsia="黑体"/>
          <w:szCs w:val="32"/>
        </w:rPr>
      </w:pPr>
      <w:bookmarkStart w:id="31" w:name="_Toc15377208"/>
      <w:bookmarkStart w:id="32" w:name="_Toc15396606"/>
      <w:r>
        <w:rPr>
          <w:szCs w:val="32"/>
        </w:rPr>
        <w:t>（图3：支出决算结构图）（饼状图）</w:t>
      </w:r>
    </w:p>
    <w:p w14:paraId="75258AEA">
      <w:pPr>
        <w:spacing w:line="560" w:lineRule="exact"/>
        <w:ind w:firstLine="632"/>
        <w:outlineLvl w:val="1"/>
        <w:rPr>
          <w:rStyle w:val="199"/>
          <w:rFonts w:ascii="Times New Roman" w:hAnsi="Times New Roman" w:eastAsia="黑体"/>
          <w:b w:val="0"/>
          <w:i w:val="0"/>
        </w:rPr>
      </w:pPr>
      <w:bookmarkStart w:id="33" w:name="_Toc17137"/>
      <w:r>
        <w:rPr>
          <w:rFonts w:eastAsia="黑体"/>
          <w:szCs w:val="32"/>
        </w:rPr>
        <w:t>四、财</w:t>
      </w:r>
      <w:r>
        <w:rPr>
          <w:rStyle w:val="199"/>
          <w:rFonts w:ascii="Times New Roman" w:hAnsi="Times New Roman" w:eastAsia="黑体"/>
          <w:b w:val="0"/>
          <w:i w:val="0"/>
        </w:rPr>
        <w:t>政拨款收入支出决算总体情况说明</w:t>
      </w:r>
      <w:bookmarkEnd w:id="31"/>
      <w:bookmarkEnd w:id="32"/>
      <w:bookmarkEnd w:id="33"/>
    </w:p>
    <w:p w14:paraId="3BB9CA19">
      <w:pPr>
        <w:spacing w:line="560" w:lineRule="exact"/>
        <w:ind w:firstLine="632"/>
        <w:rPr>
          <w:rFonts w:hint="eastAsia" w:ascii="仿宋" w:hAnsi="仿宋" w:eastAsia="仿宋" w:cs="仿宋"/>
          <w:szCs w:val="32"/>
        </w:rPr>
      </w:pPr>
      <w:r>
        <w:rPr>
          <w:rFonts w:hint="eastAsia" w:ascii="仿宋" w:hAnsi="仿宋" w:eastAsia="仿宋" w:cs="仿宋"/>
          <w:szCs w:val="32"/>
        </w:rPr>
        <w:t>2024年度财政拨款收、支总计均为1234.61万元。与2023年度相比，财政拨款收、支总计各增加70.79万元，增长6.08%。</w:t>
      </w:r>
      <w:bookmarkStart w:id="34" w:name="OLE_LINK8"/>
      <w:bookmarkStart w:id="35" w:name="OLE_LINK9"/>
      <w:r>
        <w:rPr>
          <w:rFonts w:hint="eastAsia" w:ascii="仿宋" w:hAnsi="仿宋" w:eastAsia="仿宋" w:cs="仿宋"/>
          <w:szCs w:val="32"/>
        </w:rPr>
        <w:t>主要变动原因</w:t>
      </w:r>
      <w:bookmarkEnd w:id="34"/>
      <w:bookmarkEnd w:id="35"/>
      <w:r>
        <w:rPr>
          <w:rFonts w:hint="eastAsia" w:ascii="仿宋" w:hAnsi="仿宋" w:eastAsia="仿宋" w:cs="仿宋"/>
          <w:szCs w:val="32"/>
        </w:rPr>
        <w:t>是本年度单位公用经费增长69.09万元，项目经费增长49.76万元，其中人才发展专项经费增加0.9万元，人员经费减少48.06万元，主要是单位项目到期，需重新聘用人员。</w:t>
      </w:r>
    </w:p>
    <w:p w14:paraId="7EF65757">
      <w:pPr>
        <w:pStyle w:val="196"/>
        <w:ind w:left="632" w:firstLine="632"/>
        <w:rPr>
          <w:rFonts w:ascii="Times New Roman" w:eastAsia="仿宋"/>
        </w:rPr>
      </w:pPr>
      <w:r>
        <w:rPr>
          <w:rFonts w:hint="eastAsia"/>
        </w:rPr>
        <w:drawing>
          <wp:inline distT="0" distB="0" distL="114300" distR="114300">
            <wp:extent cx="4495800" cy="3533775"/>
            <wp:effectExtent l="4445" t="4445" r="1460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7C2967">
      <w:pPr>
        <w:pStyle w:val="196"/>
        <w:ind w:firstLine="0"/>
        <w:rPr>
          <w:rFonts w:ascii="Times New Roman" w:eastAsia="仿宋"/>
        </w:rPr>
      </w:pPr>
    </w:p>
    <w:p w14:paraId="24D1BA29">
      <w:pPr>
        <w:spacing w:line="560" w:lineRule="exact"/>
        <w:ind w:firstLine="632"/>
        <w:rPr>
          <w:rFonts w:eastAsia="黑体"/>
          <w:szCs w:val="32"/>
        </w:rPr>
      </w:pPr>
      <w:bookmarkStart w:id="36" w:name="_Toc15396607"/>
      <w:bookmarkStart w:id="37" w:name="_Toc15377209"/>
      <w:r>
        <w:rPr>
          <w:szCs w:val="32"/>
        </w:rPr>
        <w:t>（图4：财政拨款收、支决算总计变动情况）（柱状图）</w:t>
      </w:r>
    </w:p>
    <w:p w14:paraId="26605367">
      <w:pPr>
        <w:spacing w:line="560" w:lineRule="exact"/>
        <w:ind w:firstLine="632"/>
        <w:outlineLvl w:val="1"/>
        <w:rPr>
          <w:rStyle w:val="199"/>
          <w:rFonts w:ascii="Times New Roman" w:hAnsi="Times New Roman" w:eastAsia="黑体"/>
          <w:b w:val="0"/>
          <w:i w:val="0"/>
        </w:rPr>
      </w:pPr>
      <w:bookmarkStart w:id="38" w:name="_Toc16000"/>
      <w:r>
        <w:rPr>
          <w:rFonts w:eastAsia="黑体"/>
          <w:szCs w:val="32"/>
        </w:rPr>
        <w:t>五、一</w:t>
      </w:r>
      <w:r>
        <w:rPr>
          <w:rStyle w:val="199"/>
          <w:rFonts w:ascii="Times New Roman" w:hAnsi="Times New Roman" w:eastAsia="黑体"/>
          <w:b w:val="0"/>
          <w:i w:val="0"/>
        </w:rPr>
        <w:t>般公共预算财政拨款支出决算情况说明</w:t>
      </w:r>
      <w:bookmarkEnd w:id="36"/>
      <w:bookmarkEnd w:id="37"/>
      <w:bookmarkEnd w:id="38"/>
    </w:p>
    <w:p w14:paraId="32637999">
      <w:pPr>
        <w:spacing w:line="560" w:lineRule="exact"/>
        <w:ind w:firstLine="632"/>
        <w:jc w:val="left"/>
        <w:outlineLvl w:val="2"/>
        <w:rPr>
          <w:rFonts w:eastAsia="楷体_GB2312"/>
          <w:b/>
          <w:bCs/>
          <w:szCs w:val="32"/>
        </w:rPr>
      </w:pPr>
      <w:bookmarkStart w:id="39" w:name="_Toc22159"/>
      <w:bookmarkStart w:id="40" w:name="_Toc15377210"/>
      <w:r>
        <w:rPr>
          <w:rFonts w:eastAsia="楷体_GB2312"/>
          <w:b/>
          <w:bCs/>
          <w:szCs w:val="32"/>
        </w:rPr>
        <w:t>（一）一般公共预算财政拨款支出决算总体情况</w:t>
      </w:r>
      <w:bookmarkEnd w:id="39"/>
      <w:bookmarkEnd w:id="40"/>
    </w:p>
    <w:p w14:paraId="4EB4D40A">
      <w:pPr>
        <w:spacing w:line="560" w:lineRule="exact"/>
        <w:ind w:firstLine="632"/>
        <w:rPr>
          <w:rFonts w:hint="eastAsia" w:ascii="仿宋" w:hAnsi="仿宋" w:eastAsia="仿宋" w:cs="仿宋"/>
          <w:szCs w:val="32"/>
        </w:rPr>
      </w:pPr>
      <w:r>
        <w:rPr>
          <w:rFonts w:hint="eastAsia" w:ascii="仿宋" w:hAnsi="仿宋" w:eastAsia="仿宋" w:cs="仿宋"/>
          <w:szCs w:val="32"/>
        </w:rPr>
        <w:t>2024年度一般公共预算财政拨款支出1233.71万元，占本年支出合计的99.93%。与2023年度相比，一般公共预算财政拨款支出增加69.89万元，增长6%。主要变动原因是</w:t>
      </w:r>
      <w:bookmarkStart w:id="41" w:name="OLE_LINK2"/>
      <w:bookmarkStart w:id="42" w:name="OLE_LINK1"/>
      <w:r>
        <w:rPr>
          <w:rFonts w:hint="eastAsia" w:ascii="仿宋" w:hAnsi="仿宋" w:eastAsia="仿宋" w:cs="仿宋"/>
          <w:szCs w:val="32"/>
        </w:rPr>
        <w:t>本年度单位公用经费增长69.09万元，项目经费增长48.86万元，人员经费减少48.06万元，主要是单位项目到期，需重新聘用人员。</w:t>
      </w:r>
      <w:bookmarkEnd w:id="41"/>
      <w:bookmarkEnd w:id="42"/>
    </w:p>
    <w:p w14:paraId="4ED37D49">
      <w:pPr>
        <w:pStyle w:val="196"/>
        <w:ind w:left="632" w:firstLine="632"/>
        <w:rPr>
          <w:rFonts w:ascii="Times New Roman"/>
        </w:rPr>
      </w:pPr>
      <w:r>
        <w:rPr>
          <w:rFonts w:hint="eastAsia" w:ascii="仿宋" w:hAnsi="仿宋" w:eastAsia="仿宋"/>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385445</wp:posOffset>
            </wp:positionH>
            <wp:positionV relativeFrom="paragraph">
              <wp:posOffset>180340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26D2127">
      <w:pPr>
        <w:pStyle w:val="196"/>
        <w:ind w:left="632" w:firstLine="632"/>
        <w:rPr>
          <w:rFonts w:ascii="Times New Roman"/>
        </w:rPr>
      </w:pPr>
    </w:p>
    <w:p w14:paraId="0792F6A6">
      <w:pPr>
        <w:pStyle w:val="196"/>
        <w:ind w:left="632" w:firstLine="632"/>
        <w:rPr>
          <w:rFonts w:ascii="Times New Roman"/>
        </w:rPr>
      </w:pPr>
    </w:p>
    <w:p w14:paraId="698CBD16">
      <w:pPr>
        <w:pStyle w:val="196"/>
        <w:ind w:left="632" w:firstLine="632"/>
        <w:rPr>
          <w:rFonts w:ascii="Times New Roman"/>
        </w:rPr>
      </w:pPr>
    </w:p>
    <w:p w14:paraId="2680BF6E">
      <w:pPr>
        <w:pStyle w:val="196"/>
        <w:ind w:left="632" w:firstLine="632"/>
        <w:rPr>
          <w:rFonts w:ascii="Times New Roman"/>
        </w:rPr>
      </w:pPr>
    </w:p>
    <w:p w14:paraId="5583A9E7">
      <w:pPr>
        <w:pStyle w:val="196"/>
        <w:ind w:left="632" w:firstLine="632"/>
        <w:rPr>
          <w:rFonts w:ascii="Times New Roman"/>
        </w:rPr>
      </w:pPr>
    </w:p>
    <w:p w14:paraId="2DB5C2A2">
      <w:pPr>
        <w:pStyle w:val="196"/>
        <w:ind w:left="632" w:firstLine="632"/>
        <w:rPr>
          <w:rFonts w:ascii="Times New Roman"/>
        </w:rPr>
      </w:pPr>
    </w:p>
    <w:p w14:paraId="678A68E9">
      <w:pPr>
        <w:pStyle w:val="196"/>
        <w:ind w:left="632" w:firstLine="632"/>
        <w:rPr>
          <w:rFonts w:ascii="Times New Roman"/>
        </w:rPr>
      </w:pPr>
    </w:p>
    <w:p w14:paraId="39231EF7">
      <w:pPr>
        <w:pStyle w:val="196"/>
        <w:ind w:left="632" w:firstLine="632"/>
        <w:rPr>
          <w:rFonts w:ascii="Times New Roman"/>
        </w:rPr>
      </w:pPr>
    </w:p>
    <w:p w14:paraId="12901B08">
      <w:pPr>
        <w:pStyle w:val="196"/>
        <w:ind w:left="632" w:firstLine="632"/>
        <w:rPr>
          <w:rFonts w:ascii="Times New Roman"/>
        </w:rPr>
      </w:pPr>
    </w:p>
    <w:p w14:paraId="6A77C2D3">
      <w:pPr>
        <w:pStyle w:val="196"/>
        <w:ind w:left="632" w:firstLine="632"/>
        <w:rPr>
          <w:rFonts w:ascii="Times New Roman"/>
        </w:rPr>
      </w:pPr>
    </w:p>
    <w:p w14:paraId="39D298B1">
      <w:pPr>
        <w:pStyle w:val="196"/>
        <w:ind w:left="632" w:firstLine="632"/>
        <w:rPr>
          <w:rFonts w:ascii="Times New Roman"/>
        </w:rPr>
      </w:pPr>
    </w:p>
    <w:p w14:paraId="2D392A63">
      <w:pPr>
        <w:pStyle w:val="196"/>
        <w:ind w:left="632" w:firstLine="632"/>
        <w:rPr>
          <w:rFonts w:ascii="Times New Roman"/>
        </w:rPr>
      </w:pPr>
    </w:p>
    <w:p w14:paraId="76055A2C">
      <w:pPr>
        <w:pStyle w:val="196"/>
        <w:ind w:left="632" w:firstLine="632"/>
        <w:rPr>
          <w:rFonts w:ascii="Times New Roman"/>
        </w:rPr>
      </w:pPr>
    </w:p>
    <w:p w14:paraId="5829C967">
      <w:pPr>
        <w:spacing w:line="560" w:lineRule="exact"/>
        <w:ind w:firstLine="632"/>
        <w:rPr>
          <w:rFonts w:eastAsia="楷体_GB2312"/>
          <w:szCs w:val="32"/>
        </w:rPr>
      </w:pPr>
      <w:bookmarkStart w:id="43" w:name="_Toc15377211"/>
      <w:r>
        <w:rPr>
          <w:szCs w:val="32"/>
        </w:rPr>
        <w:t>（图5：一般公共预算财政拨款支出决算变动情况）（柱状图）</w:t>
      </w:r>
    </w:p>
    <w:p w14:paraId="2C7E0984">
      <w:pPr>
        <w:spacing w:line="560" w:lineRule="exact"/>
        <w:ind w:firstLine="632"/>
        <w:jc w:val="left"/>
        <w:outlineLvl w:val="2"/>
        <w:rPr>
          <w:rFonts w:eastAsia="楷体_GB2312"/>
          <w:b/>
          <w:bCs/>
          <w:szCs w:val="32"/>
        </w:rPr>
      </w:pPr>
      <w:bookmarkStart w:id="44" w:name="_Toc13407"/>
      <w:r>
        <w:rPr>
          <w:rFonts w:eastAsia="楷体_GB2312"/>
          <w:b/>
          <w:bCs/>
          <w:szCs w:val="32"/>
        </w:rPr>
        <w:t>（二）一般公共预算财政拨款支出决算结构情况</w:t>
      </w:r>
      <w:bookmarkEnd w:id="43"/>
      <w:bookmarkEnd w:id="44"/>
    </w:p>
    <w:p w14:paraId="4E2CA2BE">
      <w:pPr>
        <w:spacing w:line="560" w:lineRule="exact"/>
        <w:ind w:firstLine="632"/>
        <w:rPr>
          <w:rFonts w:ascii="仿宋" w:hAnsi="仿宋" w:eastAsia="仿宋" w:cs="仿宋"/>
          <w:color w:val="000000"/>
          <w:szCs w:val="32"/>
        </w:rPr>
      </w:pPr>
      <w:r>
        <w:rPr>
          <w:rFonts w:hint="eastAsia" w:ascii="仿宋" w:hAnsi="仿宋" w:eastAsia="仿宋" w:cs="仿宋"/>
          <w:szCs w:val="32"/>
        </w:rPr>
        <w:t>2024年度一般公共预算财政拨款支出1233.71万元，</w:t>
      </w:r>
      <w:r>
        <w:rPr>
          <w:rFonts w:hint="eastAsia" w:ascii="仿宋" w:hAnsi="仿宋" w:eastAsia="仿宋" w:cs="仿宋"/>
          <w:color w:val="000000"/>
          <w:szCs w:val="32"/>
        </w:rPr>
        <w:t>主要用于以下方面：</w:t>
      </w:r>
      <w:bookmarkStart w:id="45" w:name="OLE_LINK5"/>
      <w:bookmarkStart w:id="46" w:name="OLE_LINK6"/>
      <w:r>
        <w:rPr>
          <w:rFonts w:hint="eastAsia" w:ascii="仿宋" w:hAnsi="仿宋" w:eastAsia="仿宋" w:cs="仿宋"/>
          <w:color w:val="000000"/>
          <w:szCs w:val="32"/>
        </w:rPr>
        <w:t>一般公共服务支出</w:t>
      </w:r>
      <w:bookmarkEnd w:id="45"/>
      <w:bookmarkEnd w:id="46"/>
      <w:r>
        <w:rPr>
          <w:rFonts w:hint="eastAsia" w:ascii="仿宋" w:hAnsi="仿宋" w:eastAsia="仿宋" w:cs="仿宋"/>
          <w:color w:val="000000"/>
          <w:szCs w:val="32"/>
        </w:rPr>
        <w:t>97.77万元，占7.92%；</w:t>
      </w:r>
      <w:bookmarkStart w:id="47" w:name="OLE_LINK10"/>
      <w:bookmarkStart w:id="48" w:name="OLE_LINK7"/>
      <w:r>
        <w:rPr>
          <w:rFonts w:hint="eastAsia" w:ascii="仿宋" w:hAnsi="仿宋" w:eastAsia="仿宋" w:cs="仿宋"/>
          <w:color w:val="000000"/>
          <w:szCs w:val="32"/>
        </w:rPr>
        <w:t>公共安全支出943.57万元，占比76.48%；社会保障和就业支出</w:t>
      </w:r>
      <w:bookmarkEnd w:id="47"/>
      <w:bookmarkEnd w:id="48"/>
      <w:r>
        <w:rPr>
          <w:rFonts w:hint="eastAsia" w:ascii="仿宋" w:hAnsi="仿宋" w:eastAsia="仿宋" w:cs="仿宋"/>
          <w:color w:val="000000"/>
          <w:szCs w:val="32"/>
        </w:rPr>
        <w:t>98.13万元，占7.95%；</w:t>
      </w:r>
      <w:bookmarkStart w:id="49" w:name="OLE_LINK11"/>
      <w:bookmarkStart w:id="50" w:name="OLE_LINK12"/>
      <w:r>
        <w:rPr>
          <w:rFonts w:hint="eastAsia" w:ascii="仿宋" w:hAnsi="仿宋" w:eastAsia="仿宋" w:cs="仿宋"/>
          <w:color w:val="000000"/>
          <w:szCs w:val="32"/>
        </w:rPr>
        <w:t>卫生健康支出</w:t>
      </w:r>
      <w:bookmarkEnd w:id="49"/>
      <w:bookmarkEnd w:id="50"/>
      <w:r>
        <w:rPr>
          <w:rFonts w:hint="eastAsia" w:ascii="仿宋" w:hAnsi="仿宋" w:eastAsia="仿宋" w:cs="仿宋"/>
          <w:color w:val="000000"/>
          <w:szCs w:val="32"/>
        </w:rPr>
        <w:t>33.53万元，占2.72%；</w:t>
      </w:r>
      <w:bookmarkStart w:id="51" w:name="OLE_LINK13"/>
      <w:bookmarkStart w:id="52" w:name="OLE_LINK14"/>
      <w:r>
        <w:rPr>
          <w:rFonts w:hint="eastAsia" w:ascii="仿宋" w:hAnsi="仿宋" w:eastAsia="仿宋" w:cs="仿宋"/>
          <w:color w:val="000000"/>
          <w:szCs w:val="32"/>
        </w:rPr>
        <w:t>住房保障支出</w:t>
      </w:r>
      <w:bookmarkEnd w:id="51"/>
      <w:bookmarkEnd w:id="52"/>
      <w:r>
        <w:rPr>
          <w:rFonts w:hint="eastAsia" w:ascii="仿宋" w:hAnsi="仿宋" w:eastAsia="仿宋" w:cs="仿宋"/>
          <w:color w:val="000000"/>
          <w:szCs w:val="32"/>
        </w:rPr>
        <w:t>60.71万元，占4.93%。</w:t>
      </w:r>
    </w:p>
    <w:p w14:paraId="198C9868">
      <w:pPr>
        <w:pStyle w:val="196"/>
        <w:ind w:firstLine="0"/>
        <w:rPr>
          <w:rFonts w:ascii="Times New Roman"/>
        </w:rPr>
      </w:pPr>
    </w:p>
    <w:p w14:paraId="06CFED55">
      <w:pPr>
        <w:pStyle w:val="196"/>
        <w:ind w:firstLine="0"/>
        <w:rPr>
          <w:rFonts w:ascii="仿宋" w:hAnsi="仿宋" w:eastAsia="仿宋"/>
          <w:color w:val="000000"/>
        </w:rPr>
      </w:pPr>
    </w:p>
    <w:p w14:paraId="6851AF32">
      <w:pPr>
        <w:pStyle w:val="196"/>
        <w:ind w:left="632" w:firstLine="632"/>
        <w:rPr>
          <w:rFonts w:ascii="仿宋" w:hAnsi="仿宋" w:eastAsia="仿宋"/>
          <w:color w:val="000000"/>
        </w:rPr>
      </w:pPr>
      <w:r>
        <w:rPr>
          <w:rFonts w:hint="eastAsia" w:ascii="仿宋" w:hAnsi="仿宋" w:eastAsia="仿宋"/>
          <w:color w:val="000000"/>
        </w:rPr>
        <w:drawing>
          <wp:inline distT="0" distB="0" distL="0" distR="0">
            <wp:extent cx="4623435" cy="3114040"/>
            <wp:effectExtent l="0" t="0" r="24765"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CE9DBA">
      <w:pPr>
        <w:spacing w:line="560" w:lineRule="exact"/>
        <w:ind w:firstLine="632"/>
        <w:rPr>
          <w:rFonts w:eastAsia="楷体_GB2312"/>
          <w:szCs w:val="32"/>
        </w:rPr>
      </w:pPr>
      <w:bookmarkStart w:id="53" w:name="_Toc15377212"/>
      <w:r>
        <w:rPr>
          <w:szCs w:val="32"/>
        </w:rPr>
        <w:t>（图6：</w:t>
      </w:r>
      <w:bookmarkStart w:id="54" w:name="OLE_LINK3"/>
      <w:bookmarkStart w:id="55" w:name="OLE_LINK4"/>
      <w:r>
        <w:rPr>
          <w:szCs w:val="32"/>
        </w:rPr>
        <w:t>一般公共预算财政拨款支出决算结构</w:t>
      </w:r>
      <w:bookmarkEnd w:id="54"/>
      <w:bookmarkEnd w:id="55"/>
      <w:r>
        <w:rPr>
          <w:szCs w:val="32"/>
        </w:rPr>
        <w:t>）（饼状图）</w:t>
      </w:r>
    </w:p>
    <w:p w14:paraId="22F1A1F6">
      <w:pPr>
        <w:spacing w:line="560" w:lineRule="exact"/>
        <w:ind w:firstLine="632"/>
        <w:jc w:val="left"/>
        <w:outlineLvl w:val="2"/>
        <w:rPr>
          <w:rFonts w:eastAsia="楷体_GB2312"/>
          <w:b/>
          <w:bCs/>
          <w:szCs w:val="32"/>
        </w:rPr>
      </w:pPr>
      <w:bookmarkStart w:id="56" w:name="_Toc5736"/>
      <w:r>
        <w:rPr>
          <w:rFonts w:eastAsia="楷体_GB2312"/>
          <w:b/>
          <w:bCs/>
          <w:szCs w:val="32"/>
        </w:rPr>
        <w:t>（三）一般公共预算财政拨款支出决算具体情况</w:t>
      </w:r>
      <w:bookmarkEnd w:id="53"/>
      <w:bookmarkEnd w:id="56"/>
    </w:p>
    <w:p w14:paraId="4D646E02">
      <w:pPr>
        <w:spacing w:line="560" w:lineRule="exact"/>
        <w:ind w:firstLine="632"/>
        <w:outlineLvl w:val="2"/>
        <w:rPr>
          <w:rFonts w:hint="eastAsia" w:ascii="仿宋" w:hAnsi="仿宋" w:eastAsia="仿宋" w:cs="仿宋"/>
          <w:szCs w:val="32"/>
        </w:rPr>
      </w:pPr>
      <w:bookmarkStart w:id="57" w:name="_Toc15377213"/>
      <w:bookmarkStart w:id="58" w:name="_Toc15377444"/>
      <w:bookmarkStart w:id="59" w:name="_Toc15378460"/>
      <w:bookmarkStart w:id="60" w:name="_Toc30095"/>
      <w:r>
        <w:rPr>
          <w:rFonts w:hint="eastAsia" w:ascii="仿宋" w:hAnsi="仿宋" w:eastAsia="仿宋" w:cs="仿宋"/>
          <w:szCs w:val="32"/>
        </w:rPr>
        <w:t>2024年度一般公共预算支出决算数为1233.71</w:t>
      </w:r>
      <w:r>
        <w:rPr>
          <w:rStyle w:val="216"/>
          <w:rFonts w:hint="eastAsia" w:ascii="仿宋" w:hAnsi="仿宋" w:eastAsia="仿宋" w:cs="仿宋"/>
          <w:sz w:val="32"/>
          <w:szCs w:val="32"/>
        </w:rPr>
        <w:t>万元</w:t>
      </w:r>
      <w:r>
        <w:rPr>
          <w:rFonts w:hint="eastAsia" w:ascii="仿宋" w:hAnsi="仿宋" w:eastAsia="仿宋" w:cs="仿宋"/>
          <w:szCs w:val="32"/>
        </w:rPr>
        <w:t>，</w:t>
      </w:r>
      <w:r>
        <w:rPr>
          <w:rStyle w:val="213"/>
          <w:rFonts w:hint="eastAsia" w:ascii="仿宋" w:hAnsi="仿宋" w:eastAsia="仿宋" w:cs="仿宋"/>
          <w:b w:val="0"/>
          <w:bCs w:val="0"/>
          <w:szCs w:val="32"/>
        </w:rPr>
        <w:t>完成预算100%。其中：</w:t>
      </w:r>
      <w:bookmarkEnd w:id="57"/>
      <w:bookmarkEnd w:id="58"/>
      <w:bookmarkEnd w:id="59"/>
      <w:bookmarkEnd w:id="60"/>
    </w:p>
    <w:p w14:paraId="4EE8DB18">
      <w:pPr>
        <w:pStyle w:val="18"/>
        <w:spacing w:line="360" w:lineRule="auto"/>
        <w:ind w:left="0" w:leftChars="0" w:firstLine="640"/>
        <w:rPr>
          <w:rFonts w:hint="eastAsia" w:ascii="仿宋" w:hAnsi="仿宋" w:eastAsia="仿宋" w:cs="仿宋"/>
          <w:color w:val="000000"/>
        </w:rPr>
      </w:pPr>
      <w:r>
        <w:rPr>
          <w:rFonts w:hint="eastAsia" w:ascii="仿宋" w:hAnsi="仿宋" w:eastAsia="仿宋" w:cs="仿宋"/>
          <w:color w:val="000000"/>
          <w:kern w:val="2"/>
        </w:rPr>
        <w:t>1.</w:t>
      </w:r>
      <w:r>
        <w:rPr>
          <w:rStyle w:val="39"/>
          <w:rFonts w:hint="eastAsia" w:ascii="仿宋" w:hAnsi="仿宋" w:eastAsia="仿宋" w:cs="仿宋"/>
          <w:b w:val="0"/>
          <w:color w:val="000000"/>
        </w:rPr>
        <w:t>一般公共服务201（类）99（款）99（项）：支出决算为</w:t>
      </w:r>
      <w:r>
        <w:rPr>
          <w:rFonts w:hint="eastAsia" w:ascii="仿宋" w:hAnsi="仿宋" w:eastAsia="仿宋" w:cs="仿宋"/>
          <w:color w:val="000000"/>
        </w:rPr>
        <w:t>97.99</w:t>
      </w:r>
      <w:r>
        <w:rPr>
          <w:rStyle w:val="39"/>
          <w:rFonts w:hint="eastAsia" w:ascii="仿宋" w:hAnsi="仿宋" w:eastAsia="仿宋" w:cs="仿宋"/>
          <w:b w:val="0"/>
          <w:color w:val="000000"/>
        </w:rPr>
        <w:t>万元，完成预算100%，决算数与预算数持平。</w:t>
      </w:r>
    </w:p>
    <w:p w14:paraId="705C0DB8">
      <w:pPr>
        <w:spacing w:line="360" w:lineRule="auto"/>
        <w:ind w:firstLine="632"/>
        <w:rPr>
          <w:rStyle w:val="39"/>
          <w:rFonts w:hint="eastAsia" w:ascii="仿宋" w:hAnsi="仿宋" w:eastAsia="仿宋" w:cs="仿宋"/>
          <w:b w:val="0"/>
          <w:color w:val="000000"/>
          <w:szCs w:val="32"/>
        </w:rPr>
      </w:pPr>
      <w:bookmarkStart w:id="61" w:name="_Toc15377214"/>
      <w:bookmarkStart w:id="62" w:name="_Toc8519"/>
      <w:bookmarkStart w:id="63" w:name="_Toc15396608"/>
      <w:r>
        <w:rPr>
          <w:rFonts w:hint="eastAsia" w:ascii="仿宋" w:hAnsi="仿宋" w:eastAsia="仿宋" w:cs="仿宋"/>
          <w:bCs/>
          <w:color w:val="000000"/>
          <w:szCs w:val="32"/>
        </w:rPr>
        <w:t>2. 公共安全支出（204）司法（06）行政运行（01）:支出决算为695.61万元，完成预算100%，决算数与预算数持平。</w:t>
      </w:r>
    </w:p>
    <w:p w14:paraId="1A21F6C2">
      <w:pPr>
        <w:spacing w:line="360" w:lineRule="auto"/>
        <w:ind w:firstLine="632"/>
        <w:rPr>
          <w:rFonts w:hint="eastAsia" w:ascii="仿宋" w:hAnsi="仿宋" w:eastAsia="仿宋" w:cs="仿宋"/>
          <w:bCs/>
          <w:color w:val="000000"/>
          <w:szCs w:val="32"/>
        </w:rPr>
      </w:pPr>
      <w:r>
        <w:rPr>
          <w:rFonts w:hint="eastAsia" w:ascii="仿宋" w:hAnsi="仿宋" w:eastAsia="仿宋" w:cs="仿宋"/>
          <w:bCs/>
          <w:color w:val="000000"/>
          <w:szCs w:val="32"/>
        </w:rPr>
        <w:t>3.公共安全支出（204）司法（06）公共法律服务（07）:支出决算为15.48万元，完成预算100%，决算数与预算数持平。</w:t>
      </w:r>
    </w:p>
    <w:p w14:paraId="282D52DB">
      <w:pPr>
        <w:spacing w:line="360" w:lineRule="auto"/>
        <w:ind w:firstLine="632"/>
        <w:rPr>
          <w:rFonts w:hint="eastAsia" w:ascii="仿宋" w:hAnsi="仿宋" w:eastAsia="仿宋" w:cs="仿宋"/>
          <w:bCs/>
          <w:color w:val="000000"/>
          <w:szCs w:val="32"/>
        </w:rPr>
      </w:pPr>
      <w:r>
        <w:rPr>
          <w:rFonts w:hint="eastAsia" w:ascii="仿宋" w:hAnsi="仿宋" w:eastAsia="仿宋" w:cs="仿宋"/>
          <w:bCs/>
          <w:color w:val="000000"/>
          <w:szCs w:val="32"/>
        </w:rPr>
        <w:t>4.公共安全支出（204）司法（06）信息化建设（13）:支出决算为5.4万元，完成预算100%，决算数与预算数持平。</w:t>
      </w:r>
    </w:p>
    <w:p w14:paraId="3CD3EC11">
      <w:pPr>
        <w:spacing w:line="360" w:lineRule="auto"/>
        <w:ind w:firstLine="632"/>
        <w:rPr>
          <w:rFonts w:hint="eastAsia" w:ascii="仿宋" w:hAnsi="仿宋" w:eastAsia="仿宋" w:cs="仿宋"/>
          <w:bCs/>
          <w:color w:val="000000"/>
          <w:szCs w:val="32"/>
        </w:rPr>
      </w:pPr>
      <w:r>
        <w:rPr>
          <w:rFonts w:hint="eastAsia" w:ascii="仿宋" w:hAnsi="仿宋" w:eastAsia="仿宋" w:cs="仿宋"/>
          <w:bCs/>
          <w:color w:val="000000"/>
          <w:szCs w:val="32"/>
        </w:rPr>
        <w:t>5.公共安全支出（204）司法（06）事业运行（50）:支出决算为20.9万元，完成预算100%，决算数与预算数持平。</w:t>
      </w:r>
    </w:p>
    <w:p w14:paraId="2147A24B">
      <w:pPr>
        <w:spacing w:line="360" w:lineRule="auto"/>
        <w:ind w:firstLine="632"/>
        <w:rPr>
          <w:rFonts w:hint="eastAsia" w:ascii="仿宋" w:hAnsi="仿宋" w:eastAsia="仿宋" w:cs="仿宋"/>
          <w:bCs/>
          <w:color w:val="000000"/>
          <w:szCs w:val="32"/>
        </w:rPr>
      </w:pPr>
      <w:r>
        <w:rPr>
          <w:rFonts w:hint="eastAsia" w:ascii="仿宋" w:hAnsi="仿宋" w:eastAsia="仿宋" w:cs="仿宋"/>
          <w:bCs/>
          <w:color w:val="000000"/>
          <w:szCs w:val="32"/>
        </w:rPr>
        <w:t>6.公共安全支出（204）司法（06）其他司法支出（99）:支出决算为206.18万元，完成预算100%，决算数与预算数持平。</w:t>
      </w:r>
    </w:p>
    <w:p w14:paraId="1F42D1A2">
      <w:pPr>
        <w:spacing w:line="360" w:lineRule="auto"/>
        <w:ind w:firstLine="632"/>
        <w:rPr>
          <w:rFonts w:hint="eastAsia" w:ascii="仿宋" w:hAnsi="仿宋" w:eastAsia="仿宋" w:cs="仿宋"/>
          <w:color w:val="000000"/>
          <w:szCs w:val="32"/>
        </w:rPr>
      </w:pPr>
      <w:r>
        <w:rPr>
          <w:rStyle w:val="39"/>
          <w:rFonts w:hint="eastAsia" w:ascii="仿宋" w:hAnsi="仿宋" w:eastAsia="仿宋" w:cs="仿宋"/>
          <w:bCs w:val="0"/>
          <w:color w:val="000000"/>
          <w:szCs w:val="32"/>
        </w:rPr>
        <w:t>7.</w:t>
      </w:r>
      <w:r>
        <w:rPr>
          <w:rStyle w:val="39"/>
          <w:rFonts w:hint="eastAsia" w:ascii="仿宋" w:hAnsi="仿宋" w:eastAsia="仿宋" w:cs="仿宋"/>
          <w:b w:val="0"/>
          <w:bCs w:val="0"/>
          <w:color w:val="000000"/>
          <w:szCs w:val="32"/>
        </w:rPr>
        <w:t>社会保障和就业（208）行政事业单位养老支出（05）</w:t>
      </w:r>
      <w:r>
        <w:rPr>
          <w:rStyle w:val="39"/>
          <w:rFonts w:hint="eastAsia" w:ascii="仿宋" w:hAnsi="仿宋" w:eastAsia="仿宋" w:cs="仿宋"/>
          <w:b w:val="0"/>
          <w:color w:val="000000"/>
          <w:szCs w:val="32"/>
        </w:rPr>
        <w:t>行政单位离退休（01）: 支出决算为</w:t>
      </w:r>
      <w:r>
        <w:rPr>
          <w:rFonts w:hint="eastAsia" w:ascii="仿宋" w:hAnsi="仿宋" w:eastAsia="仿宋" w:cs="仿宋"/>
          <w:color w:val="000000"/>
          <w:szCs w:val="32"/>
        </w:rPr>
        <w:t>21.56</w:t>
      </w:r>
      <w:r>
        <w:rPr>
          <w:rStyle w:val="39"/>
          <w:rFonts w:hint="eastAsia" w:ascii="仿宋" w:hAnsi="仿宋" w:eastAsia="仿宋" w:cs="仿宋"/>
          <w:b w:val="0"/>
          <w:color w:val="000000"/>
          <w:szCs w:val="32"/>
        </w:rPr>
        <w:t>万元，完成预算100%，决算数与预算数持平。</w:t>
      </w:r>
    </w:p>
    <w:p w14:paraId="2328A94C">
      <w:pPr>
        <w:spacing w:line="360" w:lineRule="auto"/>
        <w:ind w:firstLine="632"/>
        <w:rPr>
          <w:rStyle w:val="39"/>
          <w:rFonts w:hint="eastAsia" w:ascii="仿宋" w:hAnsi="仿宋" w:eastAsia="仿宋" w:cs="仿宋"/>
          <w:b w:val="0"/>
          <w:bCs w:val="0"/>
        </w:rPr>
      </w:pPr>
      <w:r>
        <w:rPr>
          <w:rStyle w:val="39"/>
          <w:rFonts w:hint="eastAsia" w:ascii="仿宋" w:hAnsi="仿宋" w:eastAsia="仿宋" w:cs="仿宋"/>
          <w:b w:val="0"/>
          <w:color w:val="000000"/>
          <w:szCs w:val="32"/>
        </w:rPr>
        <w:t>8..社会保障和就业（208）行政事业单位养老支出（05）机关事业单位基本养老保险缴费支出（05）: 支出决算为</w:t>
      </w:r>
      <w:r>
        <w:rPr>
          <w:rFonts w:hint="eastAsia" w:ascii="仿宋" w:hAnsi="仿宋" w:eastAsia="仿宋" w:cs="仿宋"/>
          <w:color w:val="000000"/>
          <w:szCs w:val="32"/>
        </w:rPr>
        <w:t>75.76</w:t>
      </w:r>
      <w:r>
        <w:rPr>
          <w:rStyle w:val="39"/>
          <w:rFonts w:hint="eastAsia" w:ascii="仿宋" w:hAnsi="仿宋" w:eastAsia="仿宋" w:cs="仿宋"/>
          <w:b w:val="0"/>
          <w:color w:val="000000"/>
          <w:szCs w:val="32"/>
        </w:rPr>
        <w:t>万元，完成预算100%，决算数与预算数持平。</w:t>
      </w:r>
    </w:p>
    <w:p w14:paraId="58674569">
      <w:pPr>
        <w:pStyle w:val="18"/>
        <w:spacing w:line="360" w:lineRule="auto"/>
        <w:ind w:left="198" w:leftChars="62" w:firstLineChars="0"/>
        <w:rPr>
          <w:rStyle w:val="39"/>
          <w:rFonts w:hint="eastAsia" w:ascii="仿宋" w:hAnsi="仿宋" w:eastAsia="仿宋" w:cs="仿宋"/>
          <w:b w:val="0"/>
          <w:color w:val="000000"/>
        </w:rPr>
      </w:pPr>
      <w:r>
        <w:rPr>
          <w:rStyle w:val="39"/>
          <w:rFonts w:hint="eastAsia" w:ascii="仿宋" w:hAnsi="仿宋" w:eastAsia="仿宋" w:cs="仿宋"/>
          <w:b w:val="0"/>
        </w:rPr>
        <w:t>9..社会保障和就业（208）其他社会保障和就业支出（99）其他社会保障和就业支出（99）: 支</w:t>
      </w:r>
      <w:r>
        <w:rPr>
          <w:rStyle w:val="39"/>
          <w:rFonts w:hint="eastAsia" w:ascii="仿宋" w:hAnsi="仿宋" w:eastAsia="仿宋" w:cs="仿宋"/>
          <w:b w:val="0"/>
          <w:bCs w:val="0"/>
        </w:rPr>
        <w:t>出决算为</w:t>
      </w:r>
      <w:r>
        <w:rPr>
          <w:rFonts w:hint="eastAsia" w:ascii="仿宋" w:hAnsi="仿宋" w:eastAsia="仿宋" w:cs="仿宋"/>
        </w:rPr>
        <w:t>0.81</w:t>
      </w:r>
      <w:r>
        <w:rPr>
          <w:rStyle w:val="39"/>
          <w:rFonts w:hint="eastAsia" w:ascii="仿宋" w:hAnsi="仿宋" w:eastAsia="仿宋" w:cs="仿宋"/>
          <w:b w:val="0"/>
          <w:bCs w:val="0"/>
        </w:rPr>
        <w:t>万元，完成预算100%，决算数与预算数持平。</w:t>
      </w:r>
    </w:p>
    <w:p w14:paraId="708908E2">
      <w:pPr>
        <w:spacing w:line="360" w:lineRule="auto"/>
        <w:ind w:firstLine="640" w:firstLineChars="200"/>
        <w:rPr>
          <w:rStyle w:val="39"/>
          <w:rFonts w:hint="eastAsia" w:ascii="仿宋" w:hAnsi="仿宋" w:eastAsia="仿宋" w:cs="仿宋"/>
          <w:b w:val="0"/>
          <w:color w:val="000000"/>
          <w:szCs w:val="32"/>
        </w:rPr>
      </w:pPr>
      <w:r>
        <w:rPr>
          <w:rFonts w:hint="eastAsia" w:ascii="仿宋" w:hAnsi="仿宋" w:eastAsia="仿宋" w:cs="仿宋"/>
          <w:color w:val="000000"/>
          <w:szCs w:val="32"/>
        </w:rPr>
        <w:t>10.卫生健康（210</w:t>
      </w:r>
      <w:r>
        <w:rPr>
          <w:rStyle w:val="39"/>
          <w:rFonts w:hint="eastAsia" w:ascii="仿宋" w:hAnsi="仿宋" w:eastAsia="仿宋" w:cs="仿宋"/>
          <w:b w:val="0"/>
          <w:color w:val="000000"/>
          <w:szCs w:val="32"/>
        </w:rPr>
        <w:t>）行政事业单位医疗（11）行政单位医疗（01）：支出决算为</w:t>
      </w:r>
      <w:r>
        <w:rPr>
          <w:rFonts w:hint="eastAsia" w:ascii="仿宋" w:hAnsi="仿宋" w:eastAsia="仿宋" w:cs="仿宋"/>
          <w:color w:val="000000"/>
          <w:szCs w:val="32"/>
        </w:rPr>
        <w:t>25.98</w:t>
      </w:r>
      <w:r>
        <w:rPr>
          <w:rStyle w:val="39"/>
          <w:rFonts w:hint="eastAsia" w:ascii="仿宋" w:hAnsi="仿宋" w:eastAsia="仿宋" w:cs="仿宋"/>
          <w:b w:val="0"/>
          <w:color w:val="000000"/>
          <w:szCs w:val="32"/>
        </w:rPr>
        <w:t>万元，完成预算100%，决算数与预算数持平。</w:t>
      </w:r>
    </w:p>
    <w:p w14:paraId="6CDB35E8">
      <w:pPr>
        <w:spacing w:line="360" w:lineRule="auto"/>
        <w:ind w:firstLine="640" w:firstLineChars="200"/>
        <w:rPr>
          <w:rFonts w:hint="eastAsia" w:ascii="仿宋" w:hAnsi="仿宋" w:eastAsia="仿宋" w:cs="仿宋"/>
          <w:color w:val="000000"/>
        </w:rPr>
      </w:pPr>
      <w:r>
        <w:rPr>
          <w:rFonts w:hint="eastAsia" w:ascii="仿宋" w:hAnsi="仿宋" w:eastAsia="仿宋" w:cs="仿宋"/>
          <w:szCs w:val="32"/>
        </w:rPr>
        <w:t>11.卫生健康（210</w:t>
      </w:r>
      <w:r>
        <w:rPr>
          <w:rStyle w:val="39"/>
          <w:rFonts w:hint="eastAsia" w:ascii="仿宋" w:hAnsi="仿宋" w:eastAsia="仿宋" w:cs="仿宋"/>
          <w:b w:val="0"/>
          <w:szCs w:val="32"/>
        </w:rPr>
        <w:t>）行政事业单位医疗（11）公务员医疗补助（03）：支出决算为</w:t>
      </w:r>
      <w:r>
        <w:rPr>
          <w:rFonts w:hint="eastAsia" w:ascii="仿宋" w:hAnsi="仿宋" w:eastAsia="仿宋" w:cs="仿宋"/>
          <w:szCs w:val="32"/>
        </w:rPr>
        <w:t>7.55</w:t>
      </w:r>
      <w:r>
        <w:rPr>
          <w:rStyle w:val="39"/>
          <w:rFonts w:hint="eastAsia" w:ascii="仿宋" w:hAnsi="仿宋" w:eastAsia="仿宋" w:cs="仿宋"/>
          <w:b w:val="0"/>
          <w:szCs w:val="32"/>
        </w:rPr>
        <w:t>万元，完成预算100%，决算数与预算数持平。</w:t>
      </w:r>
    </w:p>
    <w:p w14:paraId="7BB031D1">
      <w:pPr>
        <w:pStyle w:val="18"/>
        <w:spacing w:line="360" w:lineRule="auto"/>
        <w:ind w:left="0" w:leftChars="0" w:firstLine="640"/>
        <w:rPr>
          <w:rFonts w:hint="eastAsia" w:ascii="仿宋" w:hAnsi="仿宋" w:eastAsia="仿宋" w:cs="仿宋"/>
          <w:color w:val="000000"/>
        </w:rPr>
      </w:pPr>
      <w:r>
        <w:rPr>
          <w:rFonts w:hint="eastAsia" w:ascii="仿宋" w:hAnsi="仿宋" w:eastAsia="仿宋" w:cs="仿宋"/>
          <w:color w:val="000000"/>
        </w:rPr>
        <w:t>12.住房保障（221）住房改革支出（02）住房公积金（01）：</w:t>
      </w:r>
      <w:r>
        <w:rPr>
          <w:rStyle w:val="39"/>
          <w:rFonts w:hint="eastAsia" w:ascii="仿宋" w:hAnsi="仿宋" w:eastAsia="仿宋" w:cs="仿宋"/>
          <w:b w:val="0"/>
          <w:color w:val="000000"/>
        </w:rPr>
        <w:t>支出决算为</w:t>
      </w:r>
      <w:r>
        <w:rPr>
          <w:rFonts w:hint="eastAsia" w:ascii="仿宋" w:hAnsi="仿宋" w:eastAsia="仿宋" w:cs="仿宋"/>
          <w:color w:val="000000"/>
        </w:rPr>
        <w:t>60.71</w:t>
      </w:r>
      <w:r>
        <w:rPr>
          <w:rStyle w:val="39"/>
          <w:rFonts w:hint="eastAsia" w:ascii="仿宋" w:hAnsi="仿宋" w:eastAsia="仿宋" w:cs="仿宋"/>
          <w:b w:val="0"/>
          <w:color w:val="000000"/>
        </w:rPr>
        <w:t>万元，完成预算100%，决算数与预算数持平</w:t>
      </w:r>
    </w:p>
    <w:p w14:paraId="1FB88B6B">
      <w:pPr>
        <w:pStyle w:val="195"/>
        <w:spacing w:line="360" w:lineRule="auto"/>
        <w:ind w:firstLine="632"/>
        <w:rPr>
          <w:rStyle w:val="199"/>
          <w:rFonts w:ascii="Times New Roman" w:hAnsi="Times New Roman"/>
          <w:b w:val="0"/>
          <w:i w:val="0"/>
          <w:sz w:val="32"/>
          <w:szCs w:val="32"/>
        </w:rPr>
      </w:pPr>
      <w:r>
        <w:rPr>
          <w:rFonts w:eastAsia="黑体"/>
          <w:sz w:val="32"/>
          <w:szCs w:val="32"/>
        </w:rPr>
        <w:t>六、一</w:t>
      </w:r>
      <w:r>
        <w:rPr>
          <w:rStyle w:val="199"/>
          <w:rFonts w:ascii="Times New Roman" w:hAnsi="Times New Roman" w:eastAsia="黑体"/>
          <w:b w:val="0"/>
          <w:i w:val="0"/>
          <w:sz w:val="32"/>
          <w:szCs w:val="32"/>
        </w:rPr>
        <w:t>般公共预算财政拨款基本支出决算情况说明</w:t>
      </w:r>
      <w:bookmarkEnd w:id="61"/>
      <w:bookmarkEnd w:id="62"/>
      <w:bookmarkEnd w:id="63"/>
      <w:r>
        <w:rPr>
          <w:rStyle w:val="199"/>
          <w:rFonts w:ascii="Times New Roman" w:hAnsi="Times New Roman" w:eastAsia="黑体"/>
          <w:b w:val="0"/>
          <w:i w:val="0"/>
          <w:sz w:val="32"/>
          <w:szCs w:val="32"/>
        </w:rPr>
        <w:tab/>
      </w:r>
    </w:p>
    <w:p w14:paraId="17C05BDC">
      <w:pPr>
        <w:spacing w:line="560" w:lineRule="exact"/>
        <w:ind w:firstLine="645"/>
        <w:rPr>
          <w:rFonts w:hint="eastAsia" w:ascii="仿宋" w:hAnsi="仿宋" w:eastAsia="仿宋" w:cs="仿宋"/>
          <w:szCs w:val="32"/>
        </w:rPr>
      </w:pPr>
      <w:r>
        <w:rPr>
          <w:rFonts w:hint="eastAsia" w:ascii="仿宋" w:hAnsi="仿宋" w:eastAsia="仿宋" w:cs="仿宋"/>
          <w:szCs w:val="32"/>
        </w:rPr>
        <w:t>2024年度一般公共预算财政拨款基本支出908.88万元，其中：</w:t>
      </w:r>
    </w:p>
    <w:p w14:paraId="2BDD1EB8">
      <w:pPr>
        <w:spacing w:line="560" w:lineRule="exact"/>
        <w:ind w:firstLine="645"/>
        <w:rPr>
          <w:rFonts w:hint="eastAsia" w:ascii="仿宋" w:hAnsi="仿宋" w:eastAsia="仿宋" w:cs="仿宋"/>
          <w:szCs w:val="32"/>
        </w:rPr>
      </w:pPr>
      <w:r>
        <w:rPr>
          <w:rFonts w:hint="eastAsia" w:ascii="仿宋" w:hAnsi="仿宋" w:eastAsia="仿宋" w:cs="仿宋"/>
          <w:szCs w:val="32"/>
        </w:rPr>
        <w:t>人员经费788.66万元，主要包括：基本工资、津贴补贴、奖金、绩效工资、机关事业单位基本养老保险缴费、职工基本医疗保险缴费、公务员医疗补助缴费、其他社会保障缴费、其他工资福利支出、住房公积金、生活补助、其他对个人和家庭的补助支出等。</w:t>
      </w:r>
    </w:p>
    <w:p w14:paraId="2A246796">
      <w:pPr>
        <w:spacing w:line="560" w:lineRule="exact"/>
        <w:ind w:firstLine="645"/>
        <w:rPr>
          <w:szCs w:val="32"/>
        </w:rPr>
      </w:pPr>
      <w:r>
        <w:rPr>
          <w:rFonts w:hint="eastAsia" w:ascii="仿宋" w:hAnsi="仿宋" w:eastAsia="仿宋" w:cs="仿宋"/>
          <w:szCs w:val="32"/>
        </w:rPr>
        <w:t>公用经费120.22万元，主要包括：办公费、印刷费、水费、电费、邮电费、物业管理费、差旅费、维修（护）费、会议费、培训费、劳务费、委托业务费、工会经费、福利费、公务用车运行维护费、其他交通费用、其他商品和服务支出等</w:t>
      </w:r>
      <w:r>
        <w:rPr>
          <w:szCs w:val="32"/>
        </w:rPr>
        <w:t>。</w:t>
      </w:r>
    </w:p>
    <w:p w14:paraId="57451736">
      <w:pPr>
        <w:spacing w:line="560" w:lineRule="exact"/>
        <w:ind w:firstLine="640"/>
        <w:outlineLvl w:val="1"/>
        <w:rPr>
          <w:rStyle w:val="199"/>
          <w:rFonts w:ascii="Times New Roman" w:hAnsi="Times New Roman" w:eastAsia="黑体"/>
          <w:b w:val="0"/>
          <w:i w:val="0"/>
        </w:rPr>
      </w:pPr>
      <w:bookmarkStart w:id="64" w:name="_Toc15377215"/>
      <w:bookmarkStart w:id="65" w:name="_Toc30667"/>
      <w:bookmarkStart w:id="66" w:name="_Toc15396609"/>
      <w:r>
        <w:rPr>
          <w:rFonts w:eastAsia="黑体"/>
          <w:szCs w:val="32"/>
        </w:rPr>
        <w:t>七、</w:t>
      </w:r>
      <w:r>
        <w:rPr>
          <w:rStyle w:val="199"/>
          <w:rFonts w:ascii="Times New Roman" w:hAnsi="Times New Roman" w:eastAsia="黑体"/>
          <w:b w:val="0"/>
          <w:i w:val="0"/>
        </w:rPr>
        <w:t>财政拨款“三公”经费支出决算情况说明</w:t>
      </w:r>
      <w:bookmarkEnd w:id="64"/>
      <w:bookmarkEnd w:id="65"/>
      <w:bookmarkEnd w:id="66"/>
    </w:p>
    <w:p w14:paraId="66756410">
      <w:pPr>
        <w:spacing w:line="560" w:lineRule="exact"/>
        <w:ind w:firstLine="632"/>
        <w:jc w:val="left"/>
        <w:outlineLvl w:val="2"/>
        <w:rPr>
          <w:rFonts w:eastAsia="楷体_GB2312"/>
          <w:b/>
          <w:bCs/>
          <w:szCs w:val="32"/>
        </w:rPr>
      </w:pPr>
      <w:bookmarkStart w:id="67" w:name="_Toc15377216"/>
      <w:bookmarkStart w:id="68" w:name="_Toc1959"/>
      <w:r>
        <w:rPr>
          <w:rFonts w:eastAsia="楷体_GB2312"/>
          <w:b/>
          <w:bCs/>
          <w:szCs w:val="32"/>
        </w:rPr>
        <w:t>（一）“三公”经费财政拨款支出决算总体情况说明</w:t>
      </w:r>
      <w:bookmarkEnd w:id="67"/>
      <w:bookmarkEnd w:id="68"/>
    </w:p>
    <w:p w14:paraId="1C0B658A">
      <w:pPr>
        <w:spacing w:line="560" w:lineRule="exact"/>
        <w:ind w:firstLine="640"/>
        <w:rPr>
          <w:rFonts w:hint="eastAsia" w:ascii="仿宋" w:hAnsi="仿宋" w:eastAsia="仿宋" w:cs="仿宋"/>
          <w:szCs w:val="32"/>
        </w:rPr>
      </w:pPr>
      <w:r>
        <w:rPr>
          <w:rFonts w:hint="eastAsia" w:ascii="仿宋" w:hAnsi="仿宋" w:eastAsia="仿宋" w:cs="仿宋"/>
          <w:szCs w:val="32"/>
        </w:rPr>
        <w:t>2024年度“三公”经费财政拨款支出决算为1.56万元，完成预算100%，较上年度减少1.69万元，下降52%。决算数与预算数持平。</w:t>
      </w:r>
    </w:p>
    <w:p w14:paraId="2EAF9D6B">
      <w:pPr>
        <w:spacing w:line="560" w:lineRule="exact"/>
        <w:ind w:firstLine="640"/>
        <w:outlineLvl w:val="2"/>
        <w:rPr>
          <w:b/>
          <w:bCs/>
          <w:szCs w:val="32"/>
        </w:rPr>
      </w:pPr>
      <w:bookmarkStart w:id="69" w:name="_Toc31883"/>
      <w:bookmarkStart w:id="70" w:name="_Toc15377217"/>
      <w:r>
        <w:rPr>
          <w:rFonts w:eastAsia="楷体_GB2312"/>
          <w:b/>
          <w:bCs/>
          <w:szCs w:val="32"/>
        </w:rPr>
        <w:t>（二）“三公”经费财政拨款支出决算具体情况说明</w:t>
      </w:r>
      <w:bookmarkEnd w:id="69"/>
      <w:bookmarkEnd w:id="70"/>
    </w:p>
    <w:p w14:paraId="41384A00">
      <w:pPr>
        <w:spacing w:line="560" w:lineRule="exact"/>
        <w:ind w:firstLine="640"/>
        <w:rPr>
          <w:rFonts w:hint="eastAsia" w:ascii="仿宋" w:hAnsi="仿宋" w:eastAsia="仿宋" w:cs="仿宋"/>
          <w:szCs w:val="32"/>
        </w:rPr>
      </w:pPr>
      <w:r>
        <w:rPr>
          <w:rFonts w:hint="eastAsia" w:ascii="仿宋" w:hAnsi="仿宋" w:eastAsia="仿宋" w:cs="仿宋"/>
          <w:szCs w:val="32"/>
        </w:rPr>
        <w:t>2024年度“三公”经费财政拨款支出决算中，因公出国（境）费支出决算0万元，占</w:t>
      </w:r>
      <w:r>
        <w:rPr>
          <w:rFonts w:hint="eastAsia" w:ascii="仿宋" w:hAnsi="仿宋" w:eastAsia="仿宋" w:cs="仿宋"/>
          <w:szCs w:val="32"/>
          <w:lang w:val="en-US" w:eastAsia="zh-CN"/>
        </w:rPr>
        <w:t>0</w:t>
      </w:r>
      <w:r>
        <w:rPr>
          <w:rFonts w:hint="eastAsia" w:ascii="仿宋" w:hAnsi="仿宋" w:eastAsia="仿宋" w:cs="仿宋"/>
          <w:szCs w:val="32"/>
        </w:rPr>
        <w:t>%；公务用车购置及运行维护费支出决算5.19万元，占100%；公务接待费支出决算0万元，占</w:t>
      </w:r>
      <w:r>
        <w:rPr>
          <w:rFonts w:hint="eastAsia" w:ascii="仿宋" w:hAnsi="仿宋" w:eastAsia="仿宋" w:cs="仿宋"/>
          <w:szCs w:val="32"/>
          <w:lang w:val="en-US" w:eastAsia="zh-CN"/>
        </w:rPr>
        <w:t>0</w:t>
      </w:r>
      <w:r>
        <w:rPr>
          <w:rFonts w:hint="eastAsia" w:ascii="仿宋" w:hAnsi="仿宋" w:eastAsia="仿宋" w:cs="仿宋"/>
          <w:szCs w:val="32"/>
        </w:rPr>
        <w:t>%。具体情况如下：</w:t>
      </w:r>
    </w:p>
    <w:p w14:paraId="68FC92C2">
      <w:pPr>
        <w:pStyle w:val="196"/>
        <w:ind w:firstLine="0"/>
        <w:jc w:val="center"/>
        <w:rPr>
          <w:rFonts w:ascii="Times New Roman"/>
        </w:rPr>
      </w:pPr>
      <w:r>
        <w:rPr>
          <w:rFonts w:hint="eastAsia" w:ascii="仿宋" w:hAnsi="仿宋" w:eastAsia="仿宋"/>
          <w:color w:val="000000"/>
        </w:rPr>
        <w:drawing>
          <wp:anchor distT="0" distB="0" distL="114300" distR="114300" simplePos="0" relativeHeight="251660288" behindDoc="0" locked="0" layoutInCell="1" allowOverlap="1">
            <wp:simplePos x="0" y="0"/>
            <wp:positionH relativeFrom="column">
              <wp:posOffset>393700</wp:posOffset>
            </wp:positionH>
            <wp:positionV relativeFrom="paragraph">
              <wp:posOffset>196215</wp:posOffset>
            </wp:positionV>
            <wp:extent cx="4975860" cy="3315970"/>
            <wp:effectExtent l="0" t="0" r="15240" b="1778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64DB38B">
      <w:pPr>
        <w:pStyle w:val="196"/>
        <w:ind w:firstLine="0"/>
        <w:jc w:val="center"/>
        <w:rPr>
          <w:rFonts w:ascii="Times New Roman"/>
        </w:rPr>
      </w:pPr>
    </w:p>
    <w:p w14:paraId="239FB2B6">
      <w:pPr>
        <w:pStyle w:val="196"/>
        <w:ind w:firstLine="0"/>
        <w:jc w:val="center"/>
        <w:rPr>
          <w:rFonts w:ascii="Times New Roman"/>
        </w:rPr>
      </w:pPr>
    </w:p>
    <w:p w14:paraId="6FC1040F">
      <w:pPr>
        <w:pStyle w:val="196"/>
        <w:ind w:firstLine="0"/>
        <w:jc w:val="center"/>
        <w:rPr>
          <w:rFonts w:ascii="Times New Roman"/>
        </w:rPr>
      </w:pPr>
    </w:p>
    <w:p w14:paraId="09D25E19">
      <w:pPr>
        <w:pStyle w:val="196"/>
        <w:ind w:firstLine="0"/>
        <w:jc w:val="center"/>
        <w:rPr>
          <w:rFonts w:ascii="Times New Roman"/>
        </w:rPr>
      </w:pPr>
    </w:p>
    <w:p w14:paraId="16D37F15">
      <w:pPr>
        <w:pStyle w:val="196"/>
        <w:ind w:firstLine="0"/>
        <w:jc w:val="center"/>
        <w:rPr>
          <w:rFonts w:ascii="Times New Roman"/>
        </w:rPr>
      </w:pPr>
    </w:p>
    <w:p w14:paraId="3B1839AA">
      <w:pPr>
        <w:pStyle w:val="196"/>
        <w:ind w:firstLine="0"/>
        <w:jc w:val="center"/>
        <w:rPr>
          <w:rFonts w:ascii="Times New Roman"/>
        </w:rPr>
      </w:pPr>
    </w:p>
    <w:p w14:paraId="0877B40F">
      <w:pPr>
        <w:pStyle w:val="196"/>
        <w:ind w:firstLine="0"/>
        <w:jc w:val="center"/>
        <w:rPr>
          <w:rFonts w:ascii="Times New Roman"/>
        </w:rPr>
      </w:pPr>
    </w:p>
    <w:p w14:paraId="3DBC47C5">
      <w:pPr>
        <w:pStyle w:val="196"/>
        <w:ind w:firstLine="0"/>
        <w:jc w:val="center"/>
        <w:rPr>
          <w:rFonts w:ascii="Times New Roman"/>
        </w:rPr>
      </w:pPr>
    </w:p>
    <w:p w14:paraId="59C14057">
      <w:pPr>
        <w:pStyle w:val="196"/>
        <w:ind w:firstLine="0"/>
        <w:jc w:val="center"/>
        <w:rPr>
          <w:rFonts w:ascii="Times New Roman"/>
        </w:rPr>
      </w:pPr>
    </w:p>
    <w:p w14:paraId="63A94DE1">
      <w:pPr>
        <w:pStyle w:val="196"/>
        <w:ind w:firstLine="0"/>
        <w:jc w:val="center"/>
        <w:rPr>
          <w:rFonts w:ascii="Times New Roman"/>
        </w:rPr>
      </w:pPr>
    </w:p>
    <w:p w14:paraId="01B812F7">
      <w:pPr>
        <w:pStyle w:val="196"/>
        <w:ind w:firstLine="0"/>
        <w:jc w:val="center"/>
        <w:rPr>
          <w:rFonts w:ascii="Times New Roman"/>
        </w:rPr>
      </w:pPr>
    </w:p>
    <w:p w14:paraId="5A602278">
      <w:pPr>
        <w:pStyle w:val="196"/>
        <w:ind w:firstLine="0"/>
        <w:jc w:val="center"/>
        <w:rPr>
          <w:rFonts w:ascii="Times New Roman"/>
        </w:rPr>
      </w:pPr>
    </w:p>
    <w:p w14:paraId="4CC47761">
      <w:pPr>
        <w:spacing w:line="560" w:lineRule="exact"/>
        <w:ind w:firstLine="632"/>
        <w:rPr>
          <w:szCs w:val="32"/>
        </w:rPr>
      </w:pPr>
      <w:r>
        <w:rPr>
          <w:szCs w:val="32"/>
        </w:rPr>
        <w:t>（图7：“三公”经费财政拨款支出结构）（饼状图）</w:t>
      </w:r>
    </w:p>
    <w:p w14:paraId="532F71E3">
      <w:pPr>
        <w:spacing w:line="560" w:lineRule="exact"/>
        <w:ind w:firstLine="632"/>
        <w:rPr>
          <w:rFonts w:hint="eastAsia" w:ascii="仿宋" w:hAnsi="仿宋" w:eastAsia="仿宋" w:cs="仿宋"/>
          <w:szCs w:val="32"/>
        </w:rPr>
      </w:pPr>
      <w:r>
        <w:rPr>
          <w:rFonts w:hint="eastAsia"/>
          <w:b/>
          <w:bCs/>
          <w:szCs w:val="32"/>
        </w:rPr>
        <w:t>1、</w:t>
      </w:r>
      <w:r>
        <w:rPr>
          <w:b/>
          <w:bCs/>
          <w:szCs w:val="32"/>
        </w:rPr>
        <w:t>因公出国（境）经费支出</w:t>
      </w:r>
      <w:r>
        <w:rPr>
          <w:rFonts w:hint="eastAsia"/>
          <w:b/>
          <w:bCs/>
          <w:szCs w:val="32"/>
        </w:rPr>
        <w:t>0</w:t>
      </w:r>
      <w:r>
        <w:rPr>
          <w:b/>
          <w:bCs/>
          <w:szCs w:val="32"/>
        </w:rPr>
        <w:t>万元，</w:t>
      </w:r>
      <w:r>
        <w:rPr>
          <w:rStyle w:val="213"/>
          <w:szCs w:val="32"/>
        </w:rPr>
        <w:t>完成预算</w:t>
      </w:r>
      <w:r>
        <w:rPr>
          <w:rStyle w:val="213"/>
          <w:rFonts w:hint="eastAsia"/>
          <w:szCs w:val="32"/>
        </w:rPr>
        <w:t>100</w:t>
      </w:r>
      <w:r>
        <w:rPr>
          <w:rStyle w:val="213"/>
          <w:szCs w:val="32"/>
        </w:rPr>
        <w:t>%。</w:t>
      </w:r>
      <w:r>
        <w:rPr>
          <w:rFonts w:hint="eastAsia" w:ascii="仿宋" w:hAnsi="仿宋" w:eastAsia="仿宋" w:cs="仿宋"/>
          <w:szCs w:val="32"/>
        </w:rPr>
        <w:t>全年安排因公出国（境）团组0次，出国（境）0人。因公出国（境）支出决算比2023年持平。</w:t>
      </w:r>
    </w:p>
    <w:p w14:paraId="3A9933C2">
      <w:pPr>
        <w:spacing w:line="560" w:lineRule="exact"/>
        <w:ind w:firstLine="640"/>
        <w:rPr>
          <w:rFonts w:hint="eastAsia" w:ascii="仿宋" w:hAnsi="仿宋" w:eastAsia="仿宋" w:cs="仿宋"/>
          <w:szCs w:val="32"/>
        </w:rPr>
      </w:pPr>
      <w:r>
        <w:rPr>
          <w:b/>
          <w:bCs/>
          <w:szCs w:val="32"/>
        </w:rPr>
        <w:t>2</w:t>
      </w:r>
      <w:r>
        <w:rPr>
          <w:rFonts w:hint="eastAsia"/>
          <w:b/>
          <w:bCs/>
          <w:szCs w:val="32"/>
        </w:rPr>
        <w:t>、</w:t>
      </w:r>
      <w:r>
        <w:rPr>
          <w:b/>
          <w:bCs/>
          <w:szCs w:val="32"/>
        </w:rPr>
        <w:t>公务用车购置及运行维护费支出</w:t>
      </w:r>
      <w:r>
        <w:rPr>
          <w:rFonts w:hint="eastAsia"/>
          <w:b/>
          <w:bCs/>
          <w:szCs w:val="32"/>
        </w:rPr>
        <w:t>5.19</w:t>
      </w:r>
      <w:r>
        <w:rPr>
          <w:b/>
          <w:bCs/>
          <w:szCs w:val="32"/>
        </w:rPr>
        <w:t>万元,</w:t>
      </w:r>
      <w:r>
        <w:rPr>
          <w:rStyle w:val="213"/>
          <w:szCs w:val="32"/>
        </w:rPr>
        <w:t>完成预算</w:t>
      </w:r>
      <w:r>
        <w:rPr>
          <w:rStyle w:val="213"/>
          <w:rFonts w:hint="eastAsia"/>
          <w:szCs w:val="32"/>
        </w:rPr>
        <w:t>100</w:t>
      </w:r>
      <w:r>
        <w:rPr>
          <w:rStyle w:val="213"/>
          <w:szCs w:val="32"/>
        </w:rPr>
        <w:t>%</w:t>
      </w:r>
      <w:r>
        <w:rPr>
          <w:rStyle w:val="213"/>
          <w:b w:val="0"/>
          <w:bCs w:val="0"/>
          <w:szCs w:val="32"/>
        </w:rPr>
        <w:t>。</w:t>
      </w:r>
      <w:r>
        <w:rPr>
          <w:rFonts w:hint="eastAsia" w:ascii="仿宋" w:hAnsi="仿宋" w:eastAsia="仿宋" w:cs="仿宋"/>
          <w:szCs w:val="32"/>
        </w:rPr>
        <w:t>公务用车购置及运行维护费支出决算</w:t>
      </w:r>
      <w:r>
        <w:rPr>
          <w:rFonts w:hint="eastAsia" w:ascii="仿宋" w:hAnsi="仿宋" w:eastAsia="仿宋" w:cs="仿宋"/>
          <w:color w:val="000000"/>
          <w:szCs w:val="32"/>
        </w:rPr>
        <w:t>比2023年增长0.56万元，增长12.1%。增长主要原因是单位工作量增加</w:t>
      </w:r>
      <w:r>
        <w:rPr>
          <w:rFonts w:hint="eastAsia" w:ascii="仿宋" w:hAnsi="仿宋" w:eastAsia="仿宋" w:cs="仿宋"/>
          <w:szCs w:val="32"/>
        </w:rPr>
        <w:t>。</w:t>
      </w:r>
    </w:p>
    <w:p w14:paraId="26ADE56F">
      <w:pPr>
        <w:spacing w:line="560" w:lineRule="exact"/>
        <w:ind w:firstLine="632"/>
        <w:rPr>
          <w:rFonts w:hint="eastAsia" w:ascii="仿宋" w:hAnsi="仿宋" w:eastAsia="仿宋" w:cs="仿宋"/>
          <w:szCs w:val="32"/>
        </w:rPr>
      </w:pPr>
      <w:r>
        <w:rPr>
          <w:rFonts w:hint="eastAsia" w:ascii="仿宋" w:hAnsi="仿宋" w:eastAsia="仿宋" w:cs="仿宋"/>
          <w:szCs w:val="32"/>
        </w:rPr>
        <w:t>其中：公务用车购置支出0万元。全年按规定更新购置公务用车0辆，其中：轿车0辆、金额0万元，越野车0辆、金额0万元，载客汽车0辆、金额0万元。截至2024年12月31日，单位共有公务用车2辆，其中：轿车</w:t>
      </w:r>
      <w:r>
        <w:rPr>
          <w:rFonts w:hint="eastAsia" w:ascii="仿宋" w:hAnsi="仿宋" w:eastAsia="仿宋" w:cs="仿宋"/>
          <w:szCs w:val="32"/>
          <w:lang w:val="en-US" w:eastAsia="zh-CN"/>
        </w:rPr>
        <w:t>2</w:t>
      </w:r>
      <w:r>
        <w:rPr>
          <w:rFonts w:hint="eastAsia" w:ascii="仿宋" w:hAnsi="仿宋" w:eastAsia="仿宋" w:cs="仿宋"/>
          <w:szCs w:val="32"/>
        </w:rPr>
        <w:t>辆、越野车0辆、载客汽车0辆。</w:t>
      </w:r>
    </w:p>
    <w:p w14:paraId="1ACE255C">
      <w:pPr>
        <w:spacing w:line="560" w:lineRule="exact"/>
        <w:ind w:firstLine="640"/>
        <w:rPr>
          <w:szCs w:val="32"/>
        </w:rPr>
      </w:pPr>
      <w:r>
        <w:rPr>
          <w:rFonts w:hint="eastAsia" w:ascii="仿宋" w:hAnsi="仿宋" w:eastAsia="仿宋" w:cs="仿宋"/>
          <w:szCs w:val="32"/>
        </w:rPr>
        <w:t>公务用车运行维护费支出5.19万元。主要用于</w:t>
      </w:r>
      <w:r>
        <w:rPr>
          <w:rFonts w:hint="eastAsia" w:ascii="仿宋" w:hAnsi="仿宋" w:eastAsia="仿宋" w:cs="仿宋"/>
          <w:color w:val="000000"/>
          <w:szCs w:val="32"/>
        </w:rPr>
        <w:t>保障单位工作人员执行公务活动等工作开展所需的公务用车燃料费、维修费、过路过桥费、保险费等支出。</w:t>
      </w:r>
    </w:p>
    <w:p w14:paraId="15F32561">
      <w:pPr>
        <w:spacing w:line="560" w:lineRule="exact"/>
        <w:ind w:firstLine="640"/>
        <w:rPr>
          <w:rFonts w:hint="eastAsia" w:ascii="仿宋" w:hAnsi="仿宋" w:eastAsia="仿宋" w:cs="仿宋"/>
          <w:szCs w:val="32"/>
        </w:rPr>
      </w:pPr>
      <w:r>
        <w:rPr>
          <w:b/>
          <w:bCs/>
          <w:szCs w:val="32"/>
        </w:rPr>
        <w:t>3</w:t>
      </w:r>
      <w:r>
        <w:rPr>
          <w:rFonts w:hint="eastAsia"/>
          <w:b/>
          <w:bCs/>
          <w:szCs w:val="32"/>
        </w:rPr>
        <w:t>、</w:t>
      </w:r>
      <w:r>
        <w:rPr>
          <w:b/>
          <w:bCs/>
          <w:szCs w:val="32"/>
        </w:rPr>
        <w:t>公务接待费支出</w:t>
      </w:r>
      <w:r>
        <w:rPr>
          <w:rFonts w:hint="eastAsia"/>
          <w:b/>
          <w:bCs/>
          <w:szCs w:val="32"/>
        </w:rPr>
        <w:t>0</w:t>
      </w:r>
      <w:r>
        <w:rPr>
          <w:b/>
          <w:bCs/>
          <w:szCs w:val="32"/>
        </w:rPr>
        <w:t>万元，</w:t>
      </w:r>
      <w:r>
        <w:rPr>
          <w:rStyle w:val="213"/>
          <w:szCs w:val="32"/>
        </w:rPr>
        <w:t>完成预算</w:t>
      </w:r>
      <w:r>
        <w:rPr>
          <w:rStyle w:val="213"/>
          <w:rFonts w:hint="eastAsia"/>
          <w:szCs w:val="32"/>
        </w:rPr>
        <w:t>100</w:t>
      </w:r>
      <w:r>
        <w:rPr>
          <w:rStyle w:val="213"/>
          <w:szCs w:val="32"/>
        </w:rPr>
        <w:t>%</w:t>
      </w:r>
      <w:r>
        <w:rPr>
          <w:rStyle w:val="213"/>
          <w:b w:val="0"/>
          <w:bCs w:val="0"/>
          <w:szCs w:val="32"/>
        </w:rPr>
        <w:t>。</w:t>
      </w:r>
      <w:r>
        <w:rPr>
          <w:rFonts w:hint="eastAsia" w:ascii="仿宋" w:hAnsi="仿宋" w:eastAsia="仿宋" w:cs="仿宋"/>
          <w:szCs w:val="32"/>
        </w:rPr>
        <w:t>公务接待费支出决算比2023年度减少1.22万元，下降100%。主要原因是单位</w:t>
      </w:r>
      <w:r>
        <w:rPr>
          <w:rFonts w:hint="eastAsia" w:ascii="仿宋" w:hAnsi="仿宋" w:eastAsia="仿宋" w:cs="仿宋"/>
          <w:szCs w:val="32"/>
          <w:lang w:eastAsia="zh-CN"/>
        </w:rPr>
        <w:t>厉行节约</w:t>
      </w:r>
      <w:r>
        <w:rPr>
          <w:rFonts w:hint="eastAsia" w:ascii="仿宋" w:hAnsi="仿宋" w:eastAsia="仿宋" w:cs="仿宋"/>
          <w:szCs w:val="32"/>
        </w:rPr>
        <w:t>，缩减开支。其中：</w:t>
      </w:r>
    </w:p>
    <w:p w14:paraId="4CAE75FD">
      <w:pPr>
        <w:spacing w:line="560" w:lineRule="exact"/>
        <w:ind w:firstLine="640"/>
        <w:rPr>
          <w:rFonts w:hint="eastAsia" w:ascii="仿宋" w:hAnsi="仿宋" w:eastAsia="仿宋" w:cs="仿宋"/>
          <w:color w:val="FF0000"/>
          <w:szCs w:val="32"/>
        </w:rPr>
      </w:pPr>
      <w:r>
        <w:rPr>
          <w:rFonts w:hint="eastAsia" w:ascii="仿宋" w:hAnsi="仿宋" w:eastAsia="仿宋" w:cs="仿宋"/>
          <w:szCs w:val="32"/>
        </w:rPr>
        <w:t>国内公务接待支出0万元，主要用于上级部门检查、调研、用工企业招工等的交通费、住宿费、用餐费等。国内公务接待0批次，0人次（不包括陪同人员），共计支出0万元</w:t>
      </w:r>
      <w:r>
        <w:rPr>
          <w:rFonts w:hint="eastAsia" w:ascii="仿宋" w:hAnsi="仿宋" w:eastAsia="仿宋" w:cs="仿宋"/>
          <w:kern w:val="2"/>
          <w:szCs w:val="32"/>
        </w:rPr>
        <w:t>。</w:t>
      </w:r>
    </w:p>
    <w:p w14:paraId="3660B09F">
      <w:pPr>
        <w:spacing w:line="560" w:lineRule="exact"/>
        <w:ind w:firstLine="632"/>
        <w:rPr>
          <w:rFonts w:hint="eastAsia" w:ascii="仿宋" w:hAnsi="仿宋" w:eastAsia="仿宋" w:cs="仿宋"/>
          <w:szCs w:val="32"/>
        </w:rPr>
      </w:pPr>
      <w:r>
        <w:rPr>
          <w:rFonts w:hint="eastAsia" w:ascii="仿宋" w:hAnsi="仿宋" w:eastAsia="仿宋" w:cs="仿宋"/>
          <w:szCs w:val="32"/>
        </w:rPr>
        <w:t>外事接待支出0万元。外事接待0批次，0人次（不包括陪同人员），共计支出0万元。</w:t>
      </w:r>
      <w:bookmarkStart w:id="71" w:name="_Toc15377218"/>
      <w:bookmarkStart w:id="72" w:name="_Toc15396610"/>
    </w:p>
    <w:p w14:paraId="0E48C234">
      <w:pPr>
        <w:spacing w:line="560" w:lineRule="exact"/>
        <w:ind w:firstLine="640"/>
        <w:outlineLvl w:val="1"/>
        <w:rPr>
          <w:rStyle w:val="199"/>
          <w:rFonts w:ascii="Times New Roman" w:hAnsi="Times New Roman" w:eastAsia="黑体"/>
          <w:b w:val="0"/>
          <w:i w:val="0"/>
        </w:rPr>
      </w:pPr>
      <w:bookmarkStart w:id="73" w:name="_Toc21605"/>
      <w:r>
        <w:rPr>
          <w:rFonts w:eastAsia="黑体"/>
          <w:szCs w:val="32"/>
        </w:rPr>
        <w:t>八、</w:t>
      </w:r>
      <w:r>
        <w:rPr>
          <w:rStyle w:val="199"/>
          <w:rFonts w:ascii="Times New Roman" w:hAnsi="Times New Roman" w:eastAsia="黑体"/>
          <w:b w:val="0"/>
          <w:i w:val="0"/>
        </w:rPr>
        <w:t>政府性基金预算支出决算情况说明</w:t>
      </w:r>
      <w:bookmarkEnd w:id="71"/>
      <w:bookmarkEnd w:id="72"/>
      <w:bookmarkEnd w:id="73"/>
    </w:p>
    <w:p w14:paraId="75BD0B0D">
      <w:pPr>
        <w:spacing w:line="600" w:lineRule="exact"/>
        <w:ind w:firstLine="640"/>
        <w:rPr>
          <w:rFonts w:hint="eastAsia" w:ascii="仿宋" w:hAnsi="仿宋" w:eastAsia="仿宋" w:cs="仿宋"/>
          <w:b/>
          <w:bCs/>
          <w:kern w:val="2"/>
          <w:szCs w:val="32"/>
        </w:rPr>
      </w:pPr>
      <w:bookmarkStart w:id="74" w:name="_Toc15377219"/>
      <w:bookmarkStart w:id="75" w:name="_Toc15396611"/>
      <w:r>
        <w:rPr>
          <w:rFonts w:hint="eastAsia" w:ascii="仿宋" w:hAnsi="仿宋" w:eastAsia="仿宋" w:cs="仿宋"/>
          <w:kern w:val="2"/>
          <w:szCs w:val="32"/>
        </w:rPr>
        <w:t>2024年度政府性基金预算财政拨款支出0.9万元。占本年支出合计的0.07%。与2023年度相比，政府性基金预算财政拨款支出增加0.9万元，增长100%。主要变动原因是单位增加了人才发展专项经费。</w:t>
      </w:r>
    </w:p>
    <w:p w14:paraId="5B7BC23A">
      <w:pPr>
        <w:numPr>
          <w:ilvl w:val="0"/>
          <w:numId w:val="5"/>
        </w:numPr>
        <w:spacing w:line="560" w:lineRule="exact"/>
        <w:ind w:firstLine="640"/>
        <w:outlineLvl w:val="1"/>
        <w:rPr>
          <w:rStyle w:val="199"/>
          <w:rFonts w:ascii="Times New Roman" w:hAnsi="Times New Roman" w:eastAsia="黑体"/>
          <w:b w:val="0"/>
          <w:i w:val="0"/>
        </w:rPr>
      </w:pPr>
      <w:bookmarkStart w:id="76" w:name="_Toc32114"/>
      <w:r>
        <w:rPr>
          <w:rStyle w:val="199"/>
          <w:rFonts w:ascii="Times New Roman" w:hAnsi="Times New Roman" w:eastAsia="黑体"/>
          <w:b w:val="0"/>
          <w:i w:val="0"/>
        </w:rPr>
        <w:t>国有资本经营预算支出决算情况说明</w:t>
      </w:r>
      <w:bookmarkEnd w:id="74"/>
      <w:bookmarkEnd w:id="75"/>
      <w:bookmarkEnd w:id="76"/>
    </w:p>
    <w:p w14:paraId="58B5404E">
      <w:pPr>
        <w:spacing w:line="600" w:lineRule="exact"/>
        <w:ind w:firstLine="640"/>
        <w:rPr>
          <w:rFonts w:hint="eastAsia" w:ascii="仿宋" w:hAnsi="仿宋" w:eastAsia="仿宋" w:cs="仿宋"/>
          <w:kern w:val="2"/>
          <w:szCs w:val="32"/>
        </w:rPr>
      </w:pPr>
      <w:bookmarkStart w:id="77" w:name="_Toc15396612"/>
      <w:bookmarkStart w:id="78" w:name="_Toc15377221"/>
      <w:r>
        <w:rPr>
          <w:rFonts w:hint="eastAsia" w:ascii="仿宋" w:hAnsi="仿宋" w:eastAsia="仿宋" w:cs="仿宋"/>
          <w:kern w:val="2"/>
          <w:szCs w:val="32"/>
        </w:rPr>
        <w:t>2024年度国有资本经营预算财政拨款支出0万元。</w:t>
      </w:r>
    </w:p>
    <w:p w14:paraId="600419DE">
      <w:pPr>
        <w:numPr>
          <w:ilvl w:val="0"/>
          <w:numId w:val="5"/>
        </w:numPr>
        <w:spacing w:line="560" w:lineRule="exact"/>
        <w:ind w:firstLine="640"/>
        <w:outlineLvl w:val="1"/>
        <w:rPr>
          <w:rStyle w:val="199"/>
          <w:rFonts w:ascii="Times New Roman" w:hAnsi="Times New Roman" w:eastAsia="黑体"/>
          <w:b w:val="0"/>
          <w:i w:val="0"/>
        </w:rPr>
      </w:pPr>
      <w:bookmarkStart w:id="79" w:name="_Toc13293"/>
      <w:r>
        <w:rPr>
          <w:rStyle w:val="199"/>
          <w:rFonts w:ascii="Times New Roman" w:hAnsi="Times New Roman" w:eastAsia="黑体"/>
          <w:b w:val="0"/>
          <w:i w:val="0"/>
        </w:rPr>
        <w:t>其他重要事项的情况说明</w:t>
      </w:r>
      <w:bookmarkEnd w:id="77"/>
      <w:bookmarkEnd w:id="78"/>
      <w:bookmarkEnd w:id="79"/>
    </w:p>
    <w:p w14:paraId="6F80467B">
      <w:pPr>
        <w:spacing w:line="560" w:lineRule="exact"/>
        <w:ind w:firstLine="632"/>
        <w:jc w:val="left"/>
        <w:outlineLvl w:val="2"/>
        <w:rPr>
          <w:rFonts w:eastAsia="楷体_GB2312"/>
          <w:b/>
          <w:bCs/>
          <w:szCs w:val="32"/>
        </w:rPr>
      </w:pPr>
      <w:bookmarkStart w:id="80" w:name="_Toc28998"/>
      <w:bookmarkStart w:id="81" w:name="_Toc15377222"/>
      <w:r>
        <w:rPr>
          <w:rFonts w:eastAsia="楷体_GB2312"/>
          <w:b/>
          <w:bCs/>
          <w:szCs w:val="32"/>
        </w:rPr>
        <w:t>（一）机关运行经费支出情况</w:t>
      </w:r>
      <w:bookmarkEnd w:id="80"/>
      <w:bookmarkEnd w:id="81"/>
    </w:p>
    <w:p w14:paraId="78844AB8">
      <w:pPr>
        <w:spacing w:line="600" w:lineRule="exact"/>
        <w:ind w:firstLine="640"/>
        <w:rPr>
          <w:rFonts w:hint="eastAsia" w:ascii="仿宋" w:hAnsi="仿宋" w:eastAsia="仿宋" w:cs="仿宋"/>
          <w:color w:val="000000"/>
          <w:szCs w:val="32"/>
        </w:rPr>
      </w:pPr>
      <w:bookmarkStart w:id="82" w:name="_Toc15377223"/>
      <w:r>
        <w:rPr>
          <w:rFonts w:hint="eastAsia" w:ascii="仿宋" w:hAnsi="仿宋" w:eastAsia="仿宋" w:cs="仿宋"/>
          <w:color w:val="000000"/>
          <w:szCs w:val="32"/>
        </w:rPr>
        <w:t>2024年度，遂宁市安居区司法局机关运行经费支出120.22万元。</w:t>
      </w:r>
      <w:r>
        <w:rPr>
          <w:rFonts w:hint="eastAsia" w:ascii="仿宋" w:hAnsi="仿宋" w:eastAsia="仿宋" w:cs="仿宋"/>
          <w:kern w:val="2"/>
          <w:szCs w:val="32"/>
        </w:rPr>
        <w:t>比2023年度增加15.87万元，增长15.2%。主要原因是</w:t>
      </w:r>
      <w:r>
        <w:rPr>
          <w:rFonts w:hint="eastAsia" w:ascii="仿宋" w:hAnsi="仿宋" w:eastAsia="仿宋" w:cs="仿宋"/>
          <w:szCs w:val="32"/>
        </w:rPr>
        <w:t>单位加强了对行政执法人员的培训，单位工作量增加。</w:t>
      </w:r>
    </w:p>
    <w:p w14:paraId="49C0FA5C">
      <w:pPr>
        <w:spacing w:line="560" w:lineRule="exact"/>
        <w:ind w:firstLine="632"/>
        <w:jc w:val="left"/>
        <w:outlineLvl w:val="2"/>
        <w:rPr>
          <w:rFonts w:eastAsia="楷体_GB2312"/>
          <w:b/>
          <w:bCs/>
          <w:szCs w:val="32"/>
        </w:rPr>
      </w:pPr>
      <w:bookmarkStart w:id="83" w:name="_Toc30155"/>
      <w:r>
        <w:rPr>
          <w:rFonts w:eastAsia="楷体_GB2312"/>
          <w:b/>
          <w:bCs/>
          <w:szCs w:val="32"/>
        </w:rPr>
        <w:t>（二）政府采购支出情况</w:t>
      </w:r>
      <w:bookmarkEnd w:id="82"/>
      <w:bookmarkEnd w:id="83"/>
    </w:p>
    <w:p w14:paraId="071A8CA2">
      <w:pPr>
        <w:spacing w:line="560" w:lineRule="exact"/>
        <w:ind w:firstLine="632"/>
        <w:rPr>
          <w:rFonts w:hint="eastAsia" w:ascii="仿宋" w:hAnsi="仿宋" w:eastAsia="仿宋" w:cs="仿宋"/>
          <w:szCs w:val="32"/>
        </w:rPr>
      </w:pPr>
      <w:r>
        <w:rPr>
          <w:rFonts w:hint="eastAsia" w:ascii="仿宋" w:hAnsi="仿宋" w:eastAsia="仿宋" w:cs="仿宋"/>
          <w:szCs w:val="32"/>
        </w:rPr>
        <w:t>2024年度，</w:t>
      </w:r>
      <w:r>
        <w:rPr>
          <w:rFonts w:hint="eastAsia" w:ascii="仿宋" w:hAnsi="仿宋" w:eastAsia="仿宋" w:cs="仿宋"/>
          <w:color w:val="000000"/>
          <w:szCs w:val="32"/>
        </w:rPr>
        <w:t>遂宁市安居区司法局</w:t>
      </w:r>
      <w:r>
        <w:rPr>
          <w:rFonts w:hint="eastAsia" w:ascii="仿宋" w:hAnsi="仿宋" w:eastAsia="仿宋" w:cs="仿宋"/>
          <w:szCs w:val="32"/>
        </w:rPr>
        <w:t>政府采购支出总额</w:t>
      </w:r>
      <w:r>
        <w:rPr>
          <w:rFonts w:hint="eastAsia" w:ascii="仿宋" w:hAnsi="仿宋" w:eastAsia="仿宋" w:cs="仿宋"/>
          <w:szCs w:val="32"/>
          <w:lang w:val="en-US" w:eastAsia="zh-CN"/>
        </w:rPr>
        <w:t>6</w:t>
      </w:r>
      <w:r>
        <w:rPr>
          <w:rFonts w:hint="eastAsia" w:ascii="仿宋" w:hAnsi="仿宋" w:eastAsia="仿宋" w:cs="仿宋"/>
          <w:szCs w:val="32"/>
        </w:rPr>
        <w:t>5.</w:t>
      </w:r>
      <w:r>
        <w:rPr>
          <w:rFonts w:hint="eastAsia" w:ascii="仿宋" w:hAnsi="仿宋" w:eastAsia="仿宋" w:cs="仿宋"/>
          <w:szCs w:val="32"/>
          <w:lang w:val="en-US" w:eastAsia="zh-CN"/>
        </w:rPr>
        <w:t>23</w:t>
      </w:r>
      <w:r>
        <w:rPr>
          <w:rFonts w:hint="eastAsia" w:ascii="仿宋" w:hAnsi="仿宋" w:eastAsia="仿宋" w:cs="仿宋"/>
          <w:szCs w:val="32"/>
        </w:rPr>
        <w:t>万元，其中：政府采购货物支出</w:t>
      </w:r>
      <w:r>
        <w:rPr>
          <w:rFonts w:hint="eastAsia" w:ascii="仿宋" w:hAnsi="仿宋" w:eastAsia="仿宋" w:cs="仿宋"/>
          <w:szCs w:val="32"/>
          <w:lang w:val="en-US" w:eastAsia="zh-CN"/>
        </w:rPr>
        <w:t>12.27</w:t>
      </w:r>
      <w:r>
        <w:rPr>
          <w:rFonts w:hint="eastAsia" w:ascii="仿宋" w:hAnsi="仿宋" w:eastAsia="仿宋" w:cs="仿宋"/>
          <w:szCs w:val="32"/>
        </w:rPr>
        <w:t>万元、政府采购工程支出0万元、政府采购服务支出</w:t>
      </w:r>
      <w:r>
        <w:rPr>
          <w:rFonts w:hint="eastAsia" w:ascii="仿宋" w:hAnsi="仿宋" w:eastAsia="仿宋" w:cs="仿宋"/>
          <w:szCs w:val="32"/>
          <w:lang w:val="en-US" w:eastAsia="zh-CN"/>
        </w:rPr>
        <w:t>52.96</w:t>
      </w:r>
      <w:r>
        <w:rPr>
          <w:rFonts w:hint="eastAsia" w:ascii="仿宋" w:hAnsi="仿宋" w:eastAsia="仿宋" w:cs="仿宋"/>
          <w:szCs w:val="32"/>
        </w:rPr>
        <w:t>万元。授予中小企业合同金额5.4万元，占政府采购支出总额的0%，其中：授予小微企业合同金额0万元，占政府采购支出总额的0%。</w:t>
      </w:r>
    </w:p>
    <w:p w14:paraId="56A690D4">
      <w:pPr>
        <w:spacing w:line="560" w:lineRule="exact"/>
        <w:ind w:firstLine="632"/>
        <w:jc w:val="left"/>
        <w:outlineLvl w:val="2"/>
        <w:rPr>
          <w:rFonts w:eastAsia="楷体_GB2312"/>
          <w:b/>
          <w:bCs/>
          <w:szCs w:val="32"/>
        </w:rPr>
      </w:pPr>
      <w:bookmarkStart w:id="84" w:name="_Toc21952"/>
      <w:bookmarkStart w:id="85" w:name="_Toc15377224"/>
      <w:r>
        <w:rPr>
          <w:rFonts w:eastAsia="楷体_GB2312"/>
          <w:b/>
          <w:bCs/>
          <w:szCs w:val="32"/>
        </w:rPr>
        <w:t>（三）国有资产占有使用情况</w:t>
      </w:r>
      <w:bookmarkEnd w:id="84"/>
      <w:bookmarkEnd w:id="85"/>
    </w:p>
    <w:p w14:paraId="6F753FC7">
      <w:pPr>
        <w:spacing w:line="560" w:lineRule="exact"/>
        <w:ind w:firstLine="632"/>
        <w:jc w:val="left"/>
        <w:rPr>
          <w:rFonts w:hint="eastAsia" w:ascii="仿宋" w:hAnsi="仿宋" w:eastAsia="仿宋" w:cs="仿宋"/>
          <w:szCs w:val="32"/>
        </w:rPr>
      </w:pPr>
      <w:r>
        <w:rPr>
          <w:rFonts w:hint="eastAsia" w:ascii="仿宋" w:hAnsi="仿宋" w:eastAsia="仿宋" w:cs="仿宋"/>
          <w:szCs w:val="32"/>
        </w:rPr>
        <w:t>截至2024年12月31日，</w:t>
      </w:r>
      <w:r>
        <w:rPr>
          <w:rFonts w:hint="eastAsia" w:ascii="仿宋" w:hAnsi="仿宋" w:eastAsia="仿宋" w:cs="仿宋"/>
          <w:color w:val="000000"/>
          <w:szCs w:val="32"/>
        </w:rPr>
        <w:t>遂宁市安居区司法局</w:t>
      </w:r>
      <w:r>
        <w:rPr>
          <w:rFonts w:hint="eastAsia" w:ascii="仿宋" w:hAnsi="仿宋" w:eastAsia="仿宋" w:cs="仿宋"/>
          <w:szCs w:val="32"/>
        </w:rPr>
        <w:t>共有车辆2辆，其中：主要领导干部用车0辆、机要通信用车0辆、应急保障用车0辆、其他用车0辆、执法执勤用车2辆，主要是用于</w:t>
      </w:r>
      <w:r>
        <w:rPr>
          <w:rFonts w:hint="eastAsia" w:ascii="仿宋" w:hAnsi="仿宋" w:eastAsia="仿宋" w:cs="仿宋"/>
          <w:color w:val="000000"/>
          <w:szCs w:val="32"/>
        </w:rPr>
        <w:t>保障单位工作人员执行公务活动等工作</w:t>
      </w:r>
      <w:r>
        <w:rPr>
          <w:rFonts w:hint="eastAsia" w:ascii="仿宋" w:hAnsi="仿宋" w:eastAsia="仿宋" w:cs="仿宋"/>
          <w:szCs w:val="32"/>
        </w:rPr>
        <w:t>。单价100万元以上设备（不含车辆）0台（套）。</w:t>
      </w:r>
    </w:p>
    <w:p w14:paraId="1FC655C7">
      <w:pPr>
        <w:numPr>
          <w:ilvl w:val="0"/>
          <w:numId w:val="0"/>
        </w:numPr>
        <w:spacing w:line="560" w:lineRule="exact"/>
        <w:ind w:firstLine="643" w:firstLineChars="200"/>
        <w:jc w:val="left"/>
        <w:outlineLvl w:val="2"/>
      </w:pPr>
      <w:bookmarkStart w:id="86" w:name="_Toc17351"/>
      <w:r>
        <w:rPr>
          <w:rFonts w:hint="eastAsia" w:eastAsia="楷体_GB2312"/>
          <w:b/>
          <w:bCs/>
          <w:szCs w:val="32"/>
          <w:lang w:eastAsia="zh-CN"/>
        </w:rPr>
        <w:t>（</w:t>
      </w:r>
      <w:r>
        <w:rPr>
          <w:rFonts w:hint="eastAsia" w:eastAsia="楷体_GB2312"/>
          <w:b/>
          <w:bCs/>
          <w:szCs w:val="32"/>
          <w:lang w:val="en-US" w:eastAsia="zh-CN"/>
        </w:rPr>
        <w:t>四）</w:t>
      </w:r>
      <w:r>
        <w:rPr>
          <w:rFonts w:eastAsia="楷体_GB2312"/>
          <w:b/>
          <w:bCs/>
          <w:szCs w:val="32"/>
        </w:rPr>
        <w:t>预算绩效管理情况</w:t>
      </w:r>
      <w:bookmarkEnd w:id="86"/>
    </w:p>
    <w:p w14:paraId="759AF667">
      <w:pPr>
        <w:spacing w:line="360" w:lineRule="auto"/>
        <w:ind w:firstLine="629"/>
        <w:rPr>
          <w:color w:val="FF0000"/>
          <w:szCs w:val="32"/>
        </w:rPr>
      </w:pPr>
      <w:r>
        <w:rPr>
          <w:rFonts w:hint="eastAsia" w:ascii="仿宋" w:hAnsi="仿宋" w:eastAsia="仿宋" w:cs="仿宋"/>
          <w:color w:val="000000"/>
          <w:szCs w:val="32"/>
        </w:rPr>
        <w:t>根据预算绩效管理要求，本部门在2024年度预算编制阶段，组织对</w:t>
      </w:r>
      <w:bookmarkStart w:id="87" w:name="OLE_LINK23"/>
      <w:bookmarkStart w:id="88" w:name="OLE_LINK24"/>
      <w:r>
        <w:rPr>
          <w:rFonts w:hint="eastAsia" w:ascii="仿宋" w:hAnsi="仿宋" w:eastAsia="仿宋" w:cs="仿宋"/>
          <w:szCs w:val="32"/>
        </w:rPr>
        <w:t>2023智慧矫正中心建设、普法宣传、案件代理、安置帮教、采购社区矫正服务、采购公共法律服务、法律援助、购买一村一法律顾问、购买政府法律顾问服务、社区矫正办公经费、五大调解及调解员调解案件补贴、依法治区</w:t>
      </w:r>
      <w:bookmarkEnd w:id="87"/>
      <w:bookmarkEnd w:id="88"/>
      <w:r>
        <w:rPr>
          <w:rFonts w:hint="eastAsia" w:ascii="仿宋" w:hAnsi="仿宋" w:eastAsia="仿宋" w:cs="仿宋"/>
          <w:szCs w:val="32"/>
        </w:rPr>
        <w:t>11个项目开展</w:t>
      </w:r>
      <w:r>
        <w:rPr>
          <w:rFonts w:hint="eastAsia" w:ascii="仿宋" w:hAnsi="仿宋" w:eastAsia="仿宋" w:cs="仿宋"/>
          <w:color w:val="000000"/>
          <w:szCs w:val="32"/>
        </w:rPr>
        <w:t>了预算事前绩效评估，对11个项目编制了绩效目标，预算执行过程中，选取11个项目开展绩效监控。组织对2024年度一般公共预算、政府性基金预算、国有资本经营预算、社会保险基金预算以及资本资产、债券资金等全面开展绩效自评，形成遂宁市安居区司法局部门整体（含部门预算项目）绩效自评报告、采购社区矫正服务、采购公共法律服务、2023智慧矫正中心建设等专项预算项目绩效自评报告，其中，遂宁市安居区司法局部门整体（含部门预算项目）绩效自评得分为88.49分，绩效自评综述：保障了司法局在职人员及离退休人员的正常办公、生活秩序，做好了民生实事工作，法律援助做到应援尽援，维护弱势群体的合法权益，做好了普法宣传工作，提升公民的整体法治意识和法律素养，确保了社区矫正对象无脱管、漏管现象发生。做好安置帮教工作，预防和减少二次犯罪，切实维护县域和谐稳定，依法依规及时进行人民调解，将矛盾化解在基层，充分发挥第一道防线的作用。采购社区矫正服务专项预算项目绩效自评得分为98分，绩效自评综述：</w:t>
      </w:r>
      <w:r>
        <w:rPr>
          <w:rFonts w:hint="eastAsia" w:ascii="仿宋" w:hAnsi="仿宋" w:eastAsia="仿宋" w:cs="仿宋"/>
          <w:color w:val="000000"/>
        </w:rPr>
        <w:t>规范社区矫正对象教育管理。常态化开展执法检查、“三新”教育活动，定期召开风险研判分析会议与工作例会，联合民盟安居总支启动“黄丝带”帮教活动，全年共办理调查评估166件，列管社区矫正对象446人</w:t>
      </w:r>
      <w:r>
        <w:rPr>
          <w:rFonts w:hint="eastAsia" w:ascii="仿宋" w:hAnsi="仿宋" w:eastAsia="仿宋" w:cs="仿宋"/>
          <w:color w:val="000000"/>
          <w:szCs w:val="32"/>
        </w:rPr>
        <w:t>；采购</w:t>
      </w:r>
      <w:r>
        <w:rPr>
          <w:rFonts w:hint="eastAsia" w:ascii="仿宋" w:hAnsi="仿宋" w:eastAsia="仿宋" w:cs="仿宋"/>
          <w:color w:val="000000"/>
        </w:rPr>
        <w:t>公共法</w:t>
      </w:r>
      <w:r>
        <w:rPr>
          <w:rFonts w:hint="eastAsia" w:ascii="仿宋" w:hAnsi="仿宋" w:eastAsia="仿宋" w:cs="仿宋"/>
          <w:color w:val="000000"/>
          <w:szCs w:val="32"/>
        </w:rPr>
        <w:t>律服务专项预算项目绩效自评得分为99.4分，绩效自评综述依托公共法律服务中心建成安居区“一站式”矛盾纠纷多元化解平台，整合诉讼服务、检察服务、信访服务、人民调解、法律援助、行政复议、公证服务，实现群众办理涉法事务“只跑一次”。全年共协调化解重大矛盾纠纷14件，办理公证事项713件；2023</w:t>
      </w:r>
      <w:r>
        <w:rPr>
          <w:rFonts w:hint="eastAsia" w:ascii="仿宋" w:hAnsi="仿宋" w:eastAsia="仿宋" w:cs="仿宋"/>
          <w:color w:val="000000"/>
        </w:rPr>
        <w:t>智慧矫正中</w:t>
      </w:r>
      <w:r>
        <w:rPr>
          <w:rFonts w:hint="eastAsia" w:ascii="仿宋" w:hAnsi="仿宋" w:eastAsia="仿宋" w:cs="仿宋"/>
          <w:color w:val="000000"/>
          <w:szCs w:val="32"/>
        </w:rPr>
        <w:t>心建设专项预算项目绩效自评得分为98.87分，绩效自评综述：一是新建社区矫正场所。争取到国有资产临街门面房600平方米，作为创建部级“智慧矫正中心”的场地，并投入100余万元按照司法部《社区矫正中心建设规范》进行了装修，设置了综合管理区、监督管理区和教育帮扶区，设置心理辅导室、宣泄室、图书阅览室等功能室。二是优化升级社区矫正中心智能信息化软硬件，推动社区矫正中心向“智慧矫正中心”转变。投入50余万元，新建了指挥中心，新增了自助矫正终端、手持移动终端、心理矫治设备、VR沉浸式教育设备等智慧矫正设备，打造了集报到登记、日常监管、视频督查、手机定位等一体化的智能化社区矫正中心，有效提高社区矫正监管教育智能化水平和精准程度，成为全国第二批部级“智慧矫正中心”申报单位。绩效自评报告详见附件。</w:t>
      </w:r>
    </w:p>
    <w:p w14:paraId="309BF73C">
      <w:pPr>
        <w:spacing w:line="600" w:lineRule="exact"/>
        <w:jc w:val="both"/>
        <w:outlineLvl w:val="0"/>
        <w:rPr>
          <w:rFonts w:eastAsia="方正小标宋简体"/>
          <w:sz w:val="44"/>
          <w:szCs w:val="44"/>
        </w:rPr>
      </w:pPr>
      <w:bookmarkStart w:id="89" w:name="_Toc3245"/>
      <w:bookmarkStart w:id="90" w:name="_Toc15396613"/>
      <w:bookmarkStart w:id="91" w:name="_Toc15377225"/>
    </w:p>
    <w:p w14:paraId="43079EDE">
      <w:pPr>
        <w:pStyle w:val="2"/>
        <w:numPr>
          <w:ilvl w:val="0"/>
          <w:numId w:val="0"/>
        </w:numPr>
        <w:ind w:leftChars="0"/>
      </w:pPr>
    </w:p>
    <w:p w14:paraId="060F14A3">
      <w:pPr>
        <w:spacing w:line="600" w:lineRule="exact"/>
        <w:jc w:val="center"/>
        <w:outlineLvl w:val="0"/>
        <w:rPr>
          <w:rStyle w:val="198"/>
          <w:rFonts w:eastAsia="黑体"/>
          <w:b w:val="0"/>
          <w:bCs w:val="0"/>
        </w:rPr>
      </w:pPr>
      <w:r>
        <w:rPr>
          <w:rFonts w:eastAsia="方正小标宋简体"/>
          <w:sz w:val="44"/>
          <w:szCs w:val="44"/>
        </w:rPr>
        <w:t>第三部分 名</w:t>
      </w:r>
      <w:r>
        <w:rPr>
          <w:rStyle w:val="198"/>
          <w:rFonts w:eastAsia="方正小标宋简体"/>
          <w:b w:val="0"/>
          <w:bCs w:val="0"/>
        </w:rPr>
        <w:t>词解释</w:t>
      </w:r>
      <w:bookmarkEnd w:id="89"/>
      <w:bookmarkEnd w:id="90"/>
      <w:bookmarkEnd w:id="91"/>
    </w:p>
    <w:p w14:paraId="1CB22D86">
      <w:pPr>
        <w:spacing w:line="600" w:lineRule="exact"/>
        <w:jc w:val="left"/>
        <w:rPr>
          <w:sz w:val="44"/>
          <w:szCs w:val="44"/>
        </w:rPr>
      </w:pPr>
    </w:p>
    <w:p w14:paraId="67697810">
      <w:pPr>
        <w:pStyle w:val="221"/>
        <w:numPr>
          <w:ilvl w:val="0"/>
          <w:numId w:val="6"/>
        </w:numPr>
        <w:spacing w:line="360" w:lineRule="auto"/>
        <w:ind w:firstLine="632"/>
        <w:rPr>
          <w:rFonts w:hint="eastAsia" w:ascii="仿宋" w:hAnsi="仿宋" w:eastAsia="仿宋" w:cs="仿宋"/>
          <w:sz w:val="32"/>
          <w:szCs w:val="32"/>
        </w:rPr>
      </w:pPr>
      <w:r>
        <w:rPr>
          <w:rFonts w:hint="eastAsia" w:ascii="仿宋" w:hAnsi="仿宋" w:eastAsia="仿宋" w:cs="仿宋"/>
          <w:sz w:val="32"/>
          <w:szCs w:val="32"/>
        </w:rPr>
        <w:t>财政拨款收入：指单位从同级财政部门取得的财政预算资金。</w:t>
      </w:r>
    </w:p>
    <w:p w14:paraId="0EE18998">
      <w:pPr>
        <w:spacing w:line="360" w:lineRule="auto"/>
        <w:ind w:firstLine="640"/>
        <w:rPr>
          <w:rFonts w:hint="eastAsia" w:ascii="仿宋" w:hAnsi="仿宋" w:eastAsia="仿宋" w:cs="仿宋"/>
          <w:kern w:val="2"/>
          <w:szCs w:val="32"/>
        </w:rPr>
      </w:pPr>
      <w:r>
        <w:rPr>
          <w:rFonts w:hint="eastAsia" w:ascii="仿宋" w:hAnsi="仿宋" w:eastAsia="仿宋" w:cs="仿宋"/>
          <w:kern w:val="2"/>
          <w:szCs w:val="32"/>
        </w:rPr>
        <w:t xml:space="preserve">2.使用非财政拨款结余（含专用结余）：指事业单位使用以前年度积累的非财政拨款结余弥补当年收支差额的金额。 </w:t>
      </w:r>
    </w:p>
    <w:p w14:paraId="2F1745CF">
      <w:pPr>
        <w:spacing w:line="360" w:lineRule="auto"/>
        <w:ind w:firstLine="640"/>
        <w:rPr>
          <w:rFonts w:hint="eastAsia" w:ascii="仿宋" w:hAnsi="仿宋" w:eastAsia="仿宋" w:cs="仿宋"/>
          <w:kern w:val="2"/>
          <w:szCs w:val="32"/>
        </w:rPr>
      </w:pPr>
      <w:r>
        <w:rPr>
          <w:rFonts w:hint="eastAsia" w:ascii="仿宋" w:hAnsi="仿宋" w:eastAsia="仿宋" w:cs="仿宋"/>
          <w:kern w:val="2"/>
          <w:szCs w:val="32"/>
        </w:rPr>
        <w:t xml:space="preserve">3.年初结转和结余：指以前年度尚未完成、结转到本年按有关规定继续使用的资金。 </w:t>
      </w:r>
    </w:p>
    <w:p w14:paraId="46CF5423">
      <w:pPr>
        <w:spacing w:line="360" w:lineRule="auto"/>
        <w:ind w:firstLine="640"/>
        <w:rPr>
          <w:rFonts w:hint="eastAsia" w:ascii="仿宋" w:hAnsi="仿宋" w:eastAsia="仿宋" w:cs="仿宋"/>
          <w:kern w:val="2"/>
          <w:szCs w:val="32"/>
        </w:rPr>
      </w:pPr>
      <w:r>
        <w:rPr>
          <w:rFonts w:hint="eastAsia" w:ascii="仿宋" w:hAnsi="仿宋" w:eastAsia="仿宋" w:cs="仿宋"/>
          <w:kern w:val="2"/>
          <w:szCs w:val="32"/>
        </w:rPr>
        <w:t>4.结余分配：指事业单位按照会计制度规定缴纳的所得税、提取的专用结余以及转入非财政拨款结余的金额等。</w:t>
      </w:r>
    </w:p>
    <w:p w14:paraId="17ABFBD6">
      <w:pPr>
        <w:pStyle w:val="221"/>
        <w:spacing w:line="360" w:lineRule="auto"/>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5.年末结转和结余：指单位按有关规定结转到下年或以后年度继续使用的资金。</w:t>
      </w:r>
    </w:p>
    <w:p w14:paraId="79EF8774">
      <w:pPr>
        <w:pStyle w:val="221"/>
        <w:spacing w:line="360" w:lineRule="auto"/>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6.一般公共服务支出（201）其他一般公共服务支出</w:t>
      </w:r>
      <w:r>
        <w:rPr>
          <w:rFonts w:hint="eastAsia" w:ascii="仿宋" w:hAnsi="仿宋" w:eastAsia="仿宋" w:cs="仿宋"/>
          <w:sz w:val="32"/>
          <w:szCs w:val="32"/>
        </w:rPr>
        <w:t>（99）其他一般公共服务支出（99）：指除事业运行、机关服务、行政运行、一般行政管理事务等以外的其他一般公共服务支出。</w:t>
      </w:r>
    </w:p>
    <w:p w14:paraId="3F1204B6">
      <w:pPr>
        <w:spacing w:line="360" w:lineRule="auto"/>
        <w:ind w:firstLine="632"/>
        <w:rPr>
          <w:rFonts w:hint="eastAsia" w:ascii="仿宋" w:hAnsi="仿宋" w:eastAsia="仿宋" w:cs="仿宋"/>
          <w:bCs/>
          <w:szCs w:val="32"/>
        </w:rPr>
      </w:pPr>
      <w:bookmarkStart w:id="92" w:name="OLE_LINK26"/>
      <w:bookmarkStart w:id="93" w:name="OLE_LINK25"/>
      <w:r>
        <w:rPr>
          <w:rFonts w:hint="eastAsia" w:ascii="仿宋" w:hAnsi="仿宋" w:eastAsia="仿宋" w:cs="仿宋"/>
          <w:bCs/>
          <w:szCs w:val="32"/>
        </w:rPr>
        <w:t>7.公共安全支出（204）司法（06）行政运行（01）:指行政单位（包括实行公务员管理的事业单位）的基本支出。</w:t>
      </w:r>
    </w:p>
    <w:p w14:paraId="732C931E">
      <w:pPr>
        <w:spacing w:line="360" w:lineRule="auto"/>
        <w:ind w:firstLine="632"/>
        <w:rPr>
          <w:rFonts w:hint="eastAsia" w:ascii="仿宋" w:hAnsi="仿宋" w:eastAsia="仿宋" w:cs="仿宋"/>
          <w:bCs/>
          <w:szCs w:val="32"/>
        </w:rPr>
      </w:pPr>
      <w:r>
        <w:rPr>
          <w:rFonts w:hint="eastAsia" w:ascii="仿宋" w:hAnsi="仿宋" w:eastAsia="仿宋" w:cs="仿宋"/>
          <w:bCs/>
          <w:szCs w:val="32"/>
        </w:rPr>
        <w:t>8.公共安全支出(204）司法(06）公共法律服务（07）:指各级法律援助机构用于开展法律援助工作的支出。</w:t>
      </w:r>
    </w:p>
    <w:p w14:paraId="040768EB">
      <w:pPr>
        <w:spacing w:line="360" w:lineRule="auto"/>
        <w:ind w:firstLine="632"/>
        <w:rPr>
          <w:rFonts w:hint="eastAsia" w:ascii="仿宋" w:hAnsi="仿宋" w:eastAsia="仿宋" w:cs="仿宋"/>
          <w:bCs/>
          <w:szCs w:val="32"/>
        </w:rPr>
      </w:pPr>
      <w:r>
        <w:rPr>
          <w:rFonts w:hint="eastAsia" w:ascii="仿宋" w:hAnsi="仿宋" w:eastAsia="仿宋" w:cs="仿宋"/>
          <w:bCs/>
          <w:szCs w:val="32"/>
        </w:rPr>
        <w:t>9.公共安全支出（204）司法（06）信息化建设（13）:指信息化建设及运行维护等方面的支出。</w:t>
      </w:r>
    </w:p>
    <w:p w14:paraId="2CC567DA">
      <w:pPr>
        <w:spacing w:line="360" w:lineRule="auto"/>
        <w:ind w:firstLine="632"/>
        <w:rPr>
          <w:rFonts w:hint="eastAsia" w:ascii="仿宋" w:hAnsi="仿宋" w:eastAsia="仿宋" w:cs="仿宋"/>
          <w:bCs/>
          <w:szCs w:val="32"/>
        </w:rPr>
      </w:pPr>
      <w:bookmarkStart w:id="94" w:name="_Toc143805828"/>
      <w:r>
        <w:rPr>
          <w:rFonts w:hint="eastAsia" w:ascii="仿宋" w:hAnsi="仿宋" w:eastAsia="仿宋" w:cs="仿宋"/>
          <w:bCs/>
          <w:szCs w:val="32"/>
        </w:rPr>
        <w:t>10.公共安全支出（204）司法（06）事业运行（50）:指事业单位的基本支出，不包括行政单位（包括实行公务员管理的事业单位）后勤服务中心、医务室等附属事业单位。</w:t>
      </w:r>
      <w:bookmarkEnd w:id="94"/>
    </w:p>
    <w:p w14:paraId="4C09371B">
      <w:pPr>
        <w:spacing w:line="360" w:lineRule="auto"/>
        <w:ind w:firstLine="632"/>
        <w:rPr>
          <w:rFonts w:hint="eastAsia" w:ascii="仿宋" w:hAnsi="仿宋" w:eastAsia="仿宋" w:cs="仿宋"/>
        </w:rPr>
      </w:pPr>
      <w:r>
        <w:rPr>
          <w:rFonts w:hint="eastAsia" w:ascii="仿宋" w:hAnsi="仿宋" w:eastAsia="仿宋" w:cs="仿宋"/>
          <w:bCs/>
          <w:szCs w:val="32"/>
        </w:rPr>
        <w:t>11.公共安全支出（204）司法（06）其他司法支出(99）: 指司法行政部门发生的法学研究费、司法协助费、典型推广和表彰费、证书工本费等支出。</w:t>
      </w:r>
    </w:p>
    <w:p w14:paraId="39B405E7">
      <w:pPr>
        <w:pStyle w:val="13"/>
        <w:numPr>
          <w:ilvl w:val="0"/>
          <w:numId w:val="0"/>
        </w:numPr>
        <w:spacing w:line="360" w:lineRule="auto"/>
        <w:ind w:firstLine="632"/>
        <w:rPr>
          <w:rFonts w:hint="eastAsia" w:ascii="仿宋" w:hAnsi="仿宋" w:eastAsia="仿宋" w:cs="仿宋"/>
          <w:color w:val="000000"/>
          <w:szCs w:val="32"/>
        </w:rPr>
      </w:pPr>
      <w:r>
        <w:rPr>
          <w:rFonts w:hint="eastAsia" w:ascii="仿宋" w:hAnsi="仿宋" w:eastAsia="仿宋" w:cs="仿宋"/>
          <w:color w:val="000000"/>
          <w:szCs w:val="32"/>
        </w:rPr>
        <w:t>12.社会保障和就业（208）行政事业单位养老支出（05）行政单位离退休（01）：指行政单位（包括实行公务员管理的事业单位）开支的离退休经费。</w:t>
      </w:r>
    </w:p>
    <w:p w14:paraId="188D00EB">
      <w:pPr>
        <w:spacing w:line="360" w:lineRule="auto"/>
        <w:ind w:firstLine="632"/>
        <w:rPr>
          <w:rFonts w:hint="eastAsia" w:ascii="仿宋" w:hAnsi="仿宋" w:eastAsia="仿宋" w:cs="仿宋"/>
        </w:rPr>
      </w:pPr>
      <w:r>
        <w:rPr>
          <w:rFonts w:hint="eastAsia" w:ascii="仿宋" w:hAnsi="仿宋" w:eastAsia="仿宋" w:cs="仿宋"/>
          <w:color w:val="000000"/>
          <w:szCs w:val="32"/>
        </w:rPr>
        <w:t>13.社会保障和就业（208）行政事业单位养老支出（05）机关事业单位基本养老保险缴费支出（05）：指机关事业单位实施养老保险制度由单位缴纳的基本养老保险费支出。</w:t>
      </w:r>
    </w:p>
    <w:p w14:paraId="4CB6272F">
      <w:pPr>
        <w:spacing w:line="360" w:lineRule="auto"/>
        <w:ind w:firstLine="632"/>
        <w:rPr>
          <w:rFonts w:hint="eastAsia" w:ascii="仿宋" w:hAnsi="仿宋" w:eastAsia="仿宋" w:cs="仿宋"/>
          <w:color w:val="000000"/>
          <w:szCs w:val="32"/>
        </w:rPr>
      </w:pPr>
      <w:r>
        <w:rPr>
          <w:rFonts w:hint="eastAsia" w:ascii="仿宋" w:hAnsi="仿宋" w:eastAsia="仿宋" w:cs="仿宋"/>
          <w:color w:val="000000"/>
          <w:szCs w:val="32"/>
        </w:rPr>
        <w:t>14.社会保障和就业支出（208）其他社会保障和就业支出（99）其他社会保障和就业支出（99）：</w:t>
      </w:r>
      <w:r>
        <w:rPr>
          <w:rStyle w:val="39"/>
          <w:rFonts w:hint="eastAsia" w:ascii="仿宋" w:hAnsi="仿宋" w:eastAsia="仿宋" w:cs="仿宋"/>
          <w:b w:val="0"/>
          <w:color w:val="000000"/>
          <w:szCs w:val="32"/>
        </w:rPr>
        <w:t>指除上述项目以外其他用于</w:t>
      </w:r>
      <w:r>
        <w:rPr>
          <w:rFonts w:hint="eastAsia" w:ascii="仿宋" w:hAnsi="仿宋" w:eastAsia="仿宋" w:cs="仿宋"/>
          <w:color w:val="000000"/>
          <w:szCs w:val="32"/>
        </w:rPr>
        <w:t>社会保障和就业</w:t>
      </w:r>
      <w:r>
        <w:rPr>
          <w:rStyle w:val="39"/>
          <w:rFonts w:hint="eastAsia" w:ascii="仿宋" w:hAnsi="仿宋" w:eastAsia="仿宋" w:cs="仿宋"/>
          <w:b w:val="0"/>
          <w:color w:val="000000"/>
          <w:szCs w:val="32"/>
        </w:rPr>
        <w:t>方面的支出。</w:t>
      </w:r>
    </w:p>
    <w:p w14:paraId="5B6D117D">
      <w:pPr>
        <w:spacing w:line="360" w:lineRule="auto"/>
        <w:ind w:firstLine="632"/>
        <w:rPr>
          <w:rStyle w:val="39"/>
          <w:rFonts w:hint="eastAsia" w:ascii="仿宋" w:hAnsi="仿宋" w:eastAsia="仿宋" w:cs="仿宋"/>
          <w:b w:val="0"/>
          <w:color w:val="000000"/>
          <w:szCs w:val="32"/>
        </w:rPr>
      </w:pPr>
      <w:r>
        <w:rPr>
          <w:rStyle w:val="39"/>
          <w:rFonts w:hint="eastAsia" w:ascii="仿宋" w:hAnsi="仿宋" w:eastAsia="仿宋" w:cs="仿宋"/>
          <w:b w:val="0"/>
          <w:color w:val="000000"/>
          <w:szCs w:val="32"/>
        </w:rPr>
        <w:t>15.</w:t>
      </w:r>
      <w:r>
        <w:rPr>
          <w:rFonts w:hint="eastAsia" w:ascii="仿宋" w:hAnsi="仿宋" w:eastAsia="仿宋" w:cs="仿宋"/>
          <w:color w:val="000000"/>
          <w:szCs w:val="32"/>
        </w:rPr>
        <w:t>卫生健康支出（210）行政事业单位医疗（11）行政单位医疗（01）：指财政部门安排的行政单位基本医疗保险缴费经费，未参加医疗保险的行政单位的公费医疗经费，按国家规定享受离休人员、红军老战士待遇人员的医疗经费。</w:t>
      </w:r>
    </w:p>
    <w:p w14:paraId="158A9349">
      <w:pPr>
        <w:spacing w:line="360" w:lineRule="auto"/>
        <w:ind w:firstLine="632"/>
        <w:rPr>
          <w:rFonts w:hint="eastAsia" w:ascii="仿宋" w:hAnsi="仿宋" w:eastAsia="仿宋" w:cs="仿宋"/>
          <w:color w:val="000000"/>
          <w:szCs w:val="32"/>
        </w:rPr>
      </w:pPr>
      <w:r>
        <w:rPr>
          <w:rFonts w:hint="eastAsia" w:ascii="仿宋" w:hAnsi="仿宋" w:eastAsia="仿宋" w:cs="仿宋"/>
          <w:color w:val="000000"/>
          <w:szCs w:val="32"/>
        </w:rPr>
        <w:t>16.卫生健康（210</w:t>
      </w:r>
      <w:r>
        <w:rPr>
          <w:rStyle w:val="39"/>
          <w:rFonts w:hint="eastAsia" w:ascii="仿宋" w:hAnsi="仿宋" w:eastAsia="仿宋" w:cs="仿宋"/>
          <w:b w:val="0"/>
          <w:bCs w:val="0"/>
          <w:color w:val="000000"/>
          <w:szCs w:val="32"/>
        </w:rPr>
        <w:t>）</w:t>
      </w:r>
      <w:r>
        <w:rPr>
          <w:rFonts w:hint="eastAsia" w:ascii="仿宋" w:hAnsi="仿宋" w:eastAsia="仿宋" w:cs="仿宋"/>
          <w:color w:val="000000"/>
          <w:szCs w:val="32"/>
        </w:rPr>
        <w:t>行政事业单位医疗（</w:t>
      </w:r>
      <w:r>
        <w:rPr>
          <w:rStyle w:val="39"/>
          <w:rFonts w:hint="eastAsia" w:ascii="仿宋" w:hAnsi="仿宋" w:eastAsia="仿宋" w:cs="仿宋"/>
          <w:b w:val="0"/>
          <w:bCs w:val="0"/>
          <w:color w:val="000000"/>
          <w:szCs w:val="32"/>
        </w:rPr>
        <w:t>11）</w:t>
      </w:r>
      <w:r>
        <w:rPr>
          <w:rStyle w:val="39"/>
          <w:rFonts w:hint="eastAsia" w:ascii="仿宋" w:hAnsi="仿宋" w:eastAsia="仿宋" w:cs="仿宋"/>
          <w:b w:val="0"/>
          <w:bCs w:val="0"/>
          <w:szCs w:val="32"/>
        </w:rPr>
        <w:t>公务员医疗补助</w:t>
      </w:r>
      <w:r>
        <w:rPr>
          <w:rStyle w:val="39"/>
          <w:rFonts w:hint="eastAsia" w:ascii="仿宋" w:hAnsi="仿宋" w:eastAsia="仿宋" w:cs="仿宋"/>
          <w:b w:val="0"/>
          <w:bCs w:val="0"/>
          <w:color w:val="000000"/>
          <w:szCs w:val="32"/>
        </w:rPr>
        <w:t>（03）</w:t>
      </w:r>
      <w:r>
        <w:rPr>
          <w:rFonts w:hint="eastAsia" w:ascii="仿宋" w:hAnsi="仿宋" w:eastAsia="仿宋" w:cs="仿宋"/>
          <w:color w:val="000000"/>
          <w:szCs w:val="32"/>
        </w:rPr>
        <w:t>：指财政部门安排的</w:t>
      </w:r>
      <w:r>
        <w:rPr>
          <w:rStyle w:val="39"/>
          <w:rFonts w:hint="eastAsia" w:ascii="仿宋" w:hAnsi="仿宋" w:eastAsia="仿宋" w:cs="仿宋"/>
          <w:b w:val="0"/>
          <w:bCs w:val="0"/>
          <w:szCs w:val="32"/>
        </w:rPr>
        <w:t>公务员医疗补助经费。</w:t>
      </w:r>
    </w:p>
    <w:p w14:paraId="1D5C9C3B">
      <w:pPr>
        <w:spacing w:line="360" w:lineRule="auto"/>
        <w:ind w:firstLine="632"/>
        <w:rPr>
          <w:rFonts w:hint="eastAsia" w:ascii="仿宋" w:hAnsi="仿宋" w:eastAsia="仿宋" w:cs="仿宋"/>
          <w:color w:val="000000"/>
          <w:szCs w:val="32"/>
        </w:rPr>
      </w:pPr>
      <w:r>
        <w:rPr>
          <w:rFonts w:hint="eastAsia" w:ascii="仿宋" w:hAnsi="仿宋" w:eastAsia="仿宋" w:cs="仿宋"/>
          <w:color w:val="000000"/>
          <w:szCs w:val="32"/>
        </w:rPr>
        <w:t>17.住房保障支出（221）住房改革支出（02）住房公积金（01）：指行政事业单位按人力资源和社会保障部、财政部规定的基本工资和津贴补贴</w:t>
      </w:r>
      <w:r>
        <w:rPr>
          <w:rFonts w:hint="eastAsia" w:ascii="仿宋" w:hAnsi="仿宋" w:eastAsia="仿宋" w:cs="仿宋"/>
          <w:color w:val="000000"/>
          <w:szCs w:val="32"/>
          <w:lang w:eastAsia="zh-CN"/>
        </w:rPr>
        <w:t>以及按规定比例</w:t>
      </w:r>
      <w:r>
        <w:rPr>
          <w:rFonts w:hint="eastAsia" w:ascii="仿宋" w:hAnsi="仿宋" w:eastAsia="仿宋" w:cs="仿宋"/>
          <w:color w:val="000000"/>
          <w:szCs w:val="32"/>
        </w:rPr>
        <w:t>为职工缴纳的住房公积金。</w:t>
      </w:r>
    </w:p>
    <w:p w14:paraId="7760AA08">
      <w:pPr>
        <w:spacing w:line="360" w:lineRule="auto"/>
        <w:ind w:firstLine="632"/>
        <w:rPr>
          <w:rFonts w:hint="eastAsia" w:ascii="仿宋" w:hAnsi="仿宋" w:eastAsia="仿宋" w:cs="仿宋"/>
          <w:color w:val="000000"/>
          <w:szCs w:val="32"/>
        </w:rPr>
      </w:pPr>
      <w:r>
        <w:rPr>
          <w:rFonts w:hint="eastAsia" w:ascii="仿宋" w:hAnsi="仿宋" w:eastAsia="仿宋" w:cs="仿宋"/>
          <w:color w:val="000000"/>
          <w:szCs w:val="32"/>
        </w:rPr>
        <w:t>18.基本支出：指为保障机构正常运转、完成日常工作任务而发生的人员支出和公用支出。</w:t>
      </w:r>
    </w:p>
    <w:p w14:paraId="17950B30">
      <w:pPr>
        <w:spacing w:line="360" w:lineRule="auto"/>
        <w:ind w:firstLine="632"/>
        <w:rPr>
          <w:rFonts w:hint="eastAsia" w:ascii="仿宋" w:hAnsi="仿宋" w:eastAsia="仿宋" w:cs="仿宋"/>
          <w:color w:val="000000"/>
          <w:szCs w:val="32"/>
        </w:rPr>
      </w:pPr>
      <w:r>
        <w:rPr>
          <w:rFonts w:hint="eastAsia" w:ascii="仿宋" w:hAnsi="仿宋" w:eastAsia="仿宋" w:cs="仿宋"/>
          <w:color w:val="000000"/>
          <w:szCs w:val="32"/>
        </w:rPr>
        <w:t xml:space="preserve">19.项目支出：指在基本支出之外为完成特定行政任务和事业发展目标所发生的支出。 </w:t>
      </w:r>
    </w:p>
    <w:p w14:paraId="1D5120C8">
      <w:pPr>
        <w:spacing w:line="360" w:lineRule="auto"/>
        <w:ind w:firstLine="632"/>
        <w:rPr>
          <w:rFonts w:hint="eastAsia" w:ascii="仿宋" w:hAnsi="仿宋" w:eastAsia="仿宋" w:cs="仿宋"/>
          <w:color w:val="000000"/>
          <w:szCs w:val="32"/>
        </w:rPr>
      </w:pPr>
      <w:r>
        <w:rPr>
          <w:rFonts w:hint="eastAsia" w:ascii="仿宋" w:hAnsi="仿宋" w:eastAsia="仿宋" w:cs="仿宋"/>
          <w:color w:val="000000"/>
          <w:szCs w:val="32"/>
        </w:rPr>
        <w:t>20.经营支出：指事业单位在专业业务活动及其辅助活动之外开展非独立核算经营活动发生的支出。</w:t>
      </w:r>
    </w:p>
    <w:p w14:paraId="130AD0B2">
      <w:pPr>
        <w:pStyle w:val="221"/>
        <w:spacing w:line="360" w:lineRule="auto"/>
        <w:ind w:firstLine="632"/>
        <w:rPr>
          <w:rFonts w:hint="eastAsia" w:ascii="仿宋" w:hAnsi="仿宋" w:eastAsia="仿宋" w:cs="仿宋"/>
          <w:sz w:val="32"/>
          <w:szCs w:val="32"/>
        </w:rPr>
      </w:pPr>
      <w:r>
        <w:rPr>
          <w:rFonts w:hint="eastAsia" w:ascii="仿宋" w:hAnsi="仿宋" w:eastAsia="仿宋" w:cs="仿宋"/>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038280">
      <w:pPr>
        <w:pStyle w:val="221"/>
        <w:spacing w:line="360" w:lineRule="auto"/>
        <w:ind w:firstLine="632"/>
        <w:rPr>
          <w:rFonts w:hint="eastAsia" w:ascii="仿宋" w:hAnsi="仿宋" w:eastAsia="仿宋" w:cs="仿宋"/>
          <w:sz w:val="32"/>
          <w:szCs w:val="32"/>
        </w:rPr>
      </w:pPr>
      <w:r>
        <w:rPr>
          <w:rFonts w:hint="eastAsia" w:ascii="仿宋" w:hAnsi="仿宋" w:eastAsia="仿宋" w:cs="仿宋"/>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92"/>
      <w:bookmarkEnd w:id="93"/>
    </w:p>
    <w:p w14:paraId="750099B8">
      <w:pPr>
        <w:pStyle w:val="221"/>
        <w:spacing w:line="560" w:lineRule="exact"/>
        <w:ind w:firstLine="632"/>
        <w:rPr>
          <w:rFonts w:ascii="Times New Roman" w:hAnsi="Times New Roman" w:eastAsia="仿宋_GB2312" w:cs="Times New Roman"/>
          <w:sz w:val="32"/>
          <w:szCs w:val="32"/>
        </w:rPr>
      </w:pPr>
    </w:p>
    <w:p w14:paraId="06C6CE26">
      <w:pPr>
        <w:pStyle w:val="221"/>
        <w:spacing w:line="560" w:lineRule="exact"/>
        <w:rPr>
          <w:rFonts w:ascii="Times New Roman" w:hAnsi="Times New Roman" w:eastAsia="仿宋_GB2312" w:cs="Times New Roman"/>
          <w:sz w:val="32"/>
          <w:szCs w:val="32"/>
        </w:rPr>
      </w:pPr>
    </w:p>
    <w:p w14:paraId="0C6BE859">
      <w:pPr>
        <w:pStyle w:val="221"/>
        <w:spacing w:line="560" w:lineRule="exact"/>
        <w:ind w:firstLine="632"/>
        <w:rPr>
          <w:rFonts w:ascii="Times New Roman" w:hAnsi="Times New Roman" w:eastAsia="仿宋_GB2312" w:cs="Times New Roman"/>
          <w:sz w:val="32"/>
          <w:szCs w:val="32"/>
        </w:rPr>
      </w:pPr>
    </w:p>
    <w:p w14:paraId="54C64A19">
      <w:pPr>
        <w:spacing w:line="600" w:lineRule="exact"/>
        <w:jc w:val="center"/>
        <w:outlineLvl w:val="0"/>
        <w:rPr>
          <w:rFonts w:eastAsia="方正小标宋简体"/>
          <w:sz w:val="44"/>
          <w:szCs w:val="44"/>
        </w:rPr>
      </w:pPr>
      <w:bookmarkStart w:id="95" w:name="_Toc766"/>
      <w:bookmarkStart w:id="96" w:name="_Toc15396614"/>
      <w:bookmarkStart w:id="97" w:name="_Toc15377226"/>
    </w:p>
    <w:p w14:paraId="45ECD7E6">
      <w:pPr>
        <w:spacing w:line="600" w:lineRule="exact"/>
        <w:jc w:val="center"/>
        <w:outlineLvl w:val="0"/>
        <w:rPr>
          <w:rFonts w:eastAsia="方正小标宋简体"/>
          <w:sz w:val="44"/>
          <w:szCs w:val="44"/>
        </w:rPr>
      </w:pPr>
    </w:p>
    <w:p w14:paraId="54AE7601">
      <w:pPr>
        <w:spacing w:line="600" w:lineRule="exact"/>
        <w:jc w:val="center"/>
        <w:outlineLvl w:val="0"/>
        <w:rPr>
          <w:rFonts w:eastAsia="方正小标宋简体"/>
          <w:sz w:val="44"/>
          <w:szCs w:val="44"/>
        </w:rPr>
      </w:pPr>
    </w:p>
    <w:p w14:paraId="7104313D">
      <w:pPr>
        <w:spacing w:line="600" w:lineRule="exact"/>
        <w:jc w:val="center"/>
        <w:outlineLvl w:val="0"/>
        <w:rPr>
          <w:rFonts w:eastAsia="方正小标宋简体"/>
          <w:sz w:val="44"/>
          <w:szCs w:val="44"/>
        </w:rPr>
      </w:pPr>
    </w:p>
    <w:p w14:paraId="7EA88A93">
      <w:pPr>
        <w:spacing w:line="600" w:lineRule="exact"/>
        <w:jc w:val="center"/>
        <w:outlineLvl w:val="0"/>
        <w:rPr>
          <w:rFonts w:eastAsia="方正小标宋简体"/>
          <w:sz w:val="44"/>
          <w:szCs w:val="44"/>
        </w:rPr>
      </w:pPr>
    </w:p>
    <w:p w14:paraId="751B0574">
      <w:pPr>
        <w:spacing w:line="600" w:lineRule="exact"/>
        <w:jc w:val="both"/>
        <w:outlineLvl w:val="0"/>
        <w:rPr>
          <w:rFonts w:eastAsia="方正小标宋简体"/>
          <w:sz w:val="44"/>
          <w:szCs w:val="44"/>
        </w:rPr>
      </w:pPr>
    </w:p>
    <w:p w14:paraId="4F0D0901">
      <w:pPr>
        <w:pStyle w:val="2"/>
        <w:widowControl w:val="0"/>
        <w:numPr>
          <w:ilvl w:val="0"/>
          <w:numId w:val="0"/>
        </w:numPr>
        <w:jc w:val="both"/>
        <w:rPr>
          <w:rFonts w:eastAsia="方正小标宋简体"/>
          <w:sz w:val="44"/>
          <w:szCs w:val="44"/>
        </w:rPr>
      </w:pPr>
    </w:p>
    <w:p w14:paraId="61D642DD">
      <w:pPr>
        <w:pStyle w:val="2"/>
        <w:widowControl w:val="0"/>
        <w:numPr>
          <w:ilvl w:val="0"/>
          <w:numId w:val="0"/>
        </w:numPr>
        <w:jc w:val="both"/>
        <w:rPr>
          <w:rFonts w:eastAsia="方正小标宋简体"/>
          <w:sz w:val="44"/>
          <w:szCs w:val="44"/>
        </w:rPr>
      </w:pPr>
    </w:p>
    <w:p w14:paraId="58BF258D">
      <w:pPr>
        <w:pStyle w:val="2"/>
        <w:widowControl w:val="0"/>
        <w:numPr>
          <w:ilvl w:val="0"/>
          <w:numId w:val="0"/>
        </w:numPr>
        <w:jc w:val="both"/>
        <w:rPr>
          <w:rFonts w:eastAsia="方正小标宋简体"/>
          <w:sz w:val="44"/>
          <w:szCs w:val="44"/>
        </w:rPr>
      </w:pPr>
    </w:p>
    <w:p w14:paraId="3B3EAF0D">
      <w:pPr>
        <w:pStyle w:val="2"/>
        <w:widowControl w:val="0"/>
        <w:numPr>
          <w:ilvl w:val="0"/>
          <w:numId w:val="0"/>
        </w:numPr>
        <w:jc w:val="both"/>
        <w:rPr>
          <w:rFonts w:eastAsia="方正小标宋简体"/>
          <w:sz w:val="44"/>
          <w:szCs w:val="44"/>
        </w:rPr>
      </w:pPr>
    </w:p>
    <w:p w14:paraId="52AB17E0">
      <w:pPr>
        <w:pStyle w:val="2"/>
        <w:widowControl w:val="0"/>
        <w:numPr>
          <w:ilvl w:val="0"/>
          <w:numId w:val="0"/>
        </w:numPr>
        <w:jc w:val="both"/>
        <w:rPr>
          <w:rFonts w:eastAsia="方正小标宋简体"/>
          <w:sz w:val="44"/>
          <w:szCs w:val="44"/>
        </w:rPr>
      </w:pPr>
    </w:p>
    <w:p w14:paraId="6D0EAF2D">
      <w:pPr>
        <w:pStyle w:val="2"/>
        <w:widowControl w:val="0"/>
        <w:numPr>
          <w:ilvl w:val="0"/>
          <w:numId w:val="0"/>
        </w:numPr>
        <w:jc w:val="both"/>
        <w:rPr>
          <w:rFonts w:eastAsia="方正小标宋简体"/>
          <w:sz w:val="44"/>
          <w:szCs w:val="44"/>
        </w:rPr>
      </w:pPr>
    </w:p>
    <w:p w14:paraId="00AF0CFB">
      <w:pPr>
        <w:pStyle w:val="2"/>
        <w:widowControl w:val="0"/>
        <w:numPr>
          <w:ilvl w:val="0"/>
          <w:numId w:val="0"/>
        </w:numPr>
        <w:jc w:val="both"/>
        <w:rPr>
          <w:rFonts w:eastAsia="方正小标宋简体"/>
          <w:sz w:val="44"/>
          <w:szCs w:val="44"/>
        </w:rPr>
      </w:pPr>
    </w:p>
    <w:p w14:paraId="7DAEE4B3">
      <w:pPr>
        <w:pStyle w:val="2"/>
        <w:widowControl w:val="0"/>
        <w:numPr>
          <w:ilvl w:val="0"/>
          <w:numId w:val="0"/>
        </w:numPr>
        <w:jc w:val="both"/>
        <w:rPr>
          <w:rFonts w:eastAsia="方正小标宋简体"/>
          <w:sz w:val="44"/>
          <w:szCs w:val="44"/>
        </w:rPr>
      </w:pPr>
    </w:p>
    <w:p w14:paraId="2ABB2587">
      <w:pPr>
        <w:spacing w:line="600" w:lineRule="exact"/>
        <w:jc w:val="center"/>
        <w:outlineLvl w:val="0"/>
        <w:rPr>
          <w:rFonts w:eastAsia="方正小标宋简体"/>
          <w:sz w:val="44"/>
          <w:szCs w:val="44"/>
        </w:rPr>
      </w:pPr>
    </w:p>
    <w:p w14:paraId="1EA8B813">
      <w:pPr>
        <w:spacing w:line="600" w:lineRule="exact"/>
        <w:jc w:val="center"/>
        <w:outlineLvl w:val="0"/>
        <w:rPr>
          <w:rStyle w:val="198"/>
          <w:rFonts w:eastAsia="方正小标宋简体"/>
          <w:b w:val="0"/>
          <w:bCs w:val="0"/>
        </w:rPr>
      </w:pPr>
      <w:r>
        <w:rPr>
          <w:rFonts w:eastAsia="方正小标宋简体"/>
          <w:sz w:val="44"/>
          <w:szCs w:val="44"/>
        </w:rPr>
        <w:t>第</w:t>
      </w:r>
      <w:r>
        <w:rPr>
          <w:rStyle w:val="198"/>
          <w:rFonts w:eastAsia="方正小标宋简体"/>
          <w:b w:val="0"/>
          <w:bCs w:val="0"/>
        </w:rPr>
        <w:t>四部分 附件</w:t>
      </w:r>
      <w:bookmarkEnd w:id="95"/>
      <w:bookmarkEnd w:id="96"/>
    </w:p>
    <w:p w14:paraId="36D3E83F">
      <w:pPr>
        <w:spacing w:line="572" w:lineRule="exact"/>
        <w:jc w:val="left"/>
        <w:rPr>
          <w:rFonts w:eastAsia="黑体"/>
          <w:color w:val="FF0000"/>
          <w:szCs w:val="32"/>
        </w:rPr>
      </w:pPr>
    </w:p>
    <w:p w14:paraId="1CEFB76F">
      <w:pPr>
        <w:spacing w:line="572" w:lineRule="exact"/>
        <w:jc w:val="left"/>
        <w:outlineLvl w:val="0"/>
        <w:rPr>
          <w:rFonts w:eastAsia="黑体"/>
          <w:sz w:val="44"/>
          <w:szCs w:val="44"/>
        </w:rPr>
      </w:pPr>
      <w:bookmarkStart w:id="98" w:name="_Toc20274"/>
      <w:r>
        <w:rPr>
          <w:rFonts w:eastAsia="黑体"/>
          <w:szCs w:val="32"/>
        </w:rPr>
        <w:t>附件1</w:t>
      </w:r>
      <w:bookmarkEnd w:id="98"/>
    </w:p>
    <w:p w14:paraId="01603A93">
      <w:pPr>
        <w:widowControl/>
        <w:spacing w:line="578" w:lineRule="exact"/>
        <w:contextualSpacing/>
        <w:jc w:val="center"/>
        <w:rPr>
          <w:rFonts w:eastAsia="方正小标宋简体"/>
          <w:sz w:val="44"/>
          <w:szCs w:val="44"/>
          <w:shd w:val="clear" w:color="auto" w:fill="FFFFFF"/>
        </w:rPr>
      </w:pPr>
      <w:r>
        <w:rPr>
          <w:rFonts w:eastAsia="方正小标宋简体"/>
          <w:sz w:val="44"/>
          <w:szCs w:val="44"/>
          <w:shd w:val="clear" w:color="auto" w:fill="FFFFFF"/>
        </w:rPr>
        <w:t>部门预算绩效评价报告</w:t>
      </w:r>
    </w:p>
    <w:p w14:paraId="4C896560">
      <w:pPr>
        <w:widowControl/>
        <w:spacing w:line="578" w:lineRule="exact"/>
        <w:ind w:firstLine="472"/>
        <w:contextualSpacing/>
        <w:jc w:val="left"/>
        <w:rPr>
          <w:rFonts w:eastAsia="黑体"/>
          <w:color w:val="000000"/>
          <w:sz w:val="24"/>
          <w:szCs w:val="32"/>
          <w:shd w:val="clear" w:color="auto" w:fill="FFFFFF"/>
        </w:rPr>
      </w:pPr>
    </w:p>
    <w:p w14:paraId="0E6C147C">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一、部门（单位）基本情况</w:t>
      </w:r>
    </w:p>
    <w:p w14:paraId="51EF2DE5">
      <w:pPr>
        <w:pStyle w:val="52"/>
        <w:widowControl/>
        <w:numPr>
          <w:ilvl w:val="0"/>
          <w:numId w:val="7"/>
        </w:numPr>
        <w:spacing w:line="578" w:lineRule="exact"/>
        <w:jc w:val="left"/>
        <w:rPr>
          <w:rFonts w:eastAsia="楷体_GB2312"/>
          <w:b/>
          <w:bCs/>
          <w:color w:val="000000"/>
          <w:szCs w:val="32"/>
          <w:shd w:val="clear" w:color="auto" w:fill="FFFFFF"/>
          <w:lang w:val="zh-CN"/>
        </w:rPr>
      </w:pPr>
      <w:r>
        <w:rPr>
          <w:rFonts w:eastAsia="楷体_GB2312"/>
          <w:b/>
          <w:bCs/>
          <w:color w:val="000000"/>
          <w:szCs w:val="32"/>
          <w:shd w:val="clear" w:color="auto" w:fill="FFFFFF"/>
          <w:lang w:val="zh-CN"/>
        </w:rPr>
        <w:t>机构组成。</w:t>
      </w:r>
    </w:p>
    <w:p w14:paraId="35EC69E8">
      <w:pPr>
        <w:spacing w:line="560" w:lineRule="exact"/>
        <w:ind w:firstLine="960" w:firstLineChars="300"/>
        <w:rPr>
          <w:rFonts w:ascii="仿宋_GB2312" w:hAnsi="仿宋_GB2312" w:cs="仿宋_GB2312"/>
          <w:bCs/>
          <w:color w:val="000000"/>
          <w:szCs w:val="32"/>
        </w:rPr>
      </w:pPr>
      <w:r>
        <w:rPr>
          <w:rFonts w:hint="eastAsia" w:ascii="仿宋" w:hAnsi="仿宋" w:eastAsia="仿宋" w:cs="仿宋"/>
          <w:bCs/>
          <w:color w:val="000000"/>
          <w:szCs w:val="32"/>
        </w:rPr>
        <w:t>安居区司法局设10个内设机构和19个基层司法所，下属二级预算单位3个，其中行政单位0个，参照公务员法管理的事业单位1个，其他事业单位1个。主要包括:遂宁市安居区法律援助中心、遂宁市安居公证处</w:t>
      </w:r>
      <w:r>
        <w:rPr>
          <w:rFonts w:hint="eastAsia" w:ascii="仿宋_GB2312" w:hAnsi="仿宋_GB2312" w:cs="仿宋_GB2312"/>
          <w:bCs/>
          <w:color w:val="000000"/>
          <w:szCs w:val="32"/>
        </w:rPr>
        <w:t>。</w:t>
      </w:r>
    </w:p>
    <w:p w14:paraId="6C752FF1">
      <w:pPr>
        <w:numPr>
          <w:ilvl w:val="0"/>
          <w:numId w:val="8"/>
        </w:numPr>
        <w:spacing w:line="360" w:lineRule="auto"/>
        <w:ind w:firstLine="632"/>
        <w:rPr>
          <w:rFonts w:eastAsia="楷体_GB2312"/>
          <w:b/>
          <w:bCs/>
          <w:color w:val="000000"/>
          <w:szCs w:val="32"/>
          <w:shd w:val="clear" w:color="auto" w:fill="FFFFFF"/>
          <w:lang w:val="zh-CN"/>
        </w:rPr>
      </w:pPr>
      <w:r>
        <w:rPr>
          <w:rFonts w:eastAsia="楷体_GB2312"/>
          <w:b/>
          <w:bCs/>
          <w:color w:val="000000"/>
          <w:szCs w:val="32"/>
          <w:shd w:val="clear" w:color="auto" w:fill="FFFFFF"/>
          <w:lang w:val="zh-CN"/>
        </w:rPr>
        <w:t>机构职能</w:t>
      </w:r>
    </w:p>
    <w:p w14:paraId="441C00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1.负责区委、区政府规范性文件、重大行政决策发布前的合法性审查。承办区政府规范性文件的报送备案工作。负责全区各级各部门规范性文件报送区政府的备案审查工作。组织开展规范性文件清理。负责区本级政府合同备案管理、区政府涉法事务处理。</w:t>
      </w:r>
    </w:p>
    <w:p w14:paraId="03BAD0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承担统筹推进法治政府建设的责任。监督指导全区各级各部门依法行政工作。负责综合协调、监督检查行政执法，指导推进行政执法体制改革有关工作，严格规范公正文明执法。指导监督全区行政复议、行政诉讼、行政裁决和行政赔偿工作，承办向区政府申请的行政复议、行政赔偿案件，代理区政府行政应诉案件。</w:t>
      </w:r>
    </w:p>
    <w:p w14:paraId="7FCB6F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3.承担统筹规划法治社会建设的责任。负责拟订法治宣传教育规划，组织实施普法宣传，组织对外法治宣传。推动人民参与和促进法治建设。指导全区各级各部门依法治理和法治创建工作。指导调解工作。负责并指导人民监督员的选任管理工作。负责人民陪审员选任工作。推进司法所建设。</w:t>
      </w:r>
    </w:p>
    <w:p w14:paraId="132618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4.指导、监督管理刑满释放人员的安置帮教工作；牵头组织有关单位和社区基层组织开展社区矫正工作，对社区矫正对象实施管理。</w:t>
      </w:r>
    </w:p>
    <w:p w14:paraId="756118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5.负责拟订全区公共法律服务体系建设规划并指导实施，统筹和布局全区城乡法律服务资源。指导监督律师、公证、法律援助和基层法律服务工作。</w:t>
      </w:r>
    </w:p>
    <w:p w14:paraId="110814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6.负责本系统服装和警车管理工作。承担本系统财务、装备、设施、场所等保障工作。</w:t>
      </w:r>
    </w:p>
    <w:p w14:paraId="6948E8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7.规划、协调、指导法治人才队伍建设相关工作，负责监督本系统队伍建设工作。</w:t>
      </w:r>
    </w:p>
    <w:p w14:paraId="7F9373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 xml:space="preserve">8.负责并指导本系统行政审批工作。负责全区外来企业涉法政务服务和行政执法方面的投诉处理。 </w:t>
      </w:r>
    </w:p>
    <w:p w14:paraId="33CB86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9.负责职责范围内的安全生产和职业健康、生态环境保护、审批服务便民化、市场监管等工作。</w:t>
      </w:r>
    </w:p>
    <w:p w14:paraId="3AB006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32"/>
          <w:lang w:val="en-US" w:eastAsia="zh-CN" w:bidi="ar-SA"/>
        </w:rPr>
      </w:pPr>
      <w:r>
        <w:rPr>
          <w:rFonts w:hint="eastAsia" w:ascii="仿宋" w:hAnsi="仿宋" w:eastAsia="仿宋" w:cs="仿宋"/>
          <w:color w:val="000000"/>
          <w:sz w:val="32"/>
          <w:szCs w:val="32"/>
          <w:lang w:val="en-US" w:eastAsia="zh-CN" w:bidi="ar-SA"/>
        </w:rPr>
        <w:t>10.完成区委和区政府交办的其他任务。</w:t>
      </w:r>
    </w:p>
    <w:p w14:paraId="298D5104">
      <w:pPr>
        <w:spacing w:line="600" w:lineRule="exact"/>
        <w:ind w:firstLine="643" w:firstLineChars="200"/>
        <w:rPr>
          <w:rFonts w:eastAsia="楷体_GB2312"/>
          <w:szCs w:val="32"/>
          <w:shd w:val="clear" w:color="auto" w:fill="FFFFFF"/>
          <w:lang w:val="zh-CN"/>
        </w:rPr>
      </w:pPr>
      <w:r>
        <w:rPr>
          <w:rFonts w:eastAsia="楷体_GB2312"/>
          <w:b/>
          <w:bCs/>
          <w:szCs w:val="32"/>
          <w:shd w:val="clear" w:color="auto" w:fill="FFFFFF"/>
          <w:lang w:val="zh-CN"/>
        </w:rPr>
        <w:t>（三）人员概况</w:t>
      </w:r>
      <w:r>
        <w:rPr>
          <w:rFonts w:eastAsia="楷体_GB2312"/>
          <w:szCs w:val="32"/>
          <w:shd w:val="clear" w:color="auto" w:fill="FFFFFF"/>
          <w:lang w:val="zh-CN"/>
        </w:rPr>
        <w:t>。</w:t>
      </w:r>
    </w:p>
    <w:p w14:paraId="37B6C5EB">
      <w:pPr>
        <w:spacing w:line="600" w:lineRule="exact"/>
        <w:ind w:firstLine="640" w:firstLineChars="200"/>
        <w:rPr>
          <w:rFonts w:hint="eastAsia" w:ascii="仿宋" w:hAnsi="仿宋" w:eastAsia="仿宋" w:cs="仿宋"/>
          <w:szCs w:val="32"/>
        </w:rPr>
      </w:pPr>
      <w:r>
        <w:rPr>
          <w:rFonts w:hint="eastAsia" w:ascii="仿宋" w:hAnsi="仿宋" w:eastAsia="仿宋" w:cs="仿宋"/>
          <w:color w:val="000000"/>
          <w:szCs w:val="32"/>
        </w:rPr>
        <w:t>截至2024年末，</w:t>
      </w:r>
      <w:r>
        <w:rPr>
          <w:rFonts w:hint="eastAsia" w:ascii="仿宋" w:hAnsi="仿宋" w:eastAsia="仿宋" w:cs="仿宋"/>
          <w:bCs/>
          <w:color w:val="000000"/>
          <w:szCs w:val="32"/>
        </w:rPr>
        <w:t>安居区司法局人员编制数43个（包括6个事业编制，37个政法专项编制）。实有在岗人员41名，其中行政编制人员35名，参公管理事业编制人员4名，事业编制人员2名。</w:t>
      </w:r>
    </w:p>
    <w:p w14:paraId="61F6969D">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二、部门资金收支情况</w:t>
      </w:r>
    </w:p>
    <w:p w14:paraId="02733A65">
      <w:pPr>
        <w:widowControl/>
        <w:spacing w:line="578" w:lineRule="exact"/>
        <w:ind w:firstLine="632"/>
        <w:contextualSpacing/>
        <w:jc w:val="left"/>
        <w:rPr>
          <w:rFonts w:hint="eastAsia" w:ascii="仿宋" w:hAnsi="仿宋" w:eastAsia="仿宋" w:cs="仿宋"/>
          <w:color w:val="000000"/>
          <w:szCs w:val="32"/>
          <w:shd w:val="clear" w:color="auto" w:fill="FFFFFF"/>
        </w:rPr>
      </w:pPr>
      <w:r>
        <w:rPr>
          <w:rFonts w:eastAsia="楷体_GB2312"/>
          <w:b/>
          <w:bCs/>
          <w:color w:val="000000"/>
          <w:szCs w:val="32"/>
          <w:shd w:val="clear" w:color="auto" w:fill="FFFFFF"/>
          <w:lang w:val="zh-CN"/>
        </w:rPr>
        <w:t>（一）收入情况</w:t>
      </w:r>
      <w:r>
        <w:rPr>
          <w:rFonts w:eastAsia="楷体_GB2312"/>
          <w:color w:val="000000"/>
          <w:szCs w:val="32"/>
          <w:shd w:val="clear" w:color="auto" w:fill="FFFFFF"/>
          <w:lang w:val="zh-CN"/>
        </w:rPr>
        <w:t>。</w:t>
      </w:r>
      <w:r>
        <w:rPr>
          <w:rFonts w:hint="eastAsia" w:ascii="仿宋" w:hAnsi="仿宋" w:eastAsia="仿宋" w:cs="仿宋"/>
          <w:color w:val="000000"/>
          <w:kern w:val="2"/>
          <w:szCs w:val="32"/>
        </w:rPr>
        <w:t>遂宁市安居区</w:t>
      </w:r>
      <w:r>
        <w:rPr>
          <w:rFonts w:hint="eastAsia" w:ascii="仿宋" w:hAnsi="仿宋" w:eastAsia="仿宋" w:cs="仿宋"/>
          <w:color w:val="000000"/>
        </w:rPr>
        <w:t>司法</w:t>
      </w:r>
      <w:r>
        <w:rPr>
          <w:rFonts w:hint="eastAsia" w:ascii="仿宋" w:hAnsi="仿宋" w:eastAsia="仿宋" w:cs="仿宋"/>
          <w:color w:val="000000"/>
          <w:kern w:val="2"/>
          <w:szCs w:val="32"/>
        </w:rPr>
        <w:t>局</w:t>
      </w:r>
      <w:r>
        <w:rPr>
          <w:rFonts w:hint="eastAsia" w:ascii="仿宋" w:hAnsi="仿宋" w:eastAsia="仿宋" w:cs="仿宋"/>
          <w:szCs w:val="32"/>
        </w:rPr>
        <w:t>2024年年初预算收入1183.98万元、决算报表收入1234.61万元。</w:t>
      </w:r>
    </w:p>
    <w:p w14:paraId="74A13A64">
      <w:pPr>
        <w:widowControl/>
        <w:spacing w:line="578" w:lineRule="exact"/>
        <w:ind w:firstLine="632"/>
        <w:contextualSpacing/>
        <w:jc w:val="left"/>
        <w:rPr>
          <w:rFonts w:hint="eastAsia" w:ascii="仿宋" w:hAnsi="仿宋" w:eastAsia="仿宋" w:cs="仿宋"/>
          <w:szCs w:val="32"/>
          <w:lang w:val="zh-CN"/>
        </w:rPr>
      </w:pPr>
      <w:r>
        <w:rPr>
          <w:rFonts w:eastAsia="楷体_GB2312"/>
          <w:b/>
          <w:bCs/>
          <w:color w:val="000000"/>
          <w:szCs w:val="32"/>
          <w:shd w:val="clear" w:color="auto" w:fill="FFFFFF"/>
          <w:lang w:val="zh-CN"/>
        </w:rPr>
        <w:t>（二）支出情况。</w:t>
      </w:r>
      <w:r>
        <w:rPr>
          <w:rFonts w:hint="eastAsia" w:ascii="仿宋" w:hAnsi="仿宋" w:eastAsia="仿宋" w:cs="仿宋"/>
          <w:color w:val="000000"/>
          <w:kern w:val="2"/>
          <w:szCs w:val="32"/>
        </w:rPr>
        <w:t>遂宁市安居区</w:t>
      </w:r>
      <w:r>
        <w:rPr>
          <w:rFonts w:hint="eastAsia" w:ascii="仿宋" w:hAnsi="仿宋" w:eastAsia="仿宋" w:cs="仿宋"/>
          <w:color w:val="000000"/>
        </w:rPr>
        <w:t>司法</w:t>
      </w:r>
      <w:r>
        <w:rPr>
          <w:rFonts w:hint="eastAsia" w:ascii="仿宋" w:hAnsi="仿宋" w:eastAsia="仿宋" w:cs="仿宋"/>
          <w:color w:val="000000"/>
          <w:kern w:val="2"/>
          <w:szCs w:val="32"/>
        </w:rPr>
        <w:t>局</w:t>
      </w:r>
      <w:r>
        <w:rPr>
          <w:rFonts w:hint="eastAsia" w:ascii="仿宋" w:hAnsi="仿宋" w:eastAsia="仿宋" w:cs="仿宋"/>
          <w:szCs w:val="32"/>
        </w:rPr>
        <w:t>2024年年初预算支出1183.98万元、决算报表支出1234.61万元。</w:t>
      </w:r>
    </w:p>
    <w:p w14:paraId="36BE550E">
      <w:pPr>
        <w:widowControl/>
        <w:spacing w:line="578" w:lineRule="exact"/>
        <w:ind w:firstLine="632"/>
        <w:contextualSpacing/>
        <w:jc w:val="left"/>
        <w:rPr>
          <w:rFonts w:hint="eastAsia" w:ascii="仿宋" w:hAnsi="仿宋" w:eastAsia="仿宋" w:cs="仿宋"/>
        </w:rPr>
      </w:pPr>
      <w:r>
        <w:rPr>
          <w:rFonts w:eastAsia="楷体_GB2312"/>
          <w:b/>
          <w:bCs/>
          <w:color w:val="000000"/>
          <w:szCs w:val="32"/>
          <w:shd w:val="clear" w:color="auto" w:fill="FFFFFF"/>
          <w:lang w:val="zh-CN"/>
        </w:rPr>
        <w:t>（三）结余分配和结转结余情况。</w:t>
      </w:r>
      <w:r>
        <w:rPr>
          <w:rFonts w:hint="eastAsia" w:ascii="仿宋" w:hAnsi="仿宋" w:eastAsia="仿宋" w:cs="仿宋"/>
          <w:color w:val="000000"/>
          <w:kern w:val="2"/>
          <w:szCs w:val="32"/>
        </w:rPr>
        <w:t>遂宁市安居区</w:t>
      </w:r>
      <w:r>
        <w:rPr>
          <w:rFonts w:hint="eastAsia" w:ascii="仿宋" w:hAnsi="仿宋" w:eastAsia="仿宋" w:cs="仿宋"/>
          <w:color w:val="000000"/>
        </w:rPr>
        <w:t>司法</w:t>
      </w:r>
      <w:r>
        <w:rPr>
          <w:rFonts w:hint="eastAsia" w:ascii="仿宋" w:hAnsi="仿宋" w:eastAsia="仿宋" w:cs="仿宋"/>
          <w:color w:val="000000"/>
          <w:kern w:val="2"/>
          <w:szCs w:val="32"/>
        </w:rPr>
        <w:t>局</w:t>
      </w:r>
      <w:r>
        <w:rPr>
          <w:rFonts w:hint="eastAsia" w:ascii="仿宋" w:hAnsi="仿宋" w:eastAsia="仿宋" w:cs="仿宋"/>
          <w:szCs w:val="32"/>
        </w:rPr>
        <w:t>2024年决算报表无结转结余情况。</w:t>
      </w:r>
    </w:p>
    <w:p w14:paraId="45022042">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三、部门预算绩效分析</w:t>
      </w:r>
    </w:p>
    <w:p w14:paraId="001B62F4">
      <w:pPr>
        <w:spacing w:line="578" w:lineRule="exact"/>
        <w:ind w:firstLine="632"/>
        <w:contextualSpacing/>
        <w:jc w:val="left"/>
        <w:rPr>
          <w:rFonts w:hint="eastAsia" w:ascii="仿宋" w:hAnsi="仿宋" w:eastAsia="仿宋" w:cs="仿宋"/>
          <w:color w:val="000000"/>
          <w:szCs w:val="32"/>
          <w:shd w:val="clear" w:color="auto" w:fill="FFFFFF"/>
          <w:lang w:val="zh-CN"/>
        </w:rPr>
      </w:pPr>
      <w:r>
        <w:rPr>
          <w:rFonts w:eastAsia="楷体_GB2312"/>
          <w:b/>
          <w:bCs/>
          <w:color w:val="000000"/>
          <w:szCs w:val="32"/>
          <w:shd w:val="clear" w:color="auto" w:fill="FFFFFF"/>
          <w:lang w:val="zh-CN"/>
        </w:rPr>
        <w:t>（一）部门预算总体绩效分析。</w:t>
      </w:r>
      <w:r>
        <w:rPr>
          <w:rFonts w:hint="eastAsia" w:ascii="仿宋" w:hAnsi="仿宋" w:eastAsia="仿宋" w:cs="仿宋"/>
          <w:szCs w:val="32"/>
          <w:lang w:val="zh-CN"/>
        </w:rPr>
        <w:t>根据部门预算绩效评价指标体系“总体绩效”涉及二、三级指标进行逐项绩效分析并评分，依次包括履职效能、预算管理、财务管理、资产管理、采购管理等情况。</w:t>
      </w:r>
    </w:p>
    <w:p w14:paraId="06090D40">
      <w:pPr>
        <w:spacing w:line="578" w:lineRule="exact"/>
        <w:ind w:firstLine="632"/>
        <w:contextualSpacing/>
        <w:jc w:val="left"/>
        <w:rPr>
          <w:color w:val="000000"/>
          <w:szCs w:val="32"/>
          <w:shd w:val="clear" w:color="auto" w:fill="FFFFFF"/>
          <w:lang w:val="zh-CN"/>
        </w:rPr>
      </w:pPr>
      <w:r>
        <w:rPr>
          <w:color w:val="000000"/>
          <w:szCs w:val="32"/>
          <w:shd w:val="clear" w:color="auto" w:fill="FFFFFF"/>
        </w:rPr>
        <w:t>1</w:t>
      </w:r>
      <w:r>
        <w:rPr>
          <w:rFonts w:hint="eastAsia"/>
          <w:color w:val="000000"/>
          <w:szCs w:val="32"/>
          <w:shd w:val="clear" w:color="auto" w:fill="FFFFFF"/>
        </w:rPr>
        <w:t>、</w:t>
      </w:r>
      <w:r>
        <w:rPr>
          <w:color w:val="000000"/>
          <w:szCs w:val="32"/>
          <w:shd w:val="clear" w:color="auto" w:fill="FFFFFF"/>
          <w:lang w:val="zh-CN"/>
        </w:rPr>
        <w:t>履职效能。</w:t>
      </w:r>
    </w:p>
    <w:p w14:paraId="578D0AF8">
      <w:pPr>
        <w:snapToGrid w:val="0"/>
        <w:spacing w:line="560" w:lineRule="exact"/>
        <w:ind w:firstLine="643" w:firstLineChars="200"/>
        <w:rPr>
          <w:rFonts w:hint="eastAsia" w:ascii="仿宋" w:hAnsi="仿宋" w:eastAsia="仿宋" w:cs="仿宋"/>
          <w:szCs w:val="32"/>
        </w:rPr>
      </w:pPr>
      <w:bookmarkStart w:id="99" w:name="OLE_LINK34"/>
      <w:bookmarkStart w:id="100" w:name="OLE_LINK35"/>
      <w:r>
        <w:rPr>
          <w:rFonts w:hint="eastAsia" w:ascii="仿宋" w:hAnsi="仿宋" w:eastAsia="仿宋" w:cs="仿宋"/>
          <w:b/>
          <w:bCs/>
          <w:szCs w:val="32"/>
        </w:rPr>
        <w:t>（一）着力提高质效，法治安居有新进步。一是</w:t>
      </w:r>
      <w:r>
        <w:rPr>
          <w:rFonts w:hint="eastAsia" w:ascii="仿宋" w:hAnsi="仿宋" w:eastAsia="仿宋" w:cs="仿宋"/>
          <w:szCs w:val="32"/>
        </w:rPr>
        <w:t>纵深推进依法治区建设。组织召开五届区委全面依法治区委员会第三次（扩大）会议、起草并制发2024年工作要点，做好市区法治建设工作督察反馈3项问题的整改。</w:t>
      </w:r>
      <w:r>
        <w:rPr>
          <w:rFonts w:hint="eastAsia" w:ascii="仿宋" w:hAnsi="仿宋" w:eastAsia="仿宋" w:cs="仿宋"/>
          <w:b/>
          <w:bCs/>
          <w:szCs w:val="32"/>
        </w:rPr>
        <w:t>二是</w:t>
      </w:r>
      <w:r>
        <w:rPr>
          <w:rFonts w:hint="eastAsia" w:ascii="仿宋" w:hAnsi="仿宋" w:eastAsia="仿宋" w:cs="仿宋"/>
          <w:szCs w:val="32"/>
        </w:rPr>
        <w:t>大力提升合法性审查效能。以更好地服务政府依法决策为目标，切实发挥好法治参谋助手作用，全年共对309件政府重大事项进行了合法性审查，出具书面审查意见182份。</w:t>
      </w:r>
      <w:r>
        <w:rPr>
          <w:rFonts w:hint="eastAsia" w:ascii="仿宋" w:hAnsi="仿宋" w:eastAsia="仿宋" w:cs="仿宋"/>
          <w:b/>
          <w:bCs/>
          <w:szCs w:val="32"/>
        </w:rPr>
        <w:t>三是</w:t>
      </w:r>
      <w:r>
        <w:rPr>
          <w:rFonts w:hint="eastAsia" w:ascii="仿宋" w:hAnsi="仿宋" w:eastAsia="仿宋" w:cs="仿宋"/>
          <w:szCs w:val="32"/>
        </w:rPr>
        <w:t>全面提升行政执法监督质效。落实提升行政执法质量三年行动计划，全面推行行政执法“三项制度”“一目录、五清单”，进一步规范行政执法行为，全年共评查全区行政执法案件82件，开展行政执法技能培训568人，组织参加行政执法资格考试46人。</w:t>
      </w:r>
      <w:r>
        <w:rPr>
          <w:rFonts w:hint="eastAsia" w:ascii="仿宋" w:hAnsi="仿宋" w:eastAsia="仿宋" w:cs="仿宋"/>
          <w:b/>
          <w:bCs/>
          <w:szCs w:val="32"/>
        </w:rPr>
        <w:t>四是</w:t>
      </w:r>
      <w:r>
        <w:rPr>
          <w:rFonts w:hint="eastAsia" w:ascii="仿宋" w:hAnsi="仿宋" w:eastAsia="仿宋" w:cs="仿宋"/>
          <w:szCs w:val="32"/>
        </w:rPr>
        <w:t>积极履行行政复议与应诉职责。整合现有资源，完成行政复议场所规范化改造，全年共受理行政复议申请26件，审理结案25件（其中纠错10件，纠错率40%）。办理区政府涉行政诉讼案件33件（审结22件，其中撤诉5件，胜诉17件），区政府涉行政复议案件11件（审结10件，终止2件，被撤销8件）。</w:t>
      </w:r>
      <w:r>
        <w:rPr>
          <w:rFonts w:hint="eastAsia" w:ascii="仿宋" w:hAnsi="仿宋" w:eastAsia="仿宋" w:cs="仿宋"/>
          <w:b/>
          <w:bCs/>
          <w:szCs w:val="32"/>
        </w:rPr>
        <w:t>五是</w:t>
      </w:r>
      <w:r>
        <w:rPr>
          <w:rFonts w:hint="eastAsia" w:ascii="仿宋" w:hAnsi="仿宋" w:eastAsia="仿宋" w:cs="仿宋"/>
          <w:szCs w:val="32"/>
        </w:rPr>
        <w:t>创新合同管理服务工作。为适应经济社会健康发展需要，减少因政府合同不规范、不严谨或者怠于履行等产生的风险，7月我区率先成立全市首个政府合同管理服务中心。</w:t>
      </w:r>
    </w:p>
    <w:p w14:paraId="7728EC48">
      <w:pPr>
        <w:widowControl/>
        <w:spacing w:line="560" w:lineRule="exact"/>
        <w:ind w:firstLine="643" w:firstLineChars="200"/>
        <w:rPr>
          <w:rFonts w:hint="eastAsia" w:ascii="仿宋" w:hAnsi="仿宋" w:eastAsia="仿宋" w:cs="仿宋"/>
          <w:szCs w:val="32"/>
        </w:rPr>
      </w:pPr>
      <w:r>
        <w:rPr>
          <w:rFonts w:hint="eastAsia" w:ascii="仿宋" w:hAnsi="仿宋" w:eastAsia="仿宋" w:cs="仿宋"/>
          <w:b/>
          <w:bCs/>
          <w:szCs w:val="32"/>
        </w:rPr>
        <w:t>（二）突出宣传重点，全民普法有新格局。一是</w:t>
      </w:r>
      <w:r>
        <w:rPr>
          <w:rFonts w:hint="eastAsia" w:ascii="仿宋" w:hAnsi="仿宋" w:eastAsia="仿宋" w:cs="仿宋"/>
          <w:szCs w:val="32"/>
        </w:rPr>
        <w:t>深化机制落实责任，构建“大普法”工作格局。以“谁执法谁普法”工作责任制+年度工作要点双管齐下，全面压紧压实普法主体责任，组建“八五”普法宣讲团、精准化普法小分队深入基层开展宣传。全年共参与各类普法宣传活动150次，普法讲座48场次。</w:t>
      </w:r>
      <w:r>
        <w:rPr>
          <w:rFonts w:hint="eastAsia" w:ascii="仿宋" w:hAnsi="仿宋" w:eastAsia="仿宋" w:cs="仿宋"/>
          <w:b/>
          <w:bCs/>
          <w:szCs w:val="32"/>
        </w:rPr>
        <w:t>二是</w:t>
      </w:r>
      <w:r>
        <w:rPr>
          <w:rFonts w:hint="eastAsia" w:ascii="仿宋" w:hAnsi="仿宋" w:eastAsia="仿宋" w:cs="仿宋"/>
          <w:szCs w:val="32"/>
        </w:rPr>
        <w:t>突出“3+N”宣传重点，精准施策提升普法实效。在学习宣传习近平法治思想、</w:t>
      </w:r>
      <w:r>
        <w:rPr>
          <w:rFonts w:hint="eastAsia" w:ascii="仿宋" w:hAnsi="仿宋" w:eastAsia="仿宋" w:cs="仿宋"/>
          <w:szCs w:val="32"/>
          <w:lang w:eastAsia="zh-CN"/>
        </w:rPr>
        <w:t>《中华人民共和国宪法》《中华人民共和国民法典》</w:t>
      </w:r>
      <w:r>
        <w:rPr>
          <w:rFonts w:hint="eastAsia" w:ascii="仿宋" w:hAnsi="仿宋" w:eastAsia="仿宋" w:cs="仿宋"/>
          <w:szCs w:val="32"/>
        </w:rPr>
        <w:t>三大重点的基础上，做实“一月一主题”滴灌式普法，深入开展“法治春联进万家”“春暖农民工”“琼江流域水资源保护”等21期主题法治宣传活动，实现“区域重点工作开展到哪里，法治宣传就出现在哪里”。</w:t>
      </w:r>
      <w:r>
        <w:rPr>
          <w:rFonts w:hint="eastAsia" w:ascii="仿宋" w:hAnsi="仿宋" w:eastAsia="仿宋" w:cs="仿宋"/>
          <w:b/>
          <w:bCs/>
          <w:szCs w:val="32"/>
        </w:rPr>
        <w:t>三是</w:t>
      </w:r>
      <w:r>
        <w:rPr>
          <w:rFonts w:hint="eastAsia" w:ascii="仿宋" w:hAnsi="仿宋" w:eastAsia="仿宋" w:cs="仿宋"/>
          <w:szCs w:val="32"/>
        </w:rPr>
        <w:t>紧扣实际打造亮点，深入践行“全民普法”理念。</w:t>
      </w:r>
      <w:r>
        <w:rPr>
          <w:rFonts w:hint="eastAsia" w:ascii="仿宋" w:hAnsi="仿宋" w:eastAsia="仿宋" w:cs="仿宋"/>
          <w:color w:val="333333"/>
          <w:szCs w:val="32"/>
          <w:shd w:val="clear" w:color="auto" w:fill="FFFFFF"/>
        </w:rPr>
        <w:t>实施“头雁示范”“护航成长”“铸魂强基”“法治赋能”四大行动，实现党政主要负责人述法率、区机关工作人员学法覆盖率、</w:t>
      </w:r>
      <w:r>
        <w:rPr>
          <w:rFonts w:hint="eastAsia" w:ascii="仿宋" w:hAnsi="仿宋" w:eastAsia="仿宋" w:cs="仿宋"/>
          <w:color w:val="333333"/>
          <w:szCs w:val="32"/>
          <w:shd w:val="clear" w:color="auto" w:fill="FFFFFF"/>
          <w:lang w:val="zh-CN"/>
        </w:rPr>
        <w:t>“法治副校长”“法治辅导员”</w:t>
      </w:r>
      <w:r>
        <w:rPr>
          <w:rFonts w:hint="eastAsia" w:ascii="仿宋" w:hAnsi="仿宋" w:eastAsia="仿宋" w:cs="仿宋"/>
          <w:color w:val="333333"/>
          <w:szCs w:val="32"/>
          <w:shd w:val="clear" w:color="auto" w:fill="FFFFFF"/>
        </w:rPr>
        <w:t>“法律明白人”配备率均达100%</w:t>
      </w:r>
      <w:r>
        <w:rPr>
          <w:rFonts w:hint="eastAsia" w:ascii="仿宋" w:hAnsi="仿宋" w:eastAsia="仿宋" w:cs="仿宋"/>
          <w:color w:val="333333"/>
          <w:szCs w:val="32"/>
          <w:shd w:val="clear" w:color="auto" w:fill="FFFFFF"/>
          <w:lang w:val="zh-CN"/>
        </w:rPr>
        <w:t>。</w:t>
      </w:r>
      <w:r>
        <w:rPr>
          <w:rFonts w:hint="eastAsia" w:ascii="仿宋" w:hAnsi="仿宋" w:eastAsia="仿宋" w:cs="仿宋"/>
          <w:b/>
          <w:bCs/>
          <w:color w:val="333333"/>
          <w:szCs w:val="32"/>
          <w:shd w:val="clear" w:color="auto" w:fill="FFFFFF"/>
        </w:rPr>
        <w:t>四是</w:t>
      </w:r>
      <w:r>
        <w:rPr>
          <w:rFonts w:hint="eastAsia" w:ascii="仿宋" w:hAnsi="仿宋" w:eastAsia="仿宋" w:cs="仿宋"/>
          <w:color w:val="333333"/>
          <w:szCs w:val="32"/>
          <w:shd w:val="clear" w:color="auto" w:fill="FFFFFF"/>
        </w:rPr>
        <w:t>围绕跨区域文化共建，法治文化建设多点开花。</w:t>
      </w:r>
      <w:r>
        <w:rPr>
          <w:rFonts w:hint="eastAsia" w:ascii="仿宋" w:hAnsi="仿宋" w:eastAsia="仿宋" w:cs="仿宋"/>
          <w:szCs w:val="32"/>
        </w:rPr>
        <w:t>做强“遂潼法声·安潼互联”法治宣传品牌，以遂潼法治文化示范带为枢纽，创作法治微视频、微电影52部，全年两地联合开展普法宣讲活动10次，促进了两地法治文化互融</w:t>
      </w:r>
      <w:r>
        <w:rPr>
          <w:rFonts w:hint="eastAsia" w:ascii="仿宋" w:hAnsi="仿宋" w:eastAsia="仿宋" w:cs="仿宋"/>
          <w:color w:val="000000"/>
          <w:szCs w:val="32"/>
        </w:rPr>
        <w:t>。</w:t>
      </w:r>
    </w:p>
    <w:p w14:paraId="37292E14">
      <w:pPr>
        <w:widowControl/>
        <w:spacing w:line="560" w:lineRule="exact"/>
        <w:ind w:firstLine="643" w:firstLineChars="200"/>
        <w:rPr>
          <w:rFonts w:hint="eastAsia" w:ascii="仿宋" w:hAnsi="仿宋" w:eastAsia="仿宋" w:cs="仿宋"/>
          <w:szCs w:val="32"/>
        </w:rPr>
      </w:pPr>
      <w:r>
        <w:rPr>
          <w:rFonts w:hint="eastAsia" w:ascii="仿宋" w:hAnsi="仿宋" w:eastAsia="仿宋" w:cs="仿宋"/>
          <w:b/>
          <w:bCs/>
          <w:szCs w:val="32"/>
        </w:rPr>
        <w:t>（三）化解社会风险，平安建设有新成效。一是</w:t>
      </w:r>
      <w:r>
        <w:rPr>
          <w:rFonts w:hint="eastAsia" w:ascii="仿宋" w:hAnsi="仿宋" w:eastAsia="仿宋" w:cs="仿宋"/>
          <w:szCs w:val="32"/>
        </w:rPr>
        <w:t>打造“枫桥经验”安居品牌。新建“黄诚调解室”“范杰调解室”2个个人品牌调解室，对全区16个行专的50名专职调解员进行业务培训，助力基层治理提质增效，全年司法所参与调解各类矛盾纠纷890件，调解成功率98.6%。</w:t>
      </w:r>
      <w:r>
        <w:rPr>
          <w:rFonts w:hint="eastAsia" w:ascii="仿宋" w:hAnsi="仿宋" w:eastAsia="仿宋" w:cs="仿宋"/>
          <w:b/>
          <w:bCs/>
          <w:szCs w:val="32"/>
        </w:rPr>
        <w:t>二是</w:t>
      </w:r>
      <w:r>
        <w:rPr>
          <w:rFonts w:hint="eastAsia" w:ascii="仿宋" w:hAnsi="仿宋" w:eastAsia="仿宋" w:cs="仿宋"/>
          <w:szCs w:val="32"/>
        </w:rPr>
        <w:t>规范社区矫正对象教育管理。常态化开展执法检查、“三新”教育活动，定期召开风险研判分析会议与工作例会，联合民盟安居总支启动“黄丝带”帮教活动，全年共办理调查评估166件，列管社区矫正对象446人。</w:t>
      </w:r>
      <w:r>
        <w:rPr>
          <w:rFonts w:hint="eastAsia" w:ascii="仿宋" w:hAnsi="仿宋" w:eastAsia="仿宋" w:cs="仿宋"/>
          <w:b/>
          <w:bCs/>
          <w:szCs w:val="32"/>
        </w:rPr>
        <w:t>三是</w:t>
      </w:r>
      <w:r>
        <w:rPr>
          <w:rFonts w:hint="eastAsia" w:ascii="仿宋" w:hAnsi="仿宋" w:eastAsia="仿宋" w:cs="仿宋"/>
          <w:szCs w:val="32"/>
        </w:rPr>
        <w:t>加强刑释人员安置帮教工作。确保做到“四个不发生”，积极落实“必接必送”制度，与监狱、看守所等无缝衔接刑释人员29人。截至目前，全区在册安置帮教对象2053名，其中重点安置帮教对象293人，帮教率100%，开展远程探视申请409人次。</w:t>
      </w:r>
      <w:r>
        <w:rPr>
          <w:rFonts w:hint="eastAsia" w:ascii="仿宋" w:hAnsi="仿宋" w:eastAsia="仿宋" w:cs="仿宋"/>
          <w:b/>
          <w:bCs/>
          <w:szCs w:val="32"/>
        </w:rPr>
        <w:t>四是</w:t>
      </w:r>
      <w:r>
        <w:rPr>
          <w:rFonts w:hint="eastAsia" w:ascii="仿宋" w:hAnsi="仿宋" w:eastAsia="仿宋" w:cs="仿宋"/>
          <w:color w:val="000000"/>
          <w:szCs w:val="32"/>
        </w:rPr>
        <w:t>积极参与信访维稳工作。整合“148”法律服务热线和“12345”政府服务热线，为群众提供免费的法律咨询和帮助。全年共解答“148”专线电话咨询143人次，回复“12345”热线40条，12345热线工作群众满意度达100%，参与重大信访案件化解40件次</w:t>
      </w:r>
      <w:r>
        <w:rPr>
          <w:rFonts w:hint="eastAsia" w:ascii="仿宋" w:hAnsi="仿宋" w:eastAsia="仿宋" w:cs="仿宋"/>
          <w:szCs w:val="32"/>
        </w:rPr>
        <w:t>。</w:t>
      </w:r>
    </w:p>
    <w:p w14:paraId="30194450">
      <w:pPr>
        <w:spacing w:line="578" w:lineRule="exact"/>
        <w:ind w:firstLine="632"/>
        <w:contextualSpacing/>
        <w:jc w:val="left"/>
        <w:rPr>
          <w:szCs w:val="32"/>
        </w:rPr>
      </w:pPr>
      <w:r>
        <w:rPr>
          <w:rFonts w:hint="eastAsia" w:ascii="仿宋" w:hAnsi="仿宋" w:eastAsia="仿宋" w:cs="仿宋"/>
          <w:b/>
          <w:bCs/>
          <w:szCs w:val="32"/>
        </w:rPr>
        <w:t>（四）优化营商环境，群众满意度有新提升。一是</w:t>
      </w:r>
      <w:r>
        <w:rPr>
          <w:rFonts w:hint="eastAsia" w:ascii="仿宋" w:hAnsi="仿宋" w:eastAsia="仿宋" w:cs="仿宋"/>
          <w:szCs w:val="32"/>
        </w:rPr>
        <w:t>深化企业法律服务。通过“送法进企业”专项活动和举办“劳动用工法律知识讲座”，全年共到20家民营企业开展法治体检，提供法律咨询300余人次，审核劳动劳务合同80余份，调处涉企矛盾8件。</w:t>
      </w:r>
      <w:r>
        <w:rPr>
          <w:rFonts w:hint="eastAsia" w:ascii="仿宋" w:hAnsi="仿宋" w:eastAsia="仿宋" w:cs="仿宋"/>
          <w:b/>
          <w:bCs/>
          <w:szCs w:val="32"/>
        </w:rPr>
        <w:t>二是</w:t>
      </w:r>
      <w:r>
        <w:rPr>
          <w:rFonts w:hint="eastAsia" w:ascii="仿宋" w:hAnsi="仿宋" w:eastAsia="仿宋" w:cs="仿宋"/>
          <w:szCs w:val="32"/>
        </w:rPr>
        <w:t>公共法律服务提档升级。依托公共法律服务中心建成安居区“一站式”矛盾纠纷多元化解平台，整合诉讼服务、检察服务、信访服务、人民调解、法律援助、行政复议、公证服务，实现群众办理涉法事务“只跑一次”。全年共协调化解重大矛盾纠纷14件，办理公证事项713件。</w:t>
      </w:r>
      <w:r>
        <w:rPr>
          <w:rFonts w:hint="eastAsia" w:ascii="仿宋" w:hAnsi="仿宋" w:eastAsia="仿宋" w:cs="仿宋"/>
          <w:b/>
          <w:bCs/>
          <w:szCs w:val="32"/>
        </w:rPr>
        <w:t>三是</w:t>
      </w:r>
      <w:r>
        <w:rPr>
          <w:rFonts w:hint="eastAsia" w:ascii="仿宋" w:hAnsi="仿宋" w:eastAsia="仿宋" w:cs="仿宋"/>
          <w:szCs w:val="32"/>
        </w:rPr>
        <w:t>着力提升法律援助质效。深入抓好“法援惠民生、助力农民工”“乡村振兴、法治同行”等品牌建设活动，切实做到法律援助“应援尽援”。全年办理援助案件347件，其中受理农民工援助案件252件，讨回欠薪、挽回经济损失149.08万元。</w:t>
      </w:r>
      <w:r>
        <w:rPr>
          <w:rFonts w:hint="eastAsia" w:ascii="仿宋" w:hAnsi="仿宋" w:eastAsia="仿宋" w:cs="仿宋"/>
          <w:b/>
          <w:bCs/>
          <w:szCs w:val="32"/>
        </w:rPr>
        <w:t>四是</w:t>
      </w:r>
      <w:r>
        <w:rPr>
          <w:rFonts w:hint="eastAsia" w:ascii="仿宋" w:hAnsi="仿宋" w:eastAsia="仿宋" w:cs="仿宋"/>
          <w:szCs w:val="32"/>
        </w:rPr>
        <w:t>为乡村振兴提供法治保障。将村居法律顾问服务纳入政府购买服务范畴，依托303名村（居）法律顾问坐诊“家门口”，深入基层提供全覆盖、零距离、无障碍的专项法律服务，协助调处因体制改革引发的矛盾纠纷。全年共为村（社区）提供土地交付、承包经营等方面的法律意见140余条</w:t>
      </w:r>
      <w:bookmarkEnd w:id="99"/>
      <w:bookmarkEnd w:id="100"/>
      <w:r>
        <w:rPr>
          <w:rFonts w:hint="eastAsia" w:ascii="Times New Roman" w:hAnsi="Times New Roman"/>
          <w:szCs w:val="32"/>
        </w:rPr>
        <w:t>。</w:t>
      </w:r>
    </w:p>
    <w:p w14:paraId="2B9B0BE4">
      <w:pPr>
        <w:spacing w:line="578" w:lineRule="exact"/>
        <w:ind w:firstLine="632"/>
        <w:contextualSpacing/>
        <w:jc w:val="left"/>
        <w:rPr>
          <w:szCs w:val="32"/>
          <w:shd w:val="clear" w:color="auto" w:fill="FFFFFF"/>
          <w:lang w:val="zh-CN"/>
        </w:rPr>
      </w:pPr>
      <w:r>
        <w:rPr>
          <w:szCs w:val="32"/>
          <w:shd w:val="clear" w:color="auto" w:fill="FFFFFF"/>
        </w:rPr>
        <w:t>2</w:t>
      </w:r>
      <w:r>
        <w:rPr>
          <w:rFonts w:hint="eastAsia"/>
          <w:szCs w:val="32"/>
          <w:shd w:val="clear" w:color="auto" w:fill="FFFFFF"/>
        </w:rPr>
        <w:t>、</w:t>
      </w:r>
      <w:r>
        <w:rPr>
          <w:szCs w:val="32"/>
          <w:shd w:val="clear" w:color="auto" w:fill="FFFFFF"/>
          <w:lang w:val="zh-CN"/>
        </w:rPr>
        <w:t>预算管理。</w:t>
      </w:r>
      <w:r>
        <w:rPr>
          <w:rFonts w:hint="eastAsia" w:ascii="仿宋" w:hAnsi="仿宋" w:eastAsia="仿宋" w:cs="仿宋_GB2312"/>
          <w:szCs w:val="32"/>
        </w:rPr>
        <w:t>严格按照财政部门预算编制通知和有关要求，按时完成2024年预算编制工作，并按时提交部门预算草案和编制说明。按规定编制预算，预算编制全面、科学。</w:t>
      </w:r>
    </w:p>
    <w:p w14:paraId="1DBE6E52">
      <w:pPr>
        <w:spacing w:line="578" w:lineRule="exact"/>
        <w:ind w:firstLine="632"/>
        <w:contextualSpacing/>
        <w:jc w:val="left"/>
        <w:rPr>
          <w:rFonts w:ascii="仿宋" w:hAnsi="仿宋" w:eastAsia="仿宋" w:cs="仿宋"/>
          <w:szCs w:val="32"/>
        </w:rPr>
      </w:pPr>
      <w:r>
        <w:rPr>
          <w:szCs w:val="32"/>
          <w:shd w:val="clear" w:color="auto" w:fill="FFFFFF"/>
        </w:rPr>
        <w:t>3</w:t>
      </w:r>
      <w:r>
        <w:rPr>
          <w:rFonts w:hint="eastAsia"/>
          <w:szCs w:val="32"/>
          <w:shd w:val="clear" w:color="auto" w:fill="FFFFFF"/>
        </w:rPr>
        <w:t>、</w:t>
      </w:r>
      <w:r>
        <w:rPr>
          <w:szCs w:val="32"/>
          <w:shd w:val="clear" w:color="auto" w:fill="FFFFFF"/>
          <w:lang w:val="zh-CN"/>
        </w:rPr>
        <w:t>财务管理。</w:t>
      </w:r>
      <w:r>
        <w:rPr>
          <w:rFonts w:hint="eastAsia" w:ascii="仿宋" w:hAnsi="仿宋" w:eastAsia="仿宋" w:cs="仿宋"/>
          <w:szCs w:val="32"/>
        </w:rPr>
        <w:t>为进一步加强财务管理，规范公务支付业务，减少现金支付结算，提高支付透明度，强化资金安全，制定了《财务管理制度》等内部控制制度，包括：预算管理、采购管理、结算管理、资产管理、财务机构、财务监督等管理事项。</w:t>
      </w:r>
    </w:p>
    <w:p w14:paraId="7163C0CE">
      <w:pPr>
        <w:spacing w:line="578" w:lineRule="exact"/>
        <w:ind w:firstLine="632"/>
        <w:contextualSpacing/>
        <w:jc w:val="left"/>
        <w:rPr>
          <w:szCs w:val="32"/>
          <w:lang w:val="zh-CN"/>
        </w:rPr>
      </w:pPr>
      <w:r>
        <w:rPr>
          <w:szCs w:val="32"/>
          <w:shd w:val="clear" w:color="auto" w:fill="FFFFFF"/>
        </w:rPr>
        <w:t>4</w:t>
      </w:r>
      <w:r>
        <w:rPr>
          <w:rFonts w:hint="eastAsia"/>
          <w:szCs w:val="32"/>
          <w:shd w:val="clear" w:color="auto" w:fill="FFFFFF"/>
        </w:rPr>
        <w:t>、</w:t>
      </w:r>
      <w:r>
        <w:rPr>
          <w:szCs w:val="32"/>
          <w:shd w:val="clear" w:color="auto" w:fill="FFFFFF"/>
          <w:lang w:val="zh-CN"/>
        </w:rPr>
        <w:t>资产管理。</w:t>
      </w:r>
      <w:r>
        <w:rPr>
          <w:szCs w:val="32"/>
          <w:lang w:val="zh-CN"/>
        </w:rPr>
        <w:t>围绕人均资产变化率、资产利用率、资产盘活率进行绩效分析。</w:t>
      </w:r>
    </w:p>
    <w:p w14:paraId="2F374D08">
      <w:pPr>
        <w:spacing w:line="578" w:lineRule="exact"/>
        <w:ind w:firstLine="632"/>
        <w:contextualSpacing/>
        <w:jc w:val="left"/>
        <w:rPr>
          <w:szCs w:val="32"/>
          <w:shd w:val="clear" w:color="auto" w:fill="FFFFFF"/>
        </w:rPr>
      </w:pPr>
      <w:r>
        <w:rPr>
          <w:rFonts w:hint="eastAsia" w:ascii="仿宋" w:hAnsi="仿宋" w:eastAsia="仿宋" w:cs="仿宋"/>
          <w:szCs w:val="32"/>
          <w:lang w:val="zh-CN"/>
        </w:rPr>
        <w:t>截止</w:t>
      </w:r>
      <w:r>
        <w:rPr>
          <w:rFonts w:hint="eastAsia" w:ascii="仿宋" w:hAnsi="仿宋" w:eastAsia="仿宋" w:cs="仿宋"/>
          <w:szCs w:val="32"/>
        </w:rPr>
        <w:t>2024年末，资产总值</w:t>
      </w:r>
      <w:r>
        <w:rPr>
          <w:rFonts w:hint="eastAsia" w:ascii="仿宋" w:hAnsi="仿宋" w:eastAsia="仿宋" w:cs="仿宋"/>
          <w:szCs w:val="32"/>
          <w:lang w:val="en-US" w:eastAsia="zh-CN"/>
        </w:rPr>
        <w:t>718.78</w:t>
      </w:r>
      <w:r>
        <w:rPr>
          <w:rFonts w:hint="eastAsia" w:ascii="仿宋" w:hAnsi="仿宋" w:eastAsia="仿宋" w:cs="仿宋"/>
          <w:szCs w:val="32"/>
        </w:rPr>
        <w:t>万元，比2023年增长</w:t>
      </w:r>
      <w:r>
        <w:rPr>
          <w:rFonts w:hint="eastAsia" w:ascii="仿宋" w:hAnsi="仿宋" w:eastAsia="仿宋" w:cs="仿宋"/>
          <w:szCs w:val="32"/>
          <w:lang w:val="en-US" w:eastAsia="zh-CN"/>
        </w:rPr>
        <w:t>70.98</w:t>
      </w:r>
      <w:r>
        <w:rPr>
          <w:rFonts w:hint="eastAsia" w:ascii="仿宋" w:hAnsi="仿宋" w:eastAsia="仿宋" w:cs="仿宋"/>
          <w:szCs w:val="32"/>
        </w:rPr>
        <w:t>万元，增幅</w:t>
      </w:r>
      <w:r>
        <w:rPr>
          <w:rFonts w:hint="eastAsia" w:ascii="仿宋" w:hAnsi="仿宋" w:eastAsia="仿宋" w:cs="仿宋"/>
          <w:szCs w:val="32"/>
          <w:lang w:val="en-US" w:eastAsia="zh-CN"/>
        </w:rPr>
        <w:t>10.96</w:t>
      </w:r>
      <w:r>
        <w:rPr>
          <w:rFonts w:hint="eastAsia" w:ascii="仿宋" w:hAnsi="仿宋" w:eastAsia="仿宋" w:cs="仿宋"/>
          <w:szCs w:val="32"/>
        </w:rPr>
        <w:t>%。</w:t>
      </w:r>
      <w:r>
        <w:rPr>
          <w:rFonts w:hint="eastAsia" w:ascii="仿宋" w:hAnsi="仿宋" w:eastAsia="仿宋" w:cs="仿宋"/>
          <w:szCs w:val="32"/>
          <w:lang w:val="zh-CN"/>
        </w:rPr>
        <w:t>为了提高资产利用率，保证资产管理的安全性，将资产管理的各个权利和责任明确，提升单位资产管理的科学</w:t>
      </w:r>
      <w:r>
        <w:rPr>
          <w:rFonts w:hint="eastAsia"/>
          <w:szCs w:val="32"/>
          <w:lang w:val="zh-CN"/>
        </w:rPr>
        <w:t>性。建立闲置资产盘活台账，落实专人专责，加大对办公设备、办公家具等闲置可用资产的回收力度，进一步提高资产使用率。单位</w:t>
      </w:r>
      <w:r>
        <w:rPr>
          <w:szCs w:val="32"/>
        </w:rPr>
        <w:t>无截留、挤占、挪用、虚列支出等情况</w:t>
      </w:r>
      <w:r>
        <w:rPr>
          <w:rFonts w:hint="eastAsia"/>
          <w:szCs w:val="32"/>
        </w:rPr>
        <w:t>。</w:t>
      </w:r>
    </w:p>
    <w:p w14:paraId="5225D881">
      <w:pPr>
        <w:spacing w:line="578" w:lineRule="exact"/>
        <w:ind w:firstLine="632"/>
        <w:contextualSpacing/>
        <w:jc w:val="left"/>
        <w:rPr>
          <w:rFonts w:eastAsia="楷体_GB2312"/>
          <w:color w:val="FF0000"/>
          <w:szCs w:val="32"/>
          <w:shd w:val="clear" w:color="auto" w:fill="FFFFFF"/>
          <w:lang w:val="zh-CN"/>
        </w:rPr>
      </w:pPr>
      <w:r>
        <w:rPr>
          <w:rFonts w:hint="eastAsia"/>
          <w:szCs w:val="32"/>
          <w:shd w:val="clear" w:color="auto" w:fill="FFFFFF"/>
        </w:rPr>
        <w:t>5、</w:t>
      </w:r>
      <w:r>
        <w:rPr>
          <w:szCs w:val="32"/>
          <w:shd w:val="clear" w:color="auto" w:fill="FFFFFF"/>
          <w:lang w:val="zh-CN"/>
        </w:rPr>
        <w:t>采购管理。</w:t>
      </w:r>
      <w:r>
        <w:rPr>
          <w:rFonts w:hint="eastAsia"/>
          <w:szCs w:val="32"/>
        </w:rPr>
        <w:t>落实促进中小企业发展等政府采购政策，科学编制政府采购预算，建立本单位政府采购内部控制制度，实现“阳光采购”，确保采购过程公开透明，提高采购效率。</w:t>
      </w:r>
    </w:p>
    <w:p w14:paraId="6B9F000C">
      <w:pPr>
        <w:widowControl/>
        <w:spacing w:line="578" w:lineRule="exact"/>
        <w:ind w:firstLine="632"/>
        <w:contextualSpacing/>
        <w:jc w:val="left"/>
        <w:rPr>
          <w:szCs w:val="32"/>
        </w:rPr>
      </w:pPr>
      <w:r>
        <w:rPr>
          <w:rFonts w:eastAsia="楷体_GB2312"/>
          <w:b/>
          <w:bCs/>
          <w:color w:val="000000"/>
          <w:szCs w:val="32"/>
          <w:shd w:val="clear" w:color="auto" w:fill="FFFFFF"/>
          <w:lang w:val="zh-CN"/>
        </w:rPr>
        <w:t>（二）部门预算项目绩效分析</w:t>
      </w:r>
      <w:r>
        <w:rPr>
          <w:rFonts w:eastAsia="楷体_GB2312"/>
          <w:color w:val="000000"/>
          <w:szCs w:val="32"/>
          <w:shd w:val="clear" w:color="auto" w:fill="FFFFFF"/>
          <w:lang w:val="zh-CN"/>
        </w:rPr>
        <w:t>。</w:t>
      </w:r>
      <w:r>
        <w:rPr>
          <w:szCs w:val="32"/>
          <w:lang w:val="zh-CN"/>
        </w:rPr>
        <w:t>填报以下数据，并根据部门预算绩效评价指标体系</w:t>
      </w:r>
      <w:r>
        <w:rPr>
          <w:rFonts w:hint="eastAsia"/>
          <w:szCs w:val="32"/>
          <w:lang w:val="zh-CN"/>
        </w:rPr>
        <w:t>“</w:t>
      </w:r>
      <w:r>
        <w:rPr>
          <w:szCs w:val="32"/>
          <w:lang w:val="zh-CN"/>
        </w:rPr>
        <w:t>项目绩效</w:t>
      </w:r>
      <w:r>
        <w:rPr>
          <w:rFonts w:hint="eastAsia"/>
          <w:szCs w:val="32"/>
          <w:lang w:val="zh-CN"/>
        </w:rPr>
        <w:t>”</w:t>
      </w:r>
      <w:r>
        <w:rPr>
          <w:szCs w:val="32"/>
          <w:lang w:val="zh-CN"/>
        </w:rPr>
        <w:t>涉及二、三级指标进行逐项绩效分析并评分，依次包括项目</w:t>
      </w:r>
      <w:r>
        <w:rPr>
          <w:szCs w:val="32"/>
        </w:rPr>
        <w:t>决策、项目执行、目标实现等情况。</w:t>
      </w:r>
    </w:p>
    <w:p w14:paraId="29EB1FEF">
      <w:pPr>
        <w:adjustRightInd w:val="0"/>
        <w:snapToGrid w:val="0"/>
        <w:spacing w:line="560" w:lineRule="exact"/>
        <w:ind w:firstLine="640" w:firstLineChars="200"/>
        <w:contextualSpacing/>
        <w:jc w:val="left"/>
        <w:rPr>
          <w:rFonts w:ascii="仿宋" w:hAnsi="仿宋" w:eastAsia="仿宋" w:cs="仿宋"/>
          <w:color w:val="auto"/>
          <w:szCs w:val="32"/>
        </w:rPr>
      </w:pPr>
      <w:r>
        <w:rPr>
          <w:rFonts w:hint="eastAsia" w:ascii="仿宋" w:hAnsi="仿宋" w:eastAsia="仿宋" w:cs="仿宋"/>
          <w:color w:val="auto"/>
          <w:szCs w:val="32"/>
        </w:rPr>
        <w:t>常年项目绩效分析。</w:t>
      </w:r>
      <w:r>
        <w:rPr>
          <w:rFonts w:hint="eastAsia" w:ascii="仿宋" w:hAnsi="仿宋" w:eastAsia="仿宋" w:cs="仿宋"/>
          <w:color w:val="auto"/>
          <w:szCs w:val="32"/>
          <w:lang w:val="zh-CN"/>
        </w:rPr>
        <w:t>该类项目总数</w:t>
      </w:r>
      <w:r>
        <w:rPr>
          <w:rFonts w:hint="eastAsia" w:ascii="仿宋" w:hAnsi="仿宋" w:eastAsia="仿宋" w:cs="仿宋"/>
          <w:color w:val="auto"/>
          <w:szCs w:val="32"/>
          <w:lang w:val="en-US" w:eastAsia="zh-CN"/>
        </w:rPr>
        <w:t>9</w:t>
      </w:r>
      <w:r>
        <w:rPr>
          <w:rFonts w:hint="eastAsia" w:ascii="仿宋" w:hAnsi="仿宋" w:eastAsia="仿宋" w:cs="仿宋"/>
          <w:color w:val="auto"/>
          <w:szCs w:val="32"/>
          <w:lang w:val="zh-CN"/>
        </w:rPr>
        <w:t>个，涉及预算总金额</w:t>
      </w:r>
      <w:r>
        <w:rPr>
          <w:rFonts w:hint="eastAsia" w:ascii="仿宋" w:hAnsi="仿宋" w:eastAsia="仿宋" w:cs="仿宋"/>
          <w:color w:val="auto"/>
          <w:szCs w:val="32"/>
        </w:rPr>
        <w:t xml:space="preserve">   </w:t>
      </w:r>
      <w:r>
        <w:rPr>
          <w:rFonts w:hint="eastAsia" w:ascii="仿宋" w:hAnsi="仿宋" w:eastAsia="仿宋" w:cs="仿宋"/>
          <w:color w:val="auto"/>
          <w:szCs w:val="32"/>
          <w:lang w:val="en-US" w:eastAsia="zh-CN"/>
        </w:rPr>
        <w:t>117</w:t>
      </w:r>
      <w:r>
        <w:rPr>
          <w:rFonts w:hint="eastAsia" w:ascii="仿宋" w:hAnsi="仿宋" w:eastAsia="仿宋" w:cs="仿宋"/>
          <w:color w:val="auto"/>
          <w:szCs w:val="32"/>
          <w:lang w:val="zh-CN"/>
        </w:rPr>
        <w:t>万元，1—1</w:t>
      </w:r>
      <w:r>
        <w:rPr>
          <w:rFonts w:hint="eastAsia" w:ascii="仿宋" w:hAnsi="仿宋" w:eastAsia="仿宋" w:cs="仿宋"/>
          <w:color w:val="auto"/>
          <w:szCs w:val="32"/>
        </w:rPr>
        <w:t>2</w:t>
      </w:r>
      <w:r>
        <w:rPr>
          <w:rFonts w:hint="eastAsia" w:ascii="仿宋" w:hAnsi="仿宋" w:eastAsia="仿宋" w:cs="仿宋"/>
          <w:color w:val="auto"/>
          <w:szCs w:val="32"/>
          <w:lang w:val="zh-CN"/>
        </w:rPr>
        <w:t>月预算执行总体进度为</w:t>
      </w:r>
      <w:r>
        <w:rPr>
          <w:rFonts w:hint="eastAsia" w:ascii="仿宋" w:hAnsi="仿宋" w:eastAsia="仿宋" w:cs="仿宋"/>
          <w:color w:val="auto"/>
          <w:szCs w:val="32"/>
        </w:rPr>
        <w:t xml:space="preserve"> 100 </w:t>
      </w:r>
      <w:r>
        <w:rPr>
          <w:rFonts w:hint="eastAsia" w:ascii="仿宋" w:hAnsi="仿宋" w:eastAsia="仿宋" w:cs="仿宋"/>
          <w:color w:val="auto"/>
          <w:szCs w:val="32"/>
          <w:lang w:val="zh-CN"/>
        </w:rPr>
        <w:t>%，其中：预算结余率大于</w:t>
      </w:r>
      <w:r>
        <w:rPr>
          <w:rFonts w:hint="eastAsia" w:ascii="仿宋" w:hAnsi="仿宋" w:eastAsia="仿宋" w:cs="仿宋"/>
          <w:color w:val="auto"/>
          <w:szCs w:val="32"/>
        </w:rPr>
        <w:t>10%</w:t>
      </w:r>
      <w:r>
        <w:rPr>
          <w:rFonts w:hint="eastAsia" w:ascii="仿宋" w:hAnsi="仿宋" w:eastAsia="仿宋" w:cs="仿宋"/>
          <w:color w:val="auto"/>
          <w:szCs w:val="32"/>
          <w:lang w:val="zh-CN"/>
        </w:rPr>
        <w:t>的项目共计</w:t>
      </w:r>
      <w:r>
        <w:rPr>
          <w:rFonts w:hint="eastAsia" w:ascii="仿宋" w:hAnsi="仿宋" w:eastAsia="仿宋" w:cs="仿宋"/>
          <w:color w:val="auto"/>
          <w:szCs w:val="32"/>
        </w:rPr>
        <w:t xml:space="preserve"> 0 </w:t>
      </w:r>
      <w:r>
        <w:rPr>
          <w:rFonts w:hint="eastAsia" w:ascii="仿宋" w:hAnsi="仿宋" w:eastAsia="仿宋" w:cs="仿宋"/>
          <w:color w:val="auto"/>
          <w:szCs w:val="32"/>
          <w:lang w:val="zh-CN"/>
        </w:rPr>
        <w:t>个。</w:t>
      </w:r>
    </w:p>
    <w:p w14:paraId="5C6A4D9F">
      <w:pPr>
        <w:widowControl/>
        <w:spacing w:line="578" w:lineRule="exact"/>
        <w:ind w:firstLine="632"/>
        <w:contextualSpacing/>
        <w:jc w:val="left"/>
        <w:rPr>
          <w:color w:val="auto"/>
          <w:szCs w:val="32"/>
          <w:lang w:val="zh-CN"/>
        </w:rPr>
      </w:pPr>
      <w:r>
        <w:rPr>
          <w:rFonts w:hint="eastAsia" w:ascii="仿宋" w:hAnsi="仿宋" w:eastAsia="仿宋" w:cs="仿宋"/>
          <w:color w:val="auto"/>
          <w:szCs w:val="32"/>
        </w:rPr>
        <w:t>阶段（一次性）项目绩效分析。</w:t>
      </w:r>
      <w:r>
        <w:rPr>
          <w:rFonts w:hint="eastAsia" w:ascii="仿宋" w:hAnsi="仿宋" w:eastAsia="仿宋" w:cs="仿宋"/>
          <w:color w:val="auto"/>
          <w:szCs w:val="32"/>
          <w:lang w:val="zh-CN"/>
        </w:rPr>
        <w:t>该类项目总数</w:t>
      </w:r>
      <w:r>
        <w:rPr>
          <w:rFonts w:hint="eastAsia" w:ascii="仿宋" w:hAnsi="仿宋" w:eastAsia="仿宋" w:cs="仿宋"/>
          <w:color w:val="auto"/>
          <w:szCs w:val="32"/>
          <w:lang w:val="en-US" w:eastAsia="zh-CN"/>
        </w:rPr>
        <w:t>0</w:t>
      </w:r>
      <w:r>
        <w:rPr>
          <w:rFonts w:hint="eastAsia" w:ascii="仿宋" w:hAnsi="仿宋" w:eastAsia="仿宋" w:cs="仿宋"/>
          <w:color w:val="auto"/>
          <w:szCs w:val="32"/>
          <w:lang w:val="zh-CN"/>
        </w:rPr>
        <w:t>个，涉及预算总金额</w:t>
      </w:r>
      <w:r>
        <w:rPr>
          <w:rFonts w:hint="eastAsia" w:ascii="仿宋" w:hAnsi="仿宋" w:eastAsia="仿宋" w:cs="仿宋"/>
          <w:color w:val="auto"/>
          <w:szCs w:val="32"/>
          <w:lang w:val="en-US" w:eastAsia="zh-CN"/>
        </w:rPr>
        <w:t>0</w:t>
      </w:r>
      <w:r>
        <w:rPr>
          <w:rFonts w:hint="eastAsia" w:ascii="仿宋" w:hAnsi="仿宋" w:eastAsia="仿宋" w:cs="仿宋"/>
          <w:color w:val="auto"/>
          <w:szCs w:val="32"/>
          <w:lang w:val="zh-CN"/>
        </w:rPr>
        <w:t>万元。</w:t>
      </w:r>
    </w:p>
    <w:p w14:paraId="75B8481B">
      <w:pPr>
        <w:spacing w:line="578" w:lineRule="exact"/>
        <w:ind w:firstLine="632"/>
        <w:contextualSpacing/>
        <w:jc w:val="left"/>
        <w:rPr>
          <w:color w:val="000000"/>
          <w:szCs w:val="32"/>
          <w:lang w:val="zh-CN"/>
        </w:rPr>
      </w:pPr>
      <w:r>
        <w:rPr>
          <w:rFonts w:hint="eastAsia"/>
          <w:color w:val="000000"/>
          <w:szCs w:val="32"/>
          <w:shd w:val="clear" w:color="auto" w:fill="FFFFFF"/>
        </w:rPr>
        <w:t>1、</w:t>
      </w:r>
      <w:r>
        <w:rPr>
          <w:color w:val="000000"/>
          <w:szCs w:val="32"/>
          <w:shd w:val="clear" w:color="auto" w:fill="FFFFFF"/>
          <w:lang w:val="zh-CN"/>
        </w:rPr>
        <w:t>项目决策。</w:t>
      </w:r>
      <w:r>
        <w:rPr>
          <w:rFonts w:hint="eastAsia" w:ascii="仿宋_GB2312" w:hAnsi="仿宋" w:cs="CESI仿宋-GB2312"/>
          <w:color w:val="000000"/>
          <w:szCs w:val="32"/>
        </w:rPr>
        <w:t>认真履行最大民生部门、经济社会发展重要助推部门两大职能职责，全力实施就业优先、社会保障和分配制度改革、人才支撑、和谐劳动关系、“温暖人社”等五大行动，</w:t>
      </w:r>
      <w:r>
        <w:rPr>
          <w:rFonts w:hint="eastAsia" w:ascii="仿宋" w:hAnsi="仿宋" w:eastAsia="仿宋" w:cs="仿宋"/>
          <w:color w:val="000000"/>
          <w:szCs w:val="32"/>
          <w:shd w:val="clear" w:color="auto" w:fill="FFFFFF"/>
          <w:lang w:val="zh-CN"/>
        </w:rPr>
        <w:t>通过规范化，系统化的流程，成立专业研究小组全面评估项目可行性、必要性和合理性，提出具体实施方案和预算安排，专家评审后经单位领导审批同意后项目开始实施。</w:t>
      </w:r>
      <w:r>
        <w:rPr>
          <w:rFonts w:ascii="Times New Roman" w:hAnsi="Times New Roman"/>
          <w:color w:val="000000"/>
          <w:szCs w:val="32"/>
          <w:lang w:val="zh-CN"/>
        </w:rPr>
        <w:t>项目入库</w:t>
      </w:r>
      <w:r>
        <w:rPr>
          <w:rFonts w:hint="eastAsia" w:ascii="Times New Roman" w:hAnsi="Times New Roman"/>
          <w:color w:val="000000"/>
          <w:szCs w:val="32"/>
          <w:lang w:val="zh-CN"/>
        </w:rPr>
        <w:t>全部到位</w:t>
      </w:r>
      <w:r>
        <w:rPr>
          <w:rStyle w:val="230"/>
          <w:rFonts w:hint="eastAsia" w:ascii="仿宋_GB2312" w:hAnsi="仿宋_GB2312" w:cs="仿宋_GB2312"/>
          <w:color w:val="000000"/>
          <w:szCs w:val="32"/>
        </w:rPr>
        <w:t>。</w:t>
      </w:r>
    </w:p>
    <w:p w14:paraId="15B20B12">
      <w:pPr>
        <w:spacing w:line="578" w:lineRule="exact"/>
        <w:ind w:firstLine="632"/>
        <w:contextualSpacing/>
        <w:jc w:val="left"/>
      </w:pPr>
      <w:r>
        <w:rPr>
          <w:rFonts w:hint="eastAsia"/>
          <w:color w:val="000000"/>
          <w:szCs w:val="32"/>
          <w:shd w:val="clear" w:color="auto" w:fill="FFFFFF"/>
        </w:rPr>
        <w:t>2、</w:t>
      </w:r>
      <w:r>
        <w:rPr>
          <w:color w:val="000000"/>
          <w:szCs w:val="32"/>
          <w:shd w:val="clear" w:color="auto" w:fill="FFFFFF"/>
        </w:rPr>
        <w:t>项目执行</w:t>
      </w:r>
      <w:r>
        <w:rPr>
          <w:color w:val="000000"/>
          <w:szCs w:val="32"/>
          <w:shd w:val="clear" w:color="auto" w:fill="FFFFFF"/>
          <w:lang w:val="zh-CN"/>
        </w:rPr>
        <w:t>。</w:t>
      </w:r>
      <w:r>
        <w:rPr>
          <w:rFonts w:hint="eastAsia"/>
          <w:color w:val="000000"/>
        </w:rPr>
        <w:t>项目资金年初预算242.51</w:t>
      </w:r>
      <w:r>
        <w:rPr>
          <w:rFonts w:hint="eastAsia" w:ascii="仿宋" w:hAnsi="仿宋" w:eastAsia="仿宋"/>
          <w:color w:val="000000"/>
          <w:szCs w:val="32"/>
        </w:rPr>
        <w:t>万元，使用324.83万元（其中：预算支出324.83万元，年度调增预算82.32万元)。</w:t>
      </w:r>
    </w:p>
    <w:p w14:paraId="16107203">
      <w:pPr>
        <w:spacing w:line="578" w:lineRule="exact"/>
        <w:ind w:firstLine="632"/>
        <w:contextualSpacing/>
        <w:jc w:val="left"/>
        <w:rPr>
          <w:rFonts w:ascii="Times New Roman" w:hAnsi="Times New Roman"/>
          <w:szCs w:val="32"/>
        </w:rPr>
      </w:pPr>
      <w:r>
        <w:rPr>
          <w:color w:val="000000"/>
          <w:szCs w:val="32"/>
          <w:shd w:val="clear" w:color="auto" w:fill="FFFFFF"/>
        </w:rPr>
        <w:t>3</w:t>
      </w:r>
      <w:r>
        <w:rPr>
          <w:rFonts w:hint="eastAsia"/>
          <w:color w:val="000000"/>
          <w:szCs w:val="32"/>
          <w:shd w:val="clear" w:color="auto" w:fill="FFFFFF"/>
        </w:rPr>
        <w:t>、</w:t>
      </w:r>
      <w:r>
        <w:rPr>
          <w:color w:val="000000"/>
          <w:szCs w:val="32"/>
          <w:shd w:val="clear" w:color="auto" w:fill="FFFFFF"/>
          <w:lang w:val="zh-CN"/>
        </w:rPr>
        <w:t>目标实现。</w:t>
      </w:r>
      <w:r>
        <w:rPr>
          <w:rFonts w:hint="eastAsia" w:ascii="Times New Roman" w:hAnsi="Times New Roman"/>
          <w:szCs w:val="32"/>
        </w:rPr>
        <w:t>全年共受理行政复议申请</w:t>
      </w:r>
      <w:r>
        <w:rPr>
          <w:rFonts w:ascii="Times New Roman" w:hAnsi="Times New Roman"/>
          <w:szCs w:val="32"/>
        </w:rPr>
        <w:t>26</w:t>
      </w:r>
      <w:r>
        <w:rPr>
          <w:rFonts w:hint="eastAsia" w:ascii="Times New Roman" w:hAnsi="Times New Roman"/>
          <w:szCs w:val="32"/>
        </w:rPr>
        <w:t>件，审理结案</w:t>
      </w:r>
      <w:r>
        <w:rPr>
          <w:rFonts w:ascii="Times New Roman" w:hAnsi="Times New Roman"/>
          <w:szCs w:val="32"/>
        </w:rPr>
        <w:t>25</w:t>
      </w:r>
      <w:r>
        <w:rPr>
          <w:rFonts w:hint="eastAsia" w:ascii="Times New Roman" w:hAnsi="Times New Roman"/>
          <w:szCs w:val="32"/>
        </w:rPr>
        <w:t>件（其中纠错</w:t>
      </w:r>
      <w:r>
        <w:rPr>
          <w:rFonts w:ascii="Times New Roman" w:hAnsi="Times New Roman"/>
          <w:szCs w:val="32"/>
        </w:rPr>
        <w:t>10</w:t>
      </w:r>
      <w:r>
        <w:rPr>
          <w:rFonts w:hint="eastAsia" w:ascii="Times New Roman" w:hAnsi="Times New Roman"/>
          <w:szCs w:val="32"/>
        </w:rPr>
        <w:t>件，纠错率</w:t>
      </w:r>
      <w:r>
        <w:rPr>
          <w:rFonts w:ascii="Times New Roman" w:hAnsi="Times New Roman"/>
          <w:szCs w:val="32"/>
        </w:rPr>
        <w:t>40%</w:t>
      </w:r>
      <w:r>
        <w:rPr>
          <w:rFonts w:hint="eastAsia" w:ascii="Times New Roman" w:hAnsi="Times New Roman"/>
          <w:szCs w:val="32"/>
        </w:rPr>
        <w:t>）。办理区政府涉行政诉讼案件</w:t>
      </w:r>
      <w:r>
        <w:rPr>
          <w:rFonts w:ascii="Times New Roman" w:hAnsi="Times New Roman"/>
          <w:szCs w:val="32"/>
        </w:rPr>
        <w:t>33</w:t>
      </w:r>
      <w:r>
        <w:rPr>
          <w:rFonts w:hint="eastAsia" w:ascii="Times New Roman" w:hAnsi="Times New Roman"/>
          <w:szCs w:val="32"/>
        </w:rPr>
        <w:t>件（审结</w:t>
      </w:r>
      <w:r>
        <w:rPr>
          <w:rFonts w:ascii="Times New Roman" w:hAnsi="Times New Roman"/>
          <w:szCs w:val="32"/>
        </w:rPr>
        <w:t>22</w:t>
      </w:r>
      <w:r>
        <w:rPr>
          <w:rFonts w:hint="eastAsia" w:ascii="Times New Roman" w:hAnsi="Times New Roman"/>
          <w:szCs w:val="32"/>
        </w:rPr>
        <w:t>件，其中撤诉</w:t>
      </w:r>
      <w:r>
        <w:rPr>
          <w:rFonts w:ascii="Times New Roman" w:hAnsi="Times New Roman"/>
          <w:szCs w:val="32"/>
        </w:rPr>
        <w:t>5</w:t>
      </w:r>
      <w:r>
        <w:rPr>
          <w:rFonts w:hint="eastAsia" w:ascii="Times New Roman" w:hAnsi="Times New Roman"/>
          <w:szCs w:val="32"/>
        </w:rPr>
        <w:t>件，胜诉</w:t>
      </w:r>
      <w:r>
        <w:rPr>
          <w:rFonts w:ascii="Times New Roman" w:hAnsi="Times New Roman"/>
          <w:szCs w:val="32"/>
        </w:rPr>
        <w:t>17</w:t>
      </w:r>
      <w:r>
        <w:rPr>
          <w:rFonts w:hint="eastAsia" w:ascii="Times New Roman" w:hAnsi="Times New Roman"/>
          <w:szCs w:val="32"/>
        </w:rPr>
        <w:t>件），区政府涉行政复议案件</w:t>
      </w:r>
      <w:r>
        <w:rPr>
          <w:rFonts w:ascii="Times New Roman" w:hAnsi="Times New Roman"/>
          <w:szCs w:val="32"/>
        </w:rPr>
        <w:t>11</w:t>
      </w:r>
      <w:r>
        <w:rPr>
          <w:rFonts w:hint="eastAsia" w:ascii="Times New Roman" w:hAnsi="Times New Roman"/>
          <w:szCs w:val="32"/>
        </w:rPr>
        <w:t>件（审结</w:t>
      </w:r>
      <w:r>
        <w:rPr>
          <w:rFonts w:ascii="Times New Roman" w:hAnsi="Times New Roman"/>
          <w:szCs w:val="32"/>
        </w:rPr>
        <w:t>10</w:t>
      </w:r>
      <w:r>
        <w:rPr>
          <w:rFonts w:hint="eastAsia" w:ascii="Times New Roman" w:hAnsi="Times New Roman"/>
          <w:szCs w:val="32"/>
        </w:rPr>
        <w:t>件，终止</w:t>
      </w:r>
      <w:r>
        <w:rPr>
          <w:rFonts w:ascii="Times New Roman" w:hAnsi="Times New Roman"/>
          <w:szCs w:val="32"/>
        </w:rPr>
        <w:t>2</w:t>
      </w:r>
      <w:r>
        <w:rPr>
          <w:rFonts w:hint="eastAsia" w:ascii="Times New Roman" w:hAnsi="Times New Roman"/>
          <w:szCs w:val="32"/>
        </w:rPr>
        <w:t>件，被撤销</w:t>
      </w:r>
      <w:r>
        <w:rPr>
          <w:rFonts w:ascii="Times New Roman" w:hAnsi="Times New Roman"/>
          <w:szCs w:val="32"/>
        </w:rPr>
        <w:t>8</w:t>
      </w:r>
      <w:r>
        <w:rPr>
          <w:rFonts w:hint="eastAsia" w:ascii="Times New Roman" w:hAnsi="Times New Roman"/>
          <w:szCs w:val="32"/>
        </w:rPr>
        <w:t>件）。</w:t>
      </w:r>
      <w:r>
        <w:rPr>
          <w:rFonts w:ascii="Times New Roman" w:hAnsi="Times New Roman"/>
          <w:szCs w:val="32"/>
        </w:rPr>
        <w:t>全年共参与各类普法宣传活动150次，普法讲座48场次</w:t>
      </w:r>
      <w:r>
        <w:rPr>
          <w:rFonts w:hint="eastAsia" w:ascii="Times New Roman" w:hAnsi="Times New Roman"/>
          <w:szCs w:val="32"/>
        </w:rPr>
        <w:t>。</w:t>
      </w:r>
      <w:r>
        <w:rPr>
          <w:rFonts w:ascii="Times New Roman" w:hAnsi="Times New Roman"/>
          <w:szCs w:val="32"/>
        </w:rPr>
        <w:t>新建“黄诚调解室”“范杰调解室”2个个人品牌调解室，对全区16个行专的50名专职调解员进行业务培训，助力基层治理提质增效，全年司法所参与调解各类矛盾纠纷890件，调解成功率98.6%。常态化开展执法检查、“三新”教育活动，定期召开风险研判分析会议与工作例会，联合民盟安居总支启动“黄丝带”帮教活动，全年共办理调查评估166件，列管社区矫正对象446人。全区在册安置帮教对象2053名，其中重点安置帮教对象293人，帮教率100%，开展远程探视申请409人次。</w:t>
      </w:r>
      <w:r>
        <w:rPr>
          <w:rFonts w:ascii="Times New Roman" w:hAnsi="Times New Roman"/>
          <w:color w:val="000000"/>
          <w:szCs w:val="32"/>
        </w:rPr>
        <w:t>积极参与信访维稳工作。整合“148”法律服务热线和“12345”政府服务热线，为群众提供免费的法律咨询和帮助。全年共解答“148”专线电话咨询143人次，回复“12345”热线40条，12345热线工作群众满意度达100%，参与重大信访案件化解40件次</w:t>
      </w:r>
      <w:r>
        <w:rPr>
          <w:rFonts w:ascii="Times New Roman" w:hAnsi="Times New Roman"/>
          <w:szCs w:val="32"/>
        </w:rPr>
        <w:t>。通过“送法进企业”专项活动和举办“劳动用工法律知识讲座”，全年共到20家民营企业开展法治体检，提供法律咨询300余人次，审核劳动劳务合同80余份，调处涉企矛盾8件。</w:t>
      </w:r>
      <w:r>
        <w:rPr>
          <w:rFonts w:ascii="Times New Roman" w:hAnsi="Times New Roman"/>
          <w:b/>
          <w:bCs/>
          <w:szCs w:val="32"/>
        </w:rPr>
        <w:t>二是</w:t>
      </w:r>
      <w:r>
        <w:rPr>
          <w:rFonts w:ascii="Times New Roman" w:hAnsi="Times New Roman"/>
          <w:szCs w:val="32"/>
        </w:rPr>
        <w:t>公共法律服务提档升级。依托公共法律服务中心建成安居区“一站式”矛盾纠纷多元化解平台，整合诉讼服务、检察服务、信访服务、人民调解、法律援助、行政复议、公证服务，实现群众办理涉法事务“只跑一次”。全年共协调化解重大矛盾纠纷14件，办理公证事项713件。</w:t>
      </w:r>
      <w:r>
        <w:rPr>
          <w:rFonts w:ascii="Times New Roman" w:hAnsi="Times New Roman"/>
          <w:b/>
          <w:bCs/>
          <w:szCs w:val="32"/>
        </w:rPr>
        <w:t>三是</w:t>
      </w:r>
      <w:r>
        <w:rPr>
          <w:rFonts w:ascii="Times New Roman" w:hAnsi="Times New Roman"/>
          <w:szCs w:val="32"/>
        </w:rPr>
        <w:t>着力提升法律援助质效。深入抓好“法援惠民生、助力农民工”“乡村振兴、法治同行”等品牌建设活动，切实做到法律援助“应援尽援”。全年办理援助案件347件，其中受理农民工援助案件252件，讨回欠薪、挽回经济损失149.08万元。将村居法律顾问服务纳入政府购买服务范畴，依托303名村（居）法律顾问坐诊“家门口”，深入基层提供全覆盖、零距离、无障碍的专项法律服务，协助调处因体制改革引发的矛盾纠纷。全年共为村（社区）提供土地交付、承包经营等方面的法律意见140余条。</w:t>
      </w:r>
    </w:p>
    <w:p w14:paraId="3CF08C10">
      <w:pPr>
        <w:spacing w:line="578" w:lineRule="exact"/>
        <w:contextualSpacing/>
        <w:jc w:val="left"/>
        <w:rPr>
          <w:rFonts w:ascii="Times New Roman" w:hAnsi="Times New Roman"/>
          <w:szCs w:val="32"/>
        </w:rPr>
      </w:pPr>
      <w:r>
        <w:rPr>
          <w:rFonts w:hint="eastAsia" w:ascii="Times New Roman" w:hAnsi="Times New Roman"/>
          <w:szCs w:val="32"/>
        </w:rPr>
        <w:t xml:space="preserve">   </w:t>
      </w:r>
      <w:r>
        <w:rPr>
          <w:rFonts w:eastAsia="楷体_GB2312"/>
          <w:b/>
          <w:bCs/>
          <w:color w:val="000000"/>
          <w:szCs w:val="32"/>
          <w:shd w:val="clear" w:color="auto" w:fill="FFFFFF"/>
          <w:lang w:val="zh-CN"/>
        </w:rPr>
        <w:t>（</w:t>
      </w:r>
      <w:r>
        <w:rPr>
          <w:rFonts w:hint="eastAsia" w:eastAsia="楷体_GB2312"/>
          <w:b/>
          <w:bCs/>
          <w:color w:val="000000"/>
          <w:szCs w:val="32"/>
          <w:shd w:val="clear" w:color="auto" w:fill="FFFFFF"/>
          <w:lang w:val="zh-CN"/>
        </w:rPr>
        <w:t>三</w:t>
      </w:r>
      <w:r>
        <w:rPr>
          <w:rFonts w:eastAsia="楷体_GB2312"/>
          <w:b/>
          <w:bCs/>
          <w:color w:val="000000"/>
          <w:szCs w:val="32"/>
          <w:shd w:val="clear" w:color="auto" w:fill="FFFFFF"/>
          <w:lang w:val="zh-CN"/>
        </w:rPr>
        <w:t>）绩效结果应用情况</w:t>
      </w:r>
      <w:r>
        <w:rPr>
          <w:rFonts w:eastAsia="楷体_GB2312"/>
          <w:color w:val="000000"/>
          <w:szCs w:val="32"/>
          <w:shd w:val="clear" w:color="auto" w:fill="FFFFFF"/>
          <w:lang w:val="zh-CN"/>
        </w:rPr>
        <w:t>。</w:t>
      </w:r>
      <w:r>
        <w:rPr>
          <w:rFonts w:hint="eastAsia" w:ascii="仿宋" w:hAnsi="仿宋" w:eastAsia="仿宋" w:cs="仿宋"/>
          <w:color w:val="000000"/>
          <w:szCs w:val="32"/>
          <w:lang w:val="zh-CN"/>
        </w:rPr>
        <w:t>在今后编制预算时，</w:t>
      </w:r>
      <w:r>
        <w:rPr>
          <w:rFonts w:hint="eastAsia" w:ascii="仿宋" w:hAnsi="仿宋" w:eastAsia="仿宋" w:cs="仿宋"/>
          <w:color w:val="000000"/>
          <w:szCs w:val="32"/>
        </w:rPr>
        <w:t>根据信息公开</w:t>
      </w:r>
      <w:r>
        <w:rPr>
          <w:rFonts w:hint="eastAsia" w:ascii="仿宋" w:hAnsi="仿宋" w:eastAsia="仿宋" w:cs="仿宋"/>
          <w:color w:val="000000"/>
          <w:szCs w:val="32"/>
          <w:lang w:val="zh-CN"/>
        </w:rPr>
        <w:t>按要求将</w:t>
      </w:r>
      <w:r>
        <w:rPr>
          <w:rFonts w:hint="eastAsia" w:ascii="仿宋" w:hAnsi="仿宋" w:eastAsia="仿宋" w:cs="仿宋"/>
          <w:color w:val="000000"/>
          <w:szCs w:val="32"/>
        </w:rPr>
        <w:t>我单位</w:t>
      </w:r>
      <w:r>
        <w:rPr>
          <w:rFonts w:hint="eastAsia" w:ascii="仿宋" w:hAnsi="仿宋" w:eastAsia="仿宋" w:cs="仿宋"/>
          <w:color w:val="000000"/>
          <w:szCs w:val="32"/>
          <w:lang w:val="zh-CN"/>
        </w:rPr>
        <w:t>整体绩效自评情况和</w:t>
      </w:r>
      <w:r>
        <w:rPr>
          <w:rFonts w:hint="eastAsia" w:ascii="仿宋" w:hAnsi="仿宋" w:eastAsia="仿宋" w:cs="仿宋"/>
          <w:color w:val="000000"/>
          <w:szCs w:val="32"/>
        </w:rPr>
        <w:t>自</w:t>
      </w:r>
      <w:r>
        <w:rPr>
          <w:rFonts w:hint="eastAsia" w:ascii="仿宋" w:hAnsi="仿宋" w:eastAsia="仿宋" w:cs="仿宋"/>
          <w:color w:val="000000"/>
          <w:szCs w:val="32"/>
          <w:lang w:val="zh-CN"/>
        </w:rPr>
        <w:t>行组织的评价情况向社会公开；根据整改</w:t>
      </w:r>
      <w:r>
        <w:rPr>
          <w:rFonts w:hint="eastAsia" w:ascii="仿宋" w:hAnsi="仿宋" w:eastAsia="仿宋" w:cs="仿宋"/>
          <w:color w:val="000000"/>
          <w:szCs w:val="32"/>
        </w:rPr>
        <w:t>反馈</w:t>
      </w:r>
      <w:r>
        <w:rPr>
          <w:rFonts w:hint="eastAsia" w:ascii="仿宋" w:hAnsi="仿宋" w:eastAsia="仿宋" w:cs="仿宋"/>
          <w:color w:val="000000"/>
          <w:szCs w:val="32"/>
          <w:lang w:val="zh-CN"/>
        </w:rPr>
        <w:t>问题、完善政策、改进管理的情况</w:t>
      </w:r>
      <w:r>
        <w:rPr>
          <w:rFonts w:hint="eastAsia" w:ascii="仿宋" w:hAnsi="仿宋" w:eastAsia="仿宋" w:cs="仿宋"/>
          <w:color w:val="000000"/>
          <w:szCs w:val="32"/>
        </w:rPr>
        <w:t>并及时向财政部门反馈结果应用情况</w:t>
      </w:r>
      <w:r>
        <w:rPr>
          <w:rFonts w:hint="eastAsia" w:ascii="仿宋" w:hAnsi="仿宋" w:eastAsia="仿宋" w:cs="仿宋"/>
          <w:color w:val="000000"/>
          <w:szCs w:val="32"/>
          <w:lang w:val="zh-CN"/>
        </w:rPr>
        <w:t>；将绩效自评价结果作为改进预算管理和安排以后年度预算的重要依据</w:t>
      </w:r>
      <w:r>
        <w:rPr>
          <w:rFonts w:hint="eastAsia" w:ascii="仿宋_GB2312" w:cs="仿宋"/>
          <w:color w:val="000000"/>
          <w:szCs w:val="32"/>
          <w:lang w:val="zh-CN"/>
        </w:rPr>
        <w:t>。</w:t>
      </w:r>
    </w:p>
    <w:p w14:paraId="127A79D5">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四、评价结论及建议</w:t>
      </w:r>
    </w:p>
    <w:p w14:paraId="62C30680">
      <w:pPr>
        <w:spacing w:line="576" w:lineRule="exact"/>
        <w:ind w:firstLine="632"/>
        <w:jc w:val="left"/>
        <w:rPr>
          <w:rFonts w:eastAsia="楷体_GB2312"/>
          <w:b/>
          <w:bCs/>
          <w:color w:val="000000"/>
          <w:szCs w:val="32"/>
          <w:shd w:val="clear" w:color="auto" w:fill="FFFFFF"/>
          <w:lang w:val="zh-CN"/>
        </w:rPr>
      </w:pPr>
      <w:r>
        <w:rPr>
          <w:rFonts w:eastAsia="楷体_GB2312"/>
          <w:b/>
          <w:bCs/>
          <w:color w:val="000000"/>
          <w:szCs w:val="32"/>
          <w:shd w:val="clear" w:color="auto" w:fill="FFFFFF"/>
          <w:lang w:val="zh-CN"/>
        </w:rPr>
        <w:t>（一）评价结论。</w:t>
      </w:r>
    </w:p>
    <w:p w14:paraId="6B26D3AF">
      <w:pPr>
        <w:spacing w:line="576" w:lineRule="exact"/>
        <w:ind w:firstLine="632"/>
        <w:jc w:val="left"/>
        <w:rPr>
          <w:szCs w:val="32"/>
        </w:rPr>
      </w:pPr>
      <w:r>
        <w:rPr>
          <w:rFonts w:hint="eastAsia" w:ascii="仿宋" w:hAnsi="仿宋" w:eastAsia="仿宋" w:cs="仿宋"/>
          <w:color w:val="000000"/>
          <w:szCs w:val="32"/>
        </w:rPr>
        <w:t>项目目标申报科学合理，资金使用合规，绩效目标完成情况良好，自评得分88.49分</w:t>
      </w:r>
      <w:r>
        <w:rPr>
          <w:szCs w:val="32"/>
          <w:shd w:val="clear" w:color="auto" w:fill="FFFFFF"/>
        </w:rPr>
        <w:t>。</w:t>
      </w:r>
    </w:p>
    <w:p w14:paraId="2F81CBEB">
      <w:pPr>
        <w:spacing w:line="576" w:lineRule="exact"/>
        <w:ind w:firstLine="643" w:firstLineChars="200"/>
        <w:rPr>
          <w:b/>
          <w:bCs/>
          <w:szCs w:val="32"/>
        </w:rPr>
      </w:pPr>
      <w:r>
        <w:rPr>
          <w:rFonts w:hint="eastAsia" w:eastAsia="楷体_GB2312"/>
          <w:b/>
          <w:bCs/>
          <w:color w:val="000000"/>
          <w:szCs w:val="32"/>
          <w:shd w:val="clear" w:color="auto" w:fill="FFFFFF"/>
          <w:lang w:val="zh-CN"/>
        </w:rPr>
        <w:t>（二）</w:t>
      </w:r>
      <w:r>
        <w:rPr>
          <w:rFonts w:eastAsia="楷体_GB2312"/>
          <w:b/>
          <w:bCs/>
          <w:color w:val="000000"/>
          <w:szCs w:val="32"/>
          <w:shd w:val="clear" w:color="auto" w:fill="FFFFFF"/>
          <w:lang w:val="zh-CN"/>
        </w:rPr>
        <w:t>存在问题。</w:t>
      </w:r>
    </w:p>
    <w:p w14:paraId="7C949107">
      <w:pPr>
        <w:spacing w:line="576" w:lineRule="exact"/>
        <w:ind w:firstLine="632"/>
        <w:rPr>
          <w:rFonts w:ascii="仿宋" w:hAnsi="仿宋" w:eastAsia="仿宋" w:cs="仿宋"/>
          <w:color w:val="000000"/>
          <w:szCs w:val="32"/>
          <w:shd w:val="clear" w:color="auto" w:fill="FFFFFF"/>
        </w:rPr>
      </w:pPr>
      <w:r>
        <w:rPr>
          <w:rFonts w:hint="eastAsia" w:ascii="仿宋" w:hAnsi="仿宋" w:eastAsia="仿宋" w:cs="仿宋"/>
          <w:color w:val="000000"/>
          <w:szCs w:val="32"/>
        </w:rPr>
        <w:t>部门整体支出绩效目标需进一步细化。业务类支出未能根据部门职能及当年度工作规划等进行细化，不利于部门整体支出绩效评价工作的开展。</w:t>
      </w:r>
    </w:p>
    <w:p w14:paraId="625E9537">
      <w:pPr>
        <w:spacing w:line="578" w:lineRule="exact"/>
        <w:ind w:firstLine="632"/>
        <w:contextualSpacing/>
        <w:jc w:val="left"/>
        <w:rPr>
          <w:szCs w:val="32"/>
          <w:lang w:bidi="ar"/>
        </w:rPr>
      </w:pPr>
    </w:p>
    <w:p w14:paraId="08296B47">
      <w:pPr>
        <w:widowControl/>
        <w:numPr>
          <w:ilvl w:val="0"/>
          <w:numId w:val="8"/>
        </w:numPr>
        <w:spacing w:line="578" w:lineRule="exact"/>
        <w:ind w:firstLine="632"/>
        <w:contextualSpacing/>
        <w:jc w:val="left"/>
        <w:rPr>
          <w:rFonts w:ascii="Times New Roman"/>
          <w:lang w:val="zh-CN"/>
        </w:rPr>
      </w:pPr>
      <w:r>
        <w:rPr>
          <w:rFonts w:eastAsia="楷体_GB2312"/>
          <w:b/>
          <w:bCs/>
          <w:color w:val="000000"/>
          <w:szCs w:val="32"/>
          <w:shd w:val="clear" w:color="auto" w:fill="FFFFFF"/>
          <w:lang w:val="zh-CN"/>
        </w:rPr>
        <w:t>改进建议。</w:t>
      </w:r>
      <w:bookmarkStart w:id="101" w:name="_Hlk110546638"/>
      <w:r>
        <w:rPr>
          <w:rFonts w:hint="eastAsia"/>
          <w:szCs w:val="32"/>
          <w:shd w:val="clear" w:color="auto" w:fill="FFFFFF"/>
        </w:rPr>
        <w:t>一是优化预算编制，加强预算执行力。进一步提高预算编制到位率，做准做全基本支出预算，做全项目支出预算，加强预算支出的审核、跟踪及预算执行情况分析，提高预算编制严谨性和可控性。二是进一步加强对绩效目标监控的重视。定期对预算执行情况进行监督，使绩效目标监控与政府工作、财务工作挂钩，做到及时监控，及时控制，避免疏忽。三是应立足实际，坚持推行精细化管理，强化预算绩效目标管理、细化绩效目标，并将绩效目标细化分解为具体工作计划，同时，计划应明确规定在一定时间内完成的目标、任务和应达到的要求，任务和要求应具体明确任务数量、质量。严格执行财务管理制度，做到了财务处理及时，会计核算规范，严格按照计划进度支付。</w:t>
      </w:r>
      <w:bookmarkEnd w:id="97"/>
    </w:p>
    <w:p w14:paraId="56F6208C">
      <w:pPr>
        <w:pStyle w:val="2"/>
        <w:numPr>
          <w:ilvl w:val="0"/>
          <w:numId w:val="0"/>
        </w:numPr>
        <w:ind w:leftChars="0"/>
        <w:rPr>
          <w:lang w:val="zh-CN"/>
        </w:rPr>
      </w:pPr>
    </w:p>
    <w:p w14:paraId="04B20812">
      <w:pPr>
        <w:pStyle w:val="196"/>
        <w:spacing w:line="560" w:lineRule="exact"/>
        <w:rPr>
          <w:rFonts w:ascii="Times New Roman"/>
        </w:rPr>
      </w:pPr>
      <w:r>
        <w:rPr>
          <w:rFonts w:ascii="Times New Roman"/>
          <w:lang w:val="zh-CN"/>
        </w:rPr>
        <w:t>附表：</w:t>
      </w:r>
      <w:r>
        <w:rPr>
          <w:rFonts w:hint="eastAsia" w:ascii="Times New Roman"/>
          <w:lang w:val="en-US" w:eastAsia="zh-CN"/>
        </w:rPr>
        <w:t>1.</w:t>
      </w:r>
      <w:r>
        <w:rPr>
          <w:rFonts w:hint="eastAsia" w:ascii="Times New Roman"/>
          <w:lang w:val="zh-CN"/>
        </w:rPr>
        <w:t>部门整体支出绩效自评表</w:t>
      </w:r>
    </w:p>
    <w:p w14:paraId="4925EBC7">
      <w:pPr>
        <w:pStyle w:val="196"/>
        <w:spacing w:line="560" w:lineRule="exact"/>
        <w:ind w:firstLine="1376" w:firstLineChars="430"/>
        <w:rPr>
          <w:rFonts w:hint="eastAsia" w:ascii="Times New Roman" w:eastAsia="仿宋_GB2312"/>
          <w:lang w:val="zh-CN" w:eastAsia="zh-CN"/>
        </w:rPr>
      </w:pPr>
      <w:r>
        <w:rPr>
          <w:rFonts w:hint="eastAsia" w:ascii="Times New Roman"/>
          <w:lang w:val="en-US" w:eastAsia="zh-CN"/>
        </w:rPr>
        <w:t>2.</w:t>
      </w:r>
      <w:r>
        <w:rPr>
          <w:rFonts w:ascii="Times New Roman"/>
        </w:rPr>
        <w:t>部门预算项目支出绩效自评表</w:t>
      </w:r>
      <w:r>
        <w:rPr>
          <w:rFonts w:hint="eastAsia" w:ascii="Times New Roman"/>
          <w:lang w:eastAsia="zh-CN"/>
        </w:rPr>
        <w:t>（</w:t>
      </w:r>
      <w:r>
        <w:rPr>
          <w:rFonts w:hint="eastAsia" w:ascii="Times New Roman"/>
          <w:lang w:val="en-US" w:eastAsia="zh-CN"/>
        </w:rPr>
        <w:t>2024年度</w:t>
      </w:r>
      <w:r>
        <w:rPr>
          <w:rFonts w:hint="eastAsia" w:ascii="Times New Roman"/>
          <w:lang w:eastAsia="zh-CN"/>
        </w:rPr>
        <w:t>）</w:t>
      </w:r>
    </w:p>
    <w:p w14:paraId="6520006C">
      <w:pPr>
        <w:pStyle w:val="196"/>
        <w:spacing w:line="560" w:lineRule="exact"/>
        <w:ind w:left="0" w:leftChars="0" w:firstLine="0" w:firstLineChars="0"/>
        <w:rPr>
          <w:rFonts w:hint="default" w:ascii="Times New Roman" w:eastAsia="仿宋_GB2312"/>
          <w:lang w:val="en-US" w:eastAsia="zh-CN"/>
        </w:rPr>
      </w:pPr>
      <w:r>
        <w:rPr>
          <w:rFonts w:hint="eastAsia" w:ascii="Times New Roman"/>
          <w:lang w:val="en-US" w:eastAsia="zh-CN"/>
        </w:rPr>
        <w:t xml:space="preserve">                                             </w:t>
      </w:r>
    </w:p>
    <w:p w14:paraId="3F783C92">
      <w:pPr>
        <w:pStyle w:val="196"/>
        <w:spacing w:line="560" w:lineRule="exact"/>
        <w:ind w:left="0" w:leftChars="0" w:firstLine="0" w:firstLineChars="0"/>
        <w:rPr>
          <w:rFonts w:ascii="Times New Roman"/>
          <w:lang w:val="zh-CN"/>
        </w:rPr>
        <w:sectPr>
          <w:footerReference r:id="rId6" w:type="default"/>
          <w:pgSz w:w="11906" w:h="16838" w:orient="landscape"/>
          <w:pgMar w:top="1803" w:right="1440" w:bottom="1803" w:left="1440" w:header="851" w:footer="1701" w:gutter="0"/>
          <w:pgNumType w:start="1"/>
          <w:cols w:space="1701" w:num="1"/>
        </w:sectPr>
      </w:pPr>
    </w:p>
    <w:p w14:paraId="7958EDA2">
      <w:pPr>
        <w:pStyle w:val="196"/>
        <w:spacing w:line="560" w:lineRule="exact"/>
        <w:rPr>
          <w:rFonts w:hint="default" w:ascii="Times New Roman" w:eastAsia="仿宋_GB2312"/>
          <w:lang w:val="en-US" w:eastAsia="zh-CN"/>
        </w:rPr>
      </w:pPr>
      <w:r>
        <w:rPr>
          <w:rFonts w:hint="eastAsia" w:ascii="Times New Roman"/>
          <w:lang w:val="en-US" w:eastAsia="zh-CN"/>
        </w:rPr>
        <w:t>附件1</w:t>
      </w:r>
    </w:p>
    <w:tbl>
      <w:tblPr>
        <w:tblStyle w:val="36"/>
        <w:tblW w:w="5000" w:type="pct"/>
        <w:tblInd w:w="0" w:type="dxa"/>
        <w:tblLayout w:type="fixed"/>
        <w:tblCellMar>
          <w:top w:w="0" w:type="dxa"/>
          <w:left w:w="108" w:type="dxa"/>
          <w:bottom w:w="0" w:type="dxa"/>
          <w:right w:w="108" w:type="dxa"/>
        </w:tblCellMar>
      </w:tblPr>
      <w:tblGrid>
        <w:gridCol w:w="1089"/>
        <w:gridCol w:w="1089"/>
        <w:gridCol w:w="1400"/>
        <w:gridCol w:w="834"/>
        <w:gridCol w:w="1933"/>
        <w:gridCol w:w="5467"/>
        <w:gridCol w:w="816"/>
        <w:gridCol w:w="820"/>
      </w:tblGrid>
      <w:tr w14:paraId="63761246">
        <w:tblPrEx>
          <w:tblCellMar>
            <w:top w:w="0" w:type="dxa"/>
            <w:left w:w="108" w:type="dxa"/>
            <w:bottom w:w="0" w:type="dxa"/>
            <w:right w:w="108" w:type="dxa"/>
          </w:tblCellMar>
        </w:tblPrEx>
        <w:trPr>
          <w:trHeight w:val="520" w:hRule="atLeast"/>
        </w:trPr>
        <w:tc>
          <w:tcPr>
            <w:tcW w:w="5000" w:type="pct"/>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6C909E83">
            <w:pPr>
              <w:pStyle w:val="196"/>
              <w:spacing w:line="560" w:lineRule="exact"/>
              <w:jc w:val="center"/>
              <w:rPr>
                <w:rFonts w:ascii="宋体" w:hAnsi="宋体" w:eastAsia="宋体" w:cs="宋体"/>
                <w:b/>
                <w:bCs/>
                <w:color w:val="000000"/>
                <w:sz w:val="24"/>
              </w:rPr>
            </w:pPr>
            <w:r>
              <w:rPr>
                <w:rFonts w:hint="eastAsia" w:ascii="宋体" w:hAnsi="宋体" w:eastAsia="宋体" w:cs="宋体"/>
                <w:b/>
                <w:bCs/>
                <w:sz w:val="24"/>
                <w:szCs w:val="24"/>
              </w:rPr>
              <w:t>部门</w:t>
            </w:r>
            <w:r>
              <w:rPr>
                <w:rFonts w:hint="eastAsia" w:ascii="宋体" w:hAnsi="宋体" w:eastAsia="宋体" w:cs="宋体"/>
                <w:b/>
                <w:bCs/>
                <w:sz w:val="24"/>
                <w:szCs w:val="24"/>
                <w:lang w:val="en-US" w:eastAsia="zh-CN"/>
              </w:rPr>
              <w:t>整体</w:t>
            </w:r>
            <w:r>
              <w:rPr>
                <w:rFonts w:hint="eastAsia" w:ascii="宋体" w:hAnsi="宋体" w:eastAsia="宋体" w:cs="宋体"/>
                <w:b/>
                <w:bCs/>
                <w:sz w:val="24"/>
                <w:szCs w:val="24"/>
              </w:rPr>
              <w:t>支出绩效自评表</w:t>
            </w:r>
          </w:p>
        </w:tc>
      </w:tr>
      <w:tr w14:paraId="3BE9D5CC">
        <w:tblPrEx>
          <w:tblCellMar>
            <w:top w:w="0" w:type="dxa"/>
            <w:left w:w="108" w:type="dxa"/>
            <w:bottom w:w="0" w:type="dxa"/>
            <w:right w:w="108" w:type="dxa"/>
          </w:tblCellMar>
        </w:tblPrEx>
        <w:trPr>
          <w:trHeight w:val="285" w:hRule="atLeast"/>
        </w:trPr>
        <w:tc>
          <w:tcPr>
            <w:tcW w:w="1640"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0DE1A0E6">
            <w:pPr>
              <w:widowControl/>
              <w:jc w:val="center"/>
              <w:rPr>
                <w:rFonts w:ascii="宋体" w:hAnsi="宋体" w:eastAsia="宋体" w:cs="宋体"/>
                <w:b/>
                <w:bCs/>
                <w:sz w:val="22"/>
                <w:szCs w:val="22"/>
              </w:rPr>
            </w:pPr>
            <w:r>
              <w:rPr>
                <w:rFonts w:hint="eastAsia" w:ascii="宋体" w:hAnsi="宋体" w:eastAsia="宋体" w:cs="宋体"/>
                <w:b/>
                <w:bCs/>
                <w:sz w:val="22"/>
                <w:szCs w:val="22"/>
              </w:rPr>
              <w:t>绩效指标</w:t>
            </w:r>
          </w:p>
        </w:tc>
        <w:tc>
          <w:tcPr>
            <w:tcW w:w="718" w:type="pct"/>
            <w:vMerge w:val="restart"/>
            <w:tcBorders>
              <w:top w:val="nil"/>
              <w:left w:val="single" w:color="auto" w:sz="4" w:space="0"/>
              <w:bottom w:val="single" w:color="000000" w:sz="4" w:space="0"/>
              <w:right w:val="single" w:color="auto" w:sz="4" w:space="0"/>
            </w:tcBorders>
            <w:shd w:val="clear" w:color="auto" w:fill="auto"/>
            <w:noWrap/>
            <w:vAlign w:val="center"/>
          </w:tcPr>
          <w:p w14:paraId="10C252D9">
            <w:pPr>
              <w:widowControl/>
              <w:jc w:val="center"/>
              <w:rPr>
                <w:rFonts w:ascii="宋体" w:hAnsi="宋体" w:eastAsia="宋体" w:cs="宋体"/>
                <w:b/>
                <w:bCs/>
                <w:sz w:val="22"/>
                <w:szCs w:val="22"/>
              </w:rPr>
            </w:pPr>
            <w:r>
              <w:rPr>
                <w:rFonts w:hint="eastAsia" w:ascii="宋体" w:hAnsi="宋体" w:eastAsia="宋体" w:cs="宋体"/>
                <w:b/>
                <w:bCs/>
                <w:sz w:val="22"/>
                <w:szCs w:val="22"/>
              </w:rPr>
              <w:t>指标解释</w:t>
            </w:r>
          </w:p>
        </w:tc>
        <w:tc>
          <w:tcPr>
            <w:tcW w:w="2032" w:type="pct"/>
            <w:vMerge w:val="restart"/>
            <w:tcBorders>
              <w:top w:val="nil"/>
              <w:left w:val="single" w:color="auto" w:sz="4" w:space="0"/>
              <w:bottom w:val="single" w:color="000000" w:sz="4" w:space="0"/>
              <w:right w:val="single" w:color="auto" w:sz="4" w:space="0"/>
            </w:tcBorders>
            <w:shd w:val="clear" w:color="auto" w:fill="auto"/>
            <w:noWrap/>
            <w:vAlign w:val="center"/>
          </w:tcPr>
          <w:p w14:paraId="753CE2CC">
            <w:pPr>
              <w:widowControl/>
              <w:jc w:val="center"/>
              <w:rPr>
                <w:rFonts w:ascii="宋体" w:hAnsi="宋体" w:eastAsia="宋体" w:cs="宋体"/>
                <w:b/>
                <w:bCs/>
                <w:sz w:val="22"/>
                <w:szCs w:val="22"/>
              </w:rPr>
            </w:pPr>
            <w:r>
              <w:rPr>
                <w:rFonts w:hint="eastAsia" w:ascii="宋体" w:hAnsi="宋体" w:eastAsia="宋体" w:cs="宋体"/>
                <w:b/>
                <w:bCs/>
                <w:sz w:val="22"/>
                <w:szCs w:val="22"/>
              </w:rPr>
              <w:t>评分说明</w:t>
            </w:r>
          </w:p>
        </w:tc>
        <w:tc>
          <w:tcPr>
            <w:tcW w:w="303" w:type="pct"/>
            <w:vMerge w:val="restart"/>
            <w:tcBorders>
              <w:top w:val="nil"/>
              <w:left w:val="single" w:color="auto" w:sz="4" w:space="0"/>
              <w:bottom w:val="single" w:color="000000" w:sz="4" w:space="0"/>
              <w:right w:val="single" w:color="auto" w:sz="4" w:space="0"/>
            </w:tcBorders>
            <w:shd w:val="clear" w:color="auto" w:fill="auto"/>
            <w:noWrap/>
            <w:vAlign w:val="center"/>
          </w:tcPr>
          <w:p w14:paraId="7EFC1085">
            <w:pPr>
              <w:widowControl/>
              <w:jc w:val="center"/>
              <w:rPr>
                <w:rFonts w:ascii="宋体" w:hAnsi="宋体" w:eastAsia="宋体" w:cs="宋体"/>
                <w:b/>
                <w:bCs/>
                <w:sz w:val="22"/>
                <w:szCs w:val="22"/>
              </w:rPr>
            </w:pPr>
            <w:r>
              <w:rPr>
                <w:rFonts w:hint="eastAsia" w:ascii="宋体" w:hAnsi="宋体" w:eastAsia="宋体" w:cs="宋体"/>
                <w:b/>
                <w:bCs/>
                <w:sz w:val="22"/>
                <w:szCs w:val="22"/>
              </w:rPr>
              <w:t>自评得分</w:t>
            </w:r>
          </w:p>
        </w:tc>
        <w:tc>
          <w:tcPr>
            <w:tcW w:w="304" w:type="pct"/>
            <w:vMerge w:val="restart"/>
            <w:tcBorders>
              <w:top w:val="nil"/>
              <w:left w:val="single" w:color="auto" w:sz="4" w:space="0"/>
              <w:bottom w:val="single" w:color="000000" w:sz="4" w:space="0"/>
              <w:right w:val="single" w:color="auto" w:sz="4" w:space="0"/>
            </w:tcBorders>
            <w:shd w:val="clear" w:color="auto" w:fill="auto"/>
            <w:noWrap/>
            <w:vAlign w:val="center"/>
          </w:tcPr>
          <w:p w14:paraId="25785800">
            <w:pPr>
              <w:widowControl/>
              <w:jc w:val="center"/>
              <w:rPr>
                <w:rFonts w:ascii="宋体" w:hAnsi="宋体" w:eastAsia="宋体" w:cs="宋体"/>
                <w:b/>
                <w:bCs/>
                <w:sz w:val="22"/>
                <w:szCs w:val="22"/>
              </w:rPr>
            </w:pPr>
            <w:r>
              <w:rPr>
                <w:rFonts w:hint="eastAsia" w:ascii="宋体" w:hAnsi="宋体" w:eastAsia="宋体" w:cs="宋体"/>
                <w:b/>
                <w:bCs/>
                <w:sz w:val="22"/>
                <w:szCs w:val="22"/>
              </w:rPr>
              <w:t>备注</w:t>
            </w:r>
          </w:p>
        </w:tc>
      </w:tr>
      <w:tr w14:paraId="292F2CCD">
        <w:tblPrEx>
          <w:tblCellMar>
            <w:top w:w="0" w:type="dxa"/>
            <w:left w:w="108" w:type="dxa"/>
            <w:bottom w:w="0" w:type="dxa"/>
            <w:right w:w="108" w:type="dxa"/>
          </w:tblCellMar>
        </w:tblPrEx>
        <w:trPr>
          <w:trHeight w:val="285" w:hRule="atLeast"/>
        </w:trPr>
        <w:tc>
          <w:tcPr>
            <w:tcW w:w="404" w:type="pct"/>
            <w:tcBorders>
              <w:top w:val="nil"/>
              <w:left w:val="single" w:color="auto" w:sz="4" w:space="0"/>
              <w:bottom w:val="single" w:color="auto" w:sz="4" w:space="0"/>
              <w:right w:val="single" w:color="auto" w:sz="4" w:space="0"/>
            </w:tcBorders>
            <w:shd w:val="clear" w:color="auto" w:fill="auto"/>
            <w:noWrap/>
            <w:vAlign w:val="center"/>
          </w:tcPr>
          <w:p w14:paraId="529E0223">
            <w:pPr>
              <w:widowControl/>
              <w:jc w:val="center"/>
              <w:rPr>
                <w:rFonts w:ascii="宋体" w:hAnsi="宋体" w:eastAsia="宋体" w:cs="宋体"/>
                <w:b/>
                <w:bCs/>
                <w:sz w:val="22"/>
                <w:szCs w:val="22"/>
              </w:rPr>
            </w:pPr>
            <w:r>
              <w:rPr>
                <w:rFonts w:hint="eastAsia" w:ascii="宋体" w:hAnsi="宋体" w:eastAsia="宋体" w:cs="宋体"/>
                <w:b/>
                <w:bCs/>
                <w:sz w:val="22"/>
                <w:szCs w:val="22"/>
              </w:rPr>
              <w:t>一级指标</w:t>
            </w:r>
          </w:p>
        </w:tc>
        <w:tc>
          <w:tcPr>
            <w:tcW w:w="404" w:type="pct"/>
            <w:tcBorders>
              <w:top w:val="nil"/>
              <w:left w:val="nil"/>
              <w:bottom w:val="single" w:color="auto" w:sz="4" w:space="0"/>
              <w:right w:val="single" w:color="auto" w:sz="4" w:space="0"/>
            </w:tcBorders>
            <w:shd w:val="clear" w:color="auto" w:fill="auto"/>
            <w:noWrap/>
            <w:vAlign w:val="center"/>
          </w:tcPr>
          <w:p w14:paraId="05954DB7">
            <w:pPr>
              <w:widowControl/>
              <w:jc w:val="center"/>
              <w:rPr>
                <w:rFonts w:ascii="宋体" w:hAnsi="宋体" w:eastAsia="宋体" w:cs="宋体"/>
                <w:b/>
                <w:bCs/>
                <w:sz w:val="22"/>
                <w:szCs w:val="22"/>
              </w:rPr>
            </w:pPr>
            <w:r>
              <w:rPr>
                <w:rFonts w:hint="eastAsia" w:ascii="宋体" w:hAnsi="宋体" w:eastAsia="宋体" w:cs="宋体"/>
                <w:b/>
                <w:bCs/>
                <w:sz w:val="22"/>
                <w:szCs w:val="22"/>
              </w:rPr>
              <w:t>二级指标</w:t>
            </w:r>
          </w:p>
        </w:tc>
        <w:tc>
          <w:tcPr>
            <w:tcW w:w="520" w:type="pct"/>
            <w:tcBorders>
              <w:top w:val="nil"/>
              <w:left w:val="nil"/>
              <w:bottom w:val="single" w:color="auto" w:sz="4" w:space="0"/>
              <w:right w:val="single" w:color="auto" w:sz="4" w:space="0"/>
            </w:tcBorders>
            <w:shd w:val="clear" w:color="auto" w:fill="auto"/>
            <w:noWrap/>
            <w:vAlign w:val="center"/>
          </w:tcPr>
          <w:p w14:paraId="0C49D036">
            <w:pPr>
              <w:widowControl/>
              <w:jc w:val="center"/>
              <w:rPr>
                <w:rFonts w:ascii="宋体" w:hAnsi="宋体" w:eastAsia="宋体" w:cs="宋体"/>
                <w:b/>
                <w:bCs/>
                <w:sz w:val="22"/>
                <w:szCs w:val="22"/>
              </w:rPr>
            </w:pPr>
            <w:r>
              <w:rPr>
                <w:rFonts w:hint="eastAsia" w:ascii="宋体" w:hAnsi="宋体" w:eastAsia="宋体" w:cs="宋体"/>
                <w:b/>
                <w:bCs/>
                <w:sz w:val="22"/>
                <w:szCs w:val="22"/>
              </w:rPr>
              <w:t>三级指标</w:t>
            </w:r>
          </w:p>
        </w:tc>
        <w:tc>
          <w:tcPr>
            <w:tcW w:w="310" w:type="pct"/>
            <w:tcBorders>
              <w:top w:val="nil"/>
              <w:left w:val="nil"/>
              <w:bottom w:val="single" w:color="auto" w:sz="4" w:space="0"/>
              <w:right w:val="single" w:color="auto" w:sz="4" w:space="0"/>
            </w:tcBorders>
            <w:shd w:val="clear" w:color="auto" w:fill="auto"/>
            <w:noWrap/>
            <w:vAlign w:val="center"/>
          </w:tcPr>
          <w:p w14:paraId="0C961228">
            <w:pPr>
              <w:widowControl/>
              <w:jc w:val="center"/>
              <w:rPr>
                <w:rFonts w:ascii="宋体" w:hAnsi="宋体" w:eastAsia="宋体" w:cs="宋体"/>
                <w:b/>
                <w:bCs/>
                <w:sz w:val="22"/>
                <w:szCs w:val="22"/>
              </w:rPr>
            </w:pPr>
            <w:r>
              <w:rPr>
                <w:rFonts w:hint="eastAsia" w:ascii="宋体" w:hAnsi="宋体" w:eastAsia="宋体" w:cs="宋体"/>
                <w:b/>
                <w:bCs/>
                <w:sz w:val="22"/>
                <w:szCs w:val="22"/>
              </w:rPr>
              <w:t>指标分值</w:t>
            </w:r>
          </w:p>
        </w:tc>
        <w:tc>
          <w:tcPr>
            <w:tcW w:w="718" w:type="pct"/>
            <w:vMerge w:val="continue"/>
            <w:tcBorders>
              <w:top w:val="nil"/>
              <w:left w:val="single" w:color="auto" w:sz="4" w:space="0"/>
              <w:bottom w:val="single" w:color="auto" w:sz="4" w:space="0"/>
              <w:right w:val="single" w:color="auto" w:sz="4" w:space="0"/>
            </w:tcBorders>
            <w:vAlign w:val="center"/>
          </w:tcPr>
          <w:p w14:paraId="7CD4AA11">
            <w:pPr>
              <w:widowControl/>
              <w:jc w:val="left"/>
              <w:rPr>
                <w:rFonts w:ascii="宋体" w:hAnsi="宋体" w:eastAsia="宋体" w:cs="宋体"/>
                <w:b/>
                <w:bCs/>
                <w:sz w:val="22"/>
                <w:szCs w:val="22"/>
              </w:rPr>
            </w:pPr>
          </w:p>
        </w:tc>
        <w:tc>
          <w:tcPr>
            <w:tcW w:w="2032" w:type="pct"/>
            <w:vMerge w:val="continue"/>
            <w:tcBorders>
              <w:top w:val="nil"/>
              <w:left w:val="single" w:color="auto" w:sz="4" w:space="0"/>
              <w:bottom w:val="single" w:color="auto" w:sz="4" w:space="0"/>
              <w:right w:val="single" w:color="auto" w:sz="4" w:space="0"/>
            </w:tcBorders>
            <w:vAlign w:val="center"/>
          </w:tcPr>
          <w:p w14:paraId="49961CFA">
            <w:pPr>
              <w:widowControl/>
              <w:jc w:val="left"/>
              <w:rPr>
                <w:rFonts w:ascii="宋体" w:hAnsi="宋体" w:eastAsia="宋体" w:cs="宋体"/>
                <w:b/>
                <w:bCs/>
                <w:sz w:val="22"/>
                <w:szCs w:val="22"/>
              </w:rPr>
            </w:pPr>
          </w:p>
        </w:tc>
        <w:tc>
          <w:tcPr>
            <w:tcW w:w="303" w:type="pct"/>
            <w:vMerge w:val="continue"/>
            <w:tcBorders>
              <w:top w:val="nil"/>
              <w:left w:val="single" w:color="auto" w:sz="4" w:space="0"/>
              <w:bottom w:val="single" w:color="000000" w:sz="4" w:space="0"/>
              <w:right w:val="single" w:color="auto" w:sz="4" w:space="0"/>
            </w:tcBorders>
            <w:vAlign w:val="center"/>
          </w:tcPr>
          <w:p w14:paraId="3C94ED3F">
            <w:pPr>
              <w:widowControl/>
              <w:jc w:val="left"/>
              <w:rPr>
                <w:rFonts w:ascii="宋体" w:hAnsi="宋体" w:eastAsia="宋体" w:cs="宋体"/>
                <w:b/>
                <w:bCs/>
                <w:sz w:val="22"/>
                <w:szCs w:val="22"/>
              </w:rPr>
            </w:pPr>
          </w:p>
        </w:tc>
        <w:tc>
          <w:tcPr>
            <w:tcW w:w="304" w:type="pct"/>
            <w:vMerge w:val="continue"/>
            <w:tcBorders>
              <w:top w:val="nil"/>
              <w:left w:val="single" w:color="auto" w:sz="4" w:space="0"/>
              <w:bottom w:val="single" w:color="000000" w:sz="4" w:space="0"/>
              <w:right w:val="single" w:color="auto" w:sz="4" w:space="0"/>
            </w:tcBorders>
            <w:vAlign w:val="center"/>
          </w:tcPr>
          <w:p w14:paraId="5FACB5DC">
            <w:pPr>
              <w:widowControl/>
              <w:jc w:val="left"/>
              <w:rPr>
                <w:rFonts w:ascii="宋体" w:hAnsi="宋体" w:eastAsia="宋体" w:cs="宋体"/>
                <w:b/>
                <w:bCs/>
                <w:sz w:val="22"/>
                <w:szCs w:val="22"/>
              </w:rPr>
            </w:pPr>
          </w:p>
        </w:tc>
      </w:tr>
      <w:tr w14:paraId="394024DA">
        <w:tblPrEx>
          <w:tblCellMar>
            <w:top w:w="0" w:type="dxa"/>
            <w:left w:w="108" w:type="dxa"/>
            <w:bottom w:w="0" w:type="dxa"/>
            <w:right w:w="108" w:type="dxa"/>
          </w:tblCellMar>
        </w:tblPrEx>
        <w:trPr>
          <w:trHeight w:val="285" w:hRule="atLeast"/>
        </w:trPr>
        <w:tc>
          <w:tcPr>
            <w:tcW w:w="404" w:type="pct"/>
            <w:vMerge w:val="restart"/>
            <w:tcBorders>
              <w:top w:val="nil"/>
              <w:left w:val="single" w:color="auto" w:sz="4" w:space="0"/>
              <w:bottom w:val="single" w:color="000000" w:sz="4" w:space="0"/>
              <w:right w:val="single" w:color="auto" w:sz="4" w:space="0"/>
            </w:tcBorders>
            <w:shd w:val="clear" w:color="auto" w:fill="auto"/>
            <w:vAlign w:val="center"/>
          </w:tcPr>
          <w:p w14:paraId="330E188A">
            <w:pPr>
              <w:widowControl/>
              <w:jc w:val="center"/>
              <w:rPr>
                <w:rFonts w:ascii="宋体" w:hAnsi="宋体" w:eastAsia="宋体" w:cs="宋体"/>
                <w:b/>
                <w:bCs/>
                <w:sz w:val="22"/>
                <w:szCs w:val="22"/>
              </w:rPr>
            </w:pPr>
            <w:r>
              <w:rPr>
                <w:rFonts w:hint="eastAsia" w:ascii="宋体" w:hAnsi="宋体" w:eastAsia="宋体" w:cs="宋体"/>
                <w:b/>
                <w:bCs/>
                <w:sz w:val="22"/>
                <w:szCs w:val="22"/>
              </w:rPr>
              <w:t>总体绩效</w:t>
            </w:r>
            <w:r>
              <w:rPr>
                <w:rFonts w:hint="eastAsia" w:ascii="宋体" w:hAnsi="宋体" w:eastAsia="宋体" w:cs="宋体"/>
                <w:b/>
                <w:bCs/>
                <w:sz w:val="22"/>
                <w:szCs w:val="22"/>
              </w:rPr>
              <w:br w:type="textWrapping"/>
            </w:r>
            <w:r>
              <w:rPr>
                <w:rFonts w:hint="eastAsia" w:ascii="宋体" w:hAnsi="宋体" w:eastAsia="宋体" w:cs="宋体"/>
                <w:b/>
                <w:bCs/>
                <w:sz w:val="22"/>
                <w:szCs w:val="22"/>
              </w:rPr>
              <w:t>（56分）</w:t>
            </w:r>
          </w:p>
        </w:tc>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403006">
            <w:pPr>
              <w:widowControl/>
              <w:jc w:val="center"/>
              <w:rPr>
                <w:rFonts w:ascii="宋体" w:hAnsi="宋体" w:eastAsia="宋体" w:cs="宋体"/>
                <w:sz w:val="22"/>
                <w:szCs w:val="22"/>
              </w:rPr>
            </w:pPr>
            <w:r>
              <w:rPr>
                <w:rFonts w:hint="eastAsia" w:ascii="宋体" w:hAnsi="宋体" w:eastAsia="宋体" w:cs="宋体"/>
                <w:sz w:val="22"/>
                <w:szCs w:val="22"/>
              </w:rPr>
              <w:t>履职效能</w:t>
            </w:r>
            <w:r>
              <w:rPr>
                <w:rFonts w:hint="eastAsia" w:ascii="宋体" w:hAnsi="宋体" w:eastAsia="宋体" w:cs="宋体"/>
                <w:sz w:val="22"/>
                <w:szCs w:val="22"/>
              </w:rPr>
              <w:br w:type="textWrapping"/>
            </w:r>
            <w:r>
              <w:rPr>
                <w:rFonts w:hint="eastAsia" w:ascii="宋体" w:hAnsi="宋体" w:eastAsia="宋体" w:cs="宋体"/>
                <w:sz w:val="22"/>
                <w:szCs w:val="22"/>
              </w:rPr>
              <w:t>（10分）</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749CF59">
            <w:pPr>
              <w:widowControl/>
              <w:jc w:val="center"/>
              <w:rPr>
                <w:rFonts w:ascii="宋体" w:hAnsi="宋体" w:eastAsia="宋体" w:cs="宋体"/>
                <w:sz w:val="22"/>
                <w:szCs w:val="22"/>
              </w:rPr>
            </w:pPr>
            <w:r>
              <w:rPr>
                <w:rFonts w:hint="eastAsia" w:ascii="宋体" w:hAnsi="宋体" w:eastAsia="宋体" w:cs="宋体"/>
                <w:sz w:val="22"/>
                <w:szCs w:val="22"/>
              </w:rPr>
              <w:t>管控社区矫正对象≥240人</w:t>
            </w:r>
          </w:p>
        </w:tc>
        <w:tc>
          <w:tcPr>
            <w:tcW w:w="31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59754A">
            <w:pPr>
              <w:widowControl/>
              <w:jc w:val="center"/>
              <w:rPr>
                <w:rFonts w:ascii="宋体" w:hAnsi="宋体" w:eastAsia="宋体" w:cs="宋体"/>
                <w:sz w:val="22"/>
                <w:szCs w:val="22"/>
              </w:rPr>
            </w:pPr>
            <w:r>
              <w:rPr>
                <w:rFonts w:hint="eastAsia" w:ascii="宋体" w:hAnsi="宋体" w:eastAsia="宋体" w:cs="宋体"/>
                <w:sz w:val="22"/>
                <w:szCs w:val="22"/>
              </w:rPr>
              <w:t>10</w:t>
            </w:r>
          </w:p>
        </w:tc>
        <w:tc>
          <w:tcPr>
            <w:tcW w:w="7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92124D">
            <w:pPr>
              <w:widowControl/>
              <w:jc w:val="center"/>
              <w:rPr>
                <w:rFonts w:ascii="宋体" w:hAnsi="宋体" w:eastAsia="宋体" w:cs="宋体"/>
                <w:sz w:val="22"/>
                <w:szCs w:val="22"/>
              </w:rPr>
            </w:pPr>
            <w:r>
              <w:rPr>
                <w:rFonts w:hint="eastAsia" w:ascii="宋体" w:hAnsi="宋体" w:eastAsia="宋体" w:cs="宋体"/>
                <w:sz w:val="22"/>
                <w:szCs w:val="22"/>
              </w:rPr>
              <w:t>部门整体绩效目标中选定4-6个核心职能目标，反映该项职能目标完成效果情况</w:t>
            </w:r>
          </w:p>
        </w:tc>
        <w:tc>
          <w:tcPr>
            <w:tcW w:w="20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6C91C4">
            <w:pPr>
              <w:widowControl/>
              <w:jc w:val="center"/>
              <w:rPr>
                <w:rFonts w:ascii="宋体" w:hAnsi="宋体" w:eastAsia="宋体" w:cs="宋体"/>
                <w:sz w:val="22"/>
                <w:szCs w:val="22"/>
              </w:rPr>
            </w:pPr>
            <w:r>
              <w:rPr>
                <w:rFonts w:hint="eastAsia" w:ascii="宋体" w:hAnsi="宋体" w:eastAsia="宋体" w:cs="宋体"/>
                <w:sz w:val="22"/>
                <w:szCs w:val="22"/>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303" w:type="pct"/>
            <w:vMerge w:val="restart"/>
            <w:tcBorders>
              <w:top w:val="nil"/>
              <w:left w:val="single" w:color="auto" w:sz="4" w:space="0"/>
              <w:bottom w:val="single" w:color="000000" w:sz="4" w:space="0"/>
              <w:right w:val="single" w:color="auto" w:sz="4" w:space="0"/>
            </w:tcBorders>
            <w:shd w:val="clear" w:color="auto" w:fill="auto"/>
            <w:noWrap/>
            <w:vAlign w:val="center"/>
          </w:tcPr>
          <w:p w14:paraId="5573AEFE">
            <w:pPr>
              <w:widowControl/>
              <w:jc w:val="center"/>
              <w:rPr>
                <w:rFonts w:ascii="宋体" w:hAnsi="宋体" w:eastAsia="宋体" w:cs="宋体"/>
                <w:sz w:val="22"/>
                <w:szCs w:val="22"/>
              </w:rPr>
            </w:pPr>
            <w:r>
              <w:rPr>
                <w:rFonts w:hint="eastAsia" w:ascii="宋体" w:hAnsi="宋体" w:eastAsia="宋体" w:cs="宋体"/>
                <w:sz w:val="22"/>
                <w:szCs w:val="22"/>
              </w:rPr>
              <w:t>10</w:t>
            </w:r>
          </w:p>
        </w:tc>
        <w:tc>
          <w:tcPr>
            <w:tcW w:w="304" w:type="pct"/>
            <w:vMerge w:val="restart"/>
            <w:tcBorders>
              <w:top w:val="nil"/>
              <w:left w:val="single" w:color="auto" w:sz="4" w:space="0"/>
              <w:bottom w:val="single" w:color="000000" w:sz="4" w:space="0"/>
              <w:right w:val="single" w:color="auto" w:sz="4" w:space="0"/>
            </w:tcBorders>
            <w:shd w:val="clear" w:color="auto" w:fill="auto"/>
            <w:noWrap/>
            <w:vAlign w:val="center"/>
          </w:tcPr>
          <w:p w14:paraId="42422214">
            <w:pPr>
              <w:widowControl/>
              <w:jc w:val="center"/>
              <w:rPr>
                <w:rFonts w:ascii="宋体" w:hAnsi="宋体" w:eastAsia="宋体" w:cs="宋体"/>
                <w:sz w:val="22"/>
                <w:szCs w:val="22"/>
              </w:rPr>
            </w:pPr>
            <w:r>
              <w:rPr>
                <w:rFonts w:hint="eastAsia" w:ascii="宋体" w:hAnsi="宋体" w:eastAsia="宋体" w:cs="宋体"/>
                <w:sz w:val="22"/>
                <w:szCs w:val="22"/>
              </w:rPr>
              <w:t>　</w:t>
            </w:r>
          </w:p>
        </w:tc>
      </w:tr>
      <w:tr w14:paraId="436A8ABD">
        <w:tblPrEx>
          <w:tblCellMar>
            <w:top w:w="0" w:type="dxa"/>
            <w:left w:w="108" w:type="dxa"/>
            <w:bottom w:w="0" w:type="dxa"/>
            <w:right w:w="108" w:type="dxa"/>
          </w:tblCellMar>
        </w:tblPrEx>
        <w:trPr>
          <w:trHeight w:val="285" w:hRule="atLeast"/>
        </w:trPr>
        <w:tc>
          <w:tcPr>
            <w:tcW w:w="404" w:type="pct"/>
            <w:vMerge w:val="continue"/>
            <w:tcBorders>
              <w:top w:val="nil"/>
              <w:left w:val="single" w:color="auto" w:sz="4" w:space="0"/>
              <w:bottom w:val="single" w:color="000000" w:sz="4" w:space="0"/>
              <w:right w:val="single" w:color="auto" w:sz="4" w:space="0"/>
            </w:tcBorders>
            <w:vAlign w:val="center"/>
          </w:tcPr>
          <w:p w14:paraId="774392AF">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088FE229">
            <w:pPr>
              <w:widowControl/>
              <w:jc w:val="left"/>
              <w:rPr>
                <w:rFonts w:ascii="宋体" w:hAnsi="宋体" w:eastAsia="宋体" w:cs="宋体"/>
                <w:sz w:val="22"/>
                <w:szCs w:val="22"/>
              </w:rPr>
            </w:pP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027271FD">
            <w:pPr>
              <w:widowControl/>
              <w:jc w:val="center"/>
              <w:rPr>
                <w:rFonts w:ascii="宋体" w:hAnsi="宋体" w:eastAsia="宋体" w:cs="宋体"/>
                <w:sz w:val="22"/>
                <w:szCs w:val="22"/>
              </w:rPr>
            </w:pPr>
            <w:r>
              <w:rPr>
                <w:rFonts w:hint="eastAsia" w:ascii="宋体" w:hAnsi="宋体" w:eastAsia="宋体" w:cs="宋体"/>
                <w:sz w:val="22"/>
                <w:szCs w:val="22"/>
              </w:rPr>
              <w:t>受理法律援助案件≥200件</w:t>
            </w: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5AA1C366">
            <w:pPr>
              <w:widowControl/>
              <w:jc w:val="left"/>
              <w:rPr>
                <w:rFonts w:ascii="宋体" w:hAnsi="宋体" w:eastAsia="宋体" w:cs="宋体"/>
                <w:sz w:val="22"/>
                <w:szCs w:val="22"/>
              </w:rPr>
            </w:pPr>
          </w:p>
        </w:tc>
        <w:tc>
          <w:tcPr>
            <w:tcW w:w="718" w:type="pct"/>
            <w:vMerge w:val="continue"/>
            <w:tcBorders>
              <w:top w:val="single" w:color="auto" w:sz="4" w:space="0"/>
              <w:left w:val="single" w:color="auto" w:sz="4" w:space="0"/>
              <w:bottom w:val="single" w:color="auto" w:sz="4" w:space="0"/>
              <w:right w:val="single" w:color="auto" w:sz="4" w:space="0"/>
            </w:tcBorders>
            <w:vAlign w:val="center"/>
          </w:tcPr>
          <w:p w14:paraId="0419EAFD">
            <w:pPr>
              <w:widowControl/>
              <w:jc w:val="left"/>
              <w:rPr>
                <w:rFonts w:ascii="宋体" w:hAnsi="宋体" w:eastAsia="宋体" w:cs="宋体"/>
                <w:sz w:val="22"/>
                <w:szCs w:val="22"/>
              </w:rPr>
            </w:pPr>
          </w:p>
        </w:tc>
        <w:tc>
          <w:tcPr>
            <w:tcW w:w="2032" w:type="pct"/>
            <w:vMerge w:val="continue"/>
            <w:tcBorders>
              <w:top w:val="single" w:color="auto" w:sz="4" w:space="0"/>
              <w:left w:val="single" w:color="auto" w:sz="4" w:space="0"/>
              <w:bottom w:val="single" w:color="auto" w:sz="4" w:space="0"/>
              <w:right w:val="single" w:color="auto" w:sz="4" w:space="0"/>
            </w:tcBorders>
            <w:vAlign w:val="center"/>
          </w:tcPr>
          <w:p w14:paraId="62B3F609">
            <w:pPr>
              <w:widowControl/>
              <w:jc w:val="left"/>
              <w:rPr>
                <w:rFonts w:ascii="宋体" w:hAnsi="宋体" w:eastAsia="宋体" w:cs="宋体"/>
                <w:sz w:val="22"/>
                <w:szCs w:val="22"/>
              </w:rPr>
            </w:pPr>
          </w:p>
        </w:tc>
        <w:tc>
          <w:tcPr>
            <w:tcW w:w="303" w:type="pct"/>
            <w:vMerge w:val="continue"/>
            <w:tcBorders>
              <w:top w:val="nil"/>
              <w:left w:val="single" w:color="auto" w:sz="4" w:space="0"/>
              <w:bottom w:val="single" w:color="000000" w:sz="4" w:space="0"/>
              <w:right w:val="single" w:color="auto" w:sz="4" w:space="0"/>
            </w:tcBorders>
            <w:vAlign w:val="center"/>
          </w:tcPr>
          <w:p w14:paraId="7581DD3C">
            <w:pPr>
              <w:widowControl/>
              <w:jc w:val="left"/>
              <w:rPr>
                <w:rFonts w:ascii="宋体" w:hAnsi="宋体" w:eastAsia="宋体" w:cs="宋体"/>
                <w:sz w:val="22"/>
                <w:szCs w:val="22"/>
              </w:rPr>
            </w:pPr>
          </w:p>
        </w:tc>
        <w:tc>
          <w:tcPr>
            <w:tcW w:w="304" w:type="pct"/>
            <w:vMerge w:val="continue"/>
            <w:tcBorders>
              <w:top w:val="nil"/>
              <w:left w:val="single" w:color="auto" w:sz="4" w:space="0"/>
              <w:bottom w:val="single" w:color="000000" w:sz="4" w:space="0"/>
              <w:right w:val="single" w:color="auto" w:sz="4" w:space="0"/>
            </w:tcBorders>
            <w:vAlign w:val="center"/>
          </w:tcPr>
          <w:p w14:paraId="174FEF4E">
            <w:pPr>
              <w:widowControl/>
              <w:jc w:val="left"/>
              <w:rPr>
                <w:rFonts w:ascii="宋体" w:hAnsi="宋体" w:eastAsia="宋体" w:cs="宋体"/>
                <w:sz w:val="22"/>
                <w:szCs w:val="22"/>
              </w:rPr>
            </w:pPr>
          </w:p>
        </w:tc>
      </w:tr>
      <w:tr w14:paraId="0BE17E84">
        <w:tblPrEx>
          <w:tblCellMar>
            <w:top w:w="0" w:type="dxa"/>
            <w:left w:w="108" w:type="dxa"/>
            <w:bottom w:w="0" w:type="dxa"/>
            <w:right w:w="108" w:type="dxa"/>
          </w:tblCellMar>
        </w:tblPrEx>
        <w:trPr>
          <w:trHeight w:val="285" w:hRule="atLeast"/>
        </w:trPr>
        <w:tc>
          <w:tcPr>
            <w:tcW w:w="404" w:type="pct"/>
            <w:vMerge w:val="continue"/>
            <w:tcBorders>
              <w:top w:val="nil"/>
              <w:left w:val="single" w:color="auto" w:sz="4" w:space="0"/>
              <w:bottom w:val="single" w:color="000000" w:sz="4" w:space="0"/>
              <w:right w:val="single" w:color="auto" w:sz="4" w:space="0"/>
            </w:tcBorders>
            <w:vAlign w:val="center"/>
          </w:tcPr>
          <w:p w14:paraId="0B1CDBAF">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3A35C681">
            <w:pPr>
              <w:widowControl/>
              <w:jc w:val="left"/>
              <w:rPr>
                <w:rFonts w:ascii="宋体" w:hAnsi="宋体" w:eastAsia="宋体" w:cs="宋体"/>
                <w:sz w:val="22"/>
                <w:szCs w:val="22"/>
              </w:rPr>
            </w:pP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46D18BD3">
            <w:pPr>
              <w:widowControl/>
              <w:jc w:val="center"/>
              <w:rPr>
                <w:rFonts w:ascii="宋体" w:hAnsi="宋体" w:eastAsia="宋体" w:cs="宋体"/>
                <w:sz w:val="22"/>
                <w:szCs w:val="22"/>
              </w:rPr>
            </w:pPr>
            <w:r>
              <w:rPr>
                <w:rFonts w:hint="eastAsia" w:ascii="宋体" w:hAnsi="宋体" w:eastAsia="宋体" w:cs="宋体"/>
                <w:sz w:val="22"/>
                <w:szCs w:val="22"/>
              </w:rPr>
              <w:t>受理矛盾纠纷调解成功率≥98%</w:t>
            </w: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0B5ABB74">
            <w:pPr>
              <w:widowControl/>
              <w:jc w:val="left"/>
              <w:rPr>
                <w:rFonts w:ascii="宋体" w:hAnsi="宋体" w:eastAsia="宋体" w:cs="宋体"/>
                <w:sz w:val="22"/>
                <w:szCs w:val="22"/>
              </w:rPr>
            </w:pPr>
          </w:p>
        </w:tc>
        <w:tc>
          <w:tcPr>
            <w:tcW w:w="718" w:type="pct"/>
            <w:vMerge w:val="continue"/>
            <w:tcBorders>
              <w:top w:val="single" w:color="auto" w:sz="4" w:space="0"/>
              <w:left w:val="single" w:color="auto" w:sz="4" w:space="0"/>
              <w:bottom w:val="single" w:color="auto" w:sz="4" w:space="0"/>
              <w:right w:val="single" w:color="auto" w:sz="4" w:space="0"/>
            </w:tcBorders>
            <w:vAlign w:val="center"/>
          </w:tcPr>
          <w:p w14:paraId="53DDC2FA">
            <w:pPr>
              <w:widowControl/>
              <w:jc w:val="left"/>
              <w:rPr>
                <w:rFonts w:ascii="宋体" w:hAnsi="宋体" w:eastAsia="宋体" w:cs="宋体"/>
                <w:sz w:val="22"/>
                <w:szCs w:val="22"/>
              </w:rPr>
            </w:pPr>
          </w:p>
        </w:tc>
        <w:tc>
          <w:tcPr>
            <w:tcW w:w="2032" w:type="pct"/>
            <w:vMerge w:val="continue"/>
            <w:tcBorders>
              <w:top w:val="single" w:color="auto" w:sz="4" w:space="0"/>
              <w:left w:val="single" w:color="auto" w:sz="4" w:space="0"/>
              <w:bottom w:val="single" w:color="auto" w:sz="4" w:space="0"/>
              <w:right w:val="single" w:color="auto" w:sz="4" w:space="0"/>
            </w:tcBorders>
            <w:vAlign w:val="center"/>
          </w:tcPr>
          <w:p w14:paraId="264C3FA8">
            <w:pPr>
              <w:widowControl/>
              <w:jc w:val="left"/>
              <w:rPr>
                <w:rFonts w:ascii="宋体" w:hAnsi="宋体" w:eastAsia="宋体" w:cs="宋体"/>
                <w:sz w:val="22"/>
                <w:szCs w:val="22"/>
              </w:rPr>
            </w:pPr>
          </w:p>
        </w:tc>
        <w:tc>
          <w:tcPr>
            <w:tcW w:w="303" w:type="pct"/>
            <w:vMerge w:val="continue"/>
            <w:tcBorders>
              <w:top w:val="nil"/>
              <w:left w:val="single" w:color="auto" w:sz="4" w:space="0"/>
              <w:bottom w:val="single" w:color="000000" w:sz="4" w:space="0"/>
              <w:right w:val="single" w:color="auto" w:sz="4" w:space="0"/>
            </w:tcBorders>
            <w:vAlign w:val="center"/>
          </w:tcPr>
          <w:p w14:paraId="27461FFC">
            <w:pPr>
              <w:widowControl/>
              <w:jc w:val="left"/>
              <w:rPr>
                <w:rFonts w:ascii="宋体" w:hAnsi="宋体" w:eastAsia="宋体" w:cs="宋体"/>
                <w:sz w:val="22"/>
                <w:szCs w:val="22"/>
              </w:rPr>
            </w:pPr>
          </w:p>
        </w:tc>
        <w:tc>
          <w:tcPr>
            <w:tcW w:w="304" w:type="pct"/>
            <w:vMerge w:val="continue"/>
            <w:tcBorders>
              <w:top w:val="nil"/>
              <w:left w:val="single" w:color="auto" w:sz="4" w:space="0"/>
              <w:bottom w:val="single" w:color="000000" w:sz="4" w:space="0"/>
              <w:right w:val="single" w:color="auto" w:sz="4" w:space="0"/>
            </w:tcBorders>
            <w:vAlign w:val="center"/>
          </w:tcPr>
          <w:p w14:paraId="3E702ECF">
            <w:pPr>
              <w:widowControl/>
              <w:jc w:val="left"/>
              <w:rPr>
                <w:rFonts w:ascii="宋体" w:hAnsi="宋体" w:eastAsia="宋体" w:cs="宋体"/>
                <w:sz w:val="22"/>
                <w:szCs w:val="22"/>
              </w:rPr>
            </w:pPr>
          </w:p>
        </w:tc>
      </w:tr>
      <w:tr w14:paraId="2F538E5B">
        <w:tblPrEx>
          <w:tblCellMar>
            <w:top w:w="0" w:type="dxa"/>
            <w:left w:w="108" w:type="dxa"/>
            <w:bottom w:w="0" w:type="dxa"/>
            <w:right w:w="108" w:type="dxa"/>
          </w:tblCellMar>
        </w:tblPrEx>
        <w:trPr>
          <w:trHeight w:val="1897" w:hRule="atLeast"/>
        </w:trPr>
        <w:tc>
          <w:tcPr>
            <w:tcW w:w="404" w:type="pct"/>
            <w:vMerge w:val="continue"/>
            <w:tcBorders>
              <w:top w:val="nil"/>
              <w:left w:val="single" w:color="auto" w:sz="4" w:space="0"/>
              <w:bottom w:val="single" w:color="000000" w:sz="4" w:space="0"/>
              <w:right w:val="single" w:color="auto" w:sz="4" w:space="0"/>
            </w:tcBorders>
            <w:vAlign w:val="center"/>
          </w:tcPr>
          <w:p w14:paraId="1C913373">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504F181E">
            <w:pPr>
              <w:widowControl/>
              <w:jc w:val="left"/>
              <w:rPr>
                <w:rFonts w:ascii="宋体" w:hAnsi="宋体" w:eastAsia="宋体" w:cs="宋体"/>
                <w:sz w:val="22"/>
                <w:szCs w:val="22"/>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8374E">
            <w:pPr>
              <w:widowControl/>
              <w:jc w:val="center"/>
              <w:rPr>
                <w:rFonts w:ascii="宋体" w:hAnsi="宋体" w:eastAsia="宋体" w:cs="宋体"/>
                <w:sz w:val="22"/>
                <w:szCs w:val="22"/>
              </w:rPr>
            </w:pPr>
            <w:r>
              <w:rPr>
                <w:rFonts w:hint="eastAsia" w:ascii="宋体" w:hAnsi="宋体" w:eastAsia="宋体" w:cs="宋体"/>
                <w:sz w:val="22"/>
                <w:szCs w:val="22"/>
              </w:rPr>
              <w:t>刑释解矫人员安置帮教率≥95%</w:t>
            </w:r>
          </w:p>
        </w:tc>
        <w:tc>
          <w:tcPr>
            <w:tcW w:w="310" w:type="pct"/>
            <w:vMerge w:val="continue"/>
            <w:tcBorders>
              <w:top w:val="single" w:color="auto" w:sz="4" w:space="0"/>
              <w:left w:val="single" w:color="auto" w:sz="4" w:space="0"/>
              <w:bottom w:val="single" w:color="auto" w:sz="4" w:space="0"/>
              <w:right w:val="single" w:color="auto" w:sz="4" w:space="0"/>
            </w:tcBorders>
            <w:vAlign w:val="center"/>
          </w:tcPr>
          <w:p w14:paraId="051D2C3A">
            <w:pPr>
              <w:widowControl/>
              <w:jc w:val="left"/>
              <w:rPr>
                <w:rFonts w:ascii="宋体" w:hAnsi="宋体" w:eastAsia="宋体" w:cs="宋体"/>
                <w:sz w:val="22"/>
                <w:szCs w:val="22"/>
              </w:rPr>
            </w:pPr>
          </w:p>
        </w:tc>
        <w:tc>
          <w:tcPr>
            <w:tcW w:w="718" w:type="pct"/>
            <w:vMerge w:val="continue"/>
            <w:tcBorders>
              <w:top w:val="single" w:color="auto" w:sz="4" w:space="0"/>
              <w:left w:val="single" w:color="auto" w:sz="4" w:space="0"/>
              <w:bottom w:val="single" w:color="auto" w:sz="4" w:space="0"/>
              <w:right w:val="single" w:color="auto" w:sz="4" w:space="0"/>
            </w:tcBorders>
            <w:vAlign w:val="center"/>
          </w:tcPr>
          <w:p w14:paraId="38189945">
            <w:pPr>
              <w:widowControl/>
              <w:jc w:val="left"/>
              <w:rPr>
                <w:rFonts w:ascii="宋体" w:hAnsi="宋体" w:eastAsia="宋体" w:cs="宋体"/>
                <w:sz w:val="22"/>
                <w:szCs w:val="22"/>
              </w:rPr>
            </w:pPr>
          </w:p>
        </w:tc>
        <w:tc>
          <w:tcPr>
            <w:tcW w:w="2032" w:type="pct"/>
            <w:vMerge w:val="continue"/>
            <w:tcBorders>
              <w:top w:val="single" w:color="auto" w:sz="4" w:space="0"/>
              <w:left w:val="single" w:color="auto" w:sz="4" w:space="0"/>
              <w:bottom w:val="single" w:color="auto" w:sz="4" w:space="0"/>
              <w:right w:val="single" w:color="auto" w:sz="4" w:space="0"/>
            </w:tcBorders>
            <w:vAlign w:val="center"/>
          </w:tcPr>
          <w:p w14:paraId="582F42F8">
            <w:pPr>
              <w:widowControl/>
              <w:jc w:val="left"/>
              <w:rPr>
                <w:rFonts w:ascii="宋体" w:hAnsi="宋体" w:eastAsia="宋体" w:cs="宋体"/>
                <w:sz w:val="22"/>
                <w:szCs w:val="22"/>
              </w:rPr>
            </w:pPr>
          </w:p>
        </w:tc>
        <w:tc>
          <w:tcPr>
            <w:tcW w:w="303" w:type="pct"/>
            <w:vMerge w:val="continue"/>
            <w:tcBorders>
              <w:top w:val="nil"/>
              <w:left w:val="single" w:color="auto" w:sz="4" w:space="0"/>
              <w:bottom w:val="single" w:color="auto" w:sz="4" w:space="0"/>
              <w:right w:val="single" w:color="auto" w:sz="4" w:space="0"/>
            </w:tcBorders>
            <w:vAlign w:val="center"/>
          </w:tcPr>
          <w:p w14:paraId="67D45DF4">
            <w:pPr>
              <w:widowControl/>
              <w:jc w:val="left"/>
              <w:rPr>
                <w:rFonts w:ascii="宋体" w:hAnsi="宋体" w:eastAsia="宋体" w:cs="宋体"/>
                <w:sz w:val="22"/>
                <w:szCs w:val="22"/>
              </w:rPr>
            </w:pPr>
          </w:p>
        </w:tc>
        <w:tc>
          <w:tcPr>
            <w:tcW w:w="304" w:type="pct"/>
            <w:vMerge w:val="continue"/>
            <w:tcBorders>
              <w:top w:val="nil"/>
              <w:left w:val="single" w:color="auto" w:sz="4" w:space="0"/>
              <w:bottom w:val="single" w:color="auto" w:sz="4" w:space="0"/>
              <w:right w:val="single" w:color="auto" w:sz="4" w:space="0"/>
            </w:tcBorders>
            <w:vAlign w:val="center"/>
          </w:tcPr>
          <w:p w14:paraId="6BDC7B71">
            <w:pPr>
              <w:widowControl/>
              <w:jc w:val="left"/>
              <w:rPr>
                <w:rFonts w:ascii="宋体" w:hAnsi="宋体" w:eastAsia="宋体" w:cs="宋体"/>
                <w:sz w:val="22"/>
                <w:szCs w:val="22"/>
              </w:rPr>
            </w:pPr>
          </w:p>
        </w:tc>
      </w:tr>
      <w:tr w14:paraId="7D9562EF">
        <w:tblPrEx>
          <w:tblCellMar>
            <w:top w:w="0" w:type="dxa"/>
            <w:left w:w="108" w:type="dxa"/>
            <w:bottom w:w="0" w:type="dxa"/>
            <w:right w:w="108" w:type="dxa"/>
          </w:tblCellMar>
        </w:tblPrEx>
        <w:trPr>
          <w:trHeight w:val="975" w:hRule="atLeast"/>
        </w:trPr>
        <w:tc>
          <w:tcPr>
            <w:tcW w:w="404" w:type="pct"/>
            <w:vMerge w:val="continue"/>
            <w:tcBorders>
              <w:top w:val="nil"/>
              <w:left w:val="single" w:color="auto" w:sz="4" w:space="0"/>
              <w:bottom w:val="single" w:color="000000" w:sz="4" w:space="0"/>
              <w:right w:val="single" w:color="auto" w:sz="4" w:space="0"/>
            </w:tcBorders>
            <w:vAlign w:val="center"/>
          </w:tcPr>
          <w:p w14:paraId="05B2F3BF">
            <w:pPr>
              <w:widowControl/>
              <w:jc w:val="left"/>
              <w:rPr>
                <w:rFonts w:ascii="宋体" w:hAnsi="宋体" w:eastAsia="宋体" w:cs="宋体"/>
                <w:b/>
                <w:bCs/>
                <w:sz w:val="22"/>
                <w:szCs w:val="22"/>
              </w:rPr>
            </w:pPr>
          </w:p>
        </w:tc>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4811AD">
            <w:pPr>
              <w:widowControl/>
              <w:jc w:val="center"/>
              <w:rPr>
                <w:rFonts w:ascii="宋体" w:hAnsi="宋体" w:eastAsia="宋体" w:cs="宋体"/>
                <w:sz w:val="22"/>
                <w:szCs w:val="22"/>
              </w:rPr>
            </w:pPr>
            <w:r>
              <w:rPr>
                <w:rFonts w:hint="eastAsia" w:ascii="宋体" w:hAnsi="宋体" w:eastAsia="宋体" w:cs="宋体"/>
                <w:sz w:val="22"/>
                <w:szCs w:val="22"/>
              </w:rPr>
              <w:t>预算管理</w:t>
            </w:r>
            <w:r>
              <w:rPr>
                <w:rFonts w:hint="eastAsia" w:ascii="宋体" w:hAnsi="宋体" w:eastAsia="宋体" w:cs="宋体"/>
                <w:sz w:val="22"/>
                <w:szCs w:val="22"/>
              </w:rPr>
              <w:br w:type="textWrapping"/>
            </w:r>
            <w:r>
              <w:rPr>
                <w:rFonts w:hint="eastAsia" w:ascii="宋体" w:hAnsi="宋体" w:eastAsia="宋体" w:cs="宋体"/>
                <w:sz w:val="22"/>
                <w:szCs w:val="22"/>
              </w:rPr>
              <w:t>（31分）</w:t>
            </w:r>
          </w:p>
        </w:tc>
        <w:tc>
          <w:tcPr>
            <w:tcW w:w="520" w:type="pct"/>
            <w:tcBorders>
              <w:top w:val="single" w:color="auto" w:sz="4" w:space="0"/>
              <w:left w:val="nil"/>
              <w:bottom w:val="single" w:color="auto" w:sz="4" w:space="0"/>
              <w:right w:val="single" w:color="auto" w:sz="4" w:space="0"/>
            </w:tcBorders>
            <w:shd w:val="clear" w:color="auto" w:fill="auto"/>
            <w:noWrap/>
            <w:vAlign w:val="center"/>
          </w:tcPr>
          <w:p w14:paraId="2A546B77">
            <w:pPr>
              <w:widowControl/>
              <w:jc w:val="center"/>
              <w:rPr>
                <w:rFonts w:ascii="宋体" w:hAnsi="宋体" w:eastAsia="宋体" w:cs="宋体"/>
                <w:sz w:val="22"/>
                <w:szCs w:val="22"/>
              </w:rPr>
            </w:pPr>
            <w:r>
              <w:rPr>
                <w:rFonts w:hint="eastAsia" w:ascii="宋体" w:hAnsi="宋体" w:eastAsia="宋体" w:cs="宋体"/>
                <w:sz w:val="22"/>
                <w:szCs w:val="22"/>
              </w:rPr>
              <w:t>预算编制质量</w:t>
            </w:r>
          </w:p>
        </w:tc>
        <w:tc>
          <w:tcPr>
            <w:tcW w:w="310" w:type="pct"/>
            <w:tcBorders>
              <w:top w:val="single" w:color="auto" w:sz="4" w:space="0"/>
              <w:left w:val="nil"/>
              <w:bottom w:val="single" w:color="auto" w:sz="4" w:space="0"/>
              <w:right w:val="single" w:color="auto" w:sz="4" w:space="0"/>
            </w:tcBorders>
            <w:shd w:val="clear" w:color="auto" w:fill="auto"/>
            <w:noWrap/>
            <w:vAlign w:val="center"/>
          </w:tcPr>
          <w:p w14:paraId="3FB80473">
            <w:pPr>
              <w:widowControl/>
              <w:jc w:val="center"/>
              <w:rPr>
                <w:rFonts w:ascii="宋体" w:hAnsi="宋体" w:eastAsia="宋体" w:cs="宋体"/>
                <w:sz w:val="22"/>
                <w:szCs w:val="22"/>
              </w:rPr>
            </w:pPr>
            <w:r>
              <w:rPr>
                <w:rFonts w:hint="eastAsia" w:ascii="宋体" w:hAnsi="宋体" w:eastAsia="宋体" w:cs="宋体"/>
                <w:sz w:val="22"/>
                <w:szCs w:val="22"/>
              </w:rPr>
              <w:t>8</w:t>
            </w:r>
          </w:p>
        </w:tc>
        <w:tc>
          <w:tcPr>
            <w:tcW w:w="718" w:type="pct"/>
            <w:tcBorders>
              <w:top w:val="single" w:color="auto" w:sz="4" w:space="0"/>
              <w:left w:val="nil"/>
              <w:bottom w:val="single" w:color="auto" w:sz="4" w:space="0"/>
              <w:right w:val="single" w:color="auto" w:sz="4" w:space="0"/>
            </w:tcBorders>
            <w:shd w:val="clear" w:color="auto" w:fill="auto"/>
            <w:vAlign w:val="center"/>
          </w:tcPr>
          <w:p w14:paraId="7E31EEBC">
            <w:pPr>
              <w:widowControl/>
              <w:jc w:val="center"/>
              <w:rPr>
                <w:rFonts w:ascii="宋体" w:hAnsi="宋体" w:eastAsia="宋体" w:cs="宋体"/>
                <w:sz w:val="22"/>
                <w:szCs w:val="22"/>
              </w:rPr>
            </w:pPr>
            <w:r>
              <w:rPr>
                <w:rFonts w:hint="eastAsia" w:ascii="宋体" w:hAnsi="宋体" w:eastAsia="宋体" w:cs="宋体"/>
                <w:sz w:val="22"/>
                <w:szCs w:val="22"/>
              </w:rPr>
              <w:t>部门是否严格按要求编制年初部门预算，年初预算编制的科学性和准确性</w:t>
            </w:r>
          </w:p>
        </w:tc>
        <w:tc>
          <w:tcPr>
            <w:tcW w:w="2032" w:type="pct"/>
            <w:tcBorders>
              <w:top w:val="single" w:color="auto" w:sz="4" w:space="0"/>
              <w:left w:val="nil"/>
              <w:bottom w:val="single" w:color="auto" w:sz="4" w:space="0"/>
              <w:right w:val="single" w:color="auto" w:sz="4" w:space="0"/>
            </w:tcBorders>
            <w:shd w:val="clear" w:color="auto" w:fill="auto"/>
            <w:vAlign w:val="center"/>
          </w:tcPr>
          <w:p w14:paraId="49208A88">
            <w:pPr>
              <w:widowControl/>
              <w:jc w:val="center"/>
              <w:rPr>
                <w:rFonts w:ascii="宋体" w:hAnsi="宋体" w:eastAsia="宋体" w:cs="宋体"/>
                <w:sz w:val="22"/>
                <w:szCs w:val="22"/>
              </w:rPr>
            </w:pPr>
            <w:r>
              <w:rPr>
                <w:rFonts w:hint="eastAsia" w:ascii="宋体" w:hAnsi="宋体" w:eastAsia="宋体" w:cs="宋体"/>
                <w:sz w:val="22"/>
                <w:szCs w:val="22"/>
              </w:rPr>
              <w:t>该项指标得分=（1-财政拨款预算偏离度）×100%×8。偏离度=|预算执行数-调整预算数|÷调整预算数。</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5E828">
            <w:pPr>
              <w:widowControl/>
              <w:jc w:val="center"/>
              <w:rPr>
                <w:rFonts w:ascii="宋体" w:hAnsi="宋体" w:eastAsia="宋体" w:cs="宋体"/>
                <w:sz w:val="22"/>
                <w:szCs w:val="22"/>
              </w:rPr>
            </w:pPr>
            <w:r>
              <w:rPr>
                <w:rFonts w:hint="eastAsia" w:ascii="宋体" w:hAnsi="宋体" w:eastAsia="宋体" w:cs="宋体"/>
                <w:sz w:val="22"/>
                <w:szCs w:val="22"/>
              </w:rPr>
              <w:t>8</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0F02C">
            <w:pPr>
              <w:widowControl/>
              <w:jc w:val="center"/>
              <w:rPr>
                <w:rFonts w:ascii="宋体" w:hAnsi="宋体" w:eastAsia="宋体" w:cs="宋体"/>
                <w:sz w:val="22"/>
                <w:szCs w:val="22"/>
              </w:rPr>
            </w:pPr>
            <w:r>
              <w:rPr>
                <w:rFonts w:hint="eastAsia" w:ascii="宋体" w:hAnsi="宋体" w:eastAsia="宋体" w:cs="宋体"/>
                <w:sz w:val="22"/>
                <w:szCs w:val="22"/>
              </w:rPr>
              <w:t>　</w:t>
            </w:r>
          </w:p>
        </w:tc>
      </w:tr>
      <w:tr w14:paraId="347EEEA3">
        <w:tblPrEx>
          <w:tblCellMar>
            <w:top w:w="0" w:type="dxa"/>
            <w:left w:w="108" w:type="dxa"/>
            <w:bottom w:w="0" w:type="dxa"/>
            <w:right w:w="108" w:type="dxa"/>
          </w:tblCellMar>
        </w:tblPrEx>
        <w:trPr>
          <w:trHeight w:val="1380" w:hRule="atLeast"/>
        </w:trPr>
        <w:tc>
          <w:tcPr>
            <w:tcW w:w="404" w:type="pct"/>
            <w:vMerge w:val="continue"/>
            <w:tcBorders>
              <w:top w:val="nil"/>
              <w:left w:val="single" w:color="auto" w:sz="4" w:space="0"/>
              <w:bottom w:val="single" w:color="000000" w:sz="4" w:space="0"/>
              <w:right w:val="single" w:color="auto" w:sz="4" w:space="0"/>
            </w:tcBorders>
            <w:vAlign w:val="center"/>
          </w:tcPr>
          <w:p w14:paraId="66AAF56A">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1FEF79AE">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63FBA355">
            <w:pPr>
              <w:widowControl/>
              <w:jc w:val="center"/>
              <w:rPr>
                <w:rFonts w:ascii="宋体" w:hAnsi="宋体" w:eastAsia="宋体" w:cs="宋体"/>
                <w:sz w:val="22"/>
                <w:szCs w:val="22"/>
              </w:rPr>
            </w:pPr>
            <w:r>
              <w:rPr>
                <w:rFonts w:hint="eastAsia" w:ascii="宋体" w:hAnsi="宋体" w:eastAsia="宋体" w:cs="宋体"/>
                <w:sz w:val="22"/>
                <w:szCs w:val="22"/>
              </w:rPr>
              <w:t>支出执行进度</w:t>
            </w:r>
          </w:p>
        </w:tc>
        <w:tc>
          <w:tcPr>
            <w:tcW w:w="310" w:type="pct"/>
            <w:tcBorders>
              <w:top w:val="nil"/>
              <w:left w:val="nil"/>
              <w:bottom w:val="single" w:color="auto" w:sz="4" w:space="0"/>
              <w:right w:val="single" w:color="auto" w:sz="4" w:space="0"/>
            </w:tcBorders>
            <w:shd w:val="clear" w:color="auto" w:fill="auto"/>
            <w:noWrap/>
            <w:vAlign w:val="center"/>
          </w:tcPr>
          <w:p w14:paraId="207F30DD">
            <w:pPr>
              <w:widowControl/>
              <w:jc w:val="center"/>
              <w:rPr>
                <w:rFonts w:ascii="宋体" w:hAnsi="宋体" w:eastAsia="宋体" w:cs="宋体"/>
                <w:sz w:val="22"/>
                <w:szCs w:val="22"/>
              </w:rPr>
            </w:pPr>
            <w:r>
              <w:rPr>
                <w:rFonts w:hint="eastAsia" w:ascii="宋体" w:hAnsi="宋体" w:eastAsia="宋体" w:cs="宋体"/>
                <w:sz w:val="22"/>
                <w:szCs w:val="22"/>
              </w:rPr>
              <w:t>9</w:t>
            </w:r>
          </w:p>
        </w:tc>
        <w:tc>
          <w:tcPr>
            <w:tcW w:w="718" w:type="pct"/>
            <w:tcBorders>
              <w:top w:val="nil"/>
              <w:left w:val="nil"/>
              <w:bottom w:val="single" w:color="auto" w:sz="4" w:space="0"/>
              <w:right w:val="single" w:color="auto" w:sz="4" w:space="0"/>
            </w:tcBorders>
            <w:shd w:val="clear" w:color="auto" w:fill="auto"/>
            <w:vAlign w:val="center"/>
          </w:tcPr>
          <w:p w14:paraId="3F2A44EB">
            <w:pPr>
              <w:widowControl/>
              <w:jc w:val="center"/>
              <w:rPr>
                <w:rFonts w:ascii="宋体" w:hAnsi="宋体" w:eastAsia="宋体" w:cs="宋体"/>
                <w:sz w:val="22"/>
                <w:szCs w:val="22"/>
              </w:rPr>
            </w:pPr>
            <w:r>
              <w:rPr>
                <w:rFonts w:hint="eastAsia" w:ascii="宋体" w:hAnsi="宋体" w:eastAsia="宋体" w:cs="宋体"/>
                <w:sz w:val="22"/>
                <w:szCs w:val="22"/>
              </w:rPr>
              <w:t>部门1至12月预算执行情况</w:t>
            </w:r>
          </w:p>
        </w:tc>
        <w:tc>
          <w:tcPr>
            <w:tcW w:w="2032" w:type="pct"/>
            <w:tcBorders>
              <w:top w:val="nil"/>
              <w:left w:val="nil"/>
              <w:bottom w:val="single" w:color="auto" w:sz="4" w:space="0"/>
              <w:right w:val="single" w:color="auto" w:sz="4" w:space="0"/>
            </w:tcBorders>
            <w:shd w:val="clear" w:color="auto" w:fill="auto"/>
            <w:vAlign w:val="center"/>
          </w:tcPr>
          <w:p w14:paraId="199D2BAC">
            <w:pPr>
              <w:widowControl/>
              <w:jc w:val="center"/>
              <w:rPr>
                <w:rFonts w:ascii="宋体" w:hAnsi="宋体" w:eastAsia="宋体" w:cs="宋体"/>
                <w:sz w:val="22"/>
                <w:szCs w:val="22"/>
              </w:rPr>
            </w:pPr>
            <w:r>
              <w:rPr>
                <w:rFonts w:hint="eastAsia" w:ascii="宋体" w:hAnsi="宋体" w:eastAsia="宋体" w:cs="宋体"/>
                <w:sz w:val="22"/>
                <w:szCs w:val="22"/>
              </w:rPr>
              <w:t>该项指标得分=中省转移支付资金1至12月实际支出数÷1-12月部门预算数*3+专项债券资金实际支出数÷1-12月部门预算数*3+专项预算项目1至12月实际支出数÷1-12月预算数*3。</w:t>
            </w:r>
          </w:p>
        </w:tc>
        <w:tc>
          <w:tcPr>
            <w:tcW w:w="303" w:type="pct"/>
            <w:tcBorders>
              <w:top w:val="single" w:color="auto" w:sz="4" w:space="0"/>
              <w:left w:val="nil"/>
              <w:bottom w:val="single" w:color="auto" w:sz="4" w:space="0"/>
              <w:right w:val="single" w:color="auto" w:sz="4" w:space="0"/>
            </w:tcBorders>
            <w:shd w:val="clear" w:color="auto" w:fill="auto"/>
            <w:noWrap/>
            <w:vAlign w:val="center"/>
          </w:tcPr>
          <w:p w14:paraId="2EF3D7E4">
            <w:pPr>
              <w:widowControl/>
              <w:jc w:val="center"/>
              <w:rPr>
                <w:rFonts w:ascii="宋体" w:hAnsi="宋体" w:eastAsia="宋体" w:cs="宋体"/>
                <w:sz w:val="22"/>
                <w:szCs w:val="22"/>
              </w:rPr>
            </w:pPr>
            <w:r>
              <w:rPr>
                <w:rFonts w:hint="eastAsia" w:ascii="宋体" w:hAnsi="宋体" w:eastAsia="宋体" w:cs="宋体"/>
                <w:sz w:val="22"/>
                <w:szCs w:val="22"/>
              </w:rPr>
              <w:t>8.73</w:t>
            </w:r>
          </w:p>
        </w:tc>
        <w:tc>
          <w:tcPr>
            <w:tcW w:w="304" w:type="pct"/>
            <w:tcBorders>
              <w:top w:val="single" w:color="auto" w:sz="4" w:space="0"/>
              <w:left w:val="nil"/>
              <w:bottom w:val="single" w:color="auto" w:sz="4" w:space="0"/>
              <w:right w:val="single" w:color="auto" w:sz="4" w:space="0"/>
            </w:tcBorders>
            <w:shd w:val="clear" w:color="auto" w:fill="auto"/>
            <w:noWrap/>
            <w:vAlign w:val="center"/>
          </w:tcPr>
          <w:p w14:paraId="569271D0">
            <w:pPr>
              <w:widowControl/>
              <w:jc w:val="center"/>
              <w:rPr>
                <w:rFonts w:ascii="宋体" w:hAnsi="宋体" w:eastAsia="宋体" w:cs="宋体"/>
                <w:sz w:val="22"/>
                <w:szCs w:val="22"/>
              </w:rPr>
            </w:pPr>
            <w:r>
              <w:rPr>
                <w:rFonts w:hint="eastAsia" w:ascii="宋体" w:hAnsi="宋体" w:eastAsia="宋体" w:cs="宋体"/>
                <w:sz w:val="22"/>
                <w:szCs w:val="22"/>
              </w:rPr>
              <w:t>预算执行率97.05%</w:t>
            </w:r>
          </w:p>
        </w:tc>
      </w:tr>
      <w:tr w14:paraId="67542E86">
        <w:tblPrEx>
          <w:tblCellMar>
            <w:top w:w="0" w:type="dxa"/>
            <w:left w:w="108" w:type="dxa"/>
            <w:bottom w:w="0" w:type="dxa"/>
            <w:right w:w="108" w:type="dxa"/>
          </w:tblCellMar>
        </w:tblPrEx>
        <w:trPr>
          <w:trHeight w:val="1215" w:hRule="atLeast"/>
        </w:trPr>
        <w:tc>
          <w:tcPr>
            <w:tcW w:w="404" w:type="pct"/>
            <w:vMerge w:val="continue"/>
            <w:tcBorders>
              <w:top w:val="nil"/>
              <w:left w:val="single" w:color="auto" w:sz="4" w:space="0"/>
              <w:bottom w:val="single" w:color="000000" w:sz="4" w:space="0"/>
              <w:right w:val="single" w:color="auto" w:sz="4" w:space="0"/>
            </w:tcBorders>
            <w:vAlign w:val="center"/>
          </w:tcPr>
          <w:p w14:paraId="5F3FA519">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09C2AD8D">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1535DCC7">
            <w:pPr>
              <w:widowControl/>
              <w:jc w:val="center"/>
              <w:rPr>
                <w:rFonts w:ascii="宋体" w:hAnsi="宋体" w:eastAsia="宋体" w:cs="宋体"/>
                <w:sz w:val="22"/>
                <w:szCs w:val="22"/>
              </w:rPr>
            </w:pPr>
            <w:r>
              <w:rPr>
                <w:rFonts w:hint="eastAsia" w:ascii="宋体" w:hAnsi="宋体" w:eastAsia="宋体" w:cs="宋体"/>
                <w:sz w:val="22"/>
                <w:szCs w:val="22"/>
              </w:rPr>
              <w:t>预算年终结余</w:t>
            </w:r>
          </w:p>
        </w:tc>
        <w:tc>
          <w:tcPr>
            <w:tcW w:w="310" w:type="pct"/>
            <w:tcBorders>
              <w:top w:val="nil"/>
              <w:left w:val="nil"/>
              <w:bottom w:val="single" w:color="auto" w:sz="4" w:space="0"/>
              <w:right w:val="single" w:color="auto" w:sz="4" w:space="0"/>
            </w:tcBorders>
            <w:shd w:val="clear" w:color="auto" w:fill="auto"/>
            <w:noWrap/>
            <w:vAlign w:val="center"/>
          </w:tcPr>
          <w:p w14:paraId="7845B06C">
            <w:pPr>
              <w:widowControl/>
              <w:jc w:val="center"/>
              <w:rPr>
                <w:rFonts w:ascii="宋体" w:hAnsi="宋体" w:eastAsia="宋体" w:cs="宋体"/>
                <w:sz w:val="22"/>
                <w:szCs w:val="22"/>
              </w:rPr>
            </w:pPr>
            <w:r>
              <w:rPr>
                <w:rFonts w:hint="eastAsia" w:ascii="宋体" w:hAnsi="宋体" w:eastAsia="宋体" w:cs="宋体"/>
                <w:sz w:val="22"/>
                <w:szCs w:val="22"/>
              </w:rPr>
              <w:t>8</w:t>
            </w:r>
          </w:p>
        </w:tc>
        <w:tc>
          <w:tcPr>
            <w:tcW w:w="718" w:type="pct"/>
            <w:tcBorders>
              <w:top w:val="nil"/>
              <w:left w:val="nil"/>
              <w:bottom w:val="single" w:color="auto" w:sz="4" w:space="0"/>
              <w:right w:val="single" w:color="auto" w:sz="4" w:space="0"/>
            </w:tcBorders>
            <w:shd w:val="clear" w:color="auto" w:fill="auto"/>
            <w:vAlign w:val="center"/>
          </w:tcPr>
          <w:p w14:paraId="66DBA021">
            <w:pPr>
              <w:widowControl/>
              <w:jc w:val="center"/>
              <w:rPr>
                <w:rFonts w:ascii="宋体" w:hAnsi="宋体" w:eastAsia="宋体" w:cs="宋体"/>
                <w:sz w:val="22"/>
                <w:szCs w:val="22"/>
              </w:rPr>
            </w:pPr>
            <w:r>
              <w:rPr>
                <w:rFonts w:hint="eastAsia" w:ascii="宋体" w:hAnsi="宋体" w:eastAsia="宋体" w:cs="宋体"/>
                <w:sz w:val="22"/>
                <w:szCs w:val="22"/>
              </w:rPr>
              <w:t>部门整体年终预算结余情况</w:t>
            </w:r>
          </w:p>
        </w:tc>
        <w:tc>
          <w:tcPr>
            <w:tcW w:w="2032" w:type="pct"/>
            <w:tcBorders>
              <w:top w:val="nil"/>
              <w:left w:val="nil"/>
              <w:bottom w:val="single" w:color="auto" w:sz="4" w:space="0"/>
              <w:right w:val="single" w:color="auto" w:sz="4" w:space="0"/>
            </w:tcBorders>
            <w:shd w:val="clear" w:color="auto" w:fill="auto"/>
            <w:vAlign w:val="center"/>
          </w:tcPr>
          <w:p w14:paraId="6901D880">
            <w:pPr>
              <w:widowControl/>
              <w:jc w:val="center"/>
              <w:rPr>
                <w:rFonts w:ascii="宋体" w:hAnsi="宋体" w:eastAsia="宋体" w:cs="宋体"/>
                <w:sz w:val="22"/>
                <w:szCs w:val="22"/>
              </w:rPr>
            </w:pPr>
            <w:r>
              <w:rPr>
                <w:rFonts w:hint="eastAsia" w:ascii="宋体" w:hAnsi="宋体" w:eastAsia="宋体" w:cs="宋体"/>
                <w:sz w:val="22"/>
                <w:szCs w:val="22"/>
              </w:rPr>
              <w:t>该项指标得分=（1-部门整体预算结余率）×100%×8部门整体预算结余率为当年年终部门预算注销金额和结转金额占部门预算总金额的比率。</w:t>
            </w:r>
          </w:p>
        </w:tc>
        <w:tc>
          <w:tcPr>
            <w:tcW w:w="303" w:type="pct"/>
            <w:tcBorders>
              <w:top w:val="nil"/>
              <w:left w:val="nil"/>
              <w:bottom w:val="single" w:color="auto" w:sz="4" w:space="0"/>
              <w:right w:val="single" w:color="auto" w:sz="4" w:space="0"/>
            </w:tcBorders>
            <w:shd w:val="clear" w:color="auto" w:fill="auto"/>
            <w:noWrap/>
            <w:vAlign w:val="center"/>
          </w:tcPr>
          <w:p w14:paraId="578CAEEC">
            <w:pPr>
              <w:widowControl/>
              <w:jc w:val="center"/>
              <w:rPr>
                <w:rFonts w:ascii="宋体" w:hAnsi="宋体" w:eastAsia="宋体" w:cs="宋体"/>
                <w:sz w:val="22"/>
                <w:szCs w:val="22"/>
              </w:rPr>
            </w:pPr>
            <w:r>
              <w:rPr>
                <w:rFonts w:hint="eastAsia" w:ascii="宋体" w:hAnsi="宋体" w:eastAsia="宋体" w:cs="宋体"/>
                <w:sz w:val="22"/>
                <w:szCs w:val="22"/>
              </w:rPr>
              <w:t>7.76</w:t>
            </w:r>
          </w:p>
        </w:tc>
        <w:tc>
          <w:tcPr>
            <w:tcW w:w="304" w:type="pct"/>
            <w:tcBorders>
              <w:top w:val="nil"/>
              <w:left w:val="nil"/>
              <w:bottom w:val="single" w:color="auto" w:sz="4" w:space="0"/>
              <w:right w:val="single" w:color="auto" w:sz="4" w:space="0"/>
            </w:tcBorders>
            <w:shd w:val="clear" w:color="auto" w:fill="auto"/>
            <w:noWrap/>
            <w:vAlign w:val="center"/>
          </w:tcPr>
          <w:p w14:paraId="467370F8">
            <w:pPr>
              <w:widowControl/>
              <w:jc w:val="center"/>
              <w:rPr>
                <w:rFonts w:ascii="宋体" w:hAnsi="宋体" w:eastAsia="宋体" w:cs="宋体"/>
                <w:sz w:val="22"/>
                <w:szCs w:val="22"/>
              </w:rPr>
            </w:pPr>
            <w:r>
              <w:rPr>
                <w:rFonts w:hint="eastAsia" w:ascii="宋体" w:hAnsi="宋体" w:eastAsia="宋体" w:cs="宋体"/>
                <w:sz w:val="22"/>
                <w:szCs w:val="22"/>
              </w:rPr>
              <w:t>　</w:t>
            </w:r>
          </w:p>
        </w:tc>
      </w:tr>
      <w:tr w14:paraId="4F310D3E">
        <w:tblPrEx>
          <w:tblCellMar>
            <w:top w:w="0" w:type="dxa"/>
            <w:left w:w="108" w:type="dxa"/>
            <w:bottom w:w="0" w:type="dxa"/>
            <w:right w:w="108" w:type="dxa"/>
          </w:tblCellMar>
        </w:tblPrEx>
        <w:trPr>
          <w:trHeight w:val="840" w:hRule="atLeast"/>
        </w:trPr>
        <w:tc>
          <w:tcPr>
            <w:tcW w:w="404" w:type="pct"/>
            <w:vMerge w:val="continue"/>
            <w:tcBorders>
              <w:top w:val="nil"/>
              <w:left w:val="single" w:color="auto" w:sz="4" w:space="0"/>
              <w:bottom w:val="single" w:color="000000" w:sz="4" w:space="0"/>
              <w:right w:val="single" w:color="auto" w:sz="4" w:space="0"/>
            </w:tcBorders>
            <w:vAlign w:val="center"/>
          </w:tcPr>
          <w:p w14:paraId="3C2CF32B">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5EB2E9A8">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68085B57">
            <w:pPr>
              <w:widowControl/>
              <w:jc w:val="center"/>
              <w:rPr>
                <w:rFonts w:ascii="宋体" w:hAnsi="宋体" w:eastAsia="宋体" w:cs="宋体"/>
                <w:sz w:val="22"/>
                <w:szCs w:val="22"/>
              </w:rPr>
            </w:pPr>
            <w:r>
              <w:rPr>
                <w:rFonts w:hint="eastAsia" w:ascii="宋体" w:hAnsi="宋体" w:eastAsia="宋体" w:cs="宋体"/>
                <w:sz w:val="22"/>
                <w:szCs w:val="22"/>
              </w:rPr>
              <w:t>严控一般性支出</w:t>
            </w:r>
          </w:p>
        </w:tc>
        <w:tc>
          <w:tcPr>
            <w:tcW w:w="310" w:type="pct"/>
            <w:tcBorders>
              <w:top w:val="nil"/>
              <w:left w:val="nil"/>
              <w:bottom w:val="single" w:color="auto" w:sz="4" w:space="0"/>
              <w:right w:val="single" w:color="auto" w:sz="4" w:space="0"/>
            </w:tcBorders>
            <w:shd w:val="clear" w:color="auto" w:fill="auto"/>
            <w:noWrap/>
            <w:vAlign w:val="center"/>
          </w:tcPr>
          <w:p w14:paraId="50581E12">
            <w:pPr>
              <w:widowControl/>
              <w:jc w:val="center"/>
              <w:rPr>
                <w:rFonts w:ascii="宋体" w:hAnsi="宋体" w:eastAsia="宋体" w:cs="宋体"/>
                <w:sz w:val="22"/>
                <w:szCs w:val="22"/>
              </w:rPr>
            </w:pPr>
            <w:r>
              <w:rPr>
                <w:rFonts w:hint="eastAsia" w:ascii="宋体" w:hAnsi="宋体" w:eastAsia="宋体" w:cs="宋体"/>
                <w:sz w:val="22"/>
                <w:szCs w:val="22"/>
              </w:rPr>
              <w:t>6</w:t>
            </w:r>
          </w:p>
        </w:tc>
        <w:tc>
          <w:tcPr>
            <w:tcW w:w="718" w:type="pct"/>
            <w:tcBorders>
              <w:top w:val="nil"/>
              <w:left w:val="nil"/>
              <w:bottom w:val="single" w:color="auto" w:sz="4" w:space="0"/>
              <w:right w:val="single" w:color="auto" w:sz="4" w:space="0"/>
            </w:tcBorders>
            <w:shd w:val="clear" w:color="auto" w:fill="auto"/>
            <w:vAlign w:val="center"/>
          </w:tcPr>
          <w:p w14:paraId="46AE9588">
            <w:pPr>
              <w:widowControl/>
              <w:jc w:val="center"/>
              <w:rPr>
                <w:rFonts w:ascii="宋体" w:hAnsi="宋体" w:eastAsia="宋体" w:cs="宋体"/>
                <w:sz w:val="22"/>
                <w:szCs w:val="22"/>
              </w:rPr>
            </w:pPr>
            <w:r>
              <w:rPr>
                <w:rFonts w:hint="eastAsia" w:ascii="宋体" w:hAnsi="宋体" w:eastAsia="宋体" w:cs="宋体"/>
                <w:sz w:val="22"/>
                <w:szCs w:val="22"/>
              </w:rPr>
              <w:t>部门严控“三公”经费、会议、培训、差旅、办节办展、办公设备购置、信息网络及软件购置更新、课题经费等8项一般性支出情况</w:t>
            </w:r>
          </w:p>
        </w:tc>
        <w:tc>
          <w:tcPr>
            <w:tcW w:w="2032" w:type="pct"/>
            <w:tcBorders>
              <w:top w:val="nil"/>
              <w:left w:val="nil"/>
              <w:bottom w:val="single" w:color="auto" w:sz="4" w:space="0"/>
              <w:right w:val="single" w:color="auto" w:sz="4" w:space="0"/>
            </w:tcBorders>
            <w:shd w:val="clear" w:color="auto" w:fill="auto"/>
            <w:vAlign w:val="center"/>
          </w:tcPr>
          <w:p w14:paraId="2A4EB36A">
            <w:pPr>
              <w:widowControl/>
              <w:jc w:val="center"/>
              <w:rPr>
                <w:rFonts w:ascii="宋体" w:hAnsi="宋体" w:eastAsia="宋体" w:cs="宋体"/>
                <w:sz w:val="22"/>
                <w:szCs w:val="22"/>
              </w:rPr>
            </w:pPr>
            <w:r>
              <w:rPr>
                <w:rFonts w:hint="eastAsia" w:ascii="宋体" w:hAnsi="宋体" w:eastAsia="宋体" w:cs="宋体"/>
                <w:sz w:val="22"/>
                <w:szCs w:val="22"/>
              </w:rPr>
              <w:t>该项指标得分=基础分值+加分值。</w:t>
            </w:r>
            <w:r>
              <w:rPr>
                <w:rFonts w:hint="eastAsia" w:ascii="宋体" w:hAnsi="宋体" w:eastAsia="宋体" w:cs="宋体"/>
                <w:sz w:val="22"/>
                <w:szCs w:val="22"/>
              </w:rPr>
              <w:br w:type="textWrapping"/>
            </w:r>
            <w:r>
              <w:rPr>
                <w:rFonts w:hint="eastAsia" w:ascii="宋体" w:hAnsi="宋体" w:eastAsia="宋体" w:cs="宋体"/>
                <w:sz w:val="22"/>
                <w:szCs w:val="22"/>
              </w:rPr>
              <w:t>1.基础分值。一般性支出财政拨款年初预算较上年实现压减得1.5分；一般性支出财政拨款预算执行较上年实现压减得1.5分。</w:t>
            </w:r>
            <w:r>
              <w:rPr>
                <w:rFonts w:hint="eastAsia" w:ascii="宋体" w:hAnsi="宋体" w:eastAsia="宋体" w:cs="宋体"/>
                <w:sz w:val="22"/>
                <w:szCs w:val="22"/>
              </w:rPr>
              <w:br w:type="textWrapping"/>
            </w:r>
            <w:r>
              <w:rPr>
                <w:rFonts w:hint="eastAsia" w:ascii="宋体" w:hAnsi="宋体" w:eastAsia="宋体" w:cs="宋体"/>
                <w:sz w:val="22"/>
                <w:szCs w:val="22"/>
              </w:rPr>
              <w:t>2.加分值。一般性支出财政拨款年初预算较上年每压减1%得0.2分，累计不超过1分；一般性支出财政拨款预算执行较上年每压减1%得0.4分，累计不超过2分。</w:t>
            </w:r>
          </w:p>
        </w:tc>
        <w:tc>
          <w:tcPr>
            <w:tcW w:w="303" w:type="pct"/>
            <w:tcBorders>
              <w:top w:val="nil"/>
              <w:left w:val="nil"/>
              <w:bottom w:val="single" w:color="auto" w:sz="4" w:space="0"/>
              <w:right w:val="single" w:color="auto" w:sz="4" w:space="0"/>
            </w:tcBorders>
            <w:shd w:val="clear" w:color="auto" w:fill="auto"/>
            <w:noWrap/>
            <w:vAlign w:val="center"/>
          </w:tcPr>
          <w:p w14:paraId="0FEF551C">
            <w:pPr>
              <w:widowControl/>
              <w:jc w:val="center"/>
              <w:rPr>
                <w:rFonts w:ascii="宋体" w:hAnsi="宋体" w:eastAsia="宋体" w:cs="宋体"/>
                <w:sz w:val="22"/>
                <w:szCs w:val="22"/>
              </w:rPr>
            </w:pPr>
            <w:r>
              <w:rPr>
                <w:rFonts w:hint="eastAsia" w:ascii="宋体" w:hAnsi="宋体" w:eastAsia="宋体" w:cs="宋体"/>
                <w:sz w:val="22"/>
                <w:szCs w:val="22"/>
              </w:rPr>
              <w:t>2</w:t>
            </w:r>
          </w:p>
        </w:tc>
        <w:tc>
          <w:tcPr>
            <w:tcW w:w="304" w:type="pct"/>
            <w:tcBorders>
              <w:top w:val="nil"/>
              <w:left w:val="nil"/>
              <w:bottom w:val="single" w:color="auto" w:sz="4" w:space="0"/>
              <w:right w:val="single" w:color="auto" w:sz="4" w:space="0"/>
            </w:tcBorders>
            <w:shd w:val="clear" w:color="auto" w:fill="auto"/>
            <w:vAlign w:val="center"/>
          </w:tcPr>
          <w:p w14:paraId="795F46F5">
            <w:pPr>
              <w:widowControl/>
              <w:jc w:val="center"/>
              <w:rPr>
                <w:rFonts w:ascii="宋体" w:hAnsi="宋体" w:eastAsia="宋体" w:cs="宋体"/>
                <w:sz w:val="22"/>
                <w:szCs w:val="22"/>
              </w:rPr>
            </w:pPr>
            <w:r>
              <w:rPr>
                <w:rFonts w:hint="eastAsia" w:ascii="宋体" w:hAnsi="宋体" w:eastAsia="宋体" w:cs="宋体"/>
                <w:sz w:val="22"/>
                <w:szCs w:val="22"/>
              </w:rPr>
              <w:t>三公、会议、培训、机关运行经费对比上年均有增加。</w:t>
            </w:r>
          </w:p>
        </w:tc>
      </w:tr>
      <w:tr w14:paraId="39F8961A">
        <w:tblPrEx>
          <w:tblCellMar>
            <w:top w:w="0" w:type="dxa"/>
            <w:left w:w="108" w:type="dxa"/>
            <w:bottom w:w="0" w:type="dxa"/>
            <w:right w:w="108" w:type="dxa"/>
          </w:tblCellMar>
        </w:tblPrEx>
        <w:trPr>
          <w:trHeight w:val="3000" w:hRule="atLeast"/>
        </w:trPr>
        <w:tc>
          <w:tcPr>
            <w:tcW w:w="404" w:type="pct"/>
            <w:vMerge w:val="continue"/>
            <w:tcBorders>
              <w:top w:val="nil"/>
              <w:left w:val="single" w:color="auto" w:sz="4" w:space="0"/>
              <w:bottom w:val="single" w:color="000000" w:sz="4" w:space="0"/>
              <w:right w:val="single" w:color="auto" w:sz="4" w:space="0"/>
            </w:tcBorders>
            <w:vAlign w:val="center"/>
          </w:tcPr>
          <w:p w14:paraId="0DC44417">
            <w:pPr>
              <w:widowControl/>
              <w:jc w:val="left"/>
              <w:rPr>
                <w:rFonts w:ascii="宋体" w:hAnsi="宋体" w:eastAsia="宋体" w:cs="宋体"/>
                <w:b/>
                <w:bCs/>
                <w:sz w:val="22"/>
                <w:szCs w:val="22"/>
              </w:rPr>
            </w:pPr>
          </w:p>
        </w:tc>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AF2AB1">
            <w:pPr>
              <w:widowControl/>
              <w:jc w:val="center"/>
              <w:rPr>
                <w:rFonts w:ascii="宋体" w:hAnsi="宋体" w:eastAsia="宋体" w:cs="宋体"/>
                <w:sz w:val="22"/>
                <w:szCs w:val="22"/>
              </w:rPr>
            </w:pPr>
            <w:r>
              <w:rPr>
                <w:rFonts w:hint="eastAsia" w:ascii="宋体" w:hAnsi="宋体" w:eastAsia="宋体" w:cs="宋体"/>
                <w:sz w:val="22"/>
                <w:szCs w:val="22"/>
              </w:rPr>
              <w:t>资产管理</w:t>
            </w:r>
            <w:r>
              <w:rPr>
                <w:rFonts w:hint="eastAsia" w:ascii="宋体" w:hAnsi="宋体" w:eastAsia="宋体" w:cs="宋体"/>
                <w:sz w:val="22"/>
                <w:szCs w:val="22"/>
              </w:rPr>
              <w:br w:type="textWrapping"/>
            </w:r>
            <w:r>
              <w:rPr>
                <w:rFonts w:hint="eastAsia" w:ascii="宋体" w:hAnsi="宋体" w:eastAsia="宋体" w:cs="宋体"/>
                <w:sz w:val="22"/>
                <w:szCs w:val="22"/>
              </w:rPr>
              <w:t>（9分）</w:t>
            </w:r>
          </w:p>
        </w:tc>
        <w:tc>
          <w:tcPr>
            <w:tcW w:w="520" w:type="pct"/>
            <w:tcBorders>
              <w:top w:val="nil"/>
              <w:left w:val="nil"/>
              <w:bottom w:val="single" w:color="auto" w:sz="4" w:space="0"/>
              <w:right w:val="single" w:color="auto" w:sz="4" w:space="0"/>
            </w:tcBorders>
            <w:shd w:val="clear" w:color="auto" w:fill="auto"/>
            <w:noWrap/>
            <w:vAlign w:val="center"/>
          </w:tcPr>
          <w:p w14:paraId="7A4ED2BE">
            <w:pPr>
              <w:widowControl/>
              <w:jc w:val="center"/>
              <w:rPr>
                <w:rFonts w:ascii="宋体" w:hAnsi="宋体" w:eastAsia="宋体" w:cs="宋体"/>
                <w:sz w:val="22"/>
                <w:szCs w:val="22"/>
              </w:rPr>
            </w:pPr>
            <w:r>
              <w:rPr>
                <w:rFonts w:hint="eastAsia" w:ascii="宋体" w:hAnsi="宋体" w:eastAsia="宋体" w:cs="宋体"/>
                <w:sz w:val="22"/>
                <w:szCs w:val="22"/>
              </w:rPr>
              <w:t>人均资产变化率</w:t>
            </w:r>
          </w:p>
        </w:tc>
        <w:tc>
          <w:tcPr>
            <w:tcW w:w="310" w:type="pct"/>
            <w:tcBorders>
              <w:top w:val="nil"/>
              <w:left w:val="nil"/>
              <w:bottom w:val="single" w:color="auto" w:sz="4" w:space="0"/>
              <w:right w:val="single" w:color="auto" w:sz="4" w:space="0"/>
            </w:tcBorders>
            <w:shd w:val="clear" w:color="auto" w:fill="auto"/>
            <w:noWrap/>
            <w:vAlign w:val="center"/>
          </w:tcPr>
          <w:p w14:paraId="1B21C40E">
            <w:pPr>
              <w:widowControl/>
              <w:jc w:val="center"/>
              <w:rPr>
                <w:rFonts w:ascii="宋体" w:hAnsi="宋体" w:eastAsia="宋体" w:cs="宋体"/>
                <w:sz w:val="22"/>
                <w:szCs w:val="22"/>
              </w:rPr>
            </w:pPr>
            <w:r>
              <w:rPr>
                <w:rFonts w:hint="eastAsia" w:ascii="宋体" w:hAnsi="宋体" w:eastAsia="宋体" w:cs="宋体"/>
                <w:sz w:val="22"/>
                <w:szCs w:val="22"/>
              </w:rPr>
              <w:t>3</w:t>
            </w:r>
          </w:p>
        </w:tc>
        <w:tc>
          <w:tcPr>
            <w:tcW w:w="718" w:type="pct"/>
            <w:tcBorders>
              <w:top w:val="nil"/>
              <w:left w:val="nil"/>
              <w:bottom w:val="single" w:color="auto" w:sz="4" w:space="0"/>
              <w:right w:val="single" w:color="auto" w:sz="4" w:space="0"/>
            </w:tcBorders>
            <w:shd w:val="clear" w:color="auto" w:fill="auto"/>
            <w:vAlign w:val="center"/>
          </w:tcPr>
          <w:p w14:paraId="09BC5267">
            <w:pPr>
              <w:widowControl/>
              <w:jc w:val="center"/>
              <w:rPr>
                <w:rFonts w:ascii="宋体" w:hAnsi="宋体" w:eastAsia="宋体" w:cs="宋体"/>
                <w:sz w:val="22"/>
                <w:szCs w:val="22"/>
              </w:rPr>
            </w:pPr>
            <w:r>
              <w:rPr>
                <w:rFonts w:hint="eastAsia" w:ascii="宋体" w:hAnsi="宋体" w:eastAsia="宋体" w:cs="宋体"/>
                <w:sz w:val="22"/>
                <w:szCs w:val="22"/>
              </w:rPr>
              <w:t>部门人均资产变化情况</w:t>
            </w:r>
          </w:p>
        </w:tc>
        <w:tc>
          <w:tcPr>
            <w:tcW w:w="2032" w:type="pct"/>
            <w:tcBorders>
              <w:top w:val="nil"/>
              <w:left w:val="nil"/>
              <w:bottom w:val="single" w:color="auto" w:sz="4" w:space="0"/>
              <w:right w:val="single" w:color="auto" w:sz="4" w:space="0"/>
            </w:tcBorders>
            <w:shd w:val="clear" w:color="auto" w:fill="auto"/>
            <w:vAlign w:val="center"/>
          </w:tcPr>
          <w:p w14:paraId="24B3AA91">
            <w:pPr>
              <w:widowControl/>
              <w:jc w:val="center"/>
              <w:rPr>
                <w:rFonts w:ascii="宋体" w:hAnsi="宋体" w:eastAsia="宋体" w:cs="宋体"/>
                <w:sz w:val="22"/>
                <w:szCs w:val="22"/>
              </w:rPr>
            </w:pPr>
            <w:r>
              <w:rPr>
                <w:rFonts w:hint="eastAsia" w:ascii="宋体" w:hAnsi="宋体" w:eastAsia="宋体" w:cs="宋体"/>
                <w:sz w:val="22"/>
                <w:szCs w:val="22"/>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303" w:type="pct"/>
            <w:tcBorders>
              <w:top w:val="nil"/>
              <w:left w:val="nil"/>
              <w:bottom w:val="single" w:color="auto" w:sz="4" w:space="0"/>
              <w:right w:val="single" w:color="auto" w:sz="4" w:space="0"/>
            </w:tcBorders>
            <w:shd w:val="clear" w:color="auto" w:fill="auto"/>
            <w:noWrap/>
            <w:vAlign w:val="center"/>
          </w:tcPr>
          <w:p w14:paraId="314C220E">
            <w:pPr>
              <w:widowControl/>
              <w:jc w:val="center"/>
              <w:rPr>
                <w:rFonts w:ascii="宋体" w:hAnsi="宋体" w:eastAsia="宋体" w:cs="宋体"/>
                <w:sz w:val="22"/>
                <w:szCs w:val="22"/>
              </w:rPr>
            </w:pPr>
            <w:r>
              <w:rPr>
                <w:rFonts w:hint="eastAsia" w:ascii="宋体" w:hAnsi="宋体" w:eastAsia="宋体" w:cs="宋体"/>
                <w:sz w:val="22"/>
                <w:szCs w:val="22"/>
              </w:rPr>
              <w:t>0</w:t>
            </w:r>
          </w:p>
        </w:tc>
        <w:tc>
          <w:tcPr>
            <w:tcW w:w="304" w:type="pct"/>
            <w:tcBorders>
              <w:top w:val="nil"/>
              <w:left w:val="nil"/>
              <w:bottom w:val="single" w:color="auto" w:sz="4" w:space="0"/>
              <w:right w:val="single" w:color="auto" w:sz="4" w:space="0"/>
            </w:tcBorders>
            <w:shd w:val="clear" w:color="auto" w:fill="auto"/>
            <w:noWrap/>
            <w:vAlign w:val="center"/>
          </w:tcPr>
          <w:p w14:paraId="70630FA1">
            <w:pPr>
              <w:widowControl/>
              <w:jc w:val="center"/>
              <w:rPr>
                <w:rFonts w:ascii="宋体" w:hAnsi="宋体" w:eastAsia="宋体" w:cs="宋体"/>
                <w:sz w:val="22"/>
                <w:szCs w:val="22"/>
              </w:rPr>
            </w:pPr>
            <w:r>
              <w:rPr>
                <w:rFonts w:hint="eastAsia" w:ascii="宋体" w:hAnsi="宋体" w:eastAsia="宋体" w:cs="宋体"/>
                <w:sz w:val="22"/>
                <w:szCs w:val="22"/>
              </w:rPr>
              <w:t>我局人均资产变化率10.82%</w:t>
            </w:r>
          </w:p>
        </w:tc>
      </w:tr>
      <w:tr w14:paraId="30294E19">
        <w:tblPrEx>
          <w:tblCellMar>
            <w:top w:w="0" w:type="dxa"/>
            <w:left w:w="108" w:type="dxa"/>
            <w:bottom w:w="0" w:type="dxa"/>
            <w:right w:w="108" w:type="dxa"/>
          </w:tblCellMar>
        </w:tblPrEx>
        <w:trPr>
          <w:trHeight w:val="410" w:hRule="atLeast"/>
        </w:trPr>
        <w:tc>
          <w:tcPr>
            <w:tcW w:w="404" w:type="pct"/>
            <w:vMerge w:val="continue"/>
            <w:tcBorders>
              <w:top w:val="nil"/>
              <w:left w:val="single" w:color="auto" w:sz="4" w:space="0"/>
              <w:bottom w:val="single" w:color="000000" w:sz="4" w:space="0"/>
              <w:right w:val="single" w:color="auto" w:sz="4" w:space="0"/>
            </w:tcBorders>
            <w:vAlign w:val="center"/>
          </w:tcPr>
          <w:p w14:paraId="1E6A32F6">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6BF6323E">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37D34168">
            <w:pPr>
              <w:widowControl/>
              <w:jc w:val="center"/>
              <w:rPr>
                <w:rFonts w:ascii="宋体" w:hAnsi="宋体" w:eastAsia="宋体" w:cs="宋体"/>
                <w:sz w:val="22"/>
                <w:szCs w:val="22"/>
              </w:rPr>
            </w:pPr>
            <w:r>
              <w:rPr>
                <w:rFonts w:hint="eastAsia" w:ascii="宋体" w:hAnsi="宋体" w:eastAsia="宋体" w:cs="宋体"/>
                <w:sz w:val="22"/>
                <w:szCs w:val="22"/>
              </w:rPr>
              <w:t>资产利用率</w:t>
            </w:r>
          </w:p>
        </w:tc>
        <w:tc>
          <w:tcPr>
            <w:tcW w:w="310" w:type="pct"/>
            <w:tcBorders>
              <w:top w:val="nil"/>
              <w:left w:val="nil"/>
              <w:bottom w:val="single" w:color="auto" w:sz="4" w:space="0"/>
              <w:right w:val="single" w:color="auto" w:sz="4" w:space="0"/>
            </w:tcBorders>
            <w:shd w:val="clear" w:color="auto" w:fill="auto"/>
            <w:noWrap/>
            <w:vAlign w:val="center"/>
          </w:tcPr>
          <w:p w14:paraId="42A16B52">
            <w:pPr>
              <w:widowControl/>
              <w:jc w:val="center"/>
              <w:rPr>
                <w:rFonts w:ascii="宋体" w:hAnsi="宋体" w:eastAsia="宋体" w:cs="宋体"/>
                <w:sz w:val="22"/>
                <w:szCs w:val="22"/>
              </w:rPr>
            </w:pPr>
            <w:r>
              <w:rPr>
                <w:rFonts w:hint="eastAsia" w:ascii="宋体" w:hAnsi="宋体" w:eastAsia="宋体" w:cs="宋体"/>
                <w:sz w:val="22"/>
                <w:szCs w:val="22"/>
              </w:rPr>
              <w:t>3</w:t>
            </w:r>
          </w:p>
        </w:tc>
        <w:tc>
          <w:tcPr>
            <w:tcW w:w="718" w:type="pct"/>
            <w:tcBorders>
              <w:top w:val="nil"/>
              <w:left w:val="nil"/>
              <w:bottom w:val="single" w:color="auto" w:sz="4" w:space="0"/>
              <w:right w:val="single" w:color="auto" w:sz="4" w:space="0"/>
            </w:tcBorders>
            <w:shd w:val="clear" w:color="auto" w:fill="auto"/>
            <w:vAlign w:val="center"/>
          </w:tcPr>
          <w:p w14:paraId="190745F1">
            <w:pPr>
              <w:widowControl/>
              <w:jc w:val="center"/>
              <w:rPr>
                <w:rFonts w:ascii="宋体" w:hAnsi="宋体" w:eastAsia="宋体" w:cs="宋体"/>
                <w:sz w:val="22"/>
                <w:szCs w:val="22"/>
              </w:rPr>
            </w:pPr>
            <w:r>
              <w:rPr>
                <w:rFonts w:hint="eastAsia" w:ascii="宋体" w:hAnsi="宋体" w:eastAsia="宋体" w:cs="宋体"/>
                <w:sz w:val="22"/>
                <w:szCs w:val="22"/>
              </w:rPr>
              <w:t>部门资产超最低使用年限情况</w:t>
            </w:r>
          </w:p>
        </w:tc>
        <w:tc>
          <w:tcPr>
            <w:tcW w:w="2032" w:type="pct"/>
            <w:tcBorders>
              <w:top w:val="nil"/>
              <w:left w:val="nil"/>
              <w:bottom w:val="single" w:color="auto" w:sz="4" w:space="0"/>
              <w:right w:val="single" w:color="auto" w:sz="4" w:space="0"/>
            </w:tcBorders>
            <w:shd w:val="clear" w:color="auto" w:fill="auto"/>
            <w:vAlign w:val="center"/>
          </w:tcPr>
          <w:p w14:paraId="19C7318E">
            <w:pPr>
              <w:widowControl/>
              <w:jc w:val="center"/>
              <w:rPr>
                <w:rFonts w:ascii="宋体" w:hAnsi="宋体" w:eastAsia="宋体" w:cs="宋体"/>
                <w:sz w:val="22"/>
                <w:szCs w:val="22"/>
              </w:rPr>
            </w:pPr>
            <w:r>
              <w:rPr>
                <w:rFonts w:hint="eastAsia" w:ascii="宋体" w:hAnsi="宋体" w:eastAsia="宋体" w:cs="宋体"/>
                <w:sz w:val="22"/>
                <w:szCs w:val="22"/>
              </w:rPr>
              <w:t>该项指标得分=（超最低使用年限的办公家具账面原值÷办公家具账面原值×100%×1.5）省级平均值办公家具为N=16.77%。Y≥N，得1.5分；0.8N≤Y＜N，得1分；0.5N≤Y＜0.8N，得0.5分；Y＜0.5N，得0分。+（超最低使用年限的办公设备账面原值÷办公设备账面原值×100%×1.5）。省级平均值办公设备为N=41.20%。Y≥N，得1.5分；0.8N≤Y＜N，得1分；0.5N≤Y＜0.8N，得0.5分；Y＜0.5N，得0分。</w:t>
            </w:r>
          </w:p>
        </w:tc>
        <w:tc>
          <w:tcPr>
            <w:tcW w:w="303" w:type="pct"/>
            <w:tcBorders>
              <w:top w:val="nil"/>
              <w:left w:val="nil"/>
              <w:bottom w:val="single" w:color="auto" w:sz="4" w:space="0"/>
              <w:right w:val="single" w:color="auto" w:sz="4" w:space="0"/>
            </w:tcBorders>
            <w:shd w:val="clear" w:color="auto" w:fill="auto"/>
            <w:noWrap/>
            <w:vAlign w:val="center"/>
          </w:tcPr>
          <w:p w14:paraId="6D95DFF5">
            <w:pPr>
              <w:widowControl/>
              <w:jc w:val="center"/>
              <w:rPr>
                <w:rFonts w:ascii="宋体" w:hAnsi="宋体" w:eastAsia="宋体" w:cs="宋体"/>
                <w:sz w:val="22"/>
                <w:szCs w:val="22"/>
              </w:rPr>
            </w:pPr>
            <w:r>
              <w:rPr>
                <w:rFonts w:hint="eastAsia" w:ascii="宋体" w:hAnsi="宋体" w:eastAsia="宋体" w:cs="宋体"/>
                <w:sz w:val="22"/>
                <w:szCs w:val="22"/>
              </w:rPr>
              <w:t>3</w:t>
            </w:r>
          </w:p>
        </w:tc>
        <w:tc>
          <w:tcPr>
            <w:tcW w:w="304" w:type="pct"/>
            <w:tcBorders>
              <w:top w:val="nil"/>
              <w:left w:val="nil"/>
              <w:bottom w:val="single" w:color="auto" w:sz="4" w:space="0"/>
              <w:right w:val="single" w:color="auto" w:sz="4" w:space="0"/>
            </w:tcBorders>
            <w:shd w:val="clear" w:color="auto" w:fill="auto"/>
            <w:noWrap/>
            <w:vAlign w:val="center"/>
          </w:tcPr>
          <w:p w14:paraId="4A67053E">
            <w:pPr>
              <w:widowControl/>
              <w:jc w:val="center"/>
              <w:rPr>
                <w:rFonts w:ascii="宋体" w:hAnsi="宋体" w:eastAsia="宋体" w:cs="宋体"/>
                <w:sz w:val="22"/>
                <w:szCs w:val="22"/>
              </w:rPr>
            </w:pPr>
            <w:r>
              <w:rPr>
                <w:rFonts w:hint="eastAsia" w:ascii="宋体" w:hAnsi="宋体" w:eastAsia="宋体" w:cs="宋体"/>
                <w:sz w:val="22"/>
                <w:szCs w:val="22"/>
              </w:rPr>
              <w:t>　</w:t>
            </w:r>
          </w:p>
        </w:tc>
      </w:tr>
      <w:tr w14:paraId="50BD0A6B">
        <w:tblPrEx>
          <w:tblCellMar>
            <w:top w:w="0" w:type="dxa"/>
            <w:left w:w="108" w:type="dxa"/>
            <w:bottom w:w="0" w:type="dxa"/>
            <w:right w:w="108" w:type="dxa"/>
          </w:tblCellMar>
        </w:tblPrEx>
        <w:trPr>
          <w:trHeight w:val="2415" w:hRule="atLeast"/>
        </w:trPr>
        <w:tc>
          <w:tcPr>
            <w:tcW w:w="404" w:type="pct"/>
            <w:vMerge w:val="continue"/>
            <w:tcBorders>
              <w:top w:val="nil"/>
              <w:left w:val="single" w:color="auto" w:sz="4" w:space="0"/>
              <w:bottom w:val="single" w:color="000000" w:sz="4" w:space="0"/>
              <w:right w:val="single" w:color="auto" w:sz="4" w:space="0"/>
            </w:tcBorders>
            <w:vAlign w:val="center"/>
          </w:tcPr>
          <w:p w14:paraId="54772B30">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09C42782">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52C73254">
            <w:pPr>
              <w:widowControl/>
              <w:jc w:val="center"/>
              <w:rPr>
                <w:rFonts w:ascii="宋体" w:hAnsi="宋体" w:eastAsia="宋体" w:cs="宋体"/>
                <w:sz w:val="22"/>
                <w:szCs w:val="22"/>
              </w:rPr>
            </w:pPr>
            <w:r>
              <w:rPr>
                <w:rFonts w:hint="eastAsia" w:ascii="宋体" w:hAnsi="宋体" w:eastAsia="宋体" w:cs="宋体"/>
                <w:sz w:val="22"/>
                <w:szCs w:val="22"/>
              </w:rPr>
              <w:t>资产盘活率</w:t>
            </w:r>
          </w:p>
        </w:tc>
        <w:tc>
          <w:tcPr>
            <w:tcW w:w="310" w:type="pct"/>
            <w:tcBorders>
              <w:top w:val="nil"/>
              <w:left w:val="nil"/>
              <w:bottom w:val="single" w:color="auto" w:sz="4" w:space="0"/>
              <w:right w:val="single" w:color="auto" w:sz="4" w:space="0"/>
            </w:tcBorders>
            <w:shd w:val="clear" w:color="auto" w:fill="auto"/>
            <w:noWrap/>
            <w:vAlign w:val="center"/>
          </w:tcPr>
          <w:p w14:paraId="0A0B8BA1">
            <w:pPr>
              <w:widowControl/>
              <w:jc w:val="center"/>
              <w:rPr>
                <w:rFonts w:ascii="宋体" w:hAnsi="宋体" w:eastAsia="宋体" w:cs="宋体"/>
                <w:sz w:val="22"/>
                <w:szCs w:val="22"/>
              </w:rPr>
            </w:pPr>
            <w:r>
              <w:rPr>
                <w:rFonts w:hint="eastAsia" w:ascii="宋体" w:hAnsi="宋体" w:eastAsia="宋体" w:cs="宋体"/>
                <w:sz w:val="22"/>
                <w:szCs w:val="22"/>
              </w:rPr>
              <w:t>3</w:t>
            </w:r>
          </w:p>
        </w:tc>
        <w:tc>
          <w:tcPr>
            <w:tcW w:w="718" w:type="pct"/>
            <w:tcBorders>
              <w:top w:val="nil"/>
              <w:left w:val="nil"/>
              <w:bottom w:val="single" w:color="auto" w:sz="4" w:space="0"/>
              <w:right w:val="single" w:color="auto" w:sz="4" w:space="0"/>
            </w:tcBorders>
            <w:shd w:val="clear" w:color="auto" w:fill="auto"/>
            <w:vAlign w:val="center"/>
          </w:tcPr>
          <w:p w14:paraId="15397D92">
            <w:pPr>
              <w:widowControl/>
              <w:jc w:val="center"/>
              <w:rPr>
                <w:rFonts w:ascii="宋体" w:hAnsi="宋体" w:eastAsia="宋体" w:cs="宋体"/>
                <w:sz w:val="22"/>
                <w:szCs w:val="22"/>
              </w:rPr>
            </w:pPr>
            <w:r>
              <w:rPr>
                <w:rFonts w:hint="eastAsia" w:ascii="宋体" w:hAnsi="宋体" w:eastAsia="宋体" w:cs="宋体"/>
                <w:sz w:val="22"/>
                <w:szCs w:val="22"/>
              </w:rPr>
              <w:t>部门闲置一年以上的资产盘活情况</w:t>
            </w:r>
          </w:p>
        </w:tc>
        <w:tc>
          <w:tcPr>
            <w:tcW w:w="2032" w:type="pct"/>
            <w:tcBorders>
              <w:top w:val="nil"/>
              <w:left w:val="nil"/>
              <w:bottom w:val="single" w:color="auto" w:sz="4" w:space="0"/>
              <w:right w:val="single" w:color="auto" w:sz="4" w:space="0"/>
            </w:tcBorders>
            <w:shd w:val="clear" w:color="auto" w:fill="auto"/>
            <w:vAlign w:val="center"/>
          </w:tcPr>
          <w:p w14:paraId="48D775BE">
            <w:pPr>
              <w:widowControl/>
              <w:jc w:val="center"/>
              <w:rPr>
                <w:rFonts w:ascii="宋体" w:hAnsi="宋体" w:eastAsia="宋体" w:cs="宋体"/>
                <w:sz w:val="22"/>
                <w:szCs w:val="22"/>
              </w:rPr>
            </w:pPr>
            <w:r>
              <w:rPr>
                <w:rFonts w:hint="eastAsia" w:ascii="宋体" w:hAnsi="宋体" w:eastAsia="宋体" w:cs="宋体"/>
                <w:sz w:val="22"/>
                <w:szCs w:val="22"/>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303" w:type="pct"/>
            <w:tcBorders>
              <w:top w:val="nil"/>
              <w:left w:val="nil"/>
              <w:bottom w:val="single" w:color="auto" w:sz="4" w:space="0"/>
              <w:right w:val="single" w:color="auto" w:sz="4" w:space="0"/>
            </w:tcBorders>
            <w:shd w:val="clear" w:color="auto" w:fill="auto"/>
            <w:noWrap/>
            <w:vAlign w:val="center"/>
          </w:tcPr>
          <w:p w14:paraId="0650F0C6">
            <w:pPr>
              <w:widowControl/>
              <w:jc w:val="center"/>
              <w:rPr>
                <w:rFonts w:ascii="宋体" w:hAnsi="宋体" w:eastAsia="宋体" w:cs="宋体"/>
                <w:sz w:val="22"/>
                <w:szCs w:val="22"/>
              </w:rPr>
            </w:pPr>
            <w:r>
              <w:rPr>
                <w:rFonts w:hint="eastAsia" w:ascii="宋体" w:hAnsi="宋体" w:eastAsia="宋体" w:cs="宋体"/>
                <w:sz w:val="22"/>
                <w:szCs w:val="22"/>
              </w:rPr>
              <w:t>3</w:t>
            </w:r>
          </w:p>
        </w:tc>
        <w:tc>
          <w:tcPr>
            <w:tcW w:w="304" w:type="pct"/>
            <w:tcBorders>
              <w:top w:val="nil"/>
              <w:left w:val="nil"/>
              <w:bottom w:val="single" w:color="auto" w:sz="4" w:space="0"/>
              <w:right w:val="single" w:color="auto" w:sz="4" w:space="0"/>
            </w:tcBorders>
            <w:shd w:val="clear" w:color="auto" w:fill="auto"/>
            <w:noWrap/>
            <w:vAlign w:val="center"/>
          </w:tcPr>
          <w:p w14:paraId="39D4F2CB">
            <w:pPr>
              <w:widowControl/>
              <w:jc w:val="center"/>
              <w:rPr>
                <w:rFonts w:ascii="宋体" w:hAnsi="宋体" w:eastAsia="宋体" w:cs="宋体"/>
                <w:sz w:val="22"/>
                <w:szCs w:val="22"/>
              </w:rPr>
            </w:pPr>
            <w:r>
              <w:rPr>
                <w:rFonts w:hint="eastAsia" w:ascii="宋体" w:hAnsi="宋体" w:eastAsia="宋体" w:cs="宋体"/>
                <w:sz w:val="22"/>
                <w:szCs w:val="22"/>
              </w:rPr>
              <w:t>　</w:t>
            </w:r>
          </w:p>
        </w:tc>
      </w:tr>
      <w:tr w14:paraId="03113EFF">
        <w:tblPrEx>
          <w:tblCellMar>
            <w:top w:w="0" w:type="dxa"/>
            <w:left w:w="108" w:type="dxa"/>
            <w:bottom w:w="0" w:type="dxa"/>
            <w:right w:w="108" w:type="dxa"/>
          </w:tblCellMar>
        </w:tblPrEx>
        <w:trPr>
          <w:trHeight w:val="1110" w:hRule="atLeast"/>
        </w:trPr>
        <w:tc>
          <w:tcPr>
            <w:tcW w:w="404" w:type="pct"/>
            <w:vMerge w:val="continue"/>
            <w:tcBorders>
              <w:top w:val="nil"/>
              <w:left w:val="single" w:color="auto" w:sz="4" w:space="0"/>
              <w:bottom w:val="single" w:color="000000" w:sz="4" w:space="0"/>
              <w:right w:val="single" w:color="auto" w:sz="4" w:space="0"/>
            </w:tcBorders>
            <w:vAlign w:val="center"/>
          </w:tcPr>
          <w:p w14:paraId="3313388F">
            <w:pPr>
              <w:widowControl/>
              <w:jc w:val="left"/>
              <w:rPr>
                <w:rFonts w:ascii="宋体" w:hAnsi="宋体" w:eastAsia="宋体" w:cs="宋体"/>
                <w:b/>
                <w:bCs/>
                <w:sz w:val="22"/>
                <w:szCs w:val="22"/>
              </w:rPr>
            </w:pPr>
          </w:p>
        </w:tc>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918F08">
            <w:pPr>
              <w:widowControl/>
              <w:jc w:val="center"/>
              <w:rPr>
                <w:rFonts w:ascii="宋体" w:hAnsi="宋体" w:eastAsia="宋体" w:cs="宋体"/>
                <w:sz w:val="22"/>
                <w:szCs w:val="22"/>
              </w:rPr>
            </w:pPr>
            <w:r>
              <w:rPr>
                <w:rFonts w:hint="eastAsia" w:ascii="宋体" w:hAnsi="宋体" w:eastAsia="宋体" w:cs="宋体"/>
                <w:sz w:val="22"/>
                <w:szCs w:val="22"/>
              </w:rPr>
              <w:t>采购管理</w:t>
            </w:r>
            <w:r>
              <w:rPr>
                <w:rFonts w:hint="eastAsia" w:ascii="宋体" w:hAnsi="宋体" w:eastAsia="宋体" w:cs="宋体"/>
                <w:sz w:val="22"/>
                <w:szCs w:val="22"/>
              </w:rPr>
              <w:br w:type="textWrapping"/>
            </w:r>
            <w:r>
              <w:rPr>
                <w:rFonts w:hint="eastAsia" w:ascii="宋体" w:hAnsi="宋体" w:eastAsia="宋体" w:cs="宋体"/>
                <w:sz w:val="22"/>
                <w:szCs w:val="22"/>
              </w:rPr>
              <w:t>（6分）</w:t>
            </w:r>
          </w:p>
        </w:tc>
        <w:tc>
          <w:tcPr>
            <w:tcW w:w="520" w:type="pct"/>
            <w:tcBorders>
              <w:top w:val="nil"/>
              <w:left w:val="nil"/>
              <w:bottom w:val="single" w:color="auto" w:sz="4" w:space="0"/>
              <w:right w:val="single" w:color="auto" w:sz="4" w:space="0"/>
            </w:tcBorders>
            <w:shd w:val="clear" w:color="auto" w:fill="auto"/>
            <w:noWrap/>
            <w:vAlign w:val="center"/>
          </w:tcPr>
          <w:p w14:paraId="2C82386F">
            <w:pPr>
              <w:widowControl/>
              <w:jc w:val="center"/>
              <w:rPr>
                <w:rFonts w:ascii="宋体" w:hAnsi="宋体" w:eastAsia="宋体" w:cs="宋体"/>
                <w:sz w:val="22"/>
                <w:szCs w:val="22"/>
              </w:rPr>
            </w:pPr>
            <w:r>
              <w:rPr>
                <w:rFonts w:hint="eastAsia" w:ascii="宋体" w:hAnsi="宋体" w:eastAsia="宋体" w:cs="宋体"/>
                <w:sz w:val="22"/>
                <w:szCs w:val="22"/>
              </w:rPr>
              <w:t>支持中小企业发展</w:t>
            </w:r>
          </w:p>
        </w:tc>
        <w:tc>
          <w:tcPr>
            <w:tcW w:w="310" w:type="pct"/>
            <w:tcBorders>
              <w:top w:val="nil"/>
              <w:left w:val="nil"/>
              <w:bottom w:val="single" w:color="auto" w:sz="4" w:space="0"/>
              <w:right w:val="single" w:color="auto" w:sz="4" w:space="0"/>
            </w:tcBorders>
            <w:shd w:val="clear" w:color="auto" w:fill="auto"/>
            <w:noWrap/>
            <w:vAlign w:val="center"/>
          </w:tcPr>
          <w:p w14:paraId="4CBCC952">
            <w:pPr>
              <w:widowControl/>
              <w:jc w:val="center"/>
              <w:rPr>
                <w:rFonts w:ascii="宋体" w:hAnsi="宋体" w:eastAsia="宋体" w:cs="宋体"/>
                <w:sz w:val="22"/>
                <w:szCs w:val="22"/>
              </w:rPr>
            </w:pPr>
            <w:r>
              <w:rPr>
                <w:rFonts w:hint="eastAsia" w:ascii="宋体" w:hAnsi="宋体" w:eastAsia="宋体" w:cs="宋体"/>
                <w:sz w:val="22"/>
                <w:szCs w:val="22"/>
              </w:rPr>
              <w:t>3</w:t>
            </w:r>
          </w:p>
        </w:tc>
        <w:tc>
          <w:tcPr>
            <w:tcW w:w="718" w:type="pct"/>
            <w:tcBorders>
              <w:top w:val="nil"/>
              <w:left w:val="nil"/>
              <w:bottom w:val="single" w:color="auto" w:sz="4" w:space="0"/>
              <w:right w:val="single" w:color="auto" w:sz="4" w:space="0"/>
            </w:tcBorders>
            <w:shd w:val="clear" w:color="auto" w:fill="auto"/>
            <w:vAlign w:val="center"/>
          </w:tcPr>
          <w:p w14:paraId="78937FEE">
            <w:pPr>
              <w:widowControl/>
              <w:jc w:val="center"/>
              <w:rPr>
                <w:rFonts w:ascii="宋体" w:hAnsi="宋体" w:eastAsia="宋体" w:cs="宋体"/>
                <w:sz w:val="22"/>
                <w:szCs w:val="22"/>
              </w:rPr>
            </w:pPr>
            <w:r>
              <w:rPr>
                <w:rFonts w:hint="eastAsia" w:ascii="宋体" w:hAnsi="宋体" w:eastAsia="宋体" w:cs="宋体"/>
                <w:sz w:val="22"/>
                <w:szCs w:val="22"/>
              </w:rPr>
              <w:t>部门是否严格执行政府采购促进中小企业发展相关管理办法</w:t>
            </w:r>
          </w:p>
        </w:tc>
        <w:tc>
          <w:tcPr>
            <w:tcW w:w="2032" w:type="pct"/>
            <w:tcBorders>
              <w:top w:val="nil"/>
              <w:left w:val="nil"/>
              <w:bottom w:val="single" w:color="auto" w:sz="4" w:space="0"/>
              <w:right w:val="single" w:color="auto" w:sz="4" w:space="0"/>
            </w:tcBorders>
            <w:shd w:val="clear" w:color="auto" w:fill="auto"/>
            <w:vAlign w:val="center"/>
          </w:tcPr>
          <w:p w14:paraId="1D2FACA4">
            <w:pPr>
              <w:widowControl/>
              <w:jc w:val="center"/>
              <w:rPr>
                <w:rFonts w:ascii="宋体" w:hAnsi="宋体" w:eastAsia="宋体" w:cs="宋体"/>
                <w:sz w:val="22"/>
                <w:szCs w:val="22"/>
              </w:rPr>
            </w:pPr>
            <w:r>
              <w:rPr>
                <w:rFonts w:hint="eastAsia" w:ascii="宋体" w:hAnsi="宋体" w:eastAsia="宋体" w:cs="宋体"/>
                <w:sz w:val="22"/>
                <w:szCs w:val="22"/>
              </w:rPr>
              <w:t>对适宜由中小企业提供的采购项目和采购包，预留采购份额专门面向中小企业采购，并在采购预算中单独列示，不符合要求的扣3分。</w:t>
            </w:r>
          </w:p>
        </w:tc>
        <w:tc>
          <w:tcPr>
            <w:tcW w:w="303" w:type="pct"/>
            <w:tcBorders>
              <w:top w:val="nil"/>
              <w:left w:val="nil"/>
              <w:bottom w:val="single" w:color="auto" w:sz="4" w:space="0"/>
              <w:right w:val="single" w:color="auto" w:sz="4" w:space="0"/>
            </w:tcBorders>
            <w:shd w:val="clear" w:color="auto" w:fill="auto"/>
            <w:noWrap/>
            <w:vAlign w:val="center"/>
          </w:tcPr>
          <w:p w14:paraId="4DC97A55">
            <w:pPr>
              <w:widowControl/>
              <w:jc w:val="center"/>
              <w:rPr>
                <w:rFonts w:ascii="宋体" w:hAnsi="宋体" w:eastAsia="宋体" w:cs="宋体"/>
                <w:sz w:val="22"/>
                <w:szCs w:val="22"/>
              </w:rPr>
            </w:pPr>
            <w:r>
              <w:rPr>
                <w:rFonts w:hint="eastAsia" w:ascii="宋体" w:hAnsi="宋体" w:eastAsia="宋体" w:cs="宋体"/>
                <w:sz w:val="22"/>
                <w:szCs w:val="22"/>
              </w:rPr>
              <w:t>3</w:t>
            </w:r>
          </w:p>
        </w:tc>
        <w:tc>
          <w:tcPr>
            <w:tcW w:w="304" w:type="pct"/>
            <w:tcBorders>
              <w:top w:val="nil"/>
              <w:left w:val="nil"/>
              <w:bottom w:val="single" w:color="auto" w:sz="4" w:space="0"/>
              <w:right w:val="single" w:color="auto" w:sz="4" w:space="0"/>
            </w:tcBorders>
            <w:shd w:val="clear" w:color="auto" w:fill="auto"/>
            <w:noWrap/>
            <w:vAlign w:val="center"/>
          </w:tcPr>
          <w:p w14:paraId="6D6D0F69">
            <w:pPr>
              <w:widowControl/>
              <w:jc w:val="center"/>
              <w:rPr>
                <w:rFonts w:ascii="宋体" w:hAnsi="宋体" w:eastAsia="宋体" w:cs="宋体"/>
                <w:sz w:val="22"/>
                <w:szCs w:val="22"/>
              </w:rPr>
            </w:pPr>
            <w:r>
              <w:rPr>
                <w:rFonts w:hint="eastAsia" w:ascii="宋体" w:hAnsi="宋体" w:eastAsia="宋体" w:cs="宋体"/>
                <w:sz w:val="22"/>
                <w:szCs w:val="22"/>
              </w:rPr>
              <w:t>　</w:t>
            </w:r>
          </w:p>
        </w:tc>
      </w:tr>
      <w:tr w14:paraId="4B967CEA">
        <w:tblPrEx>
          <w:tblCellMar>
            <w:top w:w="0" w:type="dxa"/>
            <w:left w:w="108" w:type="dxa"/>
            <w:bottom w:w="0" w:type="dxa"/>
            <w:right w:w="108" w:type="dxa"/>
          </w:tblCellMar>
        </w:tblPrEx>
        <w:trPr>
          <w:trHeight w:val="810" w:hRule="atLeast"/>
        </w:trPr>
        <w:tc>
          <w:tcPr>
            <w:tcW w:w="404" w:type="pct"/>
            <w:vMerge w:val="continue"/>
            <w:tcBorders>
              <w:top w:val="nil"/>
              <w:left w:val="single" w:color="auto" w:sz="4" w:space="0"/>
              <w:bottom w:val="single" w:color="000000" w:sz="4" w:space="0"/>
              <w:right w:val="single" w:color="auto" w:sz="4" w:space="0"/>
            </w:tcBorders>
            <w:vAlign w:val="center"/>
          </w:tcPr>
          <w:p w14:paraId="555C80D4">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6C044CDD">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39E8B244">
            <w:pPr>
              <w:widowControl/>
              <w:jc w:val="center"/>
              <w:rPr>
                <w:rFonts w:ascii="宋体" w:hAnsi="宋体" w:eastAsia="宋体" w:cs="宋体"/>
                <w:sz w:val="22"/>
                <w:szCs w:val="22"/>
              </w:rPr>
            </w:pPr>
            <w:r>
              <w:rPr>
                <w:rFonts w:hint="eastAsia" w:ascii="宋体" w:hAnsi="宋体" w:eastAsia="宋体" w:cs="宋体"/>
                <w:sz w:val="22"/>
                <w:szCs w:val="22"/>
              </w:rPr>
              <w:t>采购执行率</w:t>
            </w:r>
          </w:p>
        </w:tc>
        <w:tc>
          <w:tcPr>
            <w:tcW w:w="310" w:type="pct"/>
            <w:tcBorders>
              <w:top w:val="nil"/>
              <w:left w:val="nil"/>
              <w:bottom w:val="single" w:color="auto" w:sz="4" w:space="0"/>
              <w:right w:val="single" w:color="auto" w:sz="4" w:space="0"/>
            </w:tcBorders>
            <w:shd w:val="clear" w:color="auto" w:fill="auto"/>
            <w:noWrap/>
            <w:vAlign w:val="center"/>
          </w:tcPr>
          <w:p w14:paraId="350DBB2D">
            <w:pPr>
              <w:widowControl/>
              <w:jc w:val="center"/>
              <w:rPr>
                <w:rFonts w:ascii="宋体" w:hAnsi="宋体" w:eastAsia="宋体" w:cs="宋体"/>
                <w:sz w:val="22"/>
                <w:szCs w:val="22"/>
              </w:rPr>
            </w:pPr>
            <w:r>
              <w:rPr>
                <w:rFonts w:hint="eastAsia" w:ascii="宋体" w:hAnsi="宋体" w:eastAsia="宋体" w:cs="宋体"/>
                <w:sz w:val="22"/>
                <w:szCs w:val="22"/>
              </w:rPr>
              <w:t>3</w:t>
            </w:r>
          </w:p>
        </w:tc>
        <w:tc>
          <w:tcPr>
            <w:tcW w:w="718" w:type="pct"/>
            <w:tcBorders>
              <w:top w:val="nil"/>
              <w:left w:val="nil"/>
              <w:bottom w:val="single" w:color="auto" w:sz="4" w:space="0"/>
              <w:right w:val="single" w:color="auto" w:sz="4" w:space="0"/>
            </w:tcBorders>
            <w:shd w:val="clear" w:color="auto" w:fill="auto"/>
            <w:vAlign w:val="center"/>
          </w:tcPr>
          <w:p w14:paraId="20E0744D">
            <w:pPr>
              <w:widowControl/>
              <w:jc w:val="center"/>
              <w:rPr>
                <w:rFonts w:ascii="宋体" w:hAnsi="宋体" w:eastAsia="宋体" w:cs="宋体"/>
                <w:sz w:val="22"/>
                <w:szCs w:val="22"/>
              </w:rPr>
            </w:pPr>
            <w:r>
              <w:rPr>
                <w:rFonts w:hint="eastAsia" w:ascii="宋体" w:hAnsi="宋体" w:eastAsia="宋体" w:cs="宋体"/>
                <w:sz w:val="22"/>
                <w:szCs w:val="22"/>
              </w:rPr>
              <w:t>部门政府采购项目资金支付比例情况</w:t>
            </w:r>
          </w:p>
        </w:tc>
        <w:tc>
          <w:tcPr>
            <w:tcW w:w="2032" w:type="pct"/>
            <w:tcBorders>
              <w:top w:val="nil"/>
              <w:left w:val="nil"/>
              <w:bottom w:val="single" w:color="auto" w:sz="4" w:space="0"/>
              <w:right w:val="single" w:color="auto" w:sz="4" w:space="0"/>
            </w:tcBorders>
            <w:shd w:val="clear" w:color="auto" w:fill="auto"/>
            <w:vAlign w:val="center"/>
          </w:tcPr>
          <w:p w14:paraId="5DADB64E">
            <w:pPr>
              <w:widowControl/>
              <w:jc w:val="center"/>
              <w:rPr>
                <w:rFonts w:ascii="宋体" w:hAnsi="宋体" w:eastAsia="宋体" w:cs="宋体"/>
                <w:sz w:val="22"/>
                <w:szCs w:val="22"/>
              </w:rPr>
            </w:pPr>
            <w:r>
              <w:rPr>
                <w:rFonts w:hint="eastAsia" w:ascii="宋体" w:hAnsi="宋体" w:eastAsia="宋体" w:cs="宋体"/>
                <w:sz w:val="22"/>
                <w:szCs w:val="22"/>
              </w:rPr>
              <w:t>该项指标得分=当年政府采购实际支付总金额÷（当年政府采购总预算数-当年已完成采购项目节约金额）×100%×3。</w:t>
            </w:r>
          </w:p>
        </w:tc>
        <w:tc>
          <w:tcPr>
            <w:tcW w:w="303" w:type="pct"/>
            <w:tcBorders>
              <w:top w:val="nil"/>
              <w:left w:val="nil"/>
              <w:bottom w:val="single" w:color="auto" w:sz="4" w:space="0"/>
              <w:right w:val="single" w:color="auto" w:sz="4" w:space="0"/>
            </w:tcBorders>
            <w:shd w:val="clear" w:color="auto" w:fill="auto"/>
            <w:noWrap/>
            <w:vAlign w:val="center"/>
          </w:tcPr>
          <w:p w14:paraId="14B6E6C7">
            <w:pPr>
              <w:widowControl/>
              <w:jc w:val="center"/>
              <w:rPr>
                <w:rFonts w:ascii="宋体" w:hAnsi="宋体" w:eastAsia="宋体" w:cs="宋体"/>
                <w:sz w:val="22"/>
                <w:szCs w:val="22"/>
              </w:rPr>
            </w:pPr>
            <w:r>
              <w:rPr>
                <w:rFonts w:hint="eastAsia" w:ascii="宋体" w:hAnsi="宋体" w:eastAsia="宋体" w:cs="宋体"/>
                <w:sz w:val="22"/>
                <w:szCs w:val="22"/>
              </w:rPr>
              <w:t>3</w:t>
            </w:r>
          </w:p>
        </w:tc>
        <w:tc>
          <w:tcPr>
            <w:tcW w:w="304" w:type="pct"/>
            <w:tcBorders>
              <w:top w:val="nil"/>
              <w:left w:val="nil"/>
              <w:bottom w:val="single" w:color="auto" w:sz="4" w:space="0"/>
              <w:right w:val="single" w:color="auto" w:sz="4" w:space="0"/>
            </w:tcBorders>
            <w:shd w:val="clear" w:color="auto" w:fill="auto"/>
            <w:noWrap/>
            <w:vAlign w:val="center"/>
          </w:tcPr>
          <w:p w14:paraId="20947440">
            <w:pPr>
              <w:widowControl/>
              <w:jc w:val="center"/>
              <w:rPr>
                <w:rFonts w:ascii="宋体" w:hAnsi="宋体" w:eastAsia="宋体" w:cs="宋体"/>
                <w:sz w:val="22"/>
                <w:szCs w:val="22"/>
              </w:rPr>
            </w:pPr>
            <w:r>
              <w:rPr>
                <w:rFonts w:hint="eastAsia" w:ascii="宋体" w:hAnsi="宋体" w:eastAsia="宋体" w:cs="宋体"/>
                <w:sz w:val="22"/>
                <w:szCs w:val="22"/>
              </w:rPr>
              <w:t>　</w:t>
            </w:r>
          </w:p>
        </w:tc>
      </w:tr>
      <w:tr w14:paraId="48AAE672">
        <w:tblPrEx>
          <w:tblCellMar>
            <w:top w:w="0" w:type="dxa"/>
            <w:left w:w="108" w:type="dxa"/>
            <w:bottom w:w="0" w:type="dxa"/>
            <w:right w:w="108" w:type="dxa"/>
          </w:tblCellMar>
        </w:tblPrEx>
        <w:trPr>
          <w:trHeight w:val="2490" w:hRule="atLeast"/>
        </w:trPr>
        <w:tc>
          <w:tcPr>
            <w:tcW w:w="404" w:type="pct"/>
            <w:vMerge w:val="restart"/>
            <w:tcBorders>
              <w:top w:val="nil"/>
              <w:left w:val="single" w:color="auto" w:sz="4" w:space="0"/>
              <w:bottom w:val="single" w:color="000000" w:sz="4" w:space="0"/>
              <w:right w:val="single" w:color="auto" w:sz="4" w:space="0"/>
            </w:tcBorders>
            <w:shd w:val="clear" w:color="auto" w:fill="auto"/>
            <w:vAlign w:val="center"/>
          </w:tcPr>
          <w:p w14:paraId="09359DB7">
            <w:pPr>
              <w:widowControl/>
              <w:jc w:val="center"/>
              <w:rPr>
                <w:rFonts w:ascii="宋体" w:hAnsi="宋体" w:eastAsia="宋体" w:cs="宋体"/>
                <w:b/>
                <w:bCs/>
                <w:sz w:val="22"/>
                <w:szCs w:val="22"/>
              </w:rPr>
            </w:pPr>
            <w:r>
              <w:rPr>
                <w:rFonts w:hint="eastAsia" w:ascii="宋体" w:hAnsi="宋体" w:eastAsia="宋体" w:cs="宋体"/>
                <w:b/>
                <w:bCs/>
                <w:sz w:val="22"/>
                <w:szCs w:val="22"/>
              </w:rPr>
              <w:t>项目绩效</w:t>
            </w:r>
            <w:r>
              <w:rPr>
                <w:rFonts w:hint="eastAsia" w:ascii="宋体" w:hAnsi="宋体" w:eastAsia="宋体" w:cs="宋体"/>
                <w:b/>
                <w:bCs/>
                <w:sz w:val="22"/>
                <w:szCs w:val="22"/>
              </w:rPr>
              <w:br w:type="textWrapping"/>
            </w:r>
            <w:r>
              <w:rPr>
                <w:rFonts w:hint="eastAsia" w:ascii="宋体" w:hAnsi="宋体" w:eastAsia="宋体" w:cs="宋体"/>
                <w:b/>
                <w:bCs/>
                <w:sz w:val="22"/>
                <w:szCs w:val="22"/>
              </w:rPr>
              <w:t>（44分）</w:t>
            </w:r>
          </w:p>
        </w:tc>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4C0523">
            <w:pPr>
              <w:widowControl/>
              <w:jc w:val="center"/>
              <w:rPr>
                <w:rFonts w:ascii="宋体" w:hAnsi="宋体" w:eastAsia="宋体" w:cs="宋体"/>
                <w:sz w:val="22"/>
                <w:szCs w:val="22"/>
              </w:rPr>
            </w:pPr>
            <w:r>
              <w:rPr>
                <w:rFonts w:hint="eastAsia" w:ascii="宋体" w:hAnsi="宋体" w:eastAsia="宋体" w:cs="宋体"/>
                <w:sz w:val="22"/>
                <w:szCs w:val="22"/>
              </w:rPr>
              <w:t>项目决策</w:t>
            </w:r>
            <w:r>
              <w:rPr>
                <w:rFonts w:hint="eastAsia" w:ascii="宋体" w:hAnsi="宋体" w:eastAsia="宋体" w:cs="宋体"/>
                <w:sz w:val="22"/>
                <w:szCs w:val="22"/>
              </w:rPr>
              <w:br w:type="textWrapping"/>
            </w:r>
            <w:r>
              <w:rPr>
                <w:rFonts w:hint="eastAsia" w:ascii="宋体" w:hAnsi="宋体" w:eastAsia="宋体" w:cs="宋体"/>
                <w:sz w:val="22"/>
                <w:szCs w:val="22"/>
              </w:rPr>
              <w:t>（12分）</w:t>
            </w:r>
          </w:p>
        </w:tc>
        <w:tc>
          <w:tcPr>
            <w:tcW w:w="520" w:type="pct"/>
            <w:tcBorders>
              <w:top w:val="nil"/>
              <w:left w:val="nil"/>
              <w:bottom w:val="single" w:color="auto" w:sz="4" w:space="0"/>
              <w:right w:val="single" w:color="auto" w:sz="4" w:space="0"/>
            </w:tcBorders>
            <w:shd w:val="clear" w:color="auto" w:fill="auto"/>
            <w:noWrap/>
            <w:vAlign w:val="center"/>
          </w:tcPr>
          <w:p w14:paraId="1D8D7E2C">
            <w:pPr>
              <w:widowControl/>
              <w:jc w:val="center"/>
              <w:rPr>
                <w:rFonts w:ascii="宋体" w:hAnsi="宋体" w:eastAsia="宋体" w:cs="宋体"/>
                <w:sz w:val="22"/>
                <w:szCs w:val="22"/>
              </w:rPr>
            </w:pPr>
            <w:r>
              <w:rPr>
                <w:rFonts w:hint="eastAsia" w:ascii="宋体" w:hAnsi="宋体" w:eastAsia="宋体" w:cs="宋体"/>
                <w:sz w:val="22"/>
                <w:szCs w:val="22"/>
              </w:rPr>
              <w:t>决策程序</w:t>
            </w:r>
          </w:p>
        </w:tc>
        <w:tc>
          <w:tcPr>
            <w:tcW w:w="310" w:type="pct"/>
            <w:tcBorders>
              <w:top w:val="nil"/>
              <w:left w:val="nil"/>
              <w:bottom w:val="single" w:color="auto" w:sz="4" w:space="0"/>
              <w:right w:val="single" w:color="auto" w:sz="4" w:space="0"/>
            </w:tcBorders>
            <w:shd w:val="clear" w:color="auto" w:fill="auto"/>
            <w:noWrap/>
            <w:vAlign w:val="center"/>
          </w:tcPr>
          <w:p w14:paraId="76E0EFAE">
            <w:pPr>
              <w:widowControl/>
              <w:jc w:val="center"/>
              <w:rPr>
                <w:rFonts w:ascii="宋体" w:hAnsi="宋体" w:eastAsia="宋体" w:cs="宋体"/>
                <w:sz w:val="22"/>
                <w:szCs w:val="22"/>
              </w:rPr>
            </w:pPr>
            <w:r>
              <w:rPr>
                <w:rFonts w:hint="eastAsia" w:ascii="宋体" w:hAnsi="宋体" w:eastAsia="宋体" w:cs="宋体"/>
                <w:sz w:val="22"/>
                <w:szCs w:val="22"/>
              </w:rPr>
              <w:t>4</w:t>
            </w:r>
          </w:p>
        </w:tc>
        <w:tc>
          <w:tcPr>
            <w:tcW w:w="718" w:type="pct"/>
            <w:tcBorders>
              <w:top w:val="nil"/>
              <w:left w:val="nil"/>
              <w:bottom w:val="single" w:color="auto" w:sz="4" w:space="0"/>
              <w:right w:val="single" w:color="auto" w:sz="4" w:space="0"/>
            </w:tcBorders>
            <w:shd w:val="clear" w:color="auto" w:fill="auto"/>
            <w:vAlign w:val="center"/>
          </w:tcPr>
          <w:p w14:paraId="4A266ACD">
            <w:pPr>
              <w:widowControl/>
              <w:jc w:val="center"/>
              <w:rPr>
                <w:rFonts w:ascii="宋体" w:hAnsi="宋体" w:eastAsia="宋体" w:cs="宋体"/>
                <w:sz w:val="22"/>
                <w:szCs w:val="22"/>
              </w:rPr>
            </w:pPr>
            <w:r>
              <w:rPr>
                <w:rFonts w:hint="eastAsia" w:ascii="宋体" w:hAnsi="宋体" w:eastAsia="宋体" w:cs="宋体"/>
                <w:sz w:val="22"/>
                <w:szCs w:val="22"/>
              </w:rPr>
              <w:t>部门预算项目设立是否按规定履行评估论证、申报程序</w:t>
            </w:r>
          </w:p>
        </w:tc>
        <w:tc>
          <w:tcPr>
            <w:tcW w:w="2032" w:type="pct"/>
            <w:tcBorders>
              <w:top w:val="nil"/>
              <w:left w:val="nil"/>
              <w:bottom w:val="single" w:color="auto" w:sz="4" w:space="0"/>
              <w:right w:val="single" w:color="auto" w:sz="4" w:space="0"/>
            </w:tcBorders>
            <w:shd w:val="clear" w:color="auto" w:fill="auto"/>
            <w:vAlign w:val="center"/>
          </w:tcPr>
          <w:p w14:paraId="5D1767D2">
            <w:pPr>
              <w:widowControl/>
              <w:jc w:val="center"/>
              <w:rPr>
                <w:rFonts w:ascii="宋体" w:hAnsi="宋体" w:eastAsia="宋体" w:cs="宋体"/>
                <w:sz w:val="22"/>
                <w:szCs w:val="22"/>
              </w:rPr>
            </w:pPr>
            <w:r>
              <w:rPr>
                <w:rFonts w:hint="eastAsia" w:ascii="宋体" w:hAnsi="宋体" w:eastAsia="宋体" w:cs="宋体"/>
                <w:sz w:val="22"/>
                <w:szCs w:val="22"/>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303" w:type="pct"/>
            <w:tcBorders>
              <w:top w:val="nil"/>
              <w:left w:val="nil"/>
              <w:bottom w:val="single" w:color="auto" w:sz="4" w:space="0"/>
              <w:right w:val="single" w:color="auto" w:sz="4" w:space="0"/>
            </w:tcBorders>
            <w:shd w:val="clear" w:color="auto" w:fill="auto"/>
            <w:noWrap/>
            <w:vAlign w:val="center"/>
          </w:tcPr>
          <w:p w14:paraId="69157439">
            <w:pPr>
              <w:widowControl/>
              <w:jc w:val="center"/>
              <w:rPr>
                <w:rFonts w:ascii="宋体" w:hAnsi="宋体" w:eastAsia="宋体" w:cs="宋体"/>
                <w:sz w:val="22"/>
                <w:szCs w:val="22"/>
              </w:rPr>
            </w:pPr>
            <w:r>
              <w:rPr>
                <w:rFonts w:hint="eastAsia" w:ascii="宋体" w:hAnsi="宋体" w:eastAsia="宋体" w:cs="宋体"/>
                <w:sz w:val="22"/>
                <w:szCs w:val="22"/>
              </w:rPr>
              <w:t>4</w:t>
            </w:r>
          </w:p>
        </w:tc>
        <w:tc>
          <w:tcPr>
            <w:tcW w:w="304" w:type="pct"/>
            <w:tcBorders>
              <w:top w:val="nil"/>
              <w:left w:val="nil"/>
              <w:bottom w:val="single" w:color="auto" w:sz="4" w:space="0"/>
              <w:right w:val="single" w:color="auto" w:sz="4" w:space="0"/>
            </w:tcBorders>
            <w:shd w:val="clear" w:color="auto" w:fill="auto"/>
            <w:noWrap/>
            <w:vAlign w:val="center"/>
          </w:tcPr>
          <w:p w14:paraId="6FB7B36D">
            <w:pPr>
              <w:widowControl/>
              <w:jc w:val="center"/>
              <w:rPr>
                <w:rFonts w:ascii="宋体" w:hAnsi="宋体" w:eastAsia="宋体" w:cs="宋体"/>
                <w:sz w:val="22"/>
                <w:szCs w:val="22"/>
              </w:rPr>
            </w:pPr>
            <w:r>
              <w:rPr>
                <w:rFonts w:hint="eastAsia" w:ascii="宋体" w:hAnsi="宋体" w:eastAsia="宋体" w:cs="宋体"/>
                <w:sz w:val="22"/>
                <w:szCs w:val="22"/>
              </w:rPr>
              <w:t>　</w:t>
            </w:r>
          </w:p>
        </w:tc>
      </w:tr>
      <w:tr w14:paraId="3AE28BC4">
        <w:tblPrEx>
          <w:tblCellMar>
            <w:top w:w="0" w:type="dxa"/>
            <w:left w:w="108" w:type="dxa"/>
            <w:bottom w:w="0" w:type="dxa"/>
            <w:right w:w="108" w:type="dxa"/>
          </w:tblCellMar>
        </w:tblPrEx>
        <w:trPr>
          <w:trHeight w:val="2085" w:hRule="atLeast"/>
        </w:trPr>
        <w:tc>
          <w:tcPr>
            <w:tcW w:w="404" w:type="pct"/>
            <w:vMerge w:val="continue"/>
            <w:tcBorders>
              <w:top w:val="nil"/>
              <w:left w:val="single" w:color="auto" w:sz="4" w:space="0"/>
              <w:bottom w:val="single" w:color="000000" w:sz="4" w:space="0"/>
              <w:right w:val="single" w:color="auto" w:sz="4" w:space="0"/>
            </w:tcBorders>
            <w:vAlign w:val="center"/>
          </w:tcPr>
          <w:p w14:paraId="7A9FE3B7">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7095FBDB">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40BA56C9">
            <w:pPr>
              <w:widowControl/>
              <w:jc w:val="center"/>
              <w:rPr>
                <w:rFonts w:ascii="宋体" w:hAnsi="宋体" w:eastAsia="宋体" w:cs="宋体"/>
                <w:sz w:val="22"/>
                <w:szCs w:val="22"/>
              </w:rPr>
            </w:pPr>
            <w:r>
              <w:rPr>
                <w:rFonts w:hint="eastAsia" w:ascii="宋体" w:hAnsi="宋体" w:eastAsia="宋体" w:cs="宋体"/>
                <w:sz w:val="22"/>
                <w:szCs w:val="22"/>
              </w:rPr>
              <w:t>目标设置</w:t>
            </w:r>
          </w:p>
        </w:tc>
        <w:tc>
          <w:tcPr>
            <w:tcW w:w="310" w:type="pct"/>
            <w:tcBorders>
              <w:top w:val="nil"/>
              <w:left w:val="nil"/>
              <w:bottom w:val="single" w:color="auto" w:sz="4" w:space="0"/>
              <w:right w:val="single" w:color="auto" w:sz="4" w:space="0"/>
            </w:tcBorders>
            <w:shd w:val="clear" w:color="auto" w:fill="auto"/>
            <w:noWrap/>
            <w:vAlign w:val="center"/>
          </w:tcPr>
          <w:p w14:paraId="7932BB0F">
            <w:pPr>
              <w:widowControl/>
              <w:jc w:val="center"/>
              <w:rPr>
                <w:rFonts w:ascii="宋体" w:hAnsi="宋体" w:eastAsia="宋体" w:cs="宋体"/>
                <w:sz w:val="22"/>
                <w:szCs w:val="22"/>
              </w:rPr>
            </w:pPr>
            <w:r>
              <w:rPr>
                <w:rFonts w:hint="eastAsia" w:ascii="宋体" w:hAnsi="宋体" w:eastAsia="宋体" w:cs="宋体"/>
                <w:sz w:val="22"/>
                <w:szCs w:val="22"/>
              </w:rPr>
              <w:t>4</w:t>
            </w:r>
          </w:p>
        </w:tc>
        <w:tc>
          <w:tcPr>
            <w:tcW w:w="718" w:type="pct"/>
            <w:tcBorders>
              <w:top w:val="nil"/>
              <w:left w:val="nil"/>
              <w:bottom w:val="single" w:color="auto" w:sz="4" w:space="0"/>
              <w:right w:val="single" w:color="auto" w:sz="4" w:space="0"/>
            </w:tcBorders>
            <w:shd w:val="clear" w:color="auto" w:fill="auto"/>
            <w:vAlign w:val="center"/>
          </w:tcPr>
          <w:p w14:paraId="4FE40635">
            <w:pPr>
              <w:widowControl/>
              <w:jc w:val="center"/>
              <w:rPr>
                <w:rFonts w:ascii="宋体" w:hAnsi="宋体" w:eastAsia="宋体" w:cs="宋体"/>
                <w:sz w:val="22"/>
                <w:szCs w:val="22"/>
              </w:rPr>
            </w:pPr>
            <w:r>
              <w:rPr>
                <w:rFonts w:hint="eastAsia" w:ascii="宋体" w:hAnsi="宋体" w:eastAsia="宋体" w:cs="宋体"/>
                <w:sz w:val="22"/>
                <w:szCs w:val="22"/>
              </w:rPr>
              <w:t>部门预算项目绩效目标与计划期内的任务量、预算安排的资金量匹配情况，绩效目标设置是否科学合理、规范完整、量化细化、预算匹配</w:t>
            </w:r>
          </w:p>
        </w:tc>
        <w:tc>
          <w:tcPr>
            <w:tcW w:w="2032" w:type="pct"/>
            <w:tcBorders>
              <w:top w:val="nil"/>
              <w:left w:val="nil"/>
              <w:bottom w:val="single" w:color="auto" w:sz="4" w:space="0"/>
              <w:right w:val="single" w:color="auto" w:sz="4" w:space="0"/>
            </w:tcBorders>
            <w:shd w:val="clear" w:color="auto" w:fill="auto"/>
            <w:vAlign w:val="center"/>
          </w:tcPr>
          <w:p w14:paraId="2F3D3C3A">
            <w:pPr>
              <w:widowControl/>
              <w:jc w:val="center"/>
              <w:rPr>
                <w:rFonts w:ascii="宋体" w:hAnsi="宋体" w:eastAsia="宋体" w:cs="宋体"/>
                <w:sz w:val="22"/>
                <w:szCs w:val="22"/>
              </w:rPr>
            </w:pPr>
            <w:r>
              <w:rPr>
                <w:rFonts w:hint="eastAsia" w:ascii="宋体" w:hAnsi="宋体" w:eastAsia="宋体" w:cs="宋体"/>
                <w:sz w:val="22"/>
                <w:szCs w:val="22"/>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303" w:type="pct"/>
            <w:tcBorders>
              <w:top w:val="nil"/>
              <w:left w:val="nil"/>
              <w:bottom w:val="single" w:color="auto" w:sz="4" w:space="0"/>
              <w:right w:val="single" w:color="auto" w:sz="4" w:space="0"/>
            </w:tcBorders>
            <w:shd w:val="clear" w:color="auto" w:fill="auto"/>
            <w:noWrap/>
            <w:vAlign w:val="center"/>
          </w:tcPr>
          <w:p w14:paraId="4D8F3154">
            <w:pPr>
              <w:widowControl/>
              <w:jc w:val="center"/>
              <w:rPr>
                <w:rFonts w:ascii="宋体" w:hAnsi="宋体" w:eastAsia="宋体" w:cs="宋体"/>
                <w:sz w:val="22"/>
                <w:szCs w:val="22"/>
              </w:rPr>
            </w:pPr>
            <w:r>
              <w:rPr>
                <w:rFonts w:hint="eastAsia" w:ascii="宋体" w:hAnsi="宋体" w:eastAsia="宋体" w:cs="宋体"/>
                <w:sz w:val="22"/>
                <w:szCs w:val="22"/>
              </w:rPr>
              <w:t>4</w:t>
            </w:r>
          </w:p>
        </w:tc>
        <w:tc>
          <w:tcPr>
            <w:tcW w:w="304" w:type="pct"/>
            <w:tcBorders>
              <w:top w:val="nil"/>
              <w:left w:val="nil"/>
              <w:bottom w:val="single" w:color="auto" w:sz="4" w:space="0"/>
              <w:right w:val="single" w:color="auto" w:sz="4" w:space="0"/>
            </w:tcBorders>
            <w:shd w:val="clear" w:color="auto" w:fill="auto"/>
            <w:noWrap/>
            <w:vAlign w:val="center"/>
          </w:tcPr>
          <w:p w14:paraId="08F4CD17">
            <w:pPr>
              <w:widowControl/>
              <w:jc w:val="center"/>
              <w:rPr>
                <w:rFonts w:ascii="宋体" w:hAnsi="宋体" w:eastAsia="宋体" w:cs="宋体"/>
                <w:sz w:val="22"/>
                <w:szCs w:val="22"/>
              </w:rPr>
            </w:pPr>
            <w:r>
              <w:rPr>
                <w:rFonts w:hint="eastAsia" w:ascii="宋体" w:hAnsi="宋体" w:eastAsia="宋体" w:cs="宋体"/>
                <w:sz w:val="22"/>
                <w:szCs w:val="22"/>
              </w:rPr>
              <w:t>　</w:t>
            </w:r>
          </w:p>
        </w:tc>
      </w:tr>
      <w:tr w14:paraId="47D142BB">
        <w:tblPrEx>
          <w:tblCellMar>
            <w:top w:w="0" w:type="dxa"/>
            <w:left w:w="108" w:type="dxa"/>
            <w:bottom w:w="0" w:type="dxa"/>
            <w:right w:w="108" w:type="dxa"/>
          </w:tblCellMar>
        </w:tblPrEx>
        <w:trPr>
          <w:trHeight w:val="1260" w:hRule="atLeast"/>
        </w:trPr>
        <w:tc>
          <w:tcPr>
            <w:tcW w:w="404" w:type="pct"/>
            <w:vMerge w:val="continue"/>
            <w:tcBorders>
              <w:top w:val="nil"/>
              <w:left w:val="single" w:color="auto" w:sz="4" w:space="0"/>
              <w:bottom w:val="single" w:color="000000" w:sz="4" w:space="0"/>
              <w:right w:val="single" w:color="auto" w:sz="4" w:space="0"/>
            </w:tcBorders>
            <w:vAlign w:val="center"/>
          </w:tcPr>
          <w:p w14:paraId="46CB3092">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009D5BE4">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13CB633E">
            <w:pPr>
              <w:widowControl/>
              <w:jc w:val="center"/>
              <w:rPr>
                <w:rFonts w:ascii="宋体" w:hAnsi="宋体" w:eastAsia="宋体" w:cs="宋体"/>
                <w:sz w:val="22"/>
                <w:szCs w:val="22"/>
              </w:rPr>
            </w:pPr>
            <w:r>
              <w:rPr>
                <w:rFonts w:hint="eastAsia" w:ascii="宋体" w:hAnsi="宋体" w:eastAsia="宋体" w:cs="宋体"/>
                <w:sz w:val="22"/>
                <w:szCs w:val="22"/>
              </w:rPr>
              <w:t>项目入库</w:t>
            </w:r>
          </w:p>
        </w:tc>
        <w:tc>
          <w:tcPr>
            <w:tcW w:w="310" w:type="pct"/>
            <w:tcBorders>
              <w:top w:val="nil"/>
              <w:left w:val="nil"/>
              <w:bottom w:val="single" w:color="auto" w:sz="4" w:space="0"/>
              <w:right w:val="single" w:color="auto" w:sz="4" w:space="0"/>
            </w:tcBorders>
            <w:shd w:val="clear" w:color="auto" w:fill="auto"/>
            <w:noWrap/>
            <w:vAlign w:val="center"/>
          </w:tcPr>
          <w:p w14:paraId="485307A6">
            <w:pPr>
              <w:widowControl/>
              <w:jc w:val="center"/>
              <w:rPr>
                <w:rFonts w:ascii="宋体" w:hAnsi="宋体" w:eastAsia="宋体" w:cs="宋体"/>
                <w:sz w:val="22"/>
                <w:szCs w:val="22"/>
              </w:rPr>
            </w:pPr>
            <w:r>
              <w:rPr>
                <w:rFonts w:hint="eastAsia" w:ascii="宋体" w:hAnsi="宋体" w:eastAsia="宋体" w:cs="宋体"/>
                <w:sz w:val="22"/>
                <w:szCs w:val="22"/>
              </w:rPr>
              <w:t>4</w:t>
            </w:r>
          </w:p>
        </w:tc>
        <w:tc>
          <w:tcPr>
            <w:tcW w:w="718" w:type="pct"/>
            <w:tcBorders>
              <w:top w:val="nil"/>
              <w:left w:val="nil"/>
              <w:bottom w:val="single" w:color="auto" w:sz="4" w:space="0"/>
              <w:right w:val="single" w:color="auto" w:sz="4" w:space="0"/>
            </w:tcBorders>
            <w:shd w:val="clear" w:color="auto" w:fill="auto"/>
            <w:vAlign w:val="center"/>
          </w:tcPr>
          <w:p w14:paraId="3A7380C6">
            <w:pPr>
              <w:widowControl/>
              <w:jc w:val="center"/>
              <w:rPr>
                <w:rFonts w:ascii="宋体" w:hAnsi="宋体" w:eastAsia="宋体" w:cs="宋体"/>
                <w:sz w:val="22"/>
                <w:szCs w:val="22"/>
              </w:rPr>
            </w:pPr>
            <w:r>
              <w:rPr>
                <w:rFonts w:hint="eastAsia" w:ascii="宋体" w:hAnsi="宋体" w:eastAsia="宋体" w:cs="宋体"/>
                <w:sz w:val="22"/>
                <w:szCs w:val="22"/>
              </w:rPr>
              <w:t>部门预算项目是否在规定时间完成项目入库</w:t>
            </w:r>
          </w:p>
        </w:tc>
        <w:tc>
          <w:tcPr>
            <w:tcW w:w="2032" w:type="pct"/>
            <w:tcBorders>
              <w:top w:val="nil"/>
              <w:left w:val="nil"/>
              <w:bottom w:val="single" w:color="auto" w:sz="4" w:space="0"/>
              <w:right w:val="single" w:color="auto" w:sz="4" w:space="0"/>
            </w:tcBorders>
            <w:shd w:val="clear" w:color="auto" w:fill="auto"/>
            <w:vAlign w:val="center"/>
          </w:tcPr>
          <w:p w14:paraId="188AFE5E">
            <w:pPr>
              <w:widowControl/>
              <w:jc w:val="center"/>
              <w:rPr>
                <w:rFonts w:ascii="宋体" w:hAnsi="宋体" w:eastAsia="宋体" w:cs="宋体"/>
                <w:sz w:val="22"/>
                <w:szCs w:val="22"/>
              </w:rPr>
            </w:pPr>
            <w:r>
              <w:rPr>
                <w:rFonts w:hint="eastAsia" w:ascii="宋体" w:hAnsi="宋体" w:eastAsia="宋体" w:cs="宋体"/>
                <w:sz w:val="22"/>
                <w:szCs w:val="22"/>
              </w:rPr>
              <w:t>该项指标得分=4-规定时间未入财政库部门预算阶段项目（含一次性项目）数量÷最终安排部门预算阶段项目（含一次性项目）总数×100%×4。（默认满分）</w:t>
            </w:r>
          </w:p>
        </w:tc>
        <w:tc>
          <w:tcPr>
            <w:tcW w:w="303" w:type="pct"/>
            <w:tcBorders>
              <w:top w:val="nil"/>
              <w:left w:val="nil"/>
              <w:bottom w:val="single" w:color="auto" w:sz="4" w:space="0"/>
              <w:right w:val="single" w:color="auto" w:sz="4" w:space="0"/>
            </w:tcBorders>
            <w:shd w:val="clear" w:color="auto" w:fill="auto"/>
            <w:noWrap/>
            <w:vAlign w:val="center"/>
          </w:tcPr>
          <w:p w14:paraId="001B4D7A">
            <w:pPr>
              <w:widowControl/>
              <w:jc w:val="center"/>
              <w:rPr>
                <w:rFonts w:ascii="宋体" w:hAnsi="宋体" w:eastAsia="宋体" w:cs="宋体"/>
                <w:sz w:val="22"/>
                <w:szCs w:val="22"/>
              </w:rPr>
            </w:pPr>
            <w:r>
              <w:rPr>
                <w:rFonts w:hint="eastAsia" w:ascii="宋体" w:hAnsi="宋体" w:eastAsia="宋体" w:cs="宋体"/>
                <w:sz w:val="22"/>
                <w:szCs w:val="22"/>
              </w:rPr>
              <w:t>4</w:t>
            </w:r>
          </w:p>
        </w:tc>
        <w:tc>
          <w:tcPr>
            <w:tcW w:w="304" w:type="pct"/>
            <w:tcBorders>
              <w:top w:val="nil"/>
              <w:left w:val="nil"/>
              <w:bottom w:val="single" w:color="auto" w:sz="4" w:space="0"/>
              <w:right w:val="single" w:color="auto" w:sz="4" w:space="0"/>
            </w:tcBorders>
            <w:shd w:val="clear" w:color="auto" w:fill="auto"/>
            <w:noWrap/>
            <w:vAlign w:val="center"/>
          </w:tcPr>
          <w:p w14:paraId="05FFBF84">
            <w:pPr>
              <w:widowControl/>
              <w:jc w:val="center"/>
              <w:rPr>
                <w:rFonts w:ascii="宋体" w:hAnsi="宋体" w:eastAsia="宋体" w:cs="宋体"/>
                <w:sz w:val="22"/>
                <w:szCs w:val="22"/>
              </w:rPr>
            </w:pPr>
            <w:r>
              <w:rPr>
                <w:rFonts w:hint="eastAsia" w:ascii="宋体" w:hAnsi="宋体" w:eastAsia="宋体" w:cs="宋体"/>
                <w:sz w:val="22"/>
                <w:szCs w:val="22"/>
              </w:rPr>
              <w:t>　</w:t>
            </w:r>
          </w:p>
        </w:tc>
      </w:tr>
      <w:tr w14:paraId="65A780E3">
        <w:tblPrEx>
          <w:tblCellMar>
            <w:top w:w="0" w:type="dxa"/>
            <w:left w:w="108" w:type="dxa"/>
            <w:bottom w:w="0" w:type="dxa"/>
            <w:right w:w="108" w:type="dxa"/>
          </w:tblCellMar>
        </w:tblPrEx>
        <w:trPr>
          <w:trHeight w:val="1335" w:hRule="atLeast"/>
        </w:trPr>
        <w:tc>
          <w:tcPr>
            <w:tcW w:w="404" w:type="pct"/>
            <w:vMerge w:val="continue"/>
            <w:tcBorders>
              <w:top w:val="nil"/>
              <w:left w:val="single" w:color="auto" w:sz="4" w:space="0"/>
              <w:bottom w:val="single" w:color="000000" w:sz="4" w:space="0"/>
              <w:right w:val="single" w:color="auto" w:sz="4" w:space="0"/>
            </w:tcBorders>
            <w:vAlign w:val="center"/>
          </w:tcPr>
          <w:p w14:paraId="667D1BC1">
            <w:pPr>
              <w:widowControl/>
              <w:jc w:val="left"/>
              <w:rPr>
                <w:rFonts w:ascii="宋体" w:hAnsi="宋体" w:eastAsia="宋体" w:cs="宋体"/>
                <w:b/>
                <w:bCs/>
                <w:sz w:val="22"/>
                <w:szCs w:val="22"/>
              </w:rPr>
            </w:pPr>
          </w:p>
        </w:tc>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DD83D">
            <w:pPr>
              <w:widowControl/>
              <w:jc w:val="center"/>
              <w:rPr>
                <w:rFonts w:ascii="宋体" w:hAnsi="宋体" w:eastAsia="宋体" w:cs="宋体"/>
                <w:sz w:val="22"/>
                <w:szCs w:val="22"/>
              </w:rPr>
            </w:pPr>
            <w:r>
              <w:rPr>
                <w:rFonts w:hint="eastAsia" w:ascii="宋体" w:hAnsi="宋体" w:eastAsia="宋体" w:cs="宋体"/>
                <w:sz w:val="22"/>
                <w:szCs w:val="22"/>
              </w:rPr>
              <w:t>项目执行</w:t>
            </w:r>
            <w:r>
              <w:rPr>
                <w:rFonts w:hint="eastAsia" w:ascii="宋体" w:hAnsi="宋体" w:eastAsia="宋体" w:cs="宋体"/>
                <w:sz w:val="22"/>
                <w:szCs w:val="22"/>
              </w:rPr>
              <w:br w:type="textWrapping"/>
            </w:r>
            <w:r>
              <w:rPr>
                <w:rFonts w:hint="eastAsia" w:ascii="宋体" w:hAnsi="宋体" w:eastAsia="宋体" w:cs="宋体"/>
                <w:sz w:val="22"/>
                <w:szCs w:val="22"/>
              </w:rPr>
              <w:t>（15分）</w:t>
            </w:r>
          </w:p>
        </w:tc>
        <w:tc>
          <w:tcPr>
            <w:tcW w:w="520" w:type="pct"/>
            <w:tcBorders>
              <w:top w:val="nil"/>
              <w:left w:val="nil"/>
              <w:bottom w:val="single" w:color="auto" w:sz="4" w:space="0"/>
              <w:right w:val="single" w:color="auto" w:sz="4" w:space="0"/>
            </w:tcBorders>
            <w:shd w:val="clear" w:color="auto" w:fill="auto"/>
            <w:noWrap/>
            <w:vAlign w:val="center"/>
          </w:tcPr>
          <w:p w14:paraId="7F30FF77">
            <w:pPr>
              <w:widowControl/>
              <w:jc w:val="center"/>
              <w:rPr>
                <w:rFonts w:ascii="宋体" w:hAnsi="宋体" w:eastAsia="宋体" w:cs="宋体"/>
                <w:sz w:val="22"/>
                <w:szCs w:val="22"/>
              </w:rPr>
            </w:pPr>
            <w:r>
              <w:rPr>
                <w:rFonts w:hint="eastAsia" w:ascii="宋体" w:hAnsi="宋体" w:eastAsia="宋体" w:cs="宋体"/>
                <w:sz w:val="22"/>
                <w:szCs w:val="22"/>
              </w:rPr>
              <w:t>执行同向</w:t>
            </w:r>
          </w:p>
        </w:tc>
        <w:tc>
          <w:tcPr>
            <w:tcW w:w="310" w:type="pct"/>
            <w:tcBorders>
              <w:top w:val="nil"/>
              <w:left w:val="nil"/>
              <w:bottom w:val="single" w:color="auto" w:sz="4" w:space="0"/>
              <w:right w:val="single" w:color="auto" w:sz="4" w:space="0"/>
            </w:tcBorders>
            <w:shd w:val="clear" w:color="auto" w:fill="auto"/>
            <w:noWrap/>
            <w:vAlign w:val="center"/>
          </w:tcPr>
          <w:p w14:paraId="3083539F">
            <w:pPr>
              <w:widowControl/>
              <w:jc w:val="center"/>
              <w:rPr>
                <w:rFonts w:ascii="宋体" w:hAnsi="宋体" w:eastAsia="宋体" w:cs="宋体"/>
                <w:sz w:val="22"/>
                <w:szCs w:val="22"/>
              </w:rPr>
            </w:pPr>
            <w:r>
              <w:rPr>
                <w:rFonts w:hint="eastAsia" w:ascii="宋体" w:hAnsi="宋体" w:eastAsia="宋体" w:cs="宋体"/>
                <w:sz w:val="22"/>
                <w:szCs w:val="22"/>
              </w:rPr>
              <w:t>5</w:t>
            </w:r>
          </w:p>
        </w:tc>
        <w:tc>
          <w:tcPr>
            <w:tcW w:w="718" w:type="pct"/>
            <w:tcBorders>
              <w:top w:val="nil"/>
              <w:left w:val="nil"/>
              <w:bottom w:val="single" w:color="auto" w:sz="4" w:space="0"/>
              <w:right w:val="single" w:color="auto" w:sz="4" w:space="0"/>
            </w:tcBorders>
            <w:shd w:val="clear" w:color="auto" w:fill="auto"/>
            <w:vAlign w:val="center"/>
          </w:tcPr>
          <w:p w14:paraId="6E045E53">
            <w:pPr>
              <w:widowControl/>
              <w:jc w:val="center"/>
              <w:rPr>
                <w:rFonts w:ascii="宋体" w:hAnsi="宋体" w:eastAsia="宋体" w:cs="宋体"/>
                <w:sz w:val="22"/>
                <w:szCs w:val="22"/>
              </w:rPr>
            </w:pPr>
            <w:r>
              <w:rPr>
                <w:rFonts w:hint="eastAsia" w:ascii="宋体" w:hAnsi="宋体" w:eastAsia="宋体" w:cs="宋体"/>
                <w:sz w:val="22"/>
                <w:szCs w:val="22"/>
              </w:rPr>
              <w:t>部门预算项目实际列支内容是否与绩效目标设置方向相符</w:t>
            </w:r>
          </w:p>
        </w:tc>
        <w:tc>
          <w:tcPr>
            <w:tcW w:w="2032" w:type="pct"/>
            <w:tcBorders>
              <w:top w:val="nil"/>
              <w:left w:val="nil"/>
              <w:bottom w:val="single" w:color="auto" w:sz="4" w:space="0"/>
              <w:right w:val="single" w:color="auto" w:sz="4" w:space="0"/>
            </w:tcBorders>
            <w:shd w:val="clear" w:color="auto" w:fill="auto"/>
            <w:vAlign w:val="center"/>
          </w:tcPr>
          <w:p w14:paraId="5E7AC122">
            <w:pPr>
              <w:widowControl/>
              <w:jc w:val="center"/>
              <w:rPr>
                <w:rFonts w:ascii="宋体" w:hAnsi="宋体" w:eastAsia="宋体" w:cs="宋体"/>
                <w:sz w:val="22"/>
                <w:szCs w:val="22"/>
              </w:rPr>
            </w:pPr>
            <w:r>
              <w:rPr>
                <w:rFonts w:hint="eastAsia" w:ascii="宋体" w:hAnsi="宋体" w:eastAsia="宋体" w:cs="宋体"/>
                <w:sz w:val="22"/>
                <w:szCs w:val="22"/>
              </w:rPr>
              <w:t>该项指标得分=4-实际列支内容与绩效目标设置方向不相符的部门预算阶段项目（含一次性项目）数量÷部门预算阶段项目（含一次性项目）总数×100%×5。</w:t>
            </w:r>
          </w:p>
        </w:tc>
        <w:tc>
          <w:tcPr>
            <w:tcW w:w="303" w:type="pct"/>
            <w:tcBorders>
              <w:top w:val="nil"/>
              <w:left w:val="nil"/>
              <w:bottom w:val="single" w:color="auto" w:sz="4" w:space="0"/>
              <w:right w:val="single" w:color="auto" w:sz="4" w:space="0"/>
            </w:tcBorders>
            <w:shd w:val="clear" w:color="auto" w:fill="auto"/>
            <w:noWrap/>
            <w:vAlign w:val="center"/>
          </w:tcPr>
          <w:p w14:paraId="49D00CA4">
            <w:pPr>
              <w:widowControl/>
              <w:jc w:val="center"/>
              <w:rPr>
                <w:rFonts w:ascii="宋体" w:hAnsi="宋体" w:eastAsia="宋体" w:cs="宋体"/>
                <w:sz w:val="22"/>
                <w:szCs w:val="22"/>
              </w:rPr>
            </w:pPr>
            <w:r>
              <w:rPr>
                <w:rFonts w:hint="eastAsia" w:ascii="宋体" w:hAnsi="宋体" w:eastAsia="宋体" w:cs="宋体"/>
                <w:sz w:val="22"/>
                <w:szCs w:val="22"/>
              </w:rPr>
              <w:t>5</w:t>
            </w:r>
          </w:p>
        </w:tc>
        <w:tc>
          <w:tcPr>
            <w:tcW w:w="304" w:type="pct"/>
            <w:tcBorders>
              <w:top w:val="nil"/>
              <w:left w:val="nil"/>
              <w:bottom w:val="single" w:color="auto" w:sz="4" w:space="0"/>
              <w:right w:val="single" w:color="auto" w:sz="4" w:space="0"/>
            </w:tcBorders>
            <w:shd w:val="clear" w:color="auto" w:fill="auto"/>
            <w:noWrap/>
            <w:vAlign w:val="center"/>
          </w:tcPr>
          <w:p w14:paraId="2C7D9D35">
            <w:pPr>
              <w:widowControl/>
              <w:jc w:val="center"/>
              <w:rPr>
                <w:rFonts w:ascii="宋体" w:hAnsi="宋体" w:eastAsia="宋体" w:cs="宋体"/>
                <w:sz w:val="22"/>
                <w:szCs w:val="22"/>
              </w:rPr>
            </w:pPr>
            <w:r>
              <w:rPr>
                <w:rFonts w:hint="eastAsia" w:ascii="宋体" w:hAnsi="宋体" w:eastAsia="宋体" w:cs="宋体"/>
                <w:sz w:val="22"/>
                <w:szCs w:val="22"/>
              </w:rPr>
              <w:t>　</w:t>
            </w:r>
          </w:p>
        </w:tc>
      </w:tr>
      <w:tr w14:paraId="1DE6E81D">
        <w:tblPrEx>
          <w:tblCellMar>
            <w:top w:w="0" w:type="dxa"/>
            <w:left w:w="108" w:type="dxa"/>
            <w:bottom w:w="0" w:type="dxa"/>
            <w:right w:w="108" w:type="dxa"/>
          </w:tblCellMar>
        </w:tblPrEx>
        <w:trPr>
          <w:trHeight w:val="1590" w:hRule="atLeast"/>
        </w:trPr>
        <w:tc>
          <w:tcPr>
            <w:tcW w:w="404" w:type="pct"/>
            <w:vMerge w:val="continue"/>
            <w:tcBorders>
              <w:top w:val="nil"/>
              <w:left w:val="single" w:color="auto" w:sz="4" w:space="0"/>
              <w:bottom w:val="single" w:color="000000" w:sz="4" w:space="0"/>
              <w:right w:val="single" w:color="auto" w:sz="4" w:space="0"/>
            </w:tcBorders>
            <w:vAlign w:val="center"/>
          </w:tcPr>
          <w:p w14:paraId="27CE4900">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06301970">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6AFD671A">
            <w:pPr>
              <w:widowControl/>
              <w:jc w:val="center"/>
              <w:rPr>
                <w:rFonts w:ascii="宋体" w:hAnsi="宋体" w:eastAsia="宋体" w:cs="宋体"/>
                <w:sz w:val="22"/>
                <w:szCs w:val="22"/>
              </w:rPr>
            </w:pPr>
            <w:r>
              <w:rPr>
                <w:rFonts w:hint="eastAsia" w:ascii="宋体" w:hAnsi="宋体" w:eastAsia="宋体" w:cs="宋体"/>
                <w:sz w:val="22"/>
                <w:szCs w:val="22"/>
              </w:rPr>
              <w:t>项目调整</w:t>
            </w:r>
          </w:p>
        </w:tc>
        <w:tc>
          <w:tcPr>
            <w:tcW w:w="310" w:type="pct"/>
            <w:tcBorders>
              <w:top w:val="nil"/>
              <w:left w:val="nil"/>
              <w:bottom w:val="single" w:color="auto" w:sz="4" w:space="0"/>
              <w:right w:val="single" w:color="auto" w:sz="4" w:space="0"/>
            </w:tcBorders>
            <w:shd w:val="clear" w:color="auto" w:fill="auto"/>
            <w:noWrap/>
            <w:vAlign w:val="center"/>
          </w:tcPr>
          <w:p w14:paraId="446585CD">
            <w:pPr>
              <w:widowControl/>
              <w:jc w:val="center"/>
              <w:rPr>
                <w:rFonts w:ascii="宋体" w:hAnsi="宋体" w:eastAsia="宋体" w:cs="宋体"/>
                <w:sz w:val="22"/>
                <w:szCs w:val="22"/>
              </w:rPr>
            </w:pPr>
            <w:r>
              <w:rPr>
                <w:rFonts w:hint="eastAsia" w:ascii="宋体" w:hAnsi="宋体" w:eastAsia="宋体" w:cs="宋体"/>
                <w:sz w:val="22"/>
                <w:szCs w:val="22"/>
              </w:rPr>
              <w:t>6</w:t>
            </w:r>
          </w:p>
        </w:tc>
        <w:tc>
          <w:tcPr>
            <w:tcW w:w="718" w:type="pct"/>
            <w:tcBorders>
              <w:top w:val="nil"/>
              <w:left w:val="nil"/>
              <w:bottom w:val="single" w:color="auto" w:sz="4" w:space="0"/>
              <w:right w:val="single" w:color="auto" w:sz="4" w:space="0"/>
            </w:tcBorders>
            <w:shd w:val="clear" w:color="auto" w:fill="auto"/>
            <w:vAlign w:val="center"/>
          </w:tcPr>
          <w:p w14:paraId="4386BB98">
            <w:pPr>
              <w:widowControl/>
              <w:jc w:val="center"/>
              <w:rPr>
                <w:rFonts w:ascii="宋体" w:hAnsi="宋体" w:eastAsia="宋体" w:cs="宋体"/>
                <w:sz w:val="22"/>
                <w:szCs w:val="22"/>
              </w:rPr>
            </w:pPr>
            <w:r>
              <w:rPr>
                <w:rFonts w:hint="eastAsia" w:ascii="宋体" w:hAnsi="宋体" w:eastAsia="宋体" w:cs="宋体"/>
                <w:sz w:val="22"/>
                <w:szCs w:val="22"/>
              </w:rPr>
              <w:t>部门预算项目是否采取对应调整措施</w:t>
            </w:r>
          </w:p>
        </w:tc>
        <w:tc>
          <w:tcPr>
            <w:tcW w:w="2032" w:type="pct"/>
            <w:tcBorders>
              <w:top w:val="nil"/>
              <w:left w:val="nil"/>
              <w:bottom w:val="single" w:color="auto" w:sz="4" w:space="0"/>
              <w:right w:val="single" w:color="auto" w:sz="4" w:space="0"/>
            </w:tcBorders>
            <w:shd w:val="clear" w:color="auto" w:fill="auto"/>
            <w:vAlign w:val="center"/>
          </w:tcPr>
          <w:p w14:paraId="3E64B9DF">
            <w:pPr>
              <w:widowControl/>
              <w:jc w:val="center"/>
              <w:rPr>
                <w:rFonts w:ascii="宋体" w:hAnsi="宋体" w:eastAsia="宋体" w:cs="宋体"/>
                <w:sz w:val="22"/>
                <w:szCs w:val="22"/>
              </w:rPr>
            </w:pPr>
            <w:r>
              <w:rPr>
                <w:rFonts w:hint="eastAsia" w:ascii="宋体" w:hAnsi="宋体" w:eastAsia="宋体" w:cs="宋体"/>
                <w:sz w:val="22"/>
                <w:szCs w:val="22"/>
              </w:rPr>
              <w:t>该项指标得分=4-应采取未采取收回预算、调整目标等处置措施的部门预算阶段项目（含一次性项目）数量÷应采取收回预算、调整目标等处置措施的部门预算阶段项目（含一次性项目）总数×100%×6。</w:t>
            </w:r>
          </w:p>
        </w:tc>
        <w:tc>
          <w:tcPr>
            <w:tcW w:w="303" w:type="pct"/>
            <w:tcBorders>
              <w:top w:val="nil"/>
              <w:left w:val="nil"/>
              <w:bottom w:val="single" w:color="auto" w:sz="4" w:space="0"/>
              <w:right w:val="single" w:color="auto" w:sz="4" w:space="0"/>
            </w:tcBorders>
            <w:shd w:val="clear" w:color="auto" w:fill="auto"/>
            <w:noWrap/>
            <w:vAlign w:val="center"/>
          </w:tcPr>
          <w:p w14:paraId="652D00E0">
            <w:pPr>
              <w:widowControl/>
              <w:jc w:val="center"/>
              <w:rPr>
                <w:rFonts w:ascii="宋体" w:hAnsi="宋体" w:eastAsia="宋体" w:cs="宋体"/>
                <w:sz w:val="22"/>
                <w:szCs w:val="22"/>
              </w:rPr>
            </w:pPr>
            <w:r>
              <w:rPr>
                <w:rFonts w:hint="eastAsia" w:ascii="宋体" w:hAnsi="宋体" w:eastAsia="宋体" w:cs="宋体"/>
                <w:sz w:val="22"/>
                <w:szCs w:val="22"/>
              </w:rPr>
              <w:t>6</w:t>
            </w:r>
          </w:p>
        </w:tc>
        <w:tc>
          <w:tcPr>
            <w:tcW w:w="304" w:type="pct"/>
            <w:tcBorders>
              <w:top w:val="nil"/>
              <w:left w:val="nil"/>
              <w:bottom w:val="single" w:color="auto" w:sz="4" w:space="0"/>
              <w:right w:val="single" w:color="auto" w:sz="4" w:space="0"/>
            </w:tcBorders>
            <w:shd w:val="clear" w:color="auto" w:fill="auto"/>
            <w:noWrap/>
            <w:vAlign w:val="center"/>
          </w:tcPr>
          <w:p w14:paraId="0C313668">
            <w:pPr>
              <w:widowControl/>
              <w:jc w:val="center"/>
              <w:rPr>
                <w:rFonts w:ascii="宋体" w:hAnsi="宋体" w:eastAsia="宋体" w:cs="宋体"/>
                <w:sz w:val="22"/>
                <w:szCs w:val="22"/>
              </w:rPr>
            </w:pPr>
            <w:r>
              <w:rPr>
                <w:rFonts w:hint="eastAsia" w:ascii="宋体" w:hAnsi="宋体" w:eastAsia="宋体" w:cs="宋体"/>
                <w:sz w:val="22"/>
                <w:szCs w:val="22"/>
              </w:rPr>
              <w:t>　</w:t>
            </w:r>
          </w:p>
        </w:tc>
      </w:tr>
      <w:tr w14:paraId="2E1ABEA3">
        <w:tblPrEx>
          <w:tblCellMar>
            <w:top w:w="0" w:type="dxa"/>
            <w:left w:w="108" w:type="dxa"/>
            <w:bottom w:w="0" w:type="dxa"/>
            <w:right w:w="108" w:type="dxa"/>
          </w:tblCellMar>
        </w:tblPrEx>
        <w:trPr>
          <w:trHeight w:val="1500" w:hRule="atLeast"/>
        </w:trPr>
        <w:tc>
          <w:tcPr>
            <w:tcW w:w="404" w:type="pct"/>
            <w:vMerge w:val="continue"/>
            <w:tcBorders>
              <w:top w:val="nil"/>
              <w:left w:val="single" w:color="auto" w:sz="4" w:space="0"/>
              <w:bottom w:val="single" w:color="000000" w:sz="4" w:space="0"/>
              <w:right w:val="single" w:color="auto" w:sz="4" w:space="0"/>
            </w:tcBorders>
            <w:vAlign w:val="center"/>
          </w:tcPr>
          <w:p w14:paraId="581599A8">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64B0EE34">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56620726">
            <w:pPr>
              <w:widowControl/>
              <w:jc w:val="center"/>
              <w:rPr>
                <w:rFonts w:ascii="宋体" w:hAnsi="宋体" w:eastAsia="宋体" w:cs="宋体"/>
                <w:sz w:val="22"/>
                <w:szCs w:val="22"/>
              </w:rPr>
            </w:pPr>
            <w:r>
              <w:rPr>
                <w:rFonts w:hint="eastAsia" w:ascii="宋体" w:hAnsi="宋体" w:eastAsia="宋体" w:cs="宋体"/>
                <w:sz w:val="22"/>
                <w:szCs w:val="22"/>
              </w:rPr>
              <w:t>执行结果</w:t>
            </w:r>
          </w:p>
        </w:tc>
        <w:tc>
          <w:tcPr>
            <w:tcW w:w="310" w:type="pct"/>
            <w:tcBorders>
              <w:top w:val="nil"/>
              <w:left w:val="nil"/>
              <w:bottom w:val="single" w:color="auto" w:sz="4" w:space="0"/>
              <w:right w:val="single" w:color="auto" w:sz="4" w:space="0"/>
            </w:tcBorders>
            <w:shd w:val="clear" w:color="auto" w:fill="auto"/>
            <w:noWrap/>
            <w:vAlign w:val="center"/>
          </w:tcPr>
          <w:p w14:paraId="7DF9F7A3">
            <w:pPr>
              <w:widowControl/>
              <w:jc w:val="center"/>
              <w:rPr>
                <w:rFonts w:ascii="宋体" w:hAnsi="宋体" w:eastAsia="宋体" w:cs="宋体"/>
                <w:sz w:val="22"/>
                <w:szCs w:val="22"/>
              </w:rPr>
            </w:pPr>
            <w:r>
              <w:rPr>
                <w:rFonts w:hint="eastAsia" w:ascii="宋体" w:hAnsi="宋体" w:eastAsia="宋体" w:cs="宋体"/>
                <w:sz w:val="22"/>
                <w:szCs w:val="22"/>
              </w:rPr>
              <w:t>4</w:t>
            </w:r>
          </w:p>
        </w:tc>
        <w:tc>
          <w:tcPr>
            <w:tcW w:w="718" w:type="pct"/>
            <w:tcBorders>
              <w:top w:val="nil"/>
              <w:left w:val="nil"/>
              <w:bottom w:val="single" w:color="auto" w:sz="4" w:space="0"/>
              <w:right w:val="single" w:color="auto" w:sz="4" w:space="0"/>
            </w:tcBorders>
            <w:shd w:val="clear" w:color="auto" w:fill="auto"/>
            <w:vAlign w:val="center"/>
          </w:tcPr>
          <w:p w14:paraId="1C0AC418">
            <w:pPr>
              <w:widowControl/>
              <w:jc w:val="center"/>
              <w:rPr>
                <w:rFonts w:ascii="宋体" w:hAnsi="宋体" w:eastAsia="宋体" w:cs="宋体"/>
                <w:sz w:val="22"/>
                <w:szCs w:val="22"/>
              </w:rPr>
            </w:pPr>
            <w:r>
              <w:rPr>
                <w:rFonts w:hint="eastAsia" w:ascii="宋体" w:hAnsi="宋体" w:eastAsia="宋体" w:cs="宋体"/>
                <w:sz w:val="22"/>
                <w:szCs w:val="22"/>
              </w:rPr>
              <w:t>部门预算项目预算执行情况</w:t>
            </w:r>
          </w:p>
        </w:tc>
        <w:tc>
          <w:tcPr>
            <w:tcW w:w="2032" w:type="pct"/>
            <w:tcBorders>
              <w:top w:val="nil"/>
              <w:left w:val="nil"/>
              <w:bottom w:val="single" w:color="auto" w:sz="4" w:space="0"/>
              <w:right w:val="single" w:color="auto" w:sz="4" w:space="0"/>
            </w:tcBorders>
            <w:shd w:val="clear" w:color="auto" w:fill="auto"/>
            <w:vAlign w:val="center"/>
          </w:tcPr>
          <w:p w14:paraId="4791E271">
            <w:pPr>
              <w:widowControl/>
              <w:jc w:val="center"/>
              <w:rPr>
                <w:rFonts w:ascii="宋体" w:hAnsi="宋体" w:eastAsia="宋体" w:cs="宋体"/>
                <w:sz w:val="22"/>
                <w:szCs w:val="22"/>
              </w:rPr>
            </w:pPr>
            <w:r>
              <w:rPr>
                <w:rFonts w:hint="eastAsia" w:ascii="宋体" w:hAnsi="宋体" w:eastAsia="宋体" w:cs="宋体"/>
                <w:sz w:val="22"/>
                <w:szCs w:val="22"/>
              </w:rPr>
              <w:t>该项指标得分=预算结余率小于10%的常年项目数量÷部门预算常年项目总数×100%×2+预算结余率小于10%的一次性项目和阶段项目数量÷部门预算一次性项目和阶段项目总数×100%×2。</w:t>
            </w:r>
          </w:p>
        </w:tc>
        <w:tc>
          <w:tcPr>
            <w:tcW w:w="303" w:type="pct"/>
            <w:tcBorders>
              <w:top w:val="nil"/>
              <w:left w:val="nil"/>
              <w:bottom w:val="single" w:color="auto" w:sz="4" w:space="0"/>
              <w:right w:val="single" w:color="auto" w:sz="4" w:space="0"/>
            </w:tcBorders>
            <w:shd w:val="clear" w:color="auto" w:fill="auto"/>
            <w:noWrap/>
            <w:vAlign w:val="center"/>
          </w:tcPr>
          <w:p w14:paraId="53DEB676">
            <w:pPr>
              <w:widowControl/>
              <w:jc w:val="center"/>
              <w:rPr>
                <w:rFonts w:ascii="宋体" w:hAnsi="宋体" w:eastAsia="宋体" w:cs="宋体"/>
                <w:sz w:val="22"/>
                <w:szCs w:val="22"/>
              </w:rPr>
            </w:pPr>
            <w:r>
              <w:rPr>
                <w:rFonts w:hint="eastAsia" w:ascii="宋体" w:hAnsi="宋体" w:eastAsia="宋体" w:cs="宋体"/>
                <w:sz w:val="22"/>
                <w:szCs w:val="22"/>
              </w:rPr>
              <w:t>4</w:t>
            </w:r>
          </w:p>
        </w:tc>
        <w:tc>
          <w:tcPr>
            <w:tcW w:w="304" w:type="pct"/>
            <w:tcBorders>
              <w:top w:val="nil"/>
              <w:left w:val="nil"/>
              <w:bottom w:val="single" w:color="auto" w:sz="4" w:space="0"/>
              <w:right w:val="single" w:color="auto" w:sz="4" w:space="0"/>
            </w:tcBorders>
            <w:shd w:val="clear" w:color="auto" w:fill="auto"/>
            <w:noWrap/>
            <w:vAlign w:val="center"/>
          </w:tcPr>
          <w:p w14:paraId="35390CB9">
            <w:pPr>
              <w:widowControl/>
              <w:jc w:val="center"/>
              <w:rPr>
                <w:rFonts w:ascii="宋体" w:hAnsi="宋体" w:eastAsia="宋体" w:cs="宋体"/>
                <w:sz w:val="22"/>
                <w:szCs w:val="22"/>
              </w:rPr>
            </w:pPr>
            <w:r>
              <w:rPr>
                <w:rFonts w:hint="eastAsia" w:ascii="宋体" w:hAnsi="宋体" w:eastAsia="宋体" w:cs="宋体"/>
                <w:sz w:val="22"/>
                <w:szCs w:val="22"/>
              </w:rPr>
              <w:t>　</w:t>
            </w:r>
          </w:p>
        </w:tc>
      </w:tr>
      <w:tr w14:paraId="01845ABF">
        <w:tblPrEx>
          <w:tblCellMar>
            <w:top w:w="0" w:type="dxa"/>
            <w:left w:w="108" w:type="dxa"/>
            <w:bottom w:w="0" w:type="dxa"/>
            <w:right w:w="108" w:type="dxa"/>
          </w:tblCellMar>
        </w:tblPrEx>
        <w:trPr>
          <w:trHeight w:val="1230" w:hRule="atLeast"/>
        </w:trPr>
        <w:tc>
          <w:tcPr>
            <w:tcW w:w="404" w:type="pct"/>
            <w:vMerge w:val="continue"/>
            <w:tcBorders>
              <w:top w:val="nil"/>
              <w:left w:val="single" w:color="auto" w:sz="4" w:space="0"/>
              <w:bottom w:val="single" w:color="000000" w:sz="4" w:space="0"/>
              <w:right w:val="single" w:color="auto" w:sz="4" w:space="0"/>
            </w:tcBorders>
            <w:vAlign w:val="center"/>
          </w:tcPr>
          <w:p w14:paraId="16DC8DB2">
            <w:pPr>
              <w:widowControl/>
              <w:jc w:val="left"/>
              <w:rPr>
                <w:rFonts w:ascii="宋体" w:hAnsi="宋体" w:eastAsia="宋体" w:cs="宋体"/>
                <w:b/>
                <w:bCs/>
                <w:sz w:val="22"/>
                <w:szCs w:val="22"/>
              </w:rPr>
            </w:pPr>
          </w:p>
        </w:tc>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28B5CF">
            <w:pPr>
              <w:widowControl/>
              <w:jc w:val="center"/>
              <w:rPr>
                <w:rFonts w:ascii="宋体" w:hAnsi="宋体" w:eastAsia="宋体" w:cs="宋体"/>
                <w:sz w:val="22"/>
                <w:szCs w:val="22"/>
              </w:rPr>
            </w:pPr>
            <w:r>
              <w:rPr>
                <w:rFonts w:hint="eastAsia" w:ascii="宋体" w:hAnsi="宋体" w:eastAsia="宋体" w:cs="宋体"/>
                <w:sz w:val="22"/>
                <w:szCs w:val="22"/>
              </w:rPr>
              <w:t>目标实现</w:t>
            </w:r>
            <w:r>
              <w:rPr>
                <w:rFonts w:hint="eastAsia" w:ascii="宋体" w:hAnsi="宋体" w:eastAsia="宋体" w:cs="宋体"/>
                <w:sz w:val="22"/>
                <w:szCs w:val="22"/>
              </w:rPr>
              <w:br w:type="textWrapping"/>
            </w:r>
            <w:r>
              <w:rPr>
                <w:rFonts w:hint="eastAsia" w:ascii="宋体" w:hAnsi="宋体" w:eastAsia="宋体" w:cs="宋体"/>
                <w:sz w:val="22"/>
                <w:szCs w:val="22"/>
              </w:rPr>
              <w:t>（17分）</w:t>
            </w:r>
          </w:p>
        </w:tc>
        <w:tc>
          <w:tcPr>
            <w:tcW w:w="520" w:type="pct"/>
            <w:tcBorders>
              <w:top w:val="nil"/>
              <w:left w:val="nil"/>
              <w:bottom w:val="single" w:color="auto" w:sz="4" w:space="0"/>
              <w:right w:val="single" w:color="auto" w:sz="4" w:space="0"/>
            </w:tcBorders>
            <w:shd w:val="clear" w:color="auto" w:fill="auto"/>
            <w:noWrap/>
            <w:vAlign w:val="center"/>
          </w:tcPr>
          <w:p w14:paraId="55FB7196">
            <w:pPr>
              <w:widowControl/>
              <w:jc w:val="center"/>
              <w:rPr>
                <w:rFonts w:ascii="宋体" w:hAnsi="宋体" w:eastAsia="宋体" w:cs="宋体"/>
                <w:sz w:val="22"/>
                <w:szCs w:val="22"/>
              </w:rPr>
            </w:pPr>
            <w:r>
              <w:rPr>
                <w:rFonts w:hint="eastAsia" w:ascii="宋体" w:hAnsi="宋体" w:eastAsia="宋体" w:cs="宋体"/>
                <w:sz w:val="22"/>
                <w:szCs w:val="22"/>
              </w:rPr>
              <w:t>目标完成</w:t>
            </w:r>
          </w:p>
        </w:tc>
        <w:tc>
          <w:tcPr>
            <w:tcW w:w="310" w:type="pct"/>
            <w:tcBorders>
              <w:top w:val="nil"/>
              <w:left w:val="nil"/>
              <w:bottom w:val="single" w:color="auto" w:sz="4" w:space="0"/>
              <w:right w:val="single" w:color="auto" w:sz="4" w:space="0"/>
            </w:tcBorders>
            <w:shd w:val="clear" w:color="auto" w:fill="auto"/>
            <w:noWrap/>
            <w:vAlign w:val="center"/>
          </w:tcPr>
          <w:p w14:paraId="07C446AD">
            <w:pPr>
              <w:widowControl/>
              <w:jc w:val="center"/>
              <w:rPr>
                <w:rFonts w:ascii="宋体" w:hAnsi="宋体" w:eastAsia="宋体" w:cs="宋体"/>
                <w:sz w:val="22"/>
                <w:szCs w:val="22"/>
              </w:rPr>
            </w:pPr>
            <w:r>
              <w:rPr>
                <w:rFonts w:hint="eastAsia" w:ascii="宋体" w:hAnsi="宋体" w:eastAsia="宋体" w:cs="宋体"/>
                <w:sz w:val="22"/>
                <w:szCs w:val="22"/>
              </w:rPr>
              <w:t>6</w:t>
            </w:r>
          </w:p>
        </w:tc>
        <w:tc>
          <w:tcPr>
            <w:tcW w:w="718" w:type="pct"/>
            <w:tcBorders>
              <w:top w:val="nil"/>
              <w:left w:val="nil"/>
              <w:bottom w:val="single" w:color="auto" w:sz="4" w:space="0"/>
              <w:right w:val="single" w:color="auto" w:sz="4" w:space="0"/>
            </w:tcBorders>
            <w:shd w:val="clear" w:color="auto" w:fill="auto"/>
            <w:vAlign w:val="center"/>
          </w:tcPr>
          <w:p w14:paraId="4DFED708">
            <w:pPr>
              <w:widowControl/>
              <w:jc w:val="center"/>
              <w:rPr>
                <w:rFonts w:ascii="宋体" w:hAnsi="宋体" w:eastAsia="宋体" w:cs="宋体"/>
                <w:sz w:val="22"/>
                <w:szCs w:val="22"/>
              </w:rPr>
            </w:pPr>
            <w:r>
              <w:rPr>
                <w:rFonts w:hint="eastAsia" w:ascii="宋体" w:hAnsi="宋体" w:eastAsia="宋体" w:cs="宋体"/>
                <w:sz w:val="22"/>
                <w:szCs w:val="22"/>
              </w:rPr>
              <w:t>部门预算项目绩效目标数量指标完成情况</w:t>
            </w:r>
          </w:p>
        </w:tc>
        <w:tc>
          <w:tcPr>
            <w:tcW w:w="2032" w:type="pct"/>
            <w:tcBorders>
              <w:top w:val="nil"/>
              <w:left w:val="nil"/>
              <w:bottom w:val="single" w:color="auto" w:sz="4" w:space="0"/>
              <w:right w:val="single" w:color="auto" w:sz="4" w:space="0"/>
            </w:tcBorders>
            <w:shd w:val="clear" w:color="auto" w:fill="auto"/>
            <w:vAlign w:val="center"/>
          </w:tcPr>
          <w:p w14:paraId="56DAFE7A">
            <w:pPr>
              <w:widowControl/>
              <w:jc w:val="center"/>
              <w:rPr>
                <w:rFonts w:ascii="宋体" w:hAnsi="宋体" w:eastAsia="宋体" w:cs="宋体"/>
                <w:sz w:val="22"/>
                <w:szCs w:val="22"/>
              </w:rPr>
            </w:pPr>
            <w:r>
              <w:rPr>
                <w:rFonts w:hint="eastAsia" w:ascii="宋体" w:hAnsi="宋体" w:eastAsia="宋体" w:cs="宋体"/>
                <w:sz w:val="22"/>
                <w:szCs w:val="22"/>
              </w:rPr>
              <w:t>该项指标得分=完成绩效目标数量指标的部门预算阶段项目（含一次性项目）数量÷部门预算阶段项目（含一次性项目）总数×100%×6。</w:t>
            </w:r>
          </w:p>
        </w:tc>
        <w:tc>
          <w:tcPr>
            <w:tcW w:w="303" w:type="pct"/>
            <w:tcBorders>
              <w:top w:val="nil"/>
              <w:left w:val="nil"/>
              <w:bottom w:val="single" w:color="auto" w:sz="4" w:space="0"/>
              <w:right w:val="single" w:color="auto" w:sz="4" w:space="0"/>
            </w:tcBorders>
            <w:shd w:val="clear" w:color="auto" w:fill="auto"/>
            <w:noWrap/>
            <w:vAlign w:val="center"/>
          </w:tcPr>
          <w:p w14:paraId="2B13AB83">
            <w:pPr>
              <w:widowControl/>
              <w:jc w:val="center"/>
              <w:rPr>
                <w:rFonts w:ascii="宋体" w:hAnsi="宋体" w:eastAsia="宋体" w:cs="宋体"/>
                <w:sz w:val="22"/>
                <w:szCs w:val="22"/>
              </w:rPr>
            </w:pPr>
            <w:r>
              <w:rPr>
                <w:rFonts w:hint="eastAsia" w:ascii="宋体" w:hAnsi="宋体" w:eastAsia="宋体" w:cs="宋体"/>
                <w:sz w:val="22"/>
                <w:szCs w:val="22"/>
              </w:rPr>
              <w:t>5</w:t>
            </w:r>
          </w:p>
        </w:tc>
        <w:tc>
          <w:tcPr>
            <w:tcW w:w="304" w:type="pct"/>
            <w:tcBorders>
              <w:top w:val="nil"/>
              <w:left w:val="nil"/>
              <w:bottom w:val="single" w:color="auto" w:sz="4" w:space="0"/>
              <w:right w:val="single" w:color="auto" w:sz="4" w:space="0"/>
            </w:tcBorders>
            <w:shd w:val="clear" w:color="auto" w:fill="auto"/>
            <w:noWrap/>
            <w:vAlign w:val="center"/>
          </w:tcPr>
          <w:p w14:paraId="197F0BFB">
            <w:pPr>
              <w:widowControl/>
              <w:jc w:val="center"/>
              <w:rPr>
                <w:rFonts w:ascii="宋体" w:hAnsi="宋体" w:eastAsia="宋体" w:cs="宋体"/>
                <w:sz w:val="22"/>
                <w:szCs w:val="22"/>
              </w:rPr>
            </w:pPr>
            <w:r>
              <w:rPr>
                <w:rFonts w:hint="eastAsia" w:ascii="宋体" w:hAnsi="宋体" w:eastAsia="宋体" w:cs="宋体"/>
                <w:sz w:val="22"/>
                <w:szCs w:val="22"/>
              </w:rPr>
              <w:t>　</w:t>
            </w:r>
          </w:p>
        </w:tc>
      </w:tr>
      <w:tr w14:paraId="3560B692">
        <w:tblPrEx>
          <w:tblCellMar>
            <w:top w:w="0" w:type="dxa"/>
            <w:left w:w="108" w:type="dxa"/>
            <w:bottom w:w="0" w:type="dxa"/>
            <w:right w:w="108" w:type="dxa"/>
          </w:tblCellMar>
        </w:tblPrEx>
        <w:trPr>
          <w:trHeight w:val="2250" w:hRule="atLeast"/>
        </w:trPr>
        <w:tc>
          <w:tcPr>
            <w:tcW w:w="404" w:type="pct"/>
            <w:vMerge w:val="continue"/>
            <w:tcBorders>
              <w:top w:val="nil"/>
              <w:left w:val="single" w:color="auto" w:sz="4" w:space="0"/>
              <w:bottom w:val="single" w:color="000000" w:sz="4" w:space="0"/>
              <w:right w:val="single" w:color="auto" w:sz="4" w:space="0"/>
            </w:tcBorders>
            <w:vAlign w:val="center"/>
          </w:tcPr>
          <w:p w14:paraId="1CEF65CE">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1D1DB975">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01C76646">
            <w:pPr>
              <w:widowControl/>
              <w:jc w:val="center"/>
              <w:rPr>
                <w:rFonts w:ascii="宋体" w:hAnsi="宋体" w:eastAsia="宋体" w:cs="宋体"/>
                <w:sz w:val="22"/>
                <w:szCs w:val="22"/>
              </w:rPr>
            </w:pPr>
            <w:r>
              <w:rPr>
                <w:rFonts w:hint="eastAsia" w:ascii="宋体" w:hAnsi="宋体" w:eastAsia="宋体" w:cs="宋体"/>
                <w:sz w:val="22"/>
                <w:szCs w:val="22"/>
              </w:rPr>
              <w:t>目标偏离</w:t>
            </w:r>
          </w:p>
        </w:tc>
        <w:tc>
          <w:tcPr>
            <w:tcW w:w="310" w:type="pct"/>
            <w:tcBorders>
              <w:top w:val="nil"/>
              <w:left w:val="nil"/>
              <w:bottom w:val="single" w:color="auto" w:sz="4" w:space="0"/>
              <w:right w:val="single" w:color="auto" w:sz="4" w:space="0"/>
            </w:tcBorders>
            <w:shd w:val="clear" w:color="auto" w:fill="auto"/>
            <w:noWrap/>
            <w:vAlign w:val="center"/>
          </w:tcPr>
          <w:p w14:paraId="22B788CA">
            <w:pPr>
              <w:widowControl/>
              <w:jc w:val="center"/>
              <w:rPr>
                <w:rFonts w:ascii="宋体" w:hAnsi="宋体" w:eastAsia="宋体" w:cs="宋体"/>
                <w:sz w:val="22"/>
                <w:szCs w:val="22"/>
              </w:rPr>
            </w:pPr>
            <w:r>
              <w:rPr>
                <w:rFonts w:hint="eastAsia" w:ascii="宋体" w:hAnsi="宋体" w:eastAsia="宋体" w:cs="宋体"/>
                <w:sz w:val="22"/>
                <w:szCs w:val="22"/>
              </w:rPr>
              <w:t>6</w:t>
            </w:r>
          </w:p>
        </w:tc>
        <w:tc>
          <w:tcPr>
            <w:tcW w:w="718" w:type="pct"/>
            <w:tcBorders>
              <w:top w:val="nil"/>
              <w:left w:val="nil"/>
              <w:bottom w:val="single" w:color="auto" w:sz="4" w:space="0"/>
              <w:right w:val="single" w:color="auto" w:sz="4" w:space="0"/>
            </w:tcBorders>
            <w:shd w:val="clear" w:color="auto" w:fill="auto"/>
            <w:vAlign w:val="center"/>
          </w:tcPr>
          <w:p w14:paraId="3FF99CF4">
            <w:pPr>
              <w:widowControl/>
              <w:jc w:val="center"/>
              <w:rPr>
                <w:rFonts w:ascii="宋体" w:hAnsi="宋体" w:eastAsia="宋体" w:cs="宋体"/>
                <w:sz w:val="22"/>
                <w:szCs w:val="22"/>
              </w:rPr>
            </w:pPr>
            <w:r>
              <w:rPr>
                <w:rFonts w:hint="eastAsia" w:ascii="宋体" w:hAnsi="宋体" w:eastAsia="宋体" w:cs="宋体"/>
                <w:sz w:val="22"/>
                <w:szCs w:val="22"/>
              </w:rPr>
              <w:t>部门预算项目绩效目标数量指标实现程度与预期目标的偏离情况</w:t>
            </w:r>
          </w:p>
        </w:tc>
        <w:tc>
          <w:tcPr>
            <w:tcW w:w="2032" w:type="pct"/>
            <w:tcBorders>
              <w:top w:val="nil"/>
              <w:left w:val="nil"/>
              <w:bottom w:val="single" w:color="auto" w:sz="4" w:space="0"/>
              <w:right w:val="single" w:color="auto" w:sz="4" w:space="0"/>
            </w:tcBorders>
            <w:shd w:val="clear" w:color="auto" w:fill="auto"/>
            <w:vAlign w:val="center"/>
          </w:tcPr>
          <w:p w14:paraId="7C697460">
            <w:pPr>
              <w:widowControl/>
              <w:jc w:val="center"/>
              <w:rPr>
                <w:rFonts w:ascii="宋体" w:hAnsi="宋体" w:eastAsia="宋体" w:cs="宋体"/>
                <w:sz w:val="22"/>
                <w:szCs w:val="22"/>
              </w:rPr>
            </w:pPr>
            <w:r>
              <w:rPr>
                <w:rFonts w:hint="eastAsia" w:ascii="宋体" w:hAnsi="宋体" w:eastAsia="宋体" w:cs="宋体"/>
                <w:sz w:val="22"/>
                <w:szCs w:val="22"/>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303" w:type="pct"/>
            <w:tcBorders>
              <w:top w:val="nil"/>
              <w:left w:val="nil"/>
              <w:bottom w:val="single" w:color="auto" w:sz="4" w:space="0"/>
              <w:right w:val="single" w:color="auto" w:sz="4" w:space="0"/>
            </w:tcBorders>
            <w:shd w:val="clear" w:color="auto" w:fill="auto"/>
            <w:noWrap/>
            <w:vAlign w:val="center"/>
          </w:tcPr>
          <w:p w14:paraId="553CEC99">
            <w:pPr>
              <w:widowControl/>
              <w:jc w:val="center"/>
              <w:rPr>
                <w:rFonts w:ascii="宋体" w:hAnsi="宋体" w:eastAsia="宋体" w:cs="宋体"/>
                <w:sz w:val="22"/>
                <w:szCs w:val="22"/>
              </w:rPr>
            </w:pPr>
            <w:r>
              <w:rPr>
                <w:rFonts w:hint="eastAsia" w:ascii="宋体" w:hAnsi="宋体" w:eastAsia="宋体" w:cs="宋体"/>
                <w:sz w:val="22"/>
                <w:szCs w:val="22"/>
              </w:rPr>
              <w:t>4</w:t>
            </w:r>
          </w:p>
        </w:tc>
        <w:tc>
          <w:tcPr>
            <w:tcW w:w="304" w:type="pct"/>
            <w:tcBorders>
              <w:top w:val="nil"/>
              <w:left w:val="nil"/>
              <w:bottom w:val="single" w:color="auto" w:sz="4" w:space="0"/>
              <w:right w:val="single" w:color="auto" w:sz="4" w:space="0"/>
            </w:tcBorders>
            <w:shd w:val="clear" w:color="auto" w:fill="auto"/>
            <w:noWrap/>
            <w:vAlign w:val="center"/>
          </w:tcPr>
          <w:p w14:paraId="66CDB8B2">
            <w:pPr>
              <w:widowControl/>
              <w:jc w:val="center"/>
              <w:rPr>
                <w:rFonts w:ascii="宋体" w:hAnsi="宋体" w:eastAsia="宋体" w:cs="宋体"/>
                <w:sz w:val="22"/>
                <w:szCs w:val="22"/>
              </w:rPr>
            </w:pPr>
            <w:r>
              <w:rPr>
                <w:rFonts w:hint="eastAsia" w:ascii="宋体" w:hAnsi="宋体" w:eastAsia="宋体" w:cs="宋体"/>
                <w:sz w:val="22"/>
                <w:szCs w:val="22"/>
              </w:rPr>
              <w:t>　</w:t>
            </w:r>
          </w:p>
        </w:tc>
      </w:tr>
      <w:tr w14:paraId="69C3706E">
        <w:tblPrEx>
          <w:tblCellMar>
            <w:top w:w="0" w:type="dxa"/>
            <w:left w:w="108" w:type="dxa"/>
            <w:bottom w:w="0" w:type="dxa"/>
            <w:right w:w="108" w:type="dxa"/>
          </w:tblCellMar>
        </w:tblPrEx>
        <w:trPr>
          <w:trHeight w:val="1215" w:hRule="atLeast"/>
        </w:trPr>
        <w:tc>
          <w:tcPr>
            <w:tcW w:w="404" w:type="pct"/>
            <w:vMerge w:val="continue"/>
            <w:tcBorders>
              <w:top w:val="nil"/>
              <w:left w:val="single" w:color="auto" w:sz="4" w:space="0"/>
              <w:bottom w:val="single" w:color="000000" w:sz="4" w:space="0"/>
              <w:right w:val="single" w:color="auto" w:sz="4" w:space="0"/>
            </w:tcBorders>
            <w:vAlign w:val="center"/>
          </w:tcPr>
          <w:p w14:paraId="279D7E56">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03FA01D1">
            <w:pPr>
              <w:widowControl/>
              <w:jc w:val="left"/>
              <w:rPr>
                <w:rFonts w:ascii="宋体" w:hAnsi="宋体" w:eastAsia="宋体" w:cs="宋体"/>
                <w:sz w:val="22"/>
                <w:szCs w:val="22"/>
              </w:rPr>
            </w:pPr>
          </w:p>
        </w:tc>
        <w:tc>
          <w:tcPr>
            <w:tcW w:w="520" w:type="pct"/>
            <w:tcBorders>
              <w:top w:val="nil"/>
              <w:left w:val="nil"/>
              <w:bottom w:val="single" w:color="auto" w:sz="4" w:space="0"/>
              <w:right w:val="single" w:color="auto" w:sz="4" w:space="0"/>
            </w:tcBorders>
            <w:shd w:val="clear" w:color="auto" w:fill="auto"/>
            <w:noWrap/>
            <w:vAlign w:val="center"/>
          </w:tcPr>
          <w:p w14:paraId="2382ACE3">
            <w:pPr>
              <w:widowControl/>
              <w:jc w:val="center"/>
              <w:rPr>
                <w:rFonts w:ascii="宋体" w:hAnsi="宋体" w:eastAsia="宋体" w:cs="宋体"/>
                <w:sz w:val="22"/>
                <w:szCs w:val="22"/>
              </w:rPr>
            </w:pPr>
            <w:r>
              <w:rPr>
                <w:rFonts w:hint="eastAsia" w:ascii="宋体" w:hAnsi="宋体" w:eastAsia="宋体" w:cs="宋体"/>
                <w:sz w:val="22"/>
                <w:szCs w:val="22"/>
              </w:rPr>
              <w:t>实现效果</w:t>
            </w:r>
          </w:p>
        </w:tc>
        <w:tc>
          <w:tcPr>
            <w:tcW w:w="310" w:type="pct"/>
            <w:tcBorders>
              <w:top w:val="nil"/>
              <w:left w:val="nil"/>
              <w:bottom w:val="single" w:color="auto" w:sz="4" w:space="0"/>
              <w:right w:val="single" w:color="auto" w:sz="4" w:space="0"/>
            </w:tcBorders>
            <w:shd w:val="clear" w:color="auto" w:fill="auto"/>
            <w:noWrap/>
            <w:vAlign w:val="center"/>
          </w:tcPr>
          <w:p w14:paraId="28D261E1">
            <w:pPr>
              <w:widowControl/>
              <w:jc w:val="center"/>
              <w:rPr>
                <w:rFonts w:ascii="宋体" w:hAnsi="宋体" w:eastAsia="宋体" w:cs="宋体"/>
                <w:sz w:val="22"/>
                <w:szCs w:val="22"/>
              </w:rPr>
            </w:pPr>
            <w:r>
              <w:rPr>
                <w:rFonts w:hint="eastAsia" w:ascii="宋体" w:hAnsi="宋体" w:eastAsia="宋体" w:cs="宋体"/>
                <w:sz w:val="22"/>
                <w:szCs w:val="22"/>
              </w:rPr>
              <w:t>5</w:t>
            </w:r>
          </w:p>
        </w:tc>
        <w:tc>
          <w:tcPr>
            <w:tcW w:w="718" w:type="pct"/>
            <w:tcBorders>
              <w:top w:val="nil"/>
              <w:left w:val="nil"/>
              <w:bottom w:val="single" w:color="auto" w:sz="4" w:space="0"/>
              <w:right w:val="single" w:color="auto" w:sz="4" w:space="0"/>
            </w:tcBorders>
            <w:shd w:val="clear" w:color="auto" w:fill="auto"/>
            <w:vAlign w:val="center"/>
          </w:tcPr>
          <w:p w14:paraId="0DA89EA8">
            <w:pPr>
              <w:widowControl/>
              <w:jc w:val="center"/>
              <w:rPr>
                <w:rFonts w:ascii="宋体" w:hAnsi="宋体" w:eastAsia="宋体" w:cs="宋体"/>
                <w:sz w:val="22"/>
                <w:szCs w:val="22"/>
              </w:rPr>
            </w:pPr>
            <w:r>
              <w:rPr>
                <w:rFonts w:hint="eastAsia" w:ascii="宋体" w:hAnsi="宋体" w:eastAsia="宋体" w:cs="宋体"/>
                <w:sz w:val="22"/>
                <w:szCs w:val="22"/>
              </w:rPr>
              <w:t>部门预算项目绩效目标效益指标实施效果</w:t>
            </w:r>
          </w:p>
        </w:tc>
        <w:tc>
          <w:tcPr>
            <w:tcW w:w="2032" w:type="pct"/>
            <w:tcBorders>
              <w:top w:val="nil"/>
              <w:left w:val="nil"/>
              <w:bottom w:val="single" w:color="auto" w:sz="4" w:space="0"/>
              <w:right w:val="single" w:color="auto" w:sz="4" w:space="0"/>
            </w:tcBorders>
            <w:shd w:val="clear" w:color="auto" w:fill="auto"/>
            <w:vAlign w:val="center"/>
          </w:tcPr>
          <w:p w14:paraId="54F03E66">
            <w:pPr>
              <w:widowControl/>
              <w:jc w:val="center"/>
              <w:rPr>
                <w:rFonts w:ascii="宋体" w:hAnsi="宋体" w:eastAsia="宋体" w:cs="宋体"/>
                <w:sz w:val="22"/>
                <w:szCs w:val="22"/>
              </w:rPr>
            </w:pPr>
            <w:r>
              <w:rPr>
                <w:rFonts w:hint="eastAsia" w:ascii="宋体" w:hAnsi="宋体" w:eastAsia="宋体" w:cs="宋体"/>
                <w:sz w:val="22"/>
                <w:szCs w:val="22"/>
              </w:rPr>
              <w:t>该项指标得分=完成绩效目标效益指标的部门预算阶段项目（含一次性项目）数量÷部门预算阶段项目（含一次性项目）总数×100%×5。</w:t>
            </w:r>
          </w:p>
        </w:tc>
        <w:tc>
          <w:tcPr>
            <w:tcW w:w="303" w:type="pct"/>
            <w:tcBorders>
              <w:top w:val="nil"/>
              <w:left w:val="nil"/>
              <w:bottom w:val="single" w:color="auto" w:sz="4" w:space="0"/>
              <w:right w:val="single" w:color="auto" w:sz="4" w:space="0"/>
            </w:tcBorders>
            <w:shd w:val="clear" w:color="auto" w:fill="auto"/>
            <w:noWrap/>
            <w:vAlign w:val="center"/>
          </w:tcPr>
          <w:p w14:paraId="1657AD47">
            <w:pPr>
              <w:widowControl/>
              <w:jc w:val="center"/>
              <w:rPr>
                <w:rFonts w:ascii="宋体" w:hAnsi="宋体" w:eastAsia="宋体" w:cs="宋体"/>
                <w:sz w:val="22"/>
                <w:szCs w:val="22"/>
              </w:rPr>
            </w:pPr>
            <w:r>
              <w:rPr>
                <w:rFonts w:hint="eastAsia" w:ascii="宋体" w:hAnsi="宋体" w:eastAsia="宋体" w:cs="宋体"/>
                <w:sz w:val="22"/>
                <w:szCs w:val="22"/>
              </w:rPr>
              <w:t>4</w:t>
            </w:r>
          </w:p>
        </w:tc>
        <w:tc>
          <w:tcPr>
            <w:tcW w:w="304" w:type="pct"/>
            <w:tcBorders>
              <w:top w:val="nil"/>
              <w:left w:val="nil"/>
              <w:bottom w:val="single" w:color="auto" w:sz="4" w:space="0"/>
              <w:right w:val="single" w:color="auto" w:sz="4" w:space="0"/>
            </w:tcBorders>
            <w:shd w:val="clear" w:color="auto" w:fill="auto"/>
            <w:noWrap/>
            <w:vAlign w:val="center"/>
          </w:tcPr>
          <w:p w14:paraId="02BB1218">
            <w:pPr>
              <w:widowControl/>
              <w:jc w:val="center"/>
              <w:rPr>
                <w:rFonts w:ascii="宋体" w:hAnsi="宋体" w:eastAsia="宋体" w:cs="宋体"/>
                <w:sz w:val="22"/>
                <w:szCs w:val="22"/>
              </w:rPr>
            </w:pPr>
            <w:r>
              <w:rPr>
                <w:rFonts w:hint="eastAsia" w:ascii="宋体" w:hAnsi="宋体" w:eastAsia="宋体" w:cs="宋体"/>
                <w:sz w:val="22"/>
                <w:szCs w:val="22"/>
              </w:rPr>
              <w:t>　</w:t>
            </w:r>
          </w:p>
        </w:tc>
      </w:tr>
      <w:tr w14:paraId="75CC13C7">
        <w:tblPrEx>
          <w:tblCellMar>
            <w:top w:w="0" w:type="dxa"/>
            <w:left w:w="108" w:type="dxa"/>
            <w:bottom w:w="0" w:type="dxa"/>
            <w:right w:w="108" w:type="dxa"/>
          </w:tblCellMar>
        </w:tblPrEx>
        <w:trPr>
          <w:trHeight w:val="885" w:hRule="atLeast"/>
        </w:trPr>
        <w:tc>
          <w:tcPr>
            <w:tcW w:w="404" w:type="pct"/>
            <w:vMerge w:val="restart"/>
            <w:tcBorders>
              <w:top w:val="nil"/>
              <w:left w:val="single" w:color="auto" w:sz="4" w:space="0"/>
              <w:bottom w:val="single" w:color="000000" w:sz="4" w:space="0"/>
              <w:right w:val="single" w:color="auto" w:sz="4" w:space="0"/>
            </w:tcBorders>
            <w:shd w:val="clear" w:color="auto" w:fill="auto"/>
            <w:noWrap/>
            <w:vAlign w:val="center"/>
          </w:tcPr>
          <w:p w14:paraId="03848CE8">
            <w:pPr>
              <w:widowControl/>
              <w:jc w:val="center"/>
              <w:rPr>
                <w:rFonts w:ascii="宋体" w:hAnsi="宋体" w:eastAsia="宋体" w:cs="宋体"/>
                <w:b/>
                <w:bCs/>
                <w:sz w:val="22"/>
                <w:szCs w:val="22"/>
              </w:rPr>
            </w:pPr>
            <w:r>
              <w:rPr>
                <w:rFonts w:hint="eastAsia" w:ascii="宋体" w:hAnsi="宋体" w:eastAsia="宋体" w:cs="宋体"/>
                <w:b/>
                <w:bCs/>
                <w:sz w:val="22"/>
                <w:szCs w:val="22"/>
              </w:rPr>
              <w:t>扣分项</w:t>
            </w:r>
          </w:p>
        </w:tc>
        <w:tc>
          <w:tcPr>
            <w:tcW w:w="40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153DD5">
            <w:pPr>
              <w:widowControl/>
              <w:jc w:val="center"/>
              <w:rPr>
                <w:rFonts w:ascii="宋体" w:hAnsi="宋体" w:eastAsia="宋体" w:cs="宋体"/>
                <w:sz w:val="22"/>
                <w:szCs w:val="22"/>
              </w:rPr>
            </w:pPr>
            <w:r>
              <w:rPr>
                <w:rFonts w:hint="eastAsia" w:ascii="宋体" w:hAnsi="宋体" w:eastAsia="宋体" w:cs="宋体"/>
                <w:sz w:val="22"/>
                <w:szCs w:val="22"/>
              </w:rPr>
              <w:t>财务管理</w:t>
            </w:r>
          </w:p>
        </w:tc>
        <w:tc>
          <w:tcPr>
            <w:tcW w:w="520" w:type="pct"/>
            <w:tcBorders>
              <w:top w:val="nil"/>
              <w:left w:val="nil"/>
              <w:bottom w:val="single" w:color="auto" w:sz="4" w:space="0"/>
              <w:right w:val="single" w:color="auto" w:sz="4" w:space="0"/>
            </w:tcBorders>
            <w:shd w:val="clear" w:color="auto" w:fill="auto"/>
            <w:noWrap/>
            <w:vAlign w:val="center"/>
          </w:tcPr>
          <w:p w14:paraId="060776B6">
            <w:pPr>
              <w:widowControl/>
              <w:jc w:val="center"/>
              <w:rPr>
                <w:rFonts w:ascii="宋体" w:hAnsi="宋体" w:eastAsia="宋体" w:cs="宋体"/>
                <w:sz w:val="22"/>
                <w:szCs w:val="22"/>
              </w:rPr>
            </w:pPr>
            <w:r>
              <w:rPr>
                <w:rFonts w:hint="eastAsia" w:ascii="宋体" w:hAnsi="宋体" w:eastAsia="宋体" w:cs="宋体"/>
                <w:sz w:val="22"/>
                <w:szCs w:val="22"/>
              </w:rPr>
              <w:t>财务管理制度</w:t>
            </w:r>
          </w:p>
        </w:tc>
        <w:tc>
          <w:tcPr>
            <w:tcW w:w="310" w:type="pct"/>
            <w:tcBorders>
              <w:top w:val="nil"/>
              <w:left w:val="nil"/>
              <w:bottom w:val="single" w:color="auto" w:sz="4" w:space="0"/>
              <w:right w:val="single" w:color="auto" w:sz="4" w:space="0"/>
            </w:tcBorders>
            <w:shd w:val="clear" w:color="auto" w:fill="auto"/>
            <w:noWrap/>
            <w:vAlign w:val="center"/>
          </w:tcPr>
          <w:p w14:paraId="2B373D1F">
            <w:pPr>
              <w:widowControl/>
              <w:jc w:val="center"/>
              <w:rPr>
                <w:rFonts w:ascii="宋体" w:hAnsi="宋体" w:eastAsia="宋体" w:cs="宋体"/>
                <w:sz w:val="22"/>
                <w:szCs w:val="22"/>
              </w:rPr>
            </w:pPr>
            <w:r>
              <w:rPr>
                <w:rFonts w:hint="eastAsia" w:ascii="宋体" w:hAnsi="宋体" w:eastAsia="宋体" w:cs="宋体"/>
                <w:sz w:val="22"/>
                <w:szCs w:val="22"/>
              </w:rPr>
              <w:t>-2</w:t>
            </w:r>
          </w:p>
        </w:tc>
        <w:tc>
          <w:tcPr>
            <w:tcW w:w="718" w:type="pct"/>
            <w:tcBorders>
              <w:top w:val="nil"/>
              <w:left w:val="nil"/>
              <w:bottom w:val="single" w:color="auto" w:sz="4" w:space="0"/>
              <w:right w:val="single" w:color="auto" w:sz="4" w:space="0"/>
            </w:tcBorders>
            <w:shd w:val="clear" w:color="auto" w:fill="auto"/>
            <w:vAlign w:val="center"/>
          </w:tcPr>
          <w:p w14:paraId="054755D6">
            <w:pPr>
              <w:widowControl/>
              <w:jc w:val="center"/>
              <w:rPr>
                <w:rFonts w:ascii="宋体" w:hAnsi="宋体" w:eastAsia="宋体" w:cs="宋体"/>
                <w:sz w:val="22"/>
                <w:szCs w:val="22"/>
              </w:rPr>
            </w:pPr>
            <w:r>
              <w:rPr>
                <w:rFonts w:hint="eastAsia" w:ascii="宋体" w:hAnsi="宋体" w:eastAsia="宋体" w:cs="宋体"/>
                <w:sz w:val="22"/>
                <w:szCs w:val="22"/>
              </w:rPr>
              <w:t>部门财务管理制度建立情况</w:t>
            </w:r>
          </w:p>
        </w:tc>
        <w:tc>
          <w:tcPr>
            <w:tcW w:w="2032" w:type="pct"/>
            <w:tcBorders>
              <w:top w:val="nil"/>
              <w:left w:val="nil"/>
              <w:bottom w:val="single" w:color="auto" w:sz="4" w:space="0"/>
              <w:right w:val="single" w:color="auto" w:sz="4" w:space="0"/>
            </w:tcBorders>
            <w:shd w:val="clear" w:color="auto" w:fill="auto"/>
            <w:vAlign w:val="center"/>
          </w:tcPr>
          <w:p w14:paraId="1FE35ECE">
            <w:pPr>
              <w:widowControl/>
              <w:jc w:val="center"/>
              <w:rPr>
                <w:rFonts w:ascii="宋体" w:hAnsi="宋体" w:eastAsia="宋体" w:cs="宋体"/>
                <w:sz w:val="22"/>
                <w:szCs w:val="22"/>
              </w:rPr>
            </w:pPr>
            <w:r>
              <w:rPr>
                <w:rFonts w:hint="eastAsia" w:ascii="宋体" w:hAnsi="宋体" w:eastAsia="宋体" w:cs="宋体"/>
                <w:sz w:val="22"/>
                <w:szCs w:val="22"/>
              </w:rPr>
              <w:t>部门未制定内部财务管理制度等制度机制的,财务管理制度未得到落实，发现一处扣1分，扣完为止。</w:t>
            </w:r>
          </w:p>
        </w:tc>
        <w:tc>
          <w:tcPr>
            <w:tcW w:w="303" w:type="pct"/>
            <w:tcBorders>
              <w:top w:val="nil"/>
              <w:left w:val="nil"/>
              <w:bottom w:val="single" w:color="auto" w:sz="4" w:space="0"/>
              <w:right w:val="single" w:color="auto" w:sz="4" w:space="0"/>
            </w:tcBorders>
            <w:shd w:val="clear" w:color="auto" w:fill="auto"/>
            <w:noWrap/>
            <w:vAlign w:val="center"/>
          </w:tcPr>
          <w:p w14:paraId="149A3C46">
            <w:pPr>
              <w:widowControl/>
              <w:jc w:val="center"/>
              <w:rPr>
                <w:rFonts w:ascii="宋体" w:hAnsi="宋体" w:eastAsia="宋体" w:cs="宋体"/>
                <w:sz w:val="22"/>
                <w:szCs w:val="22"/>
              </w:rPr>
            </w:pPr>
            <w:r>
              <w:rPr>
                <w:rFonts w:hint="eastAsia" w:ascii="宋体" w:hAnsi="宋体" w:eastAsia="宋体" w:cs="宋体"/>
                <w:sz w:val="22"/>
                <w:szCs w:val="22"/>
              </w:rPr>
              <w:t>0</w:t>
            </w:r>
          </w:p>
        </w:tc>
        <w:tc>
          <w:tcPr>
            <w:tcW w:w="304" w:type="pct"/>
            <w:tcBorders>
              <w:top w:val="nil"/>
              <w:left w:val="nil"/>
              <w:bottom w:val="single" w:color="auto" w:sz="4" w:space="0"/>
              <w:right w:val="single" w:color="auto" w:sz="4" w:space="0"/>
            </w:tcBorders>
            <w:shd w:val="clear" w:color="auto" w:fill="auto"/>
            <w:noWrap/>
            <w:vAlign w:val="center"/>
          </w:tcPr>
          <w:p w14:paraId="58E9FA59">
            <w:pPr>
              <w:widowControl/>
              <w:jc w:val="center"/>
              <w:rPr>
                <w:rFonts w:ascii="宋体" w:hAnsi="宋体" w:eastAsia="宋体" w:cs="宋体"/>
                <w:sz w:val="22"/>
                <w:szCs w:val="22"/>
              </w:rPr>
            </w:pPr>
            <w:r>
              <w:rPr>
                <w:rFonts w:hint="eastAsia" w:ascii="宋体" w:hAnsi="宋体" w:eastAsia="宋体" w:cs="宋体"/>
                <w:sz w:val="22"/>
                <w:szCs w:val="22"/>
              </w:rPr>
              <w:t>　</w:t>
            </w:r>
          </w:p>
        </w:tc>
      </w:tr>
      <w:tr w14:paraId="7B990795">
        <w:tblPrEx>
          <w:tblCellMar>
            <w:top w:w="0" w:type="dxa"/>
            <w:left w:w="108" w:type="dxa"/>
            <w:bottom w:w="0" w:type="dxa"/>
            <w:right w:w="108" w:type="dxa"/>
          </w:tblCellMar>
        </w:tblPrEx>
        <w:trPr>
          <w:trHeight w:val="1110" w:hRule="atLeast"/>
        </w:trPr>
        <w:tc>
          <w:tcPr>
            <w:tcW w:w="404" w:type="pct"/>
            <w:vMerge w:val="continue"/>
            <w:tcBorders>
              <w:top w:val="nil"/>
              <w:left w:val="single" w:color="auto" w:sz="4" w:space="0"/>
              <w:bottom w:val="single" w:color="000000" w:sz="4" w:space="0"/>
              <w:right w:val="single" w:color="auto" w:sz="4" w:space="0"/>
            </w:tcBorders>
            <w:vAlign w:val="center"/>
          </w:tcPr>
          <w:p w14:paraId="183DD72A">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3367279B">
            <w:pPr>
              <w:widowControl/>
              <w:jc w:val="left"/>
              <w:rPr>
                <w:rFonts w:ascii="宋体" w:hAnsi="宋体" w:eastAsia="宋体" w:cs="宋体"/>
                <w:sz w:val="22"/>
                <w:szCs w:val="22"/>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86837">
            <w:pPr>
              <w:widowControl/>
              <w:jc w:val="center"/>
              <w:rPr>
                <w:rFonts w:ascii="宋体" w:hAnsi="宋体" w:eastAsia="宋体" w:cs="宋体"/>
                <w:sz w:val="22"/>
                <w:szCs w:val="22"/>
              </w:rPr>
            </w:pPr>
            <w:r>
              <w:rPr>
                <w:rFonts w:hint="eastAsia" w:ascii="宋体" w:hAnsi="宋体" w:eastAsia="宋体" w:cs="宋体"/>
                <w:sz w:val="22"/>
                <w:szCs w:val="22"/>
              </w:rPr>
              <w:t>财务岗位设置</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01E83">
            <w:pPr>
              <w:widowControl/>
              <w:jc w:val="center"/>
              <w:rPr>
                <w:rFonts w:ascii="宋体" w:hAnsi="宋体" w:eastAsia="宋体" w:cs="宋体"/>
                <w:sz w:val="22"/>
                <w:szCs w:val="22"/>
              </w:rPr>
            </w:pPr>
            <w:r>
              <w:rPr>
                <w:rFonts w:hint="eastAsia" w:ascii="宋体" w:hAnsi="宋体" w:eastAsia="宋体" w:cs="宋体"/>
                <w:sz w:val="22"/>
                <w:szCs w:val="22"/>
              </w:rPr>
              <w:t>-2</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20825A9E">
            <w:pPr>
              <w:widowControl/>
              <w:jc w:val="center"/>
              <w:rPr>
                <w:rFonts w:ascii="宋体" w:hAnsi="宋体" w:eastAsia="宋体" w:cs="宋体"/>
                <w:sz w:val="22"/>
                <w:szCs w:val="22"/>
              </w:rPr>
            </w:pPr>
            <w:r>
              <w:rPr>
                <w:rFonts w:hint="eastAsia" w:ascii="宋体" w:hAnsi="宋体" w:eastAsia="宋体" w:cs="宋体"/>
                <w:sz w:val="22"/>
                <w:szCs w:val="22"/>
              </w:rPr>
              <w:t>部门财务岗位设置是否符合相关财务管理制度要求</w:t>
            </w:r>
          </w:p>
        </w:tc>
        <w:tc>
          <w:tcPr>
            <w:tcW w:w="2032" w:type="pct"/>
            <w:tcBorders>
              <w:top w:val="single" w:color="auto" w:sz="4" w:space="0"/>
              <w:left w:val="single" w:color="auto" w:sz="4" w:space="0"/>
              <w:bottom w:val="single" w:color="auto" w:sz="4" w:space="0"/>
              <w:right w:val="single" w:color="auto" w:sz="4" w:space="0"/>
            </w:tcBorders>
            <w:shd w:val="clear" w:color="auto" w:fill="auto"/>
            <w:vAlign w:val="center"/>
          </w:tcPr>
          <w:p w14:paraId="79F3FECD">
            <w:pPr>
              <w:widowControl/>
              <w:jc w:val="center"/>
              <w:rPr>
                <w:rFonts w:ascii="宋体" w:hAnsi="宋体" w:eastAsia="宋体" w:cs="宋体"/>
                <w:sz w:val="22"/>
                <w:szCs w:val="22"/>
              </w:rPr>
            </w:pPr>
            <w:r>
              <w:rPr>
                <w:rFonts w:hint="eastAsia" w:ascii="宋体" w:hAnsi="宋体" w:eastAsia="宋体" w:cs="宋体"/>
                <w:sz w:val="22"/>
                <w:szCs w:val="22"/>
              </w:rPr>
              <w:t>部门未合理设置财务工作岗位，职责权限不明确，未严格实行不相容岗位分离，发现一处扣1分，扣完为止。</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030D12">
            <w:pPr>
              <w:widowControl/>
              <w:jc w:val="center"/>
              <w:rPr>
                <w:rFonts w:ascii="宋体" w:hAnsi="宋体" w:eastAsia="宋体" w:cs="宋体"/>
                <w:sz w:val="22"/>
                <w:szCs w:val="22"/>
              </w:rPr>
            </w:pPr>
            <w:r>
              <w:rPr>
                <w:rFonts w:hint="eastAsia" w:ascii="宋体" w:hAnsi="宋体" w:eastAsia="宋体" w:cs="宋体"/>
                <w:sz w:val="22"/>
                <w:szCs w:val="22"/>
              </w:rPr>
              <w:t>0</w:t>
            </w:r>
          </w:p>
        </w:tc>
        <w:tc>
          <w:tcPr>
            <w:tcW w:w="304" w:type="pct"/>
            <w:tcBorders>
              <w:top w:val="nil"/>
              <w:left w:val="nil"/>
              <w:bottom w:val="single" w:color="auto" w:sz="4" w:space="0"/>
              <w:right w:val="single" w:color="auto" w:sz="4" w:space="0"/>
            </w:tcBorders>
            <w:shd w:val="clear" w:color="auto" w:fill="auto"/>
            <w:noWrap/>
            <w:vAlign w:val="center"/>
          </w:tcPr>
          <w:p w14:paraId="6F421C41">
            <w:pPr>
              <w:widowControl/>
              <w:jc w:val="center"/>
              <w:rPr>
                <w:rFonts w:ascii="宋体" w:hAnsi="宋体" w:eastAsia="宋体" w:cs="宋体"/>
                <w:sz w:val="22"/>
                <w:szCs w:val="22"/>
              </w:rPr>
            </w:pPr>
            <w:r>
              <w:rPr>
                <w:rFonts w:hint="eastAsia" w:ascii="宋体" w:hAnsi="宋体" w:eastAsia="宋体" w:cs="宋体"/>
                <w:sz w:val="22"/>
                <w:szCs w:val="22"/>
              </w:rPr>
              <w:t>　</w:t>
            </w:r>
          </w:p>
        </w:tc>
      </w:tr>
      <w:tr w14:paraId="178106E6">
        <w:tblPrEx>
          <w:tblCellMar>
            <w:top w:w="0" w:type="dxa"/>
            <w:left w:w="108" w:type="dxa"/>
            <w:bottom w:w="0" w:type="dxa"/>
            <w:right w:w="108" w:type="dxa"/>
          </w:tblCellMar>
        </w:tblPrEx>
        <w:trPr>
          <w:trHeight w:val="915" w:hRule="atLeast"/>
        </w:trPr>
        <w:tc>
          <w:tcPr>
            <w:tcW w:w="404" w:type="pct"/>
            <w:vMerge w:val="continue"/>
            <w:tcBorders>
              <w:top w:val="nil"/>
              <w:left w:val="single" w:color="auto" w:sz="4" w:space="0"/>
              <w:bottom w:val="single" w:color="000000" w:sz="4" w:space="0"/>
              <w:right w:val="single" w:color="auto" w:sz="4" w:space="0"/>
            </w:tcBorders>
            <w:vAlign w:val="center"/>
          </w:tcPr>
          <w:p w14:paraId="06E22FB6">
            <w:pPr>
              <w:widowControl/>
              <w:jc w:val="left"/>
              <w:rPr>
                <w:rFonts w:ascii="宋体" w:hAnsi="宋体" w:eastAsia="宋体" w:cs="宋体"/>
                <w:b/>
                <w:bCs/>
                <w:sz w:val="22"/>
                <w:szCs w:val="22"/>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14:paraId="58381603">
            <w:pPr>
              <w:widowControl/>
              <w:jc w:val="left"/>
              <w:rPr>
                <w:rFonts w:ascii="宋体" w:hAnsi="宋体" w:eastAsia="宋体" w:cs="宋体"/>
                <w:sz w:val="22"/>
                <w:szCs w:val="22"/>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413CA">
            <w:pPr>
              <w:widowControl/>
              <w:jc w:val="center"/>
              <w:rPr>
                <w:rFonts w:ascii="宋体" w:hAnsi="宋体" w:eastAsia="宋体" w:cs="宋体"/>
                <w:sz w:val="22"/>
                <w:szCs w:val="22"/>
              </w:rPr>
            </w:pPr>
            <w:r>
              <w:rPr>
                <w:rFonts w:hint="eastAsia" w:ascii="宋体" w:hAnsi="宋体" w:eastAsia="宋体" w:cs="宋体"/>
                <w:sz w:val="22"/>
                <w:szCs w:val="22"/>
              </w:rPr>
              <w:t>资金使用规范</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EB2B0">
            <w:pPr>
              <w:widowControl/>
              <w:jc w:val="center"/>
              <w:rPr>
                <w:rFonts w:ascii="宋体" w:hAnsi="宋体" w:eastAsia="宋体" w:cs="宋体"/>
                <w:sz w:val="22"/>
                <w:szCs w:val="22"/>
              </w:rPr>
            </w:pPr>
            <w:r>
              <w:rPr>
                <w:rFonts w:hint="eastAsia" w:ascii="宋体" w:hAnsi="宋体" w:eastAsia="宋体" w:cs="宋体"/>
                <w:sz w:val="22"/>
                <w:szCs w:val="22"/>
              </w:rPr>
              <w:t>-2</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20F3EA3C">
            <w:pPr>
              <w:widowControl/>
              <w:jc w:val="center"/>
              <w:rPr>
                <w:rFonts w:ascii="宋体" w:hAnsi="宋体" w:eastAsia="宋体" w:cs="宋体"/>
                <w:sz w:val="22"/>
                <w:szCs w:val="22"/>
              </w:rPr>
            </w:pPr>
            <w:r>
              <w:rPr>
                <w:rFonts w:hint="eastAsia" w:ascii="宋体" w:hAnsi="宋体" w:eastAsia="宋体" w:cs="宋体"/>
                <w:sz w:val="22"/>
                <w:szCs w:val="22"/>
              </w:rPr>
              <w:t>部门资金使用是否符合相关财务管理制度规定</w:t>
            </w:r>
          </w:p>
        </w:tc>
        <w:tc>
          <w:tcPr>
            <w:tcW w:w="2032" w:type="pct"/>
            <w:tcBorders>
              <w:top w:val="single" w:color="auto" w:sz="4" w:space="0"/>
              <w:left w:val="single" w:color="auto" w:sz="4" w:space="0"/>
              <w:bottom w:val="single" w:color="auto" w:sz="4" w:space="0"/>
              <w:right w:val="single" w:color="auto" w:sz="4" w:space="0"/>
            </w:tcBorders>
            <w:shd w:val="clear" w:color="auto" w:fill="auto"/>
            <w:vAlign w:val="center"/>
          </w:tcPr>
          <w:p w14:paraId="2BFCBD94">
            <w:pPr>
              <w:widowControl/>
              <w:jc w:val="center"/>
              <w:rPr>
                <w:rFonts w:ascii="宋体" w:hAnsi="宋体" w:eastAsia="宋体" w:cs="宋体"/>
                <w:sz w:val="22"/>
                <w:szCs w:val="22"/>
              </w:rPr>
            </w:pPr>
            <w:r>
              <w:rPr>
                <w:rFonts w:hint="eastAsia" w:ascii="宋体" w:hAnsi="宋体" w:eastAsia="宋体" w:cs="宋体"/>
                <w:sz w:val="22"/>
                <w:szCs w:val="22"/>
              </w:rPr>
              <w:t>部门资金使用不符合相关财务管理制度规定的，发现一处扣1分，扣完为止。</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DBE39">
            <w:pPr>
              <w:widowControl/>
              <w:jc w:val="center"/>
              <w:rPr>
                <w:rFonts w:ascii="宋体" w:hAnsi="宋体" w:eastAsia="宋体" w:cs="宋体"/>
                <w:sz w:val="22"/>
                <w:szCs w:val="22"/>
              </w:rPr>
            </w:pPr>
            <w:r>
              <w:rPr>
                <w:rFonts w:hint="eastAsia" w:ascii="宋体" w:hAnsi="宋体" w:eastAsia="宋体" w:cs="宋体"/>
                <w:sz w:val="22"/>
                <w:szCs w:val="22"/>
              </w:rPr>
              <w:t>0</w:t>
            </w:r>
          </w:p>
        </w:tc>
        <w:tc>
          <w:tcPr>
            <w:tcW w:w="304" w:type="pct"/>
            <w:tcBorders>
              <w:top w:val="nil"/>
              <w:left w:val="nil"/>
              <w:bottom w:val="single" w:color="auto" w:sz="4" w:space="0"/>
              <w:right w:val="single" w:color="auto" w:sz="4" w:space="0"/>
            </w:tcBorders>
            <w:shd w:val="clear" w:color="auto" w:fill="auto"/>
            <w:noWrap/>
            <w:vAlign w:val="center"/>
          </w:tcPr>
          <w:p w14:paraId="1ADB0C60">
            <w:pPr>
              <w:widowControl/>
              <w:jc w:val="center"/>
              <w:rPr>
                <w:rFonts w:ascii="宋体" w:hAnsi="宋体" w:eastAsia="宋体" w:cs="宋体"/>
                <w:sz w:val="22"/>
                <w:szCs w:val="22"/>
              </w:rPr>
            </w:pPr>
            <w:r>
              <w:rPr>
                <w:rFonts w:hint="eastAsia" w:ascii="宋体" w:hAnsi="宋体" w:eastAsia="宋体" w:cs="宋体"/>
                <w:sz w:val="22"/>
                <w:szCs w:val="22"/>
              </w:rPr>
              <w:t>　</w:t>
            </w:r>
          </w:p>
        </w:tc>
      </w:tr>
      <w:tr w14:paraId="6A026992">
        <w:tblPrEx>
          <w:tblCellMar>
            <w:top w:w="0" w:type="dxa"/>
            <w:left w:w="108" w:type="dxa"/>
            <w:bottom w:w="0" w:type="dxa"/>
            <w:right w:w="108" w:type="dxa"/>
          </w:tblCellMar>
        </w:tblPrEx>
        <w:trPr>
          <w:trHeight w:val="1725" w:hRule="atLeast"/>
        </w:trPr>
        <w:tc>
          <w:tcPr>
            <w:tcW w:w="404" w:type="pct"/>
            <w:vMerge w:val="continue"/>
            <w:tcBorders>
              <w:top w:val="nil"/>
              <w:left w:val="single" w:color="auto" w:sz="4" w:space="0"/>
              <w:bottom w:val="single" w:color="000000" w:sz="4" w:space="0"/>
              <w:right w:val="single" w:color="auto" w:sz="4" w:space="0"/>
            </w:tcBorders>
            <w:vAlign w:val="center"/>
          </w:tcPr>
          <w:p w14:paraId="1633D9BA">
            <w:pPr>
              <w:widowControl/>
              <w:jc w:val="left"/>
              <w:rPr>
                <w:rFonts w:ascii="宋体" w:hAnsi="宋体" w:eastAsia="宋体" w:cs="宋体"/>
                <w:b/>
                <w:bCs/>
                <w:sz w:val="22"/>
                <w:szCs w:val="22"/>
              </w:rPr>
            </w:pPr>
          </w:p>
        </w:tc>
        <w:tc>
          <w:tcPr>
            <w:tcW w:w="925" w:type="pct"/>
            <w:gridSpan w:val="2"/>
            <w:tcBorders>
              <w:top w:val="single" w:color="auto" w:sz="4" w:space="0"/>
              <w:left w:val="nil"/>
              <w:bottom w:val="single" w:color="auto" w:sz="4" w:space="0"/>
              <w:right w:val="single" w:color="000000" w:sz="4" w:space="0"/>
            </w:tcBorders>
            <w:shd w:val="clear" w:color="auto" w:fill="auto"/>
            <w:noWrap/>
            <w:vAlign w:val="center"/>
          </w:tcPr>
          <w:p w14:paraId="4797D665">
            <w:pPr>
              <w:widowControl/>
              <w:jc w:val="center"/>
              <w:rPr>
                <w:rFonts w:ascii="宋体" w:hAnsi="宋体" w:eastAsia="宋体" w:cs="宋体"/>
                <w:sz w:val="22"/>
                <w:szCs w:val="22"/>
              </w:rPr>
            </w:pPr>
            <w:r>
              <w:rPr>
                <w:rFonts w:hint="eastAsia" w:ascii="宋体" w:hAnsi="宋体" w:eastAsia="宋体" w:cs="宋体"/>
                <w:sz w:val="22"/>
                <w:szCs w:val="22"/>
              </w:rPr>
              <w:t>预算绩效存在问题</w:t>
            </w:r>
          </w:p>
        </w:tc>
        <w:tc>
          <w:tcPr>
            <w:tcW w:w="310" w:type="pct"/>
            <w:tcBorders>
              <w:top w:val="nil"/>
              <w:left w:val="nil"/>
              <w:bottom w:val="single" w:color="auto" w:sz="4" w:space="0"/>
              <w:right w:val="single" w:color="auto" w:sz="4" w:space="0"/>
            </w:tcBorders>
            <w:shd w:val="clear" w:color="auto" w:fill="auto"/>
            <w:noWrap/>
            <w:vAlign w:val="center"/>
          </w:tcPr>
          <w:p w14:paraId="586F4093">
            <w:pPr>
              <w:widowControl/>
              <w:jc w:val="center"/>
              <w:rPr>
                <w:rFonts w:ascii="宋体" w:hAnsi="宋体" w:eastAsia="宋体" w:cs="宋体"/>
                <w:sz w:val="22"/>
                <w:szCs w:val="22"/>
              </w:rPr>
            </w:pPr>
            <w:r>
              <w:rPr>
                <w:rFonts w:hint="eastAsia" w:ascii="宋体" w:hAnsi="宋体" w:eastAsia="宋体" w:cs="宋体"/>
                <w:sz w:val="22"/>
                <w:szCs w:val="22"/>
              </w:rPr>
              <w:t>-2</w:t>
            </w:r>
          </w:p>
        </w:tc>
        <w:tc>
          <w:tcPr>
            <w:tcW w:w="718" w:type="pct"/>
            <w:tcBorders>
              <w:top w:val="nil"/>
              <w:left w:val="nil"/>
              <w:bottom w:val="single" w:color="auto" w:sz="4" w:space="0"/>
              <w:right w:val="single" w:color="auto" w:sz="4" w:space="0"/>
            </w:tcBorders>
            <w:shd w:val="clear" w:color="auto" w:fill="auto"/>
            <w:vAlign w:val="center"/>
          </w:tcPr>
          <w:p w14:paraId="665B0A93">
            <w:pPr>
              <w:widowControl/>
              <w:jc w:val="center"/>
              <w:rPr>
                <w:rFonts w:ascii="宋体" w:hAnsi="宋体" w:eastAsia="宋体" w:cs="宋体"/>
                <w:sz w:val="22"/>
                <w:szCs w:val="22"/>
              </w:rPr>
            </w:pPr>
            <w:r>
              <w:rPr>
                <w:rFonts w:hint="eastAsia" w:ascii="宋体" w:hAnsi="宋体" w:eastAsia="宋体" w:cs="宋体"/>
                <w:sz w:val="22"/>
                <w:szCs w:val="22"/>
              </w:rPr>
              <w:t>预算管理和绩效管理工作存在问题</w:t>
            </w:r>
          </w:p>
        </w:tc>
        <w:tc>
          <w:tcPr>
            <w:tcW w:w="2032" w:type="pct"/>
            <w:tcBorders>
              <w:top w:val="nil"/>
              <w:left w:val="nil"/>
              <w:bottom w:val="single" w:color="auto" w:sz="4" w:space="0"/>
              <w:right w:val="single" w:color="auto" w:sz="4" w:space="0"/>
            </w:tcBorders>
            <w:shd w:val="clear" w:color="auto" w:fill="auto"/>
            <w:vAlign w:val="center"/>
          </w:tcPr>
          <w:p w14:paraId="472F1652">
            <w:pPr>
              <w:widowControl/>
              <w:jc w:val="center"/>
              <w:rPr>
                <w:rFonts w:ascii="宋体" w:hAnsi="宋体" w:eastAsia="宋体" w:cs="宋体"/>
                <w:sz w:val="22"/>
                <w:szCs w:val="22"/>
              </w:rPr>
            </w:pPr>
            <w:r>
              <w:rPr>
                <w:rFonts w:hint="eastAsia" w:ascii="宋体" w:hAnsi="宋体" w:eastAsia="宋体" w:cs="宋体"/>
                <w:sz w:val="22"/>
                <w:szCs w:val="22"/>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303" w:type="pct"/>
            <w:tcBorders>
              <w:top w:val="nil"/>
              <w:left w:val="nil"/>
              <w:bottom w:val="single" w:color="auto" w:sz="4" w:space="0"/>
              <w:right w:val="single" w:color="auto" w:sz="4" w:space="0"/>
            </w:tcBorders>
            <w:shd w:val="clear" w:color="auto" w:fill="auto"/>
            <w:noWrap/>
            <w:vAlign w:val="center"/>
          </w:tcPr>
          <w:p w14:paraId="1762933D">
            <w:pPr>
              <w:widowControl/>
              <w:jc w:val="center"/>
              <w:rPr>
                <w:rFonts w:ascii="宋体" w:hAnsi="宋体" w:eastAsia="宋体" w:cs="宋体"/>
                <w:sz w:val="22"/>
                <w:szCs w:val="22"/>
              </w:rPr>
            </w:pPr>
            <w:r>
              <w:rPr>
                <w:rFonts w:hint="eastAsia" w:ascii="宋体" w:hAnsi="宋体" w:eastAsia="宋体" w:cs="宋体"/>
                <w:sz w:val="22"/>
                <w:szCs w:val="22"/>
              </w:rPr>
              <w:t>0</w:t>
            </w:r>
          </w:p>
        </w:tc>
        <w:tc>
          <w:tcPr>
            <w:tcW w:w="304" w:type="pct"/>
            <w:tcBorders>
              <w:top w:val="nil"/>
              <w:left w:val="nil"/>
              <w:bottom w:val="single" w:color="auto" w:sz="4" w:space="0"/>
              <w:right w:val="single" w:color="auto" w:sz="4" w:space="0"/>
            </w:tcBorders>
            <w:shd w:val="clear" w:color="auto" w:fill="auto"/>
            <w:noWrap/>
            <w:vAlign w:val="center"/>
          </w:tcPr>
          <w:p w14:paraId="55D5B5EA">
            <w:pPr>
              <w:widowControl/>
              <w:jc w:val="center"/>
              <w:rPr>
                <w:rFonts w:ascii="宋体" w:hAnsi="宋体" w:eastAsia="宋体" w:cs="宋体"/>
                <w:sz w:val="22"/>
                <w:szCs w:val="22"/>
              </w:rPr>
            </w:pPr>
            <w:r>
              <w:rPr>
                <w:rFonts w:hint="eastAsia" w:ascii="宋体" w:hAnsi="宋体" w:eastAsia="宋体" w:cs="宋体"/>
                <w:sz w:val="22"/>
                <w:szCs w:val="22"/>
              </w:rPr>
              <w:t>　</w:t>
            </w:r>
          </w:p>
        </w:tc>
      </w:tr>
      <w:tr w14:paraId="77E463D2">
        <w:tblPrEx>
          <w:tblCellMar>
            <w:top w:w="0" w:type="dxa"/>
            <w:left w:w="108" w:type="dxa"/>
            <w:bottom w:w="0" w:type="dxa"/>
            <w:right w:w="108" w:type="dxa"/>
          </w:tblCellMar>
        </w:tblPrEx>
        <w:trPr>
          <w:trHeight w:val="1035" w:hRule="atLeast"/>
        </w:trPr>
        <w:tc>
          <w:tcPr>
            <w:tcW w:w="404" w:type="pct"/>
            <w:vMerge w:val="continue"/>
            <w:tcBorders>
              <w:top w:val="nil"/>
              <w:left w:val="single" w:color="auto" w:sz="4" w:space="0"/>
              <w:bottom w:val="single" w:color="000000" w:sz="4" w:space="0"/>
              <w:right w:val="single" w:color="auto" w:sz="4" w:space="0"/>
            </w:tcBorders>
            <w:vAlign w:val="center"/>
          </w:tcPr>
          <w:p w14:paraId="0F61817B">
            <w:pPr>
              <w:widowControl/>
              <w:jc w:val="left"/>
              <w:rPr>
                <w:rFonts w:ascii="宋体" w:hAnsi="宋体" w:eastAsia="宋体" w:cs="宋体"/>
                <w:b/>
                <w:bCs/>
                <w:sz w:val="22"/>
                <w:szCs w:val="22"/>
              </w:rPr>
            </w:pPr>
          </w:p>
        </w:tc>
        <w:tc>
          <w:tcPr>
            <w:tcW w:w="925" w:type="pct"/>
            <w:gridSpan w:val="2"/>
            <w:tcBorders>
              <w:top w:val="single" w:color="auto" w:sz="4" w:space="0"/>
              <w:left w:val="nil"/>
              <w:bottom w:val="single" w:color="auto" w:sz="4" w:space="0"/>
              <w:right w:val="single" w:color="000000" w:sz="4" w:space="0"/>
            </w:tcBorders>
            <w:shd w:val="clear" w:color="auto" w:fill="auto"/>
            <w:noWrap/>
            <w:vAlign w:val="center"/>
          </w:tcPr>
          <w:p w14:paraId="33337CCF">
            <w:pPr>
              <w:widowControl/>
              <w:jc w:val="center"/>
              <w:rPr>
                <w:rFonts w:ascii="宋体" w:hAnsi="宋体" w:eastAsia="宋体" w:cs="宋体"/>
                <w:sz w:val="22"/>
                <w:szCs w:val="22"/>
              </w:rPr>
            </w:pPr>
            <w:r>
              <w:rPr>
                <w:rFonts w:hint="eastAsia" w:ascii="宋体" w:hAnsi="宋体" w:eastAsia="宋体" w:cs="宋体"/>
                <w:sz w:val="22"/>
                <w:szCs w:val="22"/>
              </w:rPr>
              <w:t>被评价部门配合度</w:t>
            </w:r>
          </w:p>
        </w:tc>
        <w:tc>
          <w:tcPr>
            <w:tcW w:w="310" w:type="pct"/>
            <w:tcBorders>
              <w:top w:val="nil"/>
              <w:left w:val="nil"/>
              <w:bottom w:val="single" w:color="auto" w:sz="4" w:space="0"/>
              <w:right w:val="single" w:color="auto" w:sz="4" w:space="0"/>
            </w:tcBorders>
            <w:shd w:val="clear" w:color="auto" w:fill="auto"/>
            <w:noWrap/>
            <w:vAlign w:val="center"/>
          </w:tcPr>
          <w:p w14:paraId="7692FA79">
            <w:pPr>
              <w:widowControl/>
              <w:jc w:val="center"/>
              <w:rPr>
                <w:rFonts w:ascii="宋体" w:hAnsi="宋体" w:eastAsia="宋体" w:cs="宋体"/>
                <w:sz w:val="22"/>
                <w:szCs w:val="22"/>
              </w:rPr>
            </w:pPr>
            <w:r>
              <w:rPr>
                <w:rFonts w:hint="eastAsia" w:ascii="宋体" w:hAnsi="宋体" w:eastAsia="宋体" w:cs="宋体"/>
                <w:sz w:val="22"/>
                <w:szCs w:val="22"/>
              </w:rPr>
              <w:t>-2</w:t>
            </w:r>
          </w:p>
        </w:tc>
        <w:tc>
          <w:tcPr>
            <w:tcW w:w="718" w:type="pct"/>
            <w:tcBorders>
              <w:top w:val="nil"/>
              <w:left w:val="nil"/>
              <w:bottom w:val="single" w:color="auto" w:sz="4" w:space="0"/>
              <w:right w:val="single" w:color="auto" w:sz="4" w:space="0"/>
            </w:tcBorders>
            <w:shd w:val="clear" w:color="auto" w:fill="auto"/>
            <w:vAlign w:val="center"/>
          </w:tcPr>
          <w:p w14:paraId="068EDD3F">
            <w:pPr>
              <w:widowControl/>
              <w:jc w:val="center"/>
              <w:rPr>
                <w:rFonts w:ascii="宋体" w:hAnsi="宋体" w:eastAsia="宋体" w:cs="宋体"/>
                <w:sz w:val="22"/>
                <w:szCs w:val="22"/>
              </w:rPr>
            </w:pPr>
            <w:r>
              <w:rPr>
                <w:rFonts w:hint="eastAsia" w:ascii="宋体" w:hAnsi="宋体" w:eastAsia="宋体" w:cs="宋体"/>
                <w:sz w:val="22"/>
                <w:szCs w:val="22"/>
              </w:rPr>
              <w:t>被评价对象工作配合情况</w:t>
            </w:r>
          </w:p>
        </w:tc>
        <w:tc>
          <w:tcPr>
            <w:tcW w:w="2032" w:type="pct"/>
            <w:tcBorders>
              <w:top w:val="nil"/>
              <w:left w:val="nil"/>
              <w:bottom w:val="single" w:color="auto" w:sz="4" w:space="0"/>
              <w:right w:val="single" w:color="auto" w:sz="4" w:space="0"/>
            </w:tcBorders>
            <w:shd w:val="clear" w:color="auto" w:fill="auto"/>
            <w:vAlign w:val="center"/>
          </w:tcPr>
          <w:p w14:paraId="315B8A35">
            <w:pPr>
              <w:widowControl/>
              <w:jc w:val="center"/>
              <w:rPr>
                <w:rFonts w:ascii="宋体" w:hAnsi="宋体" w:eastAsia="宋体" w:cs="宋体"/>
                <w:sz w:val="22"/>
                <w:szCs w:val="22"/>
              </w:rPr>
            </w:pPr>
            <w:r>
              <w:rPr>
                <w:rFonts w:hint="eastAsia" w:ascii="宋体" w:hAnsi="宋体" w:eastAsia="宋体" w:cs="宋体"/>
                <w:sz w:val="22"/>
                <w:szCs w:val="22"/>
              </w:rPr>
              <w:t>评价工作开展过程中，被评价对象拖延推诿、提交资料不及时等拒不配合评价工作的，每发现一次扣1分，扣完为止。</w:t>
            </w:r>
          </w:p>
        </w:tc>
        <w:tc>
          <w:tcPr>
            <w:tcW w:w="303" w:type="pct"/>
            <w:tcBorders>
              <w:top w:val="nil"/>
              <w:left w:val="nil"/>
              <w:bottom w:val="single" w:color="auto" w:sz="4" w:space="0"/>
              <w:right w:val="single" w:color="auto" w:sz="4" w:space="0"/>
            </w:tcBorders>
            <w:shd w:val="clear" w:color="auto" w:fill="auto"/>
            <w:noWrap/>
            <w:vAlign w:val="center"/>
          </w:tcPr>
          <w:p w14:paraId="03EEC972">
            <w:pPr>
              <w:widowControl/>
              <w:jc w:val="center"/>
              <w:rPr>
                <w:rFonts w:ascii="宋体" w:hAnsi="宋体" w:eastAsia="宋体" w:cs="宋体"/>
                <w:sz w:val="22"/>
                <w:szCs w:val="22"/>
              </w:rPr>
            </w:pPr>
            <w:r>
              <w:rPr>
                <w:rFonts w:hint="eastAsia" w:ascii="宋体" w:hAnsi="宋体" w:eastAsia="宋体" w:cs="宋体"/>
                <w:sz w:val="22"/>
                <w:szCs w:val="22"/>
              </w:rPr>
              <w:t>0</w:t>
            </w:r>
          </w:p>
        </w:tc>
        <w:tc>
          <w:tcPr>
            <w:tcW w:w="304" w:type="pct"/>
            <w:tcBorders>
              <w:top w:val="nil"/>
              <w:left w:val="nil"/>
              <w:bottom w:val="single" w:color="auto" w:sz="4" w:space="0"/>
              <w:right w:val="single" w:color="auto" w:sz="4" w:space="0"/>
            </w:tcBorders>
            <w:shd w:val="clear" w:color="auto" w:fill="auto"/>
            <w:noWrap/>
            <w:vAlign w:val="center"/>
          </w:tcPr>
          <w:p w14:paraId="64C19E4C">
            <w:pPr>
              <w:widowControl/>
              <w:jc w:val="center"/>
              <w:rPr>
                <w:rFonts w:ascii="宋体" w:hAnsi="宋体" w:eastAsia="宋体" w:cs="宋体"/>
                <w:sz w:val="22"/>
                <w:szCs w:val="22"/>
              </w:rPr>
            </w:pPr>
            <w:r>
              <w:rPr>
                <w:rFonts w:hint="eastAsia" w:ascii="宋体" w:hAnsi="宋体" w:eastAsia="宋体" w:cs="宋体"/>
                <w:sz w:val="22"/>
                <w:szCs w:val="22"/>
              </w:rPr>
              <w:t>　</w:t>
            </w:r>
          </w:p>
        </w:tc>
      </w:tr>
      <w:tr w14:paraId="50BB1178">
        <w:tblPrEx>
          <w:tblCellMar>
            <w:top w:w="0" w:type="dxa"/>
            <w:left w:w="108" w:type="dxa"/>
            <w:bottom w:w="0" w:type="dxa"/>
            <w:right w:w="108" w:type="dxa"/>
          </w:tblCellMar>
        </w:tblPrEx>
        <w:trPr>
          <w:trHeight w:val="285" w:hRule="atLeast"/>
        </w:trPr>
        <w:tc>
          <w:tcPr>
            <w:tcW w:w="133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EEC6FF7">
            <w:pPr>
              <w:widowControl/>
              <w:jc w:val="center"/>
              <w:rPr>
                <w:rFonts w:ascii="宋体" w:hAnsi="宋体" w:eastAsia="宋体" w:cs="宋体"/>
                <w:b/>
                <w:bCs/>
                <w:sz w:val="22"/>
                <w:szCs w:val="22"/>
              </w:rPr>
            </w:pPr>
            <w:r>
              <w:rPr>
                <w:rFonts w:hint="eastAsia" w:ascii="宋体" w:hAnsi="宋体" w:eastAsia="宋体" w:cs="宋体"/>
                <w:b/>
                <w:bCs/>
                <w:sz w:val="22"/>
                <w:szCs w:val="22"/>
              </w:rPr>
              <w:t>分值</w:t>
            </w:r>
          </w:p>
        </w:tc>
        <w:tc>
          <w:tcPr>
            <w:tcW w:w="310" w:type="pct"/>
            <w:tcBorders>
              <w:top w:val="nil"/>
              <w:left w:val="nil"/>
              <w:bottom w:val="single" w:color="auto" w:sz="4" w:space="0"/>
              <w:right w:val="single" w:color="auto" w:sz="4" w:space="0"/>
            </w:tcBorders>
            <w:shd w:val="clear" w:color="auto" w:fill="auto"/>
            <w:noWrap/>
            <w:vAlign w:val="center"/>
          </w:tcPr>
          <w:p w14:paraId="361B3093">
            <w:pPr>
              <w:widowControl/>
              <w:jc w:val="center"/>
              <w:rPr>
                <w:rFonts w:ascii="宋体" w:hAnsi="宋体" w:eastAsia="宋体" w:cs="宋体"/>
                <w:sz w:val="22"/>
                <w:szCs w:val="22"/>
              </w:rPr>
            </w:pPr>
            <w:r>
              <w:rPr>
                <w:rFonts w:hint="eastAsia" w:ascii="宋体" w:hAnsi="宋体" w:eastAsia="宋体" w:cs="宋体"/>
                <w:sz w:val="22"/>
                <w:szCs w:val="22"/>
              </w:rPr>
              <w:t>　</w:t>
            </w:r>
          </w:p>
        </w:tc>
        <w:tc>
          <w:tcPr>
            <w:tcW w:w="718" w:type="pct"/>
            <w:tcBorders>
              <w:top w:val="nil"/>
              <w:left w:val="nil"/>
              <w:bottom w:val="single" w:color="auto" w:sz="4" w:space="0"/>
              <w:right w:val="single" w:color="auto" w:sz="4" w:space="0"/>
            </w:tcBorders>
            <w:shd w:val="clear" w:color="auto" w:fill="auto"/>
            <w:noWrap/>
            <w:vAlign w:val="center"/>
          </w:tcPr>
          <w:p w14:paraId="581723CA">
            <w:pPr>
              <w:widowControl/>
              <w:jc w:val="center"/>
              <w:rPr>
                <w:rFonts w:ascii="宋体" w:hAnsi="宋体" w:eastAsia="宋体" w:cs="宋体"/>
                <w:sz w:val="22"/>
                <w:szCs w:val="22"/>
              </w:rPr>
            </w:pPr>
            <w:r>
              <w:rPr>
                <w:rFonts w:hint="eastAsia" w:ascii="宋体" w:hAnsi="宋体" w:eastAsia="宋体" w:cs="宋体"/>
                <w:sz w:val="22"/>
                <w:szCs w:val="22"/>
              </w:rPr>
              <w:t>　</w:t>
            </w:r>
          </w:p>
        </w:tc>
        <w:tc>
          <w:tcPr>
            <w:tcW w:w="2032" w:type="pct"/>
            <w:tcBorders>
              <w:top w:val="nil"/>
              <w:left w:val="nil"/>
              <w:bottom w:val="single" w:color="auto" w:sz="4" w:space="0"/>
              <w:right w:val="single" w:color="auto" w:sz="4" w:space="0"/>
            </w:tcBorders>
            <w:shd w:val="clear" w:color="auto" w:fill="auto"/>
            <w:noWrap/>
            <w:vAlign w:val="center"/>
          </w:tcPr>
          <w:p w14:paraId="1EBD0683">
            <w:pPr>
              <w:widowControl/>
              <w:jc w:val="center"/>
              <w:rPr>
                <w:rFonts w:ascii="宋体" w:hAnsi="宋体" w:eastAsia="宋体" w:cs="宋体"/>
                <w:sz w:val="22"/>
                <w:szCs w:val="22"/>
              </w:rPr>
            </w:pPr>
            <w:r>
              <w:rPr>
                <w:rFonts w:hint="eastAsia" w:ascii="宋体" w:hAnsi="宋体" w:eastAsia="宋体" w:cs="宋体"/>
                <w:sz w:val="22"/>
                <w:szCs w:val="22"/>
              </w:rPr>
              <w:t>　</w:t>
            </w:r>
          </w:p>
        </w:tc>
        <w:tc>
          <w:tcPr>
            <w:tcW w:w="303" w:type="pct"/>
            <w:tcBorders>
              <w:top w:val="nil"/>
              <w:left w:val="nil"/>
              <w:bottom w:val="single" w:color="auto" w:sz="4" w:space="0"/>
              <w:right w:val="single" w:color="auto" w:sz="4" w:space="0"/>
            </w:tcBorders>
            <w:shd w:val="clear" w:color="auto" w:fill="auto"/>
            <w:noWrap/>
            <w:vAlign w:val="center"/>
          </w:tcPr>
          <w:p w14:paraId="72EFF241">
            <w:pPr>
              <w:widowControl/>
              <w:jc w:val="center"/>
              <w:rPr>
                <w:rFonts w:ascii="宋体" w:hAnsi="宋体" w:eastAsia="宋体" w:cs="宋体"/>
                <w:sz w:val="22"/>
                <w:szCs w:val="22"/>
              </w:rPr>
            </w:pPr>
            <w:r>
              <w:rPr>
                <w:rFonts w:hint="eastAsia" w:ascii="宋体" w:hAnsi="宋体" w:eastAsia="宋体" w:cs="宋体"/>
                <w:sz w:val="22"/>
                <w:szCs w:val="22"/>
              </w:rPr>
              <w:t>88.49</w:t>
            </w:r>
          </w:p>
        </w:tc>
        <w:tc>
          <w:tcPr>
            <w:tcW w:w="304" w:type="pct"/>
            <w:tcBorders>
              <w:top w:val="nil"/>
              <w:left w:val="nil"/>
              <w:bottom w:val="single" w:color="auto" w:sz="4" w:space="0"/>
              <w:right w:val="single" w:color="auto" w:sz="4" w:space="0"/>
            </w:tcBorders>
            <w:shd w:val="clear" w:color="auto" w:fill="auto"/>
            <w:noWrap/>
            <w:vAlign w:val="center"/>
          </w:tcPr>
          <w:p w14:paraId="55D9EA20">
            <w:pPr>
              <w:widowControl/>
              <w:jc w:val="center"/>
              <w:rPr>
                <w:rFonts w:ascii="宋体" w:hAnsi="宋体" w:eastAsia="宋体" w:cs="宋体"/>
                <w:sz w:val="22"/>
                <w:szCs w:val="22"/>
              </w:rPr>
            </w:pPr>
            <w:r>
              <w:rPr>
                <w:rFonts w:hint="eastAsia" w:ascii="宋体" w:hAnsi="宋体" w:eastAsia="宋体" w:cs="宋体"/>
                <w:sz w:val="22"/>
                <w:szCs w:val="22"/>
              </w:rPr>
              <w:t>　</w:t>
            </w:r>
          </w:p>
        </w:tc>
      </w:tr>
    </w:tbl>
    <w:p w14:paraId="792DB84F">
      <w:pPr>
        <w:pStyle w:val="196"/>
        <w:spacing w:line="560" w:lineRule="exact"/>
        <w:ind w:firstLine="0"/>
        <w:rPr>
          <w:rFonts w:ascii="Times New Roman"/>
          <w:lang w:val="zh-CN"/>
        </w:rPr>
      </w:pPr>
    </w:p>
    <w:p w14:paraId="321E0F15">
      <w:pPr>
        <w:pStyle w:val="196"/>
        <w:spacing w:line="560" w:lineRule="exact"/>
        <w:ind w:firstLine="0"/>
        <w:rPr>
          <w:rFonts w:ascii="Times New Roman"/>
          <w:lang w:val="zh-CN"/>
        </w:rPr>
        <w:sectPr>
          <w:pgSz w:w="16838" w:h="11906" w:orient="landscape"/>
          <w:pgMar w:top="1440" w:right="1803" w:bottom="1440" w:left="1803" w:header="851" w:footer="1701" w:gutter="0"/>
          <w:cols w:space="1701" w:num="1"/>
        </w:sectPr>
      </w:pPr>
    </w:p>
    <w:p w14:paraId="33CF9FFF">
      <w:pPr>
        <w:pStyle w:val="196"/>
        <w:ind w:firstLine="0"/>
        <w:rPr>
          <w:rFonts w:hint="default" w:ascii="Times New Roman" w:eastAsia="黑体"/>
          <w:shd w:val="clear" w:color="auto" w:fill="FFFFFF"/>
          <w:lang w:val="en-US" w:eastAsia="zh-CN"/>
        </w:rPr>
      </w:pPr>
      <w:r>
        <w:rPr>
          <w:rFonts w:hint="eastAsia" w:ascii="Times New Roman" w:eastAsia="黑体"/>
          <w:shd w:val="clear" w:color="auto" w:fill="FFFFFF"/>
          <w:lang w:val="en-US" w:eastAsia="zh-CN"/>
        </w:rPr>
        <w:t>附件2：</w:t>
      </w:r>
    </w:p>
    <w:tbl>
      <w:tblPr>
        <w:tblStyle w:val="36"/>
        <w:tblW w:w="5000" w:type="pct"/>
        <w:tblInd w:w="0" w:type="dxa"/>
        <w:tblLayout w:type="autofit"/>
        <w:tblCellMar>
          <w:top w:w="0" w:type="dxa"/>
          <w:left w:w="108" w:type="dxa"/>
          <w:bottom w:w="0" w:type="dxa"/>
          <w:right w:w="108" w:type="dxa"/>
        </w:tblCellMar>
      </w:tblPr>
      <w:tblGrid>
        <w:gridCol w:w="576"/>
        <w:gridCol w:w="799"/>
        <w:gridCol w:w="681"/>
        <w:gridCol w:w="1640"/>
        <w:gridCol w:w="396"/>
        <w:gridCol w:w="810"/>
        <w:gridCol w:w="756"/>
        <w:gridCol w:w="756"/>
        <w:gridCol w:w="486"/>
        <w:gridCol w:w="756"/>
        <w:gridCol w:w="1586"/>
      </w:tblGrid>
      <w:tr w14:paraId="1A1DD13E">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4CD5899">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163CB16A">
        <w:tblPrEx>
          <w:tblCellMar>
            <w:top w:w="0" w:type="dxa"/>
            <w:left w:w="108" w:type="dxa"/>
            <w:bottom w:w="0" w:type="dxa"/>
            <w:right w:w="108" w:type="dxa"/>
          </w:tblCellMar>
        </w:tblPrEx>
        <w:trPr>
          <w:trHeight w:val="559" w:hRule="atLeast"/>
        </w:trPr>
        <w:tc>
          <w:tcPr>
            <w:tcW w:w="745" w:type="pct"/>
            <w:gridSpan w:val="2"/>
            <w:tcBorders>
              <w:top w:val="nil"/>
              <w:left w:val="single" w:color="auto" w:sz="4" w:space="0"/>
              <w:bottom w:val="single" w:color="000000" w:sz="4" w:space="0"/>
              <w:right w:val="single" w:color="auto" w:sz="4" w:space="0"/>
            </w:tcBorders>
            <w:shd w:val="clear" w:color="auto" w:fill="auto"/>
            <w:vAlign w:val="center"/>
          </w:tcPr>
          <w:p w14:paraId="2A4AE179">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255" w:type="pct"/>
            <w:gridSpan w:val="9"/>
            <w:tcBorders>
              <w:top w:val="nil"/>
              <w:left w:val="nil"/>
              <w:bottom w:val="single" w:color="000000" w:sz="4" w:space="0"/>
              <w:right w:val="single" w:color="auto" w:sz="4" w:space="0"/>
            </w:tcBorders>
            <w:shd w:val="clear" w:color="auto" w:fill="auto"/>
            <w:vAlign w:val="center"/>
          </w:tcPr>
          <w:p w14:paraId="1C9C6E0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51090423T000008168192-2023智慧矫正中心建设</w:t>
            </w:r>
          </w:p>
        </w:tc>
      </w:tr>
      <w:tr w14:paraId="618F1720">
        <w:tblPrEx>
          <w:tblCellMar>
            <w:top w:w="0" w:type="dxa"/>
            <w:left w:w="108" w:type="dxa"/>
            <w:bottom w:w="0" w:type="dxa"/>
            <w:right w:w="108" w:type="dxa"/>
          </w:tblCellMar>
        </w:tblPrEx>
        <w:trPr>
          <w:trHeight w:val="514" w:hRule="atLeast"/>
        </w:trPr>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EDAD6">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473" w:type="pct"/>
            <w:gridSpan w:val="5"/>
            <w:tcBorders>
              <w:top w:val="single" w:color="000000" w:sz="4" w:space="0"/>
              <w:left w:val="nil"/>
              <w:bottom w:val="single" w:color="000000" w:sz="4" w:space="0"/>
              <w:right w:val="single" w:color="000000" w:sz="4" w:space="0"/>
            </w:tcBorders>
            <w:shd w:val="clear" w:color="auto" w:fill="auto"/>
            <w:vAlign w:val="center"/>
          </w:tcPr>
          <w:p w14:paraId="496642E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375" w:type="pct"/>
            <w:tcBorders>
              <w:top w:val="nil"/>
              <w:left w:val="nil"/>
              <w:bottom w:val="nil"/>
              <w:right w:val="nil"/>
            </w:tcBorders>
            <w:shd w:val="clear" w:color="auto" w:fill="auto"/>
            <w:vAlign w:val="center"/>
          </w:tcPr>
          <w:p w14:paraId="6F77AACB">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5AFA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21C1E84C">
        <w:tblPrEx>
          <w:tblCellMar>
            <w:top w:w="0" w:type="dxa"/>
            <w:left w:w="108" w:type="dxa"/>
            <w:bottom w:w="0" w:type="dxa"/>
            <w:right w:w="108" w:type="dxa"/>
          </w:tblCellMar>
        </w:tblPrEx>
        <w:trPr>
          <w:trHeight w:val="360" w:hRule="atLeast"/>
        </w:trPr>
        <w:tc>
          <w:tcPr>
            <w:tcW w:w="197" w:type="pct"/>
            <w:vMerge w:val="restart"/>
            <w:tcBorders>
              <w:top w:val="nil"/>
              <w:left w:val="single" w:color="000000" w:sz="4" w:space="0"/>
              <w:bottom w:val="single" w:color="000000" w:sz="4" w:space="0"/>
              <w:right w:val="single" w:color="000000" w:sz="4" w:space="0"/>
            </w:tcBorders>
            <w:shd w:val="clear" w:color="auto" w:fill="auto"/>
            <w:vAlign w:val="center"/>
          </w:tcPr>
          <w:p w14:paraId="59E7EE9C">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548" w:type="pct"/>
            <w:vMerge w:val="restart"/>
            <w:tcBorders>
              <w:top w:val="nil"/>
              <w:left w:val="single" w:color="000000" w:sz="4" w:space="0"/>
              <w:bottom w:val="single" w:color="000000" w:sz="4" w:space="0"/>
              <w:right w:val="single" w:color="000000" w:sz="4" w:space="0"/>
            </w:tcBorders>
            <w:shd w:val="clear" w:color="auto" w:fill="auto"/>
            <w:vAlign w:val="center"/>
          </w:tcPr>
          <w:p w14:paraId="2638CB7B">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473" w:type="pct"/>
            <w:gridSpan w:val="5"/>
            <w:tcBorders>
              <w:top w:val="single" w:color="000000" w:sz="4" w:space="0"/>
              <w:left w:val="nil"/>
              <w:bottom w:val="single" w:color="000000" w:sz="4" w:space="0"/>
              <w:right w:val="single" w:color="000000" w:sz="4" w:space="0"/>
            </w:tcBorders>
            <w:shd w:val="clear" w:color="auto" w:fill="auto"/>
            <w:vAlign w:val="center"/>
          </w:tcPr>
          <w:p w14:paraId="0A56936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782" w:type="pct"/>
            <w:gridSpan w:val="4"/>
            <w:tcBorders>
              <w:top w:val="single" w:color="000000" w:sz="4" w:space="0"/>
              <w:left w:val="nil"/>
              <w:bottom w:val="single" w:color="000000" w:sz="4" w:space="0"/>
              <w:right w:val="single" w:color="000000" w:sz="4" w:space="0"/>
            </w:tcBorders>
            <w:shd w:val="clear" w:color="auto" w:fill="auto"/>
            <w:vAlign w:val="center"/>
          </w:tcPr>
          <w:p w14:paraId="61EA6D21">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69C71437">
        <w:tblPrEx>
          <w:tblCellMar>
            <w:top w:w="0" w:type="dxa"/>
            <w:left w:w="108" w:type="dxa"/>
            <w:bottom w:w="0" w:type="dxa"/>
            <w:right w:w="108" w:type="dxa"/>
          </w:tblCellMar>
        </w:tblPrEx>
        <w:trPr>
          <w:trHeight w:val="2682" w:hRule="atLeast"/>
        </w:trPr>
        <w:tc>
          <w:tcPr>
            <w:tcW w:w="197" w:type="pct"/>
            <w:vMerge w:val="continue"/>
            <w:tcBorders>
              <w:top w:val="nil"/>
              <w:left w:val="single" w:color="000000" w:sz="4" w:space="0"/>
              <w:bottom w:val="single" w:color="000000" w:sz="4" w:space="0"/>
              <w:right w:val="single" w:color="000000" w:sz="4" w:space="0"/>
            </w:tcBorders>
            <w:vAlign w:val="center"/>
          </w:tcPr>
          <w:p w14:paraId="4B05DE13">
            <w:pPr>
              <w:widowControl/>
              <w:jc w:val="left"/>
              <w:rPr>
                <w:rFonts w:ascii="宋体" w:hAnsi="宋体" w:eastAsia="宋体" w:cs="宋体"/>
                <w:color w:val="000000"/>
                <w:sz w:val="18"/>
                <w:szCs w:val="18"/>
              </w:rPr>
            </w:pPr>
          </w:p>
        </w:tc>
        <w:tc>
          <w:tcPr>
            <w:tcW w:w="548" w:type="pct"/>
            <w:vMerge w:val="continue"/>
            <w:tcBorders>
              <w:top w:val="nil"/>
              <w:left w:val="single" w:color="000000" w:sz="4" w:space="0"/>
              <w:bottom w:val="single" w:color="000000" w:sz="4" w:space="0"/>
              <w:right w:val="single" w:color="000000" w:sz="4" w:space="0"/>
            </w:tcBorders>
            <w:vAlign w:val="center"/>
          </w:tcPr>
          <w:p w14:paraId="2CF14361">
            <w:pPr>
              <w:widowControl/>
              <w:jc w:val="left"/>
              <w:rPr>
                <w:rFonts w:ascii="宋体" w:hAnsi="宋体" w:eastAsia="宋体" w:cs="宋体"/>
                <w:color w:val="000000"/>
                <w:sz w:val="18"/>
                <w:szCs w:val="18"/>
              </w:rPr>
            </w:pPr>
          </w:p>
        </w:tc>
        <w:tc>
          <w:tcPr>
            <w:tcW w:w="2473" w:type="pct"/>
            <w:gridSpan w:val="5"/>
            <w:tcBorders>
              <w:top w:val="single" w:color="000000" w:sz="4" w:space="0"/>
              <w:left w:val="nil"/>
              <w:bottom w:val="single" w:color="000000" w:sz="4" w:space="0"/>
              <w:right w:val="single" w:color="000000" w:sz="4" w:space="0"/>
            </w:tcBorders>
            <w:shd w:val="clear" w:color="auto" w:fill="auto"/>
            <w:vAlign w:val="center"/>
          </w:tcPr>
          <w:p w14:paraId="234BE593">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打造“数据一体化、管理智能化、移动互联化、指挥可视化”的“智能矫正中心”，有效提升社区矫正社会治理法治化、规范化、信息化水平，为推动视域社会治理、建设 更高水平的“平安安居”做出积极贡献。</w:t>
            </w:r>
          </w:p>
        </w:tc>
        <w:tc>
          <w:tcPr>
            <w:tcW w:w="1782" w:type="pct"/>
            <w:gridSpan w:val="4"/>
            <w:tcBorders>
              <w:top w:val="single" w:color="000000" w:sz="4" w:space="0"/>
              <w:left w:val="nil"/>
              <w:bottom w:val="single" w:color="000000" w:sz="4" w:space="0"/>
              <w:right w:val="single" w:color="000000" w:sz="4" w:space="0"/>
            </w:tcBorders>
            <w:shd w:val="clear" w:color="auto" w:fill="auto"/>
            <w:vAlign w:val="center"/>
          </w:tcPr>
          <w:p w14:paraId="59281072">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一是新建社区矫正场所。争取到国有资产临街门面房600平方米，作为创建部级“智慧矫正中心”的场地，并投入100余万元按照司法部《社区矫正中心建设规范》进行了装修，设置了综合管理区、监督管理区和教育帮扶区，设置心理辅导室、宣泄室、图书阅览室等功能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二是优化升级社区矫正中心智能信息化软硬件，推动社区矫正中心向“智慧矫正中心”转变。投入50余万元，新建了指挥中心，新增了自助矫正终端、手持移动终端、心理矫治设备、VR沉浸式教育设备等智慧矫正设备，打造了集报到登记、日常监管、视频督查、手机定位等一体化的智能化社区矫正中心，有效提高社区矫正监管教育智能化水平和精准程度，成为全国第二批部级“智慧矫正中心”申报单位。</w:t>
            </w:r>
          </w:p>
        </w:tc>
      </w:tr>
      <w:tr w14:paraId="0DD467F6">
        <w:tblPrEx>
          <w:tblCellMar>
            <w:top w:w="0" w:type="dxa"/>
            <w:left w:w="108" w:type="dxa"/>
            <w:bottom w:w="0" w:type="dxa"/>
            <w:right w:w="108" w:type="dxa"/>
          </w:tblCellMar>
        </w:tblPrEx>
        <w:trPr>
          <w:trHeight w:val="2760" w:hRule="atLeast"/>
        </w:trPr>
        <w:tc>
          <w:tcPr>
            <w:tcW w:w="197" w:type="pct"/>
            <w:vMerge w:val="continue"/>
            <w:tcBorders>
              <w:top w:val="nil"/>
              <w:left w:val="single" w:color="000000" w:sz="4" w:space="0"/>
              <w:bottom w:val="single" w:color="000000" w:sz="4" w:space="0"/>
              <w:right w:val="single" w:color="000000" w:sz="4" w:space="0"/>
            </w:tcBorders>
            <w:vAlign w:val="center"/>
          </w:tcPr>
          <w:p w14:paraId="0DBA203A">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361A888E">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255" w:type="pct"/>
            <w:gridSpan w:val="9"/>
            <w:tcBorders>
              <w:top w:val="single" w:color="000000" w:sz="4" w:space="0"/>
              <w:left w:val="nil"/>
              <w:bottom w:val="single" w:color="000000" w:sz="4" w:space="0"/>
              <w:right w:val="single" w:color="000000" w:sz="4" w:space="0"/>
            </w:tcBorders>
            <w:shd w:val="clear" w:color="auto" w:fill="auto"/>
            <w:vAlign w:val="center"/>
          </w:tcPr>
          <w:p w14:paraId="6039076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一是新建社区矫正场所。争取到国有资产临街门面房600平方米，作为创建部级“智慧矫正中心”的场地，并投入100余万元按照司法部《社区矫正中心建设规范》进行了装修，设置了综合管理区、监督管理区和教育帮扶区，设置心理辅导室、宣泄室、图书阅览室等功能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二是优化升级社区矫正中心智能信息化软硬件，推动社区矫正中心向“智慧矫正中心”转变。投入50余万元，新建了指挥中心，新增了自助矫正终端、手持移动终端、心理矫治设备、VR沉浸式教育设备等智慧矫正设备，打造了集报到登记、日常监管、视频督查、手机定位等一体化的智能化社区矫正中心，有效提高社区矫正监管教育智能化水平和精准程度，成为全国第二批部级“智慧矫正中心”申报单位。</w:t>
            </w:r>
          </w:p>
        </w:tc>
      </w:tr>
      <w:tr w14:paraId="33209528">
        <w:tblPrEx>
          <w:tblCellMar>
            <w:top w:w="0" w:type="dxa"/>
            <w:left w:w="108" w:type="dxa"/>
            <w:bottom w:w="0" w:type="dxa"/>
            <w:right w:w="108" w:type="dxa"/>
          </w:tblCellMar>
        </w:tblPrEx>
        <w:trPr>
          <w:trHeight w:val="619" w:hRule="atLeast"/>
        </w:trPr>
        <w:tc>
          <w:tcPr>
            <w:tcW w:w="197" w:type="pct"/>
            <w:vMerge w:val="restart"/>
            <w:tcBorders>
              <w:top w:val="nil"/>
              <w:left w:val="single" w:color="000000" w:sz="4" w:space="0"/>
              <w:bottom w:val="single" w:color="000000" w:sz="4" w:space="0"/>
              <w:right w:val="single" w:color="000000" w:sz="4" w:space="0"/>
            </w:tcBorders>
            <w:shd w:val="clear" w:color="auto" w:fill="auto"/>
            <w:vAlign w:val="center"/>
          </w:tcPr>
          <w:p w14:paraId="081D236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548" w:type="pct"/>
            <w:tcBorders>
              <w:top w:val="nil"/>
              <w:left w:val="nil"/>
              <w:bottom w:val="single" w:color="000000" w:sz="4" w:space="0"/>
              <w:right w:val="single" w:color="000000" w:sz="4" w:space="0"/>
            </w:tcBorders>
            <w:shd w:val="clear" w:color="auto" w:fill="auto"/>
            <w:vAlign w:val="center"/>
          </w:tcPr>
          <w:p w14:paraId="2AF0576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484" w:type="pct"/>
            <w:tcBorders>
              <w:top w:val="nil"/>
              <w:left w:val="nil"/>
              <w:bottom w:val="single" w:color="000000" w:sz="4" w:space="0"/>
              <w:right w:val="single" w:color="000000" w:sz="4" w:space="0"/>
            </w:tcBorders>
            <w:shd w:val="clear" w:color="auto" w:fill="auto"/>
            <w:vAlign w:val="center"/>
          </w:tcPr>
          <w:p w14:paraId="7A1194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1003" w:type="pct"/>
            <w:tcBorders>
              <w:top w:val="nil"/>
              <w:left w:val="nil"/>
              <w:bottom w:val="single" w:color="000000" w:sz="4" w:space="0"/>
              <w:right w:val="single" w:color="000000" w:sz="4" w:space="0"/>
            </w:tcBorders>
            <w:shd w:val="clear" w:color="auto" w:fill="auto"/>
            <w:vAlign w:val="center"/>
          </w:tcPr>
          <w:p w14:paraId="6DDBEDD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7AB48D2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375" w:type="pct"/>
            <w:tcBorders>
              <w:top w:val="nil"/>
              <w:left w:val="nil"/>
              <w:bottom w:val="single" w:color="000000" w:sz="4" w:space="0"/>
              <w:right w:val="single" w:color="000000" w:sz="4" w:space="0"/>
            </w:tcBorders>
            <w:shd w:val="clear" w:color="auto" w:fill="auto"/>
            <w:vAlign w:val="center"/>
          </w:tcPr>
          <w:p w14:paraId="4FBBFD5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76" w:type="pct"/>
            <w:tcBorders>
              <w:top w:val="nil"/>
              <w:left w:val="nil"/>
              <w:bottom w:val="single" w:color="000000" w:sz="4" w:space="0"/>
              <w:right w:val="single" w:color="000000" w:sz="4" w:space="0"/>
            </w:tcBorders>
            <w:shd w:val="clear" w:color="auto" w:fill="auto"/>
            <w:vAlign w:val="center"/>
          </w:tcPr>
          <w:p w14:paraId="64FACFE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0ECADC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973" w:type="pct"/>
            <w:tcBorders>
              <w:top w:val="nil"/>
              <w:left w:val="nil"/>
              <w:bottom w:val="single" w:color="000000" w:sz="4" w:space="0"/>
              <w:right w:val="single" w:color="000000" w:sz="4" w:space="0"/>
            </w:tcBorders>
            <w:shd w:val="clear" w:color="auto" w:fill="auto"/>
            <w:vAlign w:val="center"/>
          </w:tcPr>
          <w:p w14:paraId="086271C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01F1C27B">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1E709A13">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699D8E6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484" w:type="pct"/>
            <w:tcBorders>
              <w:top w:val="nil"/>
              <w:left w:val="nil"/>
              <w:bottom w:val="single" w:color="000000" w:sz="4" w:space="0"/>
              <w:right w:val="single" w:color="000000" w:sz="4" w:space="0"/>
            </w:tcBorders>
            <w:shd w:val="clear" w:color="auto" w:fill="auto"/>
            <w:vAlign w:val="center"/>
          </w:tcPr>
          <w:p w14:paraId="7F800DE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w:t>
            </w:r>
          </w:p>
        </w:tc>
        <w:tc>
          <w:tcPr>
            <w:tcW w:w="1003" w:type="pct"/>
            <w:tcBorders>
              <w:top w:val="nil"/>
              <w:left w:val="nil"/>
              <w:bottom w:val="single" w:color="000000" w:sz="4" w:space="0"/>
              <w:right w:val="single" w:color="000000" w:sz="4" w:space="0"/>
            </w:tcBorders>
            <w:shd w:val="clear" w:color="auto" w:fill="auto"/>
            <w:vAlign w:val="center"/>
          </w:tcPr>
          <w:p w14:paraId="2938AD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9.87</w:t>
            </w: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41C1CC8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9.87</w:t>
            </w:r>
          </w:p>
        </w:tc>
        <w:tc>
          <w:tcPr>
            <w:tcW w:w="375" w:type="pct"/>
            <w:tcBorders>
              <w:top w:val="nil"/>
              <w:left w:val="nil"/>
              <w:bottom w:val="single" w:color="000000" w:sz="4" w:space="0"/>
              <w:right w:val="single" w:color="000000" w:sz="4" w:space="0"/>
            </w:tcBorders>
            <w:shd w:val="clear" w:color="auto" w:fill="auto"/>
            <w:vAlign w:val="center"/>
          </w:tcPr>
          <w:p w14:paraId="1A8643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98.68%</w:t>
            </w:r>
          </w:p>
        </w:tc>
        <w:tc>
          <w:tcPr>
            <w:tcW w:w="176" w:type="pct"/>
            <w:tcBorders>
              <w:top w:val="nil"/>
              <w:left w:val="nil"/>
              <w:bottom w:val="single" w:color="000000" w:sz="4" w:space="0"/>
              <w:right w:val="single" w:color="000000" w:sz="4" w:space="0"/>
            </w:tcBorders>
            <w:shd w:val="clear" w:color="auto" w:fill="auto"/>
            <w:vAlign w:val="center"/>
          </w:tcPr>
          <w:p w14:paraId="4BB1792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57" w:type="pct"/>
            <w:tcBorders>
              <w:top w:val="nil"/>
              <w:left w:val="nil"/>
              <w:bottom w:val="single" w:color="000000" w:sz="4" w:space="0"/>
              <w:right w:val="single" w:color="000000" w:sz="4" w:space="0"/>
            </w:tcBorders>
            <w:shd w:val="clear" w:color="auto" w:fill="auto"/>
            <w:vAlign w:val="center"/>
          </w:tcPr>
          <w:p w14:paraId="0A190D5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9.8684</w:t>
            </w:r>
          </w:p>
        </w:tc>
        <w:tc>
          <w:tcPr>
            <w:tcW w:w="973" w:type="pct"/>
            <w:vMerge w:val="restart"/>
            <w:tcBorders>
              <w:top w:val="nil"/>
              <w:left w:val="single" w:color="000000" w:sz="4" w:space="0"/>
              <w:bottom w:val="single" w:color="000000" w:sz="4" w:space="0"/>
              <w:right w:val="single" w:color="000000" w:sz="4" w:space="0"/>
            </w:tcBorders>
            <w:shd w:val="clear" w:color="auto" w:fill="auto"/>
            <w:vAlign w:val="center"/>
          </w:tcPr>
          <w:p w14:paraId="2A23E351">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项目需经过多级审批，我区财政紧</w:t>
            </w:r>
            <w:r>
              <w:rPr>
                <w:rFonts w:ascii="Courier New" w:hAnsi="Courier New" w:eastAsia="宋体" w:cs="Courier New"/>
                <w:color w:val="000000"/>
                <w:sz w:val="16"/>
                <w:szCs w:val="16"/>
              </w:rPr>
              <w:br w:type="textWrapping"/>
            </w:r>
            <w:r>
              <w:rPr>
                <w:rFonts w:ascii="Courier New" w:hAnsi="Courier New" w:eastAsia="宋体" w:cs="Courier New"/>
                <w:color w:val="000000"/>
                <w:sz w:val="16"/>
                <w:szCs w:val="16"/>
              </w:rPr>
              <w:t>张，年底申请支付的财政未审批，导致执行率未达到100%。</w:t>
            </w:r>
          </w:p>
        </w:tc>
      </w:tr>
      <w:tr w14:paraId="0F480AFF">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6002140A">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7EB7B6F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484" w:type="pct"/>
            <w:tcBorders>
              <w:top w:val="nil"/>
              <w:left w:val="nil"/>
              <w:bottom w:val="single" w:color="000000" w:sz="4" w:space="0"/>
              <w:right w:val="single" w:color="000000" w:sz="4" w:space="0"/>
            </w:tcBorders>
            <w:shd w:val="clear" w:color="auto" w:fill="auto"/>
            <w:vAlign w:val="center"/>
          </w:tcPr>
          <w:p w14:paraId="5EBC96C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w:t>
            </w:r>
          </w:p>
        </w:tc>
        <w:tc>
          <w:tcPr>
            <w:tcW w:w="1003" w:type="pct"/>
            <w:tcBorders>
              <w:top w:val="nil"/>
              <w:left w:val="nil"/>
              <w:bottom w:val="single" w:color="000000" w:sz="4" w:space="0"/>
              <w:right w:val="single" w:color="000000" w:sz="4" w:space="0"/>
            </w:tcBorders>
            <w:shd w:val="clear" w:color="auto" w:fill="auto"/>
            <w:vAlign w:val="center"/>
          </w:tcPr>
          <w:p w14:paraId="6C60F99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9.87</w:t>
            </w: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4E11DAC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9.87</w:t>
            </w:r>
          </w:p>
        </w:tc>
        <w:tc>
          <w:tcPr>
            <w:tcW w:w="375" w:type="pct"/>
            <w:tcBorders>
              <w:top w:val="nil"/>
              <w:left w:val="nil"/>
              <w:bottom w:val="single" w:color="000000" w:sz="4" w:space="0"/>
              <w:right w:val="single" w:color="000000" w:sz="4" w:space="0"/>
            </w:tcBorders>
            <w:shd w:val="clear" w:color="auto" w:fill="auto"/>
            <w:vAlign w:val="center"/>
          </w:tcPr>
          <w:p w14:paraId="48A6367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98.68%</w:t>
            </w:r>
          </w:p>
        </w:tc>
        <w:tc>
          <w:tcPr>
            <w:tcW w:w="176" w:type="pct"/>
            <w:tcBorders>
              <w:top w:val="nil"/>
              <w:left w:val="nil"/>
              <w:bottom w:val="single" w:color="000000" w:sz="4" w:space="0"/>
              <w:right w:val="single" w:color="000000" w:sz="4" w:space="0"/>
            </w:tcBorders>
            <w:shd w:val="clear" w:color="auto" w:fill="auto"/>
            <w:vAlign w:val="center"/>
          </w:tcPr>
          <w:p w14:paraId="33C501F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52DC3D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73" w:type="pct"/>
            <w:vMerge w:val="continue"/>
            <w:tcBorders>
              <w:top w:val="nil"/>
              <w:left w:val="single" w:color="000000" w:sz="4" w:space="0"/>
              <w:bottom w:val="single" w:color="000000" w:sz="4" w:space="0"/>
              <w:right w:val="single" w:color="000000" w:sz="4" w:space="0"/>
            </w:tcBorders>
            <w:vAlign w:val="center"/>
          </w:tcPr>
          <w:p w14:paraId="21752E6C">
            <w:pPr>
              <w:widowControl/>
              <w:jc w:val="left"/>
              <w:rPr>
                <w:rFonts w:ascii="Courier New" w:hAnsi="Courier New" w:eastAsia="宋体" w:cs="Courier New"/>
                <w:color w:val="000000"/>
                <w:sz w:val="16"/>
                <w:szCs w:val="16"/>
              </w:rPr>
            </w:pPr>
          </w:p>
        </w:tc>
      </w:tr>
      <w:tr w14:paraId="2B0906BD">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41BD5C38">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6FC0E0F1">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484" w:type="pct"/>
            <w:tcBorders>
              <w:top w:val="nil"/>
              <w:left w:val="nil"/>
              <w:bottom w:val="single" w:color="000000" w:sz="4" w:space="0"/>
              <w:right w:val="single" w:color="000000" w:sz="4" w:space="0"/>
            </w:tcBorders>
            <w:shd w:val="clear" w:color="auto" w:fill="auto"/>
            <w:vAlign w:val="center"/>
          </w:tcPr>
          <w:p w14:paraId="0365660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3" w:type="pct"/>
            <w:tcBorders>
              <w:top w:val="nil"/>
              <w:left w:val="nil"/>
              <w:bottom w:val="single" w:color="000000" w:sz="4" w:space="0"/>
              <w:right w:val="single" w:color="000000" w:sz="4" w:space="0"/>
            </w:tcBorders>
            <w:shd w:val="clear" w:color="auto" w:fill="auto"/>
            <w:vAlign w:val="center"/>
          </w:tcPr>
          <w:p w14:paraId="0DEDA6B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370AE6F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5" w:type="pct"/>
            <w:tcBorders>
              <w:top w:val="nil"/>
              <w:left w:val="nil"/>
              <w:bottom w:val="single" w:color="000000" w:sz="4" w:space="0"/>
              <w:right w:val="single" w:color="000000" w:sz="4" w:space="0"/>
            </w:tcBorders>
            <w:shd w:val="clear" w:color="auto" w:fill="auto"/>
            <w:vAlign w:val="center"/>
          </w:tcPr>
          <w:p w14:paraId="5128218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5F9C3CC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325397C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73" w:type="pct"/>
            <w:vMerge w:val="continue"/>
            <w:tcBorders>
              <w:top w:val="nil"/>
              <w:left w:val="single" w:color="000000" w:sz="4" w:space="0"/>
              <w:bottom w:val="single" w:color="000000" w:sz="4" w:space="0"/>
              <w:right w:val="single" w:color="000000" w:sz="4" w:space="0"/>
            </w:tcBorders>
            <w:vAlign w:val="center"/>
          </w:tcPr>
          <w:p w14:paraId="1A299892">
            <w:pPr>
              <w:widowControl/>
              <w:jc w:val="left"/>
              <w:rPr>
                <w:rFonts w:ascii="Courier New" w:hAnsi="Courier New" w:eastAsia="宋体" w:cs="Courier New"/>
                <w:color w:val="000000"/>
                <w:sz w:val="16"/>
                <w:szCs w:val="16"/>
              </w:rPr>
            </w:pPr>
          </w:p>
        </w:tc>
      </w:tr>
      <w:tr w14:paraId="586EF6F1">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66C13A0D">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4262942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484" w:type="pct"/>
            <w:tcBorders>
              <w:top w:val="nil"/>
              <w:left w:val="nil"/>
              <w:bottom w:val="single" w:color="000000" w:sz="4" w:space="0"/>
              <w:right w:val="single" w:color="000000" w:sz="4" w:space="0"/>
            </w:tcBorders>
            <w:shd w:val="clear" w:color="auto" w:fill="auto"/>
            <w:vAlign w:val="center"/>
          </w:tcPr>
          <w:p w14:paraId="33E0F8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3" w:type="pct"/>
            <w:tcBorders>
              <w:top w:val="nil"/>
              <w:left w:val="nil"/>
              <w:bottom w:val="single" w:color="000000" w:sz="4" w:space="0"/>
              <w:right w:val="single" w:color="000000" w:sz="4" w:space="0"/>
            </w:tcBorders>
            <w:shd w:val="clear" w:color="auto" w:fill="auto"/>
            <w:vAlign w:val="center"/>
          </w:tcPr>
          <w:p w14:paraId="12A8EC2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00B18B7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5" w:type="pct"/>
            <w:tcBorders>
              <w:top w:val="nil"/>
              <w:left w:val="nil"/>
              <w:bottom w:val="single" w:color="000000" w:sz="4" w:space="0"/>
              <w:right w:val="single" w:color="000000" w:sz="4" w:space="0"/>
            </w:tcBorders>
            <w:shd w:val="clear" w:color="auto" w:fill="auto"/>
            <w:vAlign w:val="center"/>
          </w:tcPr>
          <w:p w14:paraId="5C37ECD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2447447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5F2B2D7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73" w:type="pct"/>
            <w:vMerge w:val="continue"/>
            <w:tcBorders>
              <w:top w:val="nil"/>
              <w:left w:val="single" w:color="000000" w:sz="4" w:space="0"/>
              <w:bottom w:val="single" w:color="000000" w:sz="4" w:space="0"/>
              <w:right w:val="single" w:color="000000" w:sz="4" w:space="0"/>
            </w:tcBorders>
            <w:vAlign w:val="center"/>
          </w:tcPr>
          <w:p w14:paraId="3F05C3F8">
            <w:pPr>
              <w:widowControl/>
              <w:jc w:val="left"/>
              <w:rPr>
                <w:rFonts w:ascii="Courier New" w:hAnsi="Courier New" w:eastAsia="宋体" w:cs="Courier New"/>
                <w:color w:val="000000"/>
                <w:sz w:val="16"/>
                <w:szCs w:val="16"/>
              </w:rPr>
            </w:pPr>
          </w:p>
        </w:tc>
      </w:tr>
      <w:tr w14:paraId="17AD60F4">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1AB0510E">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25F3052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484" w:type="pct"/>
            <w:tcBorders>
              <w:top w:val="nil"/>
              <w:left w:val="nil"/>
              <w:bottom w:val="single" w:color="000000" w:sz="4" w:space="0"/>
              <w:right w:val="single" w:color="000000" w:sz="4" w:space="0"/>
            </w:tcBorders>
            <w:shd w:val="clear" w:color="auto" w:fill="auto"/>
            <w:vAlign w:val="center"/>
          </w:tcPr>
          <w:p w14:paraId="08EA48B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003" w:type="pct"/>
            <w:tcBorders>
              <w:top w:val="nil"/>
              <w:left w:val="nil"/>
              <w:bottom w:val="single" w:color="000000" w:sz="4" w:space="0"/>
              <w:right w:val="single" w:color="000000" w:sz="4" w:space="0"/>
            </w:tcBorders>
            <w:shd w:val="clear" w:color="auto" w:fill="auto"/>
            <w:vAlign w:val="center"/>
          </w:tcPr>
          <w:p w14:paraId="3FBE046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86" w:type="pct"/>
            <w:gridSpan w:val="3"/>
            <w:tcBorders>
              <w:top w:val="single" w:color="000000" w:sz="4" w:space="0"/>
              <w:left w:val="nil"/>
              <w:bottom w:val="single" w:color="000000" w:sz="4" w:space="0"/>
              <w:right w:val="single" w:color="000000" w:sz="4" w:space="0"/>
            </w:tcBorders>
            <w:shd w:val="clear" w:color="auto" w:fill="auto"/>
            <w:vAlign w:val="center"/>
          </w:tcPr>
          <w:p w14:paraId="683F7EB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375" w:type="pct"/>
            <w:tcBorders>
              <w:top w:val="nil"/>
              <w:left w:val="nil"/>
              <w:bottom w:val="single" w:color="000000" w:sz="4" w:space="0"/>
              <w:right w:val="single" w:color="000000" w:sz="4" w:space="0"/>
            </w:tcBorders>
            <w:shd w:val="clear" w:color="auto" w:fill="auto"/>
            <w:vAlign w:val="center"/>
          </w:tcPr>
          <w:p w14:paraId="060DDAA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76" w:type="pct"/>
            <w:tcBorders>
              <w:top w:val="nil"/>
              <w:left w:val="nil"/>
              <w:bottom w:val="single" w:color="000000" w:sz="4" w:space="0"/>
              <w:right w:val="single" w:color="000000" w:sz="4" w:space="0"/>
            </w:tcBorders>
            <w:shd w:val="clear" w:color="auto" w:fill="auto"/>
            <w:vAlign w:val="center"/>
          </w:tcPr>
          <w:p w14:paraId="0018EDB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38F544C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73" w:type="pct"/>
            <w:vMerge w:val="continue"/>
            <w:tcBorders>
              <w:top w:val="nil"/>
              <w:left w:val="single" w:color="000000" w:sz="4" w:space="0"/>
              <w:bottom w:val="single" w:color="000000" w:sz="4" w:space="0"/>
              <w:right w:val="single" w:color="000000" w:sz="4" w:space="0"/>
            </w:tcBorders>
            <w:vAlign w:val="center"/>
          </w:tcPr>
          <w:p w14:paraId="236D92E5">
            <w:pPr>
              <w:widowControl/>
              <w:jc w:val="left"/>
              <w:rPr>
                <w:rFonts w:ascii="Courier New" w:hAnsi="Courier New" w:eastAsia="宋体" w:cs="Courier New"/>
                <w:color w:val="000000"/>
                <w:sz w:val="16"/>
                <w:szCs w:val="16"/>
              </w:rPr>
            </w:pPr>
          </w:p>
        </w:tc>
      </w:tr>
      <w:tr w14:paraId="2E123E06">
        <w:tblPrEx>
          <w:tblCellMar>
            <w:top w:w="0" w:type="dxa"/>
            <w:left w:w="108" w:type="dxa"/>
            <w:bottom w:w="0" w:type="dxa"/>
            <w:right w:w="108" w:type="dxa"/>
          </w:tblCellMar>
        </w:tblPrEx>
        <w:trPr>
          <w:trHeight w:val="619" w:hRule="atLeast"/>
        </w:trPr>
        <w:tc>
          <w:tcPr>
            <w:tcW w:w="197" w:type="pct"/>
            <w:vMerge w:val="restart"/>
            <w:tcBorders>
              <w:top w:val="nil"/>
              <w:left w:val="single" w:color="000000" w:sz="4" w:space="0"/>
              <w:bottom w:val="nil"/>
              <w:right w:val="single" w:color="000000" w:sz="4" w:space="0"/>
            </w:tcBorders>
            <w:shd w:val="clear" w:color="auto" w:fill="auto"/>
            <w:vAlign w:val="center"/>
          </w:tcPr>
          <w:p w14:paraId="50936C7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548" w:type="pct"/>
            <w:tcBorders>
              <w:top w:val="nil"/>
              <w:left w:val="nil"/>
              <w:bottom w:val="single" w:color="000000" w:sz="4" w:space="0"/>
              <w:right w:val="single" w:color="000000" w:sz="4" w:space="0"/>
            </w:tcBorders>
            <w:shd w:val="clear" w:color="auto" w:fill="auto"/>
            <w:vAlign w:val="center"/>
          </w:tcPr>
          <w:p w14:paraId="7FC2F27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484" w:type="pct"/>
            <w:tcBorders>
              <w:top w:val="nil"/>
              <w:left w:val="nil"/>
              <w:bottom w:val="single" w:color="000000" w:sz="4" w:space="0"/>
              <w:right w:val="single" w:color="000000" w:sz="4" w:space="0"/>
            </w:tcBorders>
            <w:shd w:val="clear" w:color="auto" w:fill="auto"/>
            <w:vAlign w:val="center"/>
          </w:tcPr>
          <w:p w14:paraId="0B4467F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1003" w:type="pct"/>
            <w:tcBorders>
              <w:top w:val="nil"/>
              <w:left w:val="nil"/>
              <w:bottom w:val="single" w:color="000000" w:sz="4" w:space="0"/>
              <w:right w:val="single" w:color="000000" w:sz="4" w:space="0"/>
            </w:tcBorders>
            <w:shd w:val="clear" w:color="auto" w:fill="auto"/>
            <w:vAlign w:val="center"/>
          </w:tcPr>
          <w:p w14:paraId="74AE53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74" w:type="pct"/>
            <w:tcBorders>
              <w:top w:val="nil"/>
              <w:left w:val="nil"/>
              <w:bottom w:val="single" w:color="000000" w:sz="4" w:space="0"/>
              <w:right w:val="single" w:color="000000" w:sz="4" w:space="0"/>
            </w:tcBorders>
            <w:shd w:val="clear" w:color="auto" w:fill="auto"/>
            <w:vAlign w:val="center"/>
          </w:tcPr>
          <w:p w14:paraId="2A1C51A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554" w:type="pct"/>
            <w:tcBorders>
              <w:top w:val="nil"/>
              <w:left w:val="nil"/>
              <w:bottom w:val="single" w:color="000000" w:sz="4" w:space="0"/>
              <w:right w:val="single" w:color="000000" w:sz="4" w:space="0"/>
            </w:tcBorders>
            <w:shd w:val="clear" w:color="auto" w:fill="auto"/>
            <w:vAlign w:val="center"/>
          </w:tcPr>
          <w:p w14:paraId="5C84AF9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257" w:type="pct"/>
            <w:tcBorders>
              <w:top w:val="nil"/>
              <w:left w:val="nil"/>
              <w:bottom w:val="single" w:color="000000" w:sz="4" w:space="0"/>
              <w:right w:val="single" w:color="000000" w:sz="4" w:space="0"/>
            </w:tcBorders>
            <w:shd w:val="clear" w:color="auto" w:fill="auto"/>
            <w:vAlign w:val="center"/>
          </w:tcPr>
          <w:p w14:paraId="6685A5B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375" w:type="pct"/>
            <w:tcBorders>
              <w:top w:val="nil"/>
              <w:left w:val="nil"/>
              <w:bottom w:val="single" w:color="000000" w:sz="4" w:space="0"/>
              <w:right w:val="single" w:color="000000" w:sz="4" w:space="0"/>
            </w:tcBorders>
            <w:shd w:val="clear" w:color="auto" w:fill="auto"/>
            <w:vAlign w:val="center"/>
          </w:tcPr>
          <w:p w14:paraId="12FC853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76" w:type="pct"/>
            <w:tcBorders>
              <w:top w:val="nil"/>
              <w:left w:val="nil"/>
              <w:bottom w:val="single" w:color="000000" w:sz="4" w:space="0"/>
              <w:right w:val="single" w:color="000000" w:sz="4" w:space="0"/>
            </w:tcBorders>
            <w:shd w:val="clear" w:color="auto" w:fill="auto"/>
            <w:vAlign w:val="center"/>
          </w:tcPr>
          <w:p w14:paraId="0F52BDC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7CCD94B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973" w:type="pct"/>
            <w:tcBorders>
              <w:top w:val="nil"/>
              <w:left w:val="nil"/>
              <w:bottom w:val="single" w:color="000000" w:sz="4" w:space="0"/>
              <w:right w:val="single" w:color="000000" w:sz="4" w:space="0"/>
            </w:tcBorders>
            <w:shd w:val="clear" w:color="auto" w:fill="auto"/>
            <w:vAlign w:val="center"/>
          </w:tcPr>
          <w:p w14:paraId="026C8E9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20E34740">
        <w:tblPrEx>
          <w:tblCellMar>
            <w:top w:w="0" w:type="dxa"/>
            <w:left w:w="108" w:type="dxa"/>
            <w:bottom w:w="0" w:type="dxa"/>
            <w:right w:w="108" w:type="dxa"/>
          </w:tblCellMar>
        </w:tblPrEx>
        <w:trPr>
          <w:trHeight w:val="619" w:hRule="atLeast"/>
        </w:trPr>
        <w:tc>
          <w:tcPr>
            <w:tcW w:w="197" w:type="pct"/>
            <w:vMerge w:val="continue"/>
            <w:tcBorders>
              <w:top w:val="nil"/>
              <w:left w:val="single" w:color="000000" w:sz="4" w:space="0"/>
              <w:bottom w:val="nil"/>
              <w:right w:val="single" w:color="000000" w:sz="4" w:space="0"/>
            </w:tcBorders>
            <w:vAlign w:val="center"/>
          </w:tcPr>
          <w:p w14:paraId="240BBBCE">
            <w:pPr>
              <w:widowControl/>
              <w:jc w:val="left"/>
              <w:rPr>
                <w:rFonts w:ascii="宋体" w:hAnsi="宋体" w:eastAsia="宋体" w:cs="宋体"/>
                <w:color w:val="000000"/>
                <w:sz w:val="18"/>
                <w:szCs w:val="18"/>
              </w:rPr>
            </w:pPr>
          </w:p>
        </w:tc>
        <w:tc>
          <w:tcPr>
            <w:tcW w:w="548" w:type="pct"/>
            <w:vMerge w:val="restart"/>
            <w:tcBorders>
              <w:top w:val="nil"/>
              <w:left w:val="single" w:color="000000" w:sz="4" w:space="0"/>
              <w:bottom w:val="single" w:color="000000" w:sz="4" w:space="0"/>
              <w:right w:val="single" w:color="000000" w:sz="4" w:space="0"/>
            </w:tcBorders>
            <w:shd w:val="clear" w:color="auto" w:fill="auto"/>
            <w:vAlign w:val="center"/>
          </w:tcPr>
          <w:p w14:paraId="3329634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484" w:type="pct"/>
            <w:tcBorders>
              <w:top w:val="nil"/>
              <w:left w:val="nil"/>
              <w:bottom w:val="single" w:color="000000" w:sz="4" w:space="0"/>
              <w:right w:val="single" w:color="000000" w:sz="4" w:space="0"/>
            </w:tcBorders>
            <w:shd w:val="clear" w:color="auto" w:fill="auto"/>
            <w:vAlign w:val="center"/>
          </w:tcPr>
          <w:p w14:paraId="6EB5FFE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1003" w:type="pct"/>
            <w:tcBorders>
              <w:top w:val="nil"/>
              <w:left w:val="nil"/>
              <w:bottom w:val="single" w:color="000000" w:sz="4" w:space="0"/>
              <w:right w:val="single" w:color="000000" w:sz="4" w:space="0"/>
            </w:tcBorders>
            <w:shd w:val="clear" w:color="auto" w:fill="auto"/>
            <w:vAlign w:val="center"/>
          </w:tcPr>
          <w:p w14:paraId="292EDA0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建设智慧矫正中心</w:t>
            </w:r>
          </w:p>
        </w:tc>
        <w:tc>
          <w:tcPr>
            <w:tcW w:w="174" w:type="pct"/>
            <w:tcBorders>
              <w:top w:val="nil"/>
              <w:left w:val="nil"/>
              <w:bottom w:val="single" w:color="000000" w:sz="4" w:space="0"/>
              <w:right w:val="single" w:color="000000" w:sz="4" w:space="0"/>
            </w:tcBorders>
            <w:shd w:val="clear" w:color="auto" w:fill="auto"/>
            <w:vAlign w:val="center"/>
          </w:tcPr>
          <w:p w14:paraId="3B13D5D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4" w:type="pct"/>
            <w:tcBorders>
              <w:top w:val="nil"/>
              <w:left w:val="nil"/>
              <w:bottom w:val="single" w:color="000000" w:sz="4" w:space="0"/>
              <w:right w:val="single" w:color="000000" w:sz="4" w:space="0"/>
            </w:tcBorders>
            <w:shd w:val="clear" w:color="auto" w:fill="auto"/>
            <w:vAlign w:val="center"/>
          </w:tcPr>
          <w:p w14:paraId="5808B61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257" w:type="pct"/>
            <w:tcBorders>
              <w:top w:val="nil"/>
              <w:left w:val="nil"/>
              <w:bottom w:val="single" w:color="000000" w:sz="4" w:space="0"/>
              <w:right w:val="single" w:color="000000" w:sz="4" w:space="0"/>
            </w:tcBorders>
            <w:shd w:val="clear" w:color="auto" w:fill="auto"/>
            <w:vAlign w:val="center"/>
          </w:tcPr>
          <w:p w14:paraId="00CF1D1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座（处）</w:t>
            </w:r>
          </w:p>
        </w:tc>
        <w:tc>
          <w:tcPr>
            <w:tcW w:w="375" w:type="pct"/>
            <w:tcBorders>
              <w:top w:val="nil"/>
              <w:left w:val="nil"/>
              <w:bottom w:val="single" w:color="000000" w:sz="4" w:space="0"/>
              <w:right w:val="single" w:color="000000" w:sz="4" w:space="0"/>
            </w:tcBorders>
            <w:shd w:val="clear" w:color="auto" w:fill="auto"/>
            <w:vAlign w:val="center"/>
          </w:tcPr>
          <w:p w14:paraId="4160D50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w:t>
            </w:r>
          </w:p>
        </w:tc>
        <w:tc>
          <w:tcPr>
            <w:tcW w:w="176" w:type="pct"/>
            <w:tcBorders>
              <w:top w:val="nil"/>
              <w:left w:val="nil"/>
              <w:bottom w:val="single" w:color="000000" w:sz="4" w:space="0"/>
              <w:right w:val="single" w:color="000000" w:sz="4" w:space="0"/>
            </w:tcBorders>
            <w:shd w:val="clear" w:color="auto" w:fill="auto"/>
            <w:vAlign w:val="center"/>
          </w:tcPr>
          <w:p w14:paraId="04C601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257" w:type="pct"/>
            <w:tcBorders>
              <w:top w:val="nil"/>
              <w:left w:val="nil"/>
              <w:bottom w:val="single" w:color="000000" w:sz="4" w:space="0"/>
              <w:right w:val="single" w:color="000000" w:sz="4" w:space="0"/>
            </w:tcBorders>
            <w:shd w:val="clear" w:color="auto" w:fill="auto"/>
            <w:vAlign w:val="center"/>
          </w:tcPr>
          <w:p w14:paraId="093E3C5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973" w:type="pct"/>
            <w:tcBorders>
              <w:top w:val="nil"/>
              <w:left w:val="nil"/>
              <w:bottom w:val="single" w:color="000000" w:sz="4" w:space="0"/>
              <w:right w:val="single" w:color="000000" w:sz="4" w:space="0"/>
            </w:tcBorders>
            <w:shd w:val="clear" w:color="auto" w:fill="auto"/>
            <w:vAlign w:val="center"/>
          </w:tcPr>
          <w:p w14:paraId="62AC5B8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BB2F790">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087F49AA">
            <w:pPr>
              <w:widowControl/>
              <w:jc w:val="left"/>
              <w:rPr>
                <w:rFonts w:ascii="宋体" w:hAnsi="宋体" w:eastAsia="宋体" w:cs="宋体"/>
                <w:color w:val="000000"/>
                <w:sz w:val="18"/>
                <w:szCs w:val="18"/>
              </w:rPr>
            </w:pPr>
          </w:p>
        </w:tc>
        <w:tc>
          <w:tcPr>
            <w:tcW w:w="548" w:type="pct"/>
            <w:vMerge w:val="continue"/>
            <w:tcBorders>
              <w:top w:val="nil"/>
              <w:left w:val="single" w:color="000000" w:sz="4" w:space="0"/>
              <w:bottom w:val="single" w:color="000000" w:sz="4" w:space="0"/>
              <w:right w:val="single" w:color="000000" w:sz="4" w:space="0"/>
            </w:tcBorders>
            <w:vAlign w:val="center"/>
          </w:tcPr>
          <w:p w14:paraId="35ADFF0A">
            <w:pPr>
              <w:widowControl/>
              <w:jc w:val="left"/>
              <w:rPr>
                <w:rFonts w:ascii="宋体" w:hAnsi="宋体" w:eastAsia="宋体" w:cs="宋体"/>
                <w:color w:val="000000"/>
                <w:sz w:val="18"/>
                <w:szCs w:val="18"/>
              </w:rPr>
            </w:pPr>
          </w:p>
        </w:tc>
        <w:tc>
          <w:tcPr>
            <w:tcW w:w="484" w:type="pct"/>
            <w:tcBorders>
              <w:top w:val="nil"/>
              <w:left w:val="nil"/>
              <w:bottom w:val="single" w:color="000000" w:sz="4" w:space="0"/>
              <w:right w:val="single" w:color="000000" w:sz="4" w:space="0"/>
            </w:tcBorders>
            <w:shd w:val="clear" w:color="auto" w:fill="auto"/>
            <w:vAlign w:val="center"/>
          </w:tcPr>
          <w:p w14:paraId="376C882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1003" w:type="pct"/>
            <w:tcBorders>
              <w:top w:val="nil"/>
              <w:left w:val="nil"/>
              <w:bottom w:val="single" w:color="000000" w:sz="4" w:space="0"/>
              <w:right w:val="single" w:color="000000" w:sz="4" w:space="0"/>
            </w:tcBorders>
            <w:shd w:val="clear" w:color="auto" w:fill="auto"/>
            <w:vAlign w:val="center"/>
          </w:tcPr>
          <w:p w14:paraId="493D283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打造领先的智慧矫正平台</w:t>
            </w:r>
          </w:p>
        </w:tc>
        <w:tc>
          <w:tcPr>
            <w:tcW w:w="174" w:type="pct"/>
            <w:tcBorders>
              <w:top w:val="nil"/>
              <w:left w:val="nil"/>
              <w:bottom w:val="single" w:color="000000" w:sz="4" w:space="0"/>
              <w:right w:val="single" w:color="000000" w:sz="4" w:space="0"/>
            </w:tcBorders>
            <w:shd w:val="clear" w:color="auto" w:fill="auto"/>
            <w:vAlign w:val="center"/>
          </w:tcPr>
          <w:p w14:paraId="10CEA07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54" w:type="pct"/>
            <w:tcBorders>
              <w:top w:val="nil"/>
              <w:left w:val="nil"/>
              <w:bottom w:val="single" w:color="000000" w:sz="4" w:space="0"/>
              <w:right w:val="single" w:color="000000" w:sz="4" w:space="0"/>
            </w:tcBorders>
            <w:shd w:val="clear" w:color="auto" w:fill="auto"/>
            <w:vAlign w:val="center"/>
          </w:tcPr>
          <w:p w14:paraId="7D7C0A7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合格</w:t>
            </w:r>
          </w:p>
        </w:tc>
        <w:tc>
          <w:tcPr>
            <w:tcW w:w="257" w:type="pct"/>
            <w:tcBorders>
              <w:top w:val="nil"/>
              <w:left w:val="nil"/>
              <w:bottom w:val="single" w:color="000000" w:sz="4" w:space="0"/>
              <w:right w:val="single" w:color="000000" w:sz="4" w:space="0"/>
            </w:tcBorders>
            <w:shd w:val="clear" w:color="auto" w:fill="auto"/>
            <w:vAlign w:val="center"/>
          </w:tcPr>
          <w:p w14:paraId="0D60CEC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375" w:type="pct"/>
            <w:tcBorders>
              <w:top w:val="nil"/>
              <w:left w:val="nil"/>
              <w:bottom w:val="single" w:color="000000" w:sz="4" w:space="0"/>
              <w:right w:val="single" w:color="000000" w:sz="4" w:space="0"/>
            </w:tcBorders>
            <w:shd w:val="clear" w:color="auto" w:fill="auto"/>
            <w:vAlign w:val="center"/>
          </w:tcPr>
          <w:p w14:paraId="2096EB3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合格</w:t>
            </w:r>
          </w:p>
        </w:tc>
        <w:tc>
          <w:tcPr>
            <w:tcW w:w="176" w:type="pct"/>
            <w:tcBorders>
              <w:top w:val="nil"/>
              <w:left w:val="nil"/>
              <w:bottom w:val="single" w:color="000000" w:sz="4" w:space="0"/>
              <w:right w:val="single" w:color="000000" w:sz="4" w:space="0"/>
            </w:tcBorders>
            <w:shd w:val="clear" w:color="auto" w:fill="auto"/>
            <w:vAlign w:val="center"/>
          </w:tcPr>
          <w:p w14:paraId="68EAC7D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257" w:type="pct"/>
            <w:tcBorders>
              <w:top w:val="nil"/>
              <w:left w:val="nil"/>
              <w:bottom w:val="single" w:color="000000" w:sz="4" w:space="0"/>
              <w:right w:val="single" w:color="000000" w:sz="4" w:space="0"/>
            </w:tcBorders>
            <w:shd w:val="clear" w:color="auto" w:fill="auto"/>
            <w:vAlign w:val="center"/>
          </w:tcPr>
          <w:p w14:paraId="4362C86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973" w:type="pct"/>
            <w:tcBorders>
              <w:top w:val="nil"/>
              <w:left w:val="nil"/>
              <w:bottom w:val="single" w:color="000000" w:sz="4" w:space="0"/>
              <w:right w:val="single" w:color="000000" w:sz="4" w:space="0"/>
            </w:tcBorders>
            <w:shd w:val="clear" w:color="auto" w:fill="auto"/>
            <w:vAlign w:val="center"/>
          </w:tcPr>
          <w:p w14:paraId="29460CD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DC90176">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794392C9">
            <w:pPr>
              <w:widowControl/>
              <w:jc w:val="left"/>
              <w:rPr>
                <w:rFonts w:ascii="宋体" w:hAnsi="宋体" w:eastAsia="宋体" w:cs="宋体"/>
                <w:color w:val="000000"/>
                <w:sz w:val="18"/>
                <w:szCs w:val="18"/>
              </w:rPr>
            </w:pPr>
          </w:p>
        </w:tc>
        <w:tc>
          <w:tcPr>
            <w:tcW w:w="548" w:type="pct"/>
            <w:vMerge w:val="continue"/>
            <w:tcBorders>
              <w:top w:val="nil"/>
              <w:left w:val="single" w:color="000000" w:sz="4" w:space="0"/>
              <w:bottom w:val="single" w:color="000000" w:sz="4" w:space="0"/>
              <w:right w:val="single" w:color="000000" w:sz="4" w:space="0"/>
            </w:tcBorders>
            <w:vAlign w:val="center"/>
          </w:tcPr>
          <w:p w14:paraId="3B479533">
            <w:pPr>
              <w:widowControl/>
              <w:jc w:val="left"/>
              <w:rPr>
                <w:rFonts w:ascii="宋体" w:hAnsi="宋体" w:eastAsia="宋体" w:cs="宋体"/>
                <w:color w:val="000000"/>
                <w:sz w:val="18"/>
                <w:szCs w:val="18"/>
              </w:rPr>
            </w:pPr>
          </w:p>
        </w:tc>
        <w:tc>
          <w:tcPr>
            <w:tcW w:w="484" w:type="pct"/>
            <w:tcBorders>
              <w:top w:val="nil"/>
              <w:left w:val="nil"/>
              <w:bottom w:val="single" w:color="000000" w:sz="4" w:space="0"/>
              <w:right w:val="single" w:color="000000" w:sz="4" w:space="0"/>
            </w:tcBorders>
            <w:shd w:val="clear" w:color="auto" w:fill="auto"/>
            <w:vAlign w:val="center"/>
          </w:tcPr>
          <w:p w14:paraId="476BC0C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1003" w:type="pct"/>
            <w:tcBorders>
              <w:top w:val="nil"/>
              <w:left w:val="nil"/>
              <w:bottom w:val="single" w:color="000000" w:sz="4" w:space="0"/>
              <w:right w:val="single" w:color="000000" w:sz="4" w:space="0"/>
            </w:tcBorders>
            <w:shd w:val="clear" w:color="auto" w:fill="auto"/>
            <w:vAlign w:val="center"/>
          </w:tcPr>
          <w:p w14:paraId="1675D06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运行维护响应时间</w:t>
            </w:r>
          </w:p>
        </w:tc>
        <w:tc>
          <w:tcPr>
            <w:tcW w:w="174" w:type="pct"/>
            <w:tcBorders>
              <w:top w:val="nil"/>
              <w:left w:val="nil"/>
              <w:bottom w:val="single" w:color="000000" w:sz="4" w:space="0"/>
              <w:right w:val="single" w:color="000000" w:sz="4" w:space="0"/>
            </w:tcBorders>
            <w:shd w:val="clear" w:color="auto" w:fill="auto"/>
            <w:vAlign w:val="center"/>
          </w:tcPr>
          <w:p w14:paraId="35456D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4" w:type="pct"/>
            <w:tcBorders>
              <w:top w:val="nil"/>
              <w:left w:val="nil"/>
              <w:bottom w:val="single" w:color="000000" w:sz="4" w:space="0"/>
              <w:right w:val="single" w:color="000000" w:sz="4" w:space="0"/>
            </w:tcBorders>
            <w:shd w:val="clear" w:color="auto" w:fill="auto"/>
            <w:vAlign w:val="center"/>
          </w:tcPr>
          <w:p w14:paraId="2DB50AB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24</w:t>
            </w:r>
          </w:p>
        </w:tc>
        <w:tc>
          <w:tcPr>
            <w:tcW w:w="257" w:type="pct"/>
            <w:tcBorders>
              <w:top w:val="nil"/>
              <w:left w:val="nil"/>
              <w:bottom w:val="single" w:color="000000" w:sz="4" w:space="0"/>
              <w:right w:val="single" w:color="000000" w:sz="4" w:space="0"/>
            </w:tcBorders>
            <w:shd w:val="clear" w:color="auto" w:fill="auto"/>
            <w:vAlign w:val="center"/>
          </w:tcPr>
          <w:p w14:paraId="13568DC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小时</w:t>
            </w:r>
          </w:p>
        </w:tc>
        <w:tc>
          <w:tcPr>
            <w:tcW w:w="375" w:type="pct"/>
            <w:tcBorders>
              <w:top w:val="nil"/>
              <w:left w:val="nil"/>
              <w:bottom w:val="single" w:color="000000" w:sz="4" w:space="0"/>
              <w:right w:val="single" w:color="000000" w:sz="4" w:space="0"/>
            </w:tcBorders>
            <w:shd w:val="clear" w:color="auto" w:fill="auto"/>
            <w:vAlign w:val="center"/>
          </w:tcPr>
          <w:p w14:paraId="0A793FB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24</w:t>
            </w:r>
          </w:p>
        </w:tc>
        <w:tc>
          <w:tcPr>
            <w:tcW w:w="176" w:type="pct"/>
            <w:tcBorders>
              <w:top w:val="nil"/>
              <w:left w:val="nil"/>
              <w:bottom w:val="single" w:color="000000" w:sz="4" w:space="0"/>
              <w:right w:val="single" w:color="000000" w:sz="4" w:space="0"/>
            </w:tcBorders>
            <w:shd w:val="clear" w:color="auto" w:fill="auto"/>
            <w:vAlign w:val="center"/>
          </w:tcPr>
          <w:p w14:paraId="1AA7FCE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257" w:type="pct"/>
            <w:tcBorders>
              <w:top w:val="nil"/>
              <w:left w:val="nil"/>
              <w:bottom w:val="single" w:color="000000" w:sz="4" w:space="0"/>
              <w:right w:val="single" w:color="000000" w:sz="4" w:space="0"/>
            </w:tcBorders>
            <w:shd w:val="clear" w:color="auto" w:fill="auto"/>
            <w:vAlign w:val="center"/>
          </w:tcPr>
          <w:p w14:paraId="3AA226D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973" w:type="pct"/>
            <w:tcBorders>
              <w:top w:val="nil"/>
              <w:left w:val="nil"/>
              <w:bottom w:val="single" w:color="000000" w:sz="4" w:space="0"/>
              <w:right w:val="single" w:color="000000" w:sz="4" w:space="0"/>
            </w:tcBorders>
            <w:shd w:val="clear" w:color="auto" w:fill="auto"/>
            <w:vAlign w:val="center"/>
          </w:tcPr>
          <w:p w14:paraId="450AEF8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B2334DB">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7DFC9332">
            <w:pPr>
              <w:widowControl/>
              <w:jc w:val="left"/>
              <w:rPr>
                <w:rFonts w:ascii="宋体" w:hAnsi="宋体" w:eastAsia="宋体" w:cs="宋体"/>
                <w:color w:val="000000"/>
                <w:sz w:val="18"/>
                <w:szCs w:val="18"/>
              </w:rPr>
            </w:pPr>
          </w:p>
        </w:tc>
        <w:tc>
          <w:tcPr>
            <w:tcW w:w="548" w:type="pct"/>
            <w:vMerge w:val="restart"/>
            <w:tcBorders>
              <w:top w:val="nil"/>
              <w:left w:val="single" w:color="000000" w:sz="4" w:space="0"/>
              <w:bottom w:val="single" w:color="000000" w:sz="4" w:space="0"/>
              <w:right w:val="single" w:color="000000" w:sz="4" w:space="0"/>
            </w:tcBorders>
            <w:shd w:val="clear" w:color="auto" w:fill="auto"/>
            <w:vAlign w:val="center"/>
          </w:tcPr>
          <w:p w14:paraId="518161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484" w:type="pct"/>
            <w:tcBorders>
              <w:top w:val="nil"/>
              <w:left w:val="nil"/>
              <w:bottom w:val="single" w:color="000000" w:sz="4" w:space="0"/>
              <w:right w:val="single" w:color="000000" w:sz="4" w:space="0"/>
            </w:tcBorders>
            <w:shd w:val="clear" w:color="auto" w:fill="auto"/>
            <w:vAlign w:val="center"/>
          </w:tcPr>
          <w:p w14:paraId="3347F3A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003" w:type="pct"/>
            <w:tcBorders>
              <w:top w:val="nil"/>
              <w:left w:val="nil"/>
              <w:bottom w:val="single" w:color="000000" w:sz="4" w:space="0"/>
              <w:right w:val="single" w:color="000000" w:sz="4" w:space="0"/>
            </w:tcBorders>
            <w:shd w:val="clear" w:color="auto" w:fill="auto"/>
            <w:vAlign w:val="center"/>
          </w:tcPr>
          <w:p w14:paraId="464519F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促进社会稳定</w:t>
            </w:r>
          </w:p>
        </w:tc>
        <w:tc>
          <w:tcPr>
            <w:tcW w:w="174" w:type="pct"/>
            <w:tcBorders>
              <w:top w:val="nil"/>
              <w:left w:val="nil"/>
              <w:bottom w:val="single" w:color="000000" w:sz="4" w:space="0"/>
              <w:right w:val="single" w:color="000000" w:sz="4" w:space="0"/>
            </w:tcBorders>
            <w:shd w:val="clear" w:color="auto" w:fill="auto"/>
            <w:vAlign w:val="center"/>
          </w:tcPr>
          <w:p w14:paraId="6E662D1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54" w:type="pct"/>
            <w:tcBorders>
              <w:top w:val="nil"/>
              <w:left w:val="nil"/>
              <w:bottom w:val="single" w:color="000000" w:sz="4" w:space="0"/>
              <w:right w:val="single" w:color="000000" w:sz="4" w:space="0"/>
            </w:tcBorders>
            <w:shd w:val="clear" w:color="auto" w:fill="auto"/>
            <w:vAlign w:val="center"/>
          </w:tcPr>
          <w:p w14:paraId="0D0DA33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w:t>
            </w:r>
          </w:p>
        </w:tc>
        <w:tc>
          <w:tcPr>
            <w:tcW w:w="257" w:type="pct"/>
            <w:tcBorders>
              <w:top w:val="nil"/>
              <w:left w:val="nil"/>
              <w:bottom w:val="single" w:color="000000" w:sz="4" w:space="0"/>
              <w:right w:val="single" w:color="000000" w:sz="4" w:space="0"/>
            </w:tcBorders>
            <w:shd w:val="clear" w:color="auto" w:fill="auto"/>
            <w:vAlign w:val="center"/>
          </w:tcPr>
          <w:p w14:paraId="7D65B46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5" w:type="pct"/>
            <w:tcBorders>
              <w:top w:val="nil"/>
              <w:left w:val="nil"/>
              <w:bottom w:val="single" w:color="000000" w:sz="4" w:space="0"/>
              <w:right w:val="single" w:color="000000" w:sz="4" w:space="0"/>
            </w:tcBorders>
            <w:shd w:val="clear" w:color="auto" w:fill="auto"/>
            <w:vAlign w:val="center"/>
          </w:tcPr>
          <w:p w14:paraId="5FBF4FF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w:t>
            </w:r>
          </w:p>
        </w:tc>
        <w:tc>
          <w:tcPr>
            <w:tcW w:w="176" w:type="pct"/>
            <w:tcBorders>
              <w:top w:val="nil"/>
              <w:left w:val="nil"/>
              <w:bottom w:val="single" w:color="000000" w:sz="4" w:space="0"/>
              <w:right w:val="single" w:color="000000" w:sz="4" w:space="0"/>
            </w:tcBorders>
            <w:shd w:val="clear" w:color="auto" w:fill="auto"/>
            <w:vAlign w:val="center"/>
          </w:tcPr>
          <w:p w14:paraId="20C193A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257" w:type="pct"/>
            <w:tcBorders>
              <w:top w:val="nil"/>
              <w:left w:val="nil"/>
              <w:bottom w:val="single" w:color="000000" w:sz="4" w:space="0"/>
              <w:right w:val="single" w:color="000000" w:sz="4" w:space="0"/>
            </w:tcBorders>
            <w:shd w:val="clear" w:color="auto" w:fill="auto"/>
            <w:vAlign w:val="center"/>
          </w:tcPr>
          <w:p w14:paraId="72F626B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973" w:type="pct"/>
            <w:tcBorders>
              <w:top w:val="nil"/>
              <w:left w:val="nil"/>
              <w:bottom w:val="single" w:color="000000" w:sz="4" w:space="0"/>
              <w:right w:val="single" w:color="000000" w:sz="4" w:space="0"/>
            </w:tcBorders>
            <w:shd w:val="clear" w:color="auto" w:fill="auto"/>
            <w:vAlign w:val="center"/>
          </w:tcPr>
          <w:p w14:paraId="1823F62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F60B187">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7C1B16E8">
            <w:pPr>
              <w:widowControl/>
              <w:jc w:val="left"/>
              <w:rPr>
                <w:rFonts w:ascii="宋体" w:hAnsi="宋体" w:eastAsia="宋体" w:cs="宋体"/>
                <w:color w:val="000000"/>
                <w:sz w:val="18"/>
                <w:szCs w:val="18"/>
              </w:rPr>
            </w:pPr>
          </w:p>
        </w:tc>
        <w:tc>
          <w:tcPr>
            <w:tcW w:w="548" w:type="pct"/>
            <w:vMerge w:val="continue"/>
            <w:tcBorders>
              <w:top w:val="nil"/>
              <w:left w:val="single" w:color="000000" w:sz="4" w:space="0"/>
              <w:bottom w:val="single" w:color="000000" w:sz="4" w:space="0"/>
              <w:right w:val="single" w:color="000000" w:sz="4" w:space="0"/>
            </w:tcBorders>
            <w:vAlign w:val="center"/>
          </w:tcPr>
          <w:p w14:paraId="71700E98">
            <w:pPr>
              <w:widowControl/>
              <w:jc w:val="left"/>
              <w:rPr>
                <w:rFonts w:ascii="宋体" w:hAnsi="宋体" w:eastAsia="宋体" w:cs="宋体"/>
                <w:color w:val="000000"/>
                <w:sz w:val="18"/>
                <w:szCs w:val="18"/>
              </w:rPr>
            </w:pPr>
          </w:p>
        </w:tc>
        <w:tc>
          <w:tcPr>
            <w:tcW w:w="484" w:type="pct"/>
            <w:tcBorders>
              <w:top w:val="nil"/>
              <w:left w:val="nil"/>
              <w:bottom w:val="single" w:color="000000" w:sz="4" w:space="0"/>
              <w:right w:val="single" w:color="000000" w:sz="4" w:space="0"/>
            </w:tcBorders>
            <w:shd w:val="clear" w:color="auto" w:fill="auto"/>
            <w:vAlign w:val="center"/>
          </w:tcPr>
          <w:p w14:paraId="17749E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可持续影响指标</w:t>
            </w:r>
          </w:p>
        </w:tc>
        <w:tc>
          <w:tcPr>
            <w:tcW w:w="1003" w:type="pct"/>
            <w:tcBorders>
              <w:top w:val="nil"/>
              <w:left w:val="nil"/>
              <w:bottom w:val="single" w:color="000000" w:sz="4" w:space="0"/>
              <w:right w:val="single" w:color="000000" w:sz="4" w:space="0"/>
            </w:tcBorders>
            <w:shd w:val="clear" w:color="auto" w:fill="auto"/>
            <w:vAlign w:val="center"/>
          </w:tcPr>
          <w:p w14:paraId="7D7E7AF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提高刑法执行效率</w:t>
            </w:r>
          </w:p>
        </w:tc>
        <w:tc>
          <w:tcPr>
            <w:tcW w:w="174" w:type="pct"/>
            <w:tcBorders>
              <w:top w:val="nil"/>
              <w:left w:val="nil"/>
              <w:bottom w:val="single" w:color="000000" w:sz="4" w:space="0"/>
              <w:right w:val="single" w:color="000000" w:sz="4" w:space="0"/>
            </w:tcBorders>
            <w:shd w:val="clear" w:color="auto" w:fill="auto"/>
            <w:vAlign w:val="center"/>
          </w:tcPr>
          <w:p w14:paraId="5AA2D1F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54" w:type="pct"/>
            <w:tcBorders>
              <w:top w:val="nil"/>
              <w:left w:val="nil"/>
              <w:bottom w:val="single" w:color="000000" w:sz="4" w:space="0"/>
              <w:right w:val="single" w:color="000000" w:sz="4" w:space="0"/>
            </w:tcBorders>
            <w:shd w:val="clear" w:color="auto" w:fill="auto"/>
            <w:vAlign w:val="center"/>
          </w:tcPr>
          <w:p w14:paraId="1089DE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257" w:type="pct"/>
            <w:tcBorders>
              <w:top w:val="nil"/>
              <w:left w:val="nil"/>
              <w:bottom w:val="single" w:color="000000" w:sz="4" w:space="0"/>
              <w:right w:val="single" w:color="000000" w:sz="4" w:space="0"/>
            </w:tcBorders>
            <w:shd w:val="clear" w:color="auto" w:fill="auto"/>
            <w:vAlign w:val="center"/>
          </w:tcPr>
          <w:p w14:paraId="185DE0F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375" w:type="pct"/>
            <w:tcBorders>
              <w:top w:val="nil"/>
              <w:left w:val="nil"/>
              <w:bottom w:val="single" w:color="000000" w:sz="4" w:space="0"/>
              <w:right w:val="single" w:color="000000" w:sz="4" w:space="0"/>
            </w:tcBorders>
            <w:shd w:val="clear" w:color="auto" w:fill="auto"/>
            <w:vAlign w:val="center"/>
          </w:tcPr>
          <w:p w14:paraId="170AB9A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76" w:type="pct"/>
            <w:tcBorders>
              <w:top w:val="nil"/>
              <w:left w:val="nil"/>
              <w:bottom w:val="single" w:color="000000" w:sz="4" w:space="0"/>
              <w:right w:val="single" w:color="000000" w:sz="4" w:space="0"/>
            </w:tcBorders>
            <w:shd w:val="clear" w:color="auto" w:fill="auto"/>
            <w:vAlign w:val="center"/>
          </w:tcPr>
          <w:p w14:paraId="2D83A1C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257" w:type="pct"/>
            <w:tcBorders>
              <w:top w:val="nil"/>
              <w:left w:val="nil"/>
              <w:bottom w:val="single" w:color="000000" w:sz="4" w:space="0"/>
              <w:right w:val="single" w:color="000000" w:sz="4" w:space="0"/>
            </w:tcBorders>
            <w:shd w:val="clear" w:color="auto" w:fill="auto"/>
            <w:vAlign w:val="center"/>
          </w:tcPr>
          <w:p w14:paraId="782467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973" w:type="pct"/>
            <w:tcBorders>
              <w:top w:val="nil"/>
              <w:left w:val="nil"/>
              <w:bottom w:val="single" w:color="000000" w:sz="4" w:space="0"/>
              <w:right w:val="single" w:color="000000" w:sz="4" w:space="0"/>
            </w:tcBorders>
            <w:shd w:val="clear" w:color="auto" w:fill="auto"/>
            <w:vAlign w:val="center"/>
          </w:tcPr>
          <w:p w14:paraId="1858BC2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60BC9E0">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54463AF2">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02DC47A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484" w:type="pct"/>
            <w:tcBorders>
              <w:top w:val="nil"/>
              <w:left w:val="nil"/>
              <w:bottom w:val="single" w:color="000000" w:sz="4" w:space="0"/>
              <w:right w:val="single" w:color="000000" w:sz="4" w:space="0"/>
            </w:tcBorders>
            <w:shd w:val="clear" w:color="auto" w:fill="auto"/>
            <w:vAlign w:val="center"/>
          </w:tcPr>
          <w:p w14:paraId="56E4B36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1003" w:type="pct"/>
            <w:tcBorders>
              <w:top w:val="nil"/>
              <w:left w:val="nil"/>
              <w:bottom w:val="single" w:color="000000" w:sz="4" w:space="0"/>
              <w:right w:val="single" w:color="000000" w:sz="4" w:space="0"/>
            </w:tcBorders>
            <w:shd w:val="clear" w:color="auto" w:fill="auto"/>
            <w:vAlign w:val="center"/>
          </w:tcPr>
          <w:p w14:paraId="3CABEE3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社矫对象使用满意度</w:t>
            </w:r>
          </w:p>
        </w:tc>
        <w:tc>
          <w:tcPr>
            <w:tcW w:w="174" w:type="pct"/>
            <w:tcBorders>
              <w:top w:val="nil"/>
              <w:left w:val="nil"/>
              <w:bottom w:val="single" w:color="000000" w:sz="4" w:space="0"/>
              <w:right w:val="single" w:color="000000" w:sz="4" w:space="0"/>
            </w:tcBorders>
            <w:shd w:val="clear" w:color="auto" w:fill="auto"/>
            <w:vAlign w:val="center"/>
          </w:tcPr>
          <w:p w14:paraId="51F8282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54" w:type="pct"/>
            <w:tcBorders>
              <w:top w:val="nil"/>
              <w:left w:val="nil"/>
              <w:bottom w:val="single" w:color="000000" w:sz="4" w:space="0"/>
              <w:right w:val="single" w:color="000000" w:sz="4" w:space="0"/>
            </w:tcBorders>
            <w:shd w:val="clear" w:color="auto" w:fill="auto"/>
            <w:vAlign w:val="center"/>
          </w:tcPr>
          <w:p w14:paraId="09FC00E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w:t>
            </w:r>
          </w:p>
        </w:tc>
        <w:tc>
          <w:tcPr>
            <w:tcW w:w="257" w:type="pct"/>
            <w:tcBorders>
              <w:top w:val="nil"/>
              <w:left w:val="nil"/>
              <w:bottom w:val="single" w:color="000000" w:sz="4" w:space="0"/>
              <w:right w:val="single" w:color="000000" w:sz="4" w:space="0"/>
            </w:tcBorders>
            <w:shd w:val="clear" w:color="auto" w:fill="auto"/>
            <w:vAlign w:val="center"/>
          </w:tcPr>
          <w:p w14:paraId="6BD05E7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5" w:type="pct"/>
            <w:tcBorders>
              <w:top w:val="nil"/>
              <w:left w:val="nil"/>
              <w:bottom w:val="single" w:color="000000" w:sz="4" w:space="0"/>
              <w:right w:val="single" w:color="000000" w:sz="4" w:space="0"/>
            </w:tcBorders>
            <w:shd w:val="clear" w:color="auto" w:fill="auto"/>
            <w:vAlign w:val="center"/>
          </w:tcPr>
          <w:p w14:paraId="1E85AC8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76" w:type="pct"/>
            <w:tcBorders>
              <w:top w:val="nil"/>
              <w:left w:val="nil"/>
              <w:bottom w:val="single" w:color="000000" w:sz="4" w:space="0"/>
              <w:right w:val="single" w:color="000000" w:sz="4" w:space="0"/>
            </w:tcBorders>
            <w:shd w:val="clear" w:color="auto" w:fill="auto"/>
            <w:vAlign w:val="center"/>
          </w:tcPr>
          <w:p w14:paraId="5974857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57" w:type="pct"/>
            <w:tcBorders>
              <w:top w:val="nil"/>
              <w:left w:val="nil"/>
              <w:bottom w:val="single" w:color="000000" w:sz="4" w:space="0"/>
              <w:right w:val="single" w:color="000000" w:sz="4" w:space="0"/>
            </w:tcBorders>
            <w:shd w:val="clear" w:color="auto" w:fill="auto"/>
            <w:vAlign w:val="center"/>
          </w:tcPr>
          <w:p w14:paraId="5DE6B6F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973" w:type="pct"/>
            <w:tcBorders>
              <w:top w:val="nil"/>
              <w:left w:val="nil"/>
              <w:bottom w:val="single" w:color="000000" w:sz="4" w:space="0"/>
              <w:right w:val="single" w:color="000000" w:sz="4" w:space="0"/>
            </w:tcBorders>
            <w:shd w:val="clear" w:color="auto" w:fill="auto"/>
            <w:vAlign w:val="center"/>
          </w:tcPr>
          <w:p w14:paraId="1C9E882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B284573">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1CCC5200">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3D37AA2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484" w:type="pct"/>
            <w:tcBorders>
              <w:top w:val="nil"/>
              <w:left w:val="nil"/>
              <w:bottom w:val="single" w:color="000000" w:sz="4" w:space="0"/>
              <w:right w:val="single" w:color="000000" w:sz="4" w:space="0"/>
            </w:tcBorders>
            <w:shd w:val="clear" w:color="auto" w:fill="auto"/>
            <w:vAlign w:val="center"/>
          </w:tcPr>
          <w:p w14:paraId="7652792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003" w:type="pct"/>
            <w:tcBorders>
              <w:top w:val="nil"/>
              <w:left w:val="nil"/>
              <w:bottom w:val="single" w:color="000000" w:sz="4" w:space="0"/>
              <w:right w:val="single" w:color="000000" w:sz="4" w:space="0"/>
            </w:tcBorders>
            <w:shd w:val="clear" w:color="auto" w:fill="auto"/>
            <w:vAlign w:val="center"/>
          </w:tcPr>
          <w:p w14:paraId="6888838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每月维护费</w:t>
            </w:r>
          </w:p>
        </w:tc>
        <w:tc>
          <w:tcPr>
            <w:tcW w:w="174" w:type="pct"/>
            <w:tcBorders>
              <w:top w:val="nil"/>
              <w:left w:val="nil"/>
              <w:bottom w:val="single" w:color="000000" w:sz="4" w:space="0"/>
              <w:right w:val="single" w:color="000000" w:sz="4" w:space="0"/>
            </w:tcBorders>
            <w:shd w:val="clear" w:color="auto" w:fill="auto"/>
            <w:vAlign w:val="center"/>
          </w:tcPr>
          <w:p w14:paraId="18730D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4" w:type="pct"/>
            <w:tcBorders>
              <w:top w:val="nil"/>
              <w:left w:val="nil"/>
              <w:bottom w:val="single" w:color="000000" w:sz="4" w:space="0"/>
              <w:right w:val="single" w:color="000000" w:sz="4" w:space="0"/>
            </w:tcBorders>
            <w:shd w:val="clear" w:color="auto" w:fill="auto"/>
            <w:vAlign w:val="center"/>
          </w:tcPr>
          <w:p w14:paraId="74AE921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4000</w:t>
            </w:r>
          </w:p>
        </w:tc>
        <w:tc>
          <w:tcPr>
            <w:tcW w:w="257" w:type="pct"/>
            <w:tcBorders>
              <w:top w:val="nil"/>
              <w:left w:val="nil"/>
              <w:bottom w:val="single" w:color="000000" w:sz="4" w:space="0"/>
              <w:right w:val="single" w:color="000000" w:sz="4" w:space="0"/>
            </w:tcBorders>
            <w:shd w:val="clear" w:color="auto" w:fill="auto"/>
            <w:vAlign w:val="center"/>
          </w:tcPr>
          <w:p w14:paraId="254F63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元/月</w:t>
            </w:r>
          </w:p>
        </w:tc>
        <w:tc>
          <w:tcPr>
            <w:tcW w:w="375" w:type="pct"/>
            <w:tcBorders>
              <w:top w:val="nil"/>
              <w:left w:val="nil"/>
              <w:bottom w:val="single" w:color="000000" w:sz="4" w:space="0"/>
              <w:right w:val="single" w:color="000000" w:sz="4" w:space="0"/>
            </w:tcBorders>
            <w:shd w:val="clear" w:color="auto" w:fill="auto"/>
            <w:vAlign w:val="center"/>
          </w:tcPr>
          <w:p w14:paraId="1521D36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4000</w:t>
            </w:r>
          </w:p>
        </w:tc>
        <w:tc>
          <w:tcPr>
            <w:tcW w:w="176" w:type="pct"/>
            <w:tcBorders>
              <w:top w:val="nil"/>
              <w:left w:val="nil"/>
              <w:bottom w:val="single" w:color="000000" w:sz="4" w:space="0"/>
              <w:right w:val="single" w:color="000000" w:sz="4" w:space="0"/>
            </w:tcBorders>
            <w:shd w:val="clear" w:color="auto" w:fill="auto"/>
            <w:vAlign w:val="center"/>
          </w:tcPr>
          <w:p w14:paraId="5FE5378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257" w:type="pct"/>
            <w:tcBorders>
              <w:top w:val="nil"/>
              <w:left w:val="nil"/>
              <w:bottom w:val="single" w:color="000000" w:sz="4" w:space="0"/>
              <w:right w:val="single" w:color="000000" w:sz="4" w:space="0"/>
            </w:tcBorders>
            <w:shd w:val="clear" w:color="auto" w:fill="auto"/>
            <w:vAlign w:val="center"/>
          </w:tcPr>
          <w:p w14:paraId="2BCE835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973" w:type="pct"/>
            <w:tcBorders>
              <w:top w:val="nil"/>
              <w:left w:val="nil"/>
              <w:bottom w:val="single" w:color="000000" w:sz="4" w:space="0"/>
              <w:right w:val="single" w:color="000000" w:sz="4" w:space="0"/>
            </w:tcBorders>
            <w:shd w:val="clear" w:color="auto" w:fill="auto"/>
            <w:vAlign w:val="center"/>
          </w:tcPr>
          <w:p w14:paraId="13EA296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68A6CA7">
        <w:tblPrEx>
          <w:tblCellMar>
            <w:top w:w="0" w:type="dxa"/>
            <w:left w:w="108" w:type="dxa"/>
            <w:bottom w:w="0" w:type="dxa"/>
            <w:right w:w="108" w:type="dxa"/>
          </w:tblCellMar>
        </w:tblPrEx>
        <w:trPr>
          <w:trHeight w:val="28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1F1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548" w:type="pct"/>
            <w:tcBorders>
              <w:top w:val="nil"/>
              <w:left w:val="nil"/>
              <w:bottom w:val="single" w:color="000000" w:sz="4" w:space="0"/>
              <w:right w:val="single" w:color="000000" w:sz="4" w:space="0"/>
            </w:tcBorders>
            <w:shd w:val="clear" w:color="auto" w:fill="auto"/>
            <w:vAlign w:val="center"/>
          </w:tcPr>
          <w:p w14:paraId="67F2858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84" w:type="pct"/>
            <w:tcBorders>
              <w:top w:val="nil"/>
              <w:left w:val="nil"/>
              <w:bottom w:val="single" w:color="000000" w:sz="4" w:space="0"/>
              <w:right w:val="single" w:color="000000" w:sz="4" w:space="0"/>
            </w:tcBorders>
            <w:shd w:val="clear" w:color="auto" w:fill="auto"/>
            <w:vAlign w:val="center"/>
          </w:tcPr>
          <w:p w14:paraId="15861F9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3" w:type="pct"/>
            <w:tcBorders>
              <w:top w:val="nil"/>
              <w:left w:val="nil"/>
              <w:bottom w:val="single" w:color="000000" w:sz="4" w:space="0"/>
              <w:right w:val="single" w:color="000000" w:sz="4" w:space="0"/>
            </w:tcBorders>
            <w:shd w:val="clear" w:color="auto" w:fill="auto"/>
            <w:vAlign w:val="center"/>
          </w:tcPr>
          <w:p w14:paraId="0C2A329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4" w:type="pct"/>
            <w:tcBorders>
              <w:top w:val="nil"/>
              <w:left w:val="nil"/>
              <w:bottom w:val="single" w:color="000000" w:sz="4" w:space="0"/>
              <w:right w:val="single" w:color="000000" w:sz="4" w:space="0"/>
            </w:tcBorders>
            <w:shd w:val="clear" w:color="auto" w:fill="auto"/>
            <w:vAlign w:val="center"/>
          </w:tcPr>
          <w:p w14:paraId="35AA7C3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54" w:type="pct"/>
            <w:tcBorders>
              <w:top w:val="nil"/>
              <w:left w:val="nil"/>
              <w:bottom w:val="single" w:color="000000" w:sz="4" w:space="0"/>
              <w:right w:val="single" w:color="000000" w:sz="4" w:space="0"/>
            </w:tcBorders>
            <w:shd w:val="clear" w:color="auto" w:fill="auto"/>
            <w:vAlign w:val="center"/>
          </w:tcPr>
          <w:p w14:paraId="1E81756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1057CAA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5" w:type="pct"/>
            <w:tcBorders>
              <w:top w:val="nil"/>
              <w:left w:val="nil"/>
              <w:bottom w:val="single" w:color="000000" w:sz="4" w:space="0"/>
              <w:right w:val="single" w:color="000000" w:sz="4" w:space="0"/>
            </w:tcBorders>
            <w:shd w:val="clear" w:color="auto" w:fill="auto"/>
            <w:vAlign w:val="center"/>
          </w:tcPr>
          <w:p w14:paraId="114EC9E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657EF7D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57" w:type="pct"/>
            <w:tcBorders>
              <w:top w:val="nil"/>
              <w:left w:val="nil"/>
              <w:bottom w:val="single" w:color="000000" w:sz="4" w:space="0"/>
              <w:right w:val="single" w:color="000000" w:sz="4" w:space="0"/>
            </w:tcBorders>
            <w:shd w:val="clear" w:color="auto" w:fill="auto"/>
            <w:vAlign w:val="center"/>
          </w:tcPr>
          <w:p w14:paraId="22C3225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98.868</w:t>
            </w:r>
          </w:p>
        </w:tc>
        <w:tc>
          <w:tcPr>
            <w:tcW w:w="973" w:type="pct"/>
            <w:tcBorders>
              <w:top w:val="nil"/>
              <w:left w:val="nil"/>
              <w:bottom w:val="single" w:color="000000" w:sz="4" w:space="0"/>
              <w:right w:val="single" w:color="000000" w:sz="4" w:space="0"/>
            </w:tcBorders>
            <w:shd w:val="clear" w:color="auto" w:fill="auto"/>
            <w:vAlign w:val="center"/>
          </w:tcPr>
          <w:p w14:paraId="240C46D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6D6FB2BA">
        <w:tblPrEx>
          <w:tblCellMar>
            <w:top w:w="0" w:type="dxa"/>
            <w:left w:w="108" w:type="dxa"/>
            <w:bottom w:w="0" w:type="dxa"/>
            <w:right w:w="108" w:type="dxa"/>
          </w:tblCellMar>
        </w:tblPrEx>
        <w:trPr>
          <w:trHeight w:val="1200"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7834CE0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1EA8E382">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部分工作人员对绩效评价认识不足，绩效评价得分“98.87”，评价等级为“优”。</w:t>
            </w:r>
          </w:p>
        </w:tc>
      </w:tr>
      <w:tr w14:paraId="459A645C">
        <w:tblPrEx>
          <w:tblCellMar>
            <w:top w:w="0" w:type="dxa"/>
            <w:left w:w="108" w:type="dxa"/>
            <w:bottom w:w="0" w:type="dxa"/>
            <w:right w:w="108" w:type="dxa"/>
          </w:tblCellMar>
        </w:tblPrEx>
        <w:trPr>
          <w:trHeight w:val="942"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675EAC0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5BA05CB7">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部分工作人员对绩效评价认识不足。绩效评价过程中需要相关工作人员具有专业的绩效评价知识与能力，绩效评价需要做到各部门共同参与，但部分工作人员对绩效评价认识不足，对绩效评价知识的掌握不全面，制约了绩效评价工作的开展。</w:t>
            </w:r>
          </w:p>
        </w:tc>
      </w:tr>
      <w:tr w14:paraId="2BC91A87">
        <w:tblPrEx>
          <w:tblCellMar>
            <w:top w:w="0" w:type="dxa"/>
            <w:left w:w="108" w:type="dxa"/>
            <w:bottom w:w="0" w:type="dxa"/>
            <w:right w:w="108" w:type="dxa"/>
          </w:tblCellMar>
        </w:tblPrEx>
        <w:trPr>
          <w:trHeight w:val="1242"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5EA3087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60AEEE5E">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应定期组织绩效评价专题培训，邀请专家或专业机构讲解绩效评价的理论知识、操作流程和评价方法，提升工作人员的专业能力。针对不同部门的工作特点，开展定制化培训，确保培训内容与实际工作紧密结合，提高培训的实用性和针对性。</w:t>
            </w:r>
          </w:p>
        </w:tc>
      </w:tr>
      <w:tr w14:paraId="3A1E4D2A">
        <w:tblPrEx>
          <w:tblCellMar>
            <w:top w:w="0" w:type="dxa"/>
            <w:left w:w="108" w:type="dxa"/>
            <w:bottom w:w="0" w:type="dxa"/>
            <w:right w:w="108" w:type="dxa"/>
          </w:tblCellMar>
        </w:tblPrEx>
        <w:trPr>
          <w:trHeight w:val="619"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08335">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w:t>
            </w:r>
            <w:bookmarkStart w:id="102" w:name="OLE_LINK52"/>
            <w:bookmarkStart w:id="103" w:name="OLE_LINK51"/>
            <w:r>
              <w:rPr>
                <w:rFonts w:ascii="Courier New" w:hAnsi="Courier New" w:eastAsia="宋体" w:cs="Courier New"/>
                <w:color w:val="auto"/>
                <w:sz w:val="18"/>
                <w:szCs w:val="18"/>
              </w:rPr>
              <w:t>顾震</w:t>
            </w:r>
            <w:bookmarkEnd w:id="102"/>
            <w:bookmarkEnd w:id="103"/>
          </w:p>
        </w:tc>
        <w:tc>
          <w:tcPr>
            <w:tcW w:w="2593" w:type="pct"/>
            <w:gridSpan w:val="6"/>
            <w:tcBorders>
              <w:top w:val="single" w:color="000000" w:sz="4" w:space="0"/>
              <w:left w:val="nil"/>
              <w:bottom w:val="single" w:color="000000" w:sz="4" w:space="0"/>
              <w:right w:val="single" w:color="000000" w:sz="4" w:space="0"/>
            </w:tcBorders>
            <w:shd w:val="clear" w:color="auto" w:fill="auto"/>
            <w:vAlign w:val="center"/>
          </w:tcPr>
          <w:p w14:paraId="0439FD64">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13B5B893">
      <w:pPr>
        <w:pStyle w:val="196"/>
        <w:ind w:left="632" w:firstLine="632"/>
        <w:rPr>
          <w:rFonts w:ascii="Times New Roman" w:eastAsia="黑体"/>
          <w:shd w:val="clear" w:color="auto" w:fill="FFFFFF"/>
          <w:lang w:val="zh-CN"/>
        </w:rPr>
      </w:pPr>
    </w:p>
    <w:p w14:paraId="7772385C">
      <w:pPr>
        <w:pStyle w:val="196"/>
        <w:ind w:left="632" w:firstLine="632"/>
        <w:rPr>
          <w:rFonts w:ascii="Times New Roman" w:eastAsia="黑体"/>
          <w:shd w:val="clear" w:color="auto" w:fill="FFFFFF"/>
          <w:lang w:val="zh-CN"/>
        </w:rPr>
      </w:pPr>
    </w:p>
    <w:p w14:paraId="35500D91">
      <w:pPr>
        <w:pStyle w:val="196"/>
        <w:ind w:left="632" w:firstLine="632"/>
        <w:rPr>
          <w:rFonts w:ascii="Times New Roman" w:eastAsia="黑体"/>
          <w:shd w:val="clear" w:color="auto" w:fill="FFFFFF"/>
          <w:lang w:val="zh-CN"/>
        </w:rPr>
      </w:pPr>
    </w:p>
    <w:tbl>
      <w:tblPr>
        <w:tblStyle w:val="36"/>
        <w:tblW w:w="5000" w:type="pct"/>
        <w:tblInd w:w="0" w:type="dxa"/>
        <w:tblLayout w:type="autofit"/>
        <w:tblCellMar>
          <w:top w:w="0" w:type="dxa"/>
          <w:left w:w="108" w:type="dxa"/>
          <w:bottom w:w="0" w:type="dxa"/>
          <w:right w:w="108" w:type="dxa"/>
        </w:tblCellMar>
      </w:tblPr>
      <w:tblGrid>
        <w:gridCol w:w="576"/>
        <w:gridCol w:w="801"/>
        <w:gridCol w:w="679"/>
        <w:gridCol w:w="1642"/>
        <w:gridCol w:w="396"/>
        <w:gridCol w:w="808"/>
        <w:gridCol w:w="756"/>
        <w:gridCol w:w="756"/>
        <w:gridCol w:w="486"/>
        <w:gridCol w:w="756"/>
        <w:gridCol w:w="1586"/>
      </w:tblGrid>
      <w:tr w14:paraId="17230D1D">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1A8FCF3">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14F8149C">
        <w:tblPrEx>
          <w:tblCellMar>
            <w:top w:w="0" w:type="dxa"/>
            <w:left w:w="108" w:type="dxa"/>
            <w:bottom w:w="0" w:type="dxa"/>
            <w:right w:w="108" w:type="dxa"/>
          </w:tblCellMar>
        </w:tblPrEx>
        <w:trPr>
          <w:trHeight w:val="559" w:hRule="atLeast"/>
        </w:trPr>
        <w:tc>
          <w:tcPr>
            <w:tcW w:w="746" w:type="pct"/>
            <w:gridSpan w:val="2"/>
            <w:tcBorders>
              <w:top w:val="nil"/>
              <w:left w:val="single" w:color="auto" w:sz="4" w:space="0"/>
              <w:bottom w:val="single" w:color="000000" w:sz="4" w:space="0"/>
              <w:right w:val="single" w:color="auto" w:sz="4" w:space="0"/>
            </w:tcBorders>
            <w:shd w:val="clear" w:color="auto" w:fill="auto"/>
            <w:vAlign w:val="center"/>
          </w:tcPr>
          <w:p w14:paraId="2F0A7297">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254" w:type="pct"/>
            <w:gridSpan w:val="9"/>
            <w:tcBorders>
              <w:top w:val="nil"/>
              <w:left w:val="nil"/>
              <w:bottom w:val="single" w:color="000000" w:sz="4" w:space="0"/>
              <w:right w:val="single" w:color="auto" w:sz="4" w:space="0"/>
            </w:tcBorders>
            <w:shd w:val="clear" w:color="auto" w:fill="auto"/>
            <w:vAlign w:val="center"/>
          </w:tcPr>
          <w:p w14:paraId="2373B672">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51090422T000000389616-安置帮教经费</w:t>
            </w:r>
          </w:p>
        </w:tc>
      </w:tr>
      <w:tr w14:paraId="12DF51C0">
        <w:tblPrEx>
          <w:tblCellMar>
            <w:top w:w="0" w:type="dxa"/>
            <w:left w:w="108" w:type="dxa"/>
            <w:bottom w:w="0" w:type="dxa"/>
            <w:right w:w="108" w:type="dxa"/>
          </w:tblCellMar>
        </w:tblPrEx>
        <w:trPr>
          <w:trHeight w:val="514" w:hRule="atLeast"/>
        </w:trPr>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1918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472" w:type="pct"/>
            <w:gridSpan w:val="5"/>
            <w:tcBorders>
              <w:top w:val="single" w:color="000000" w:sz="4" w:space="0"/>
              <w:left w:val="nil"/>
              <w:bottom w:val="single" w:color="000000" w:sz="4" w:space="0"/>
              <w:right w:val="single" w:color="000000" w:sz="4" w:space="0"/>
            </w:tcBorders>
            <w:shd w:val="clear" w:color="auto" w:fill="auto"/>
            <w:vAlign w:val="center"/>
          </w:tcPr>
          <w:p w14:paraId="2670234C">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375" w:type="pct"/>
            <w:tcBorders>
              <w:top w:val="nil"/>
              <w:left w:val="nil"/>
              <w:bottom w:val="nil"/>
              <w:right w:val="nil"/>
            </w:tcBorders>
            <w:shd w:val="clear" w:color="auto" w:fill="auto"/>
            <w:vAlign w:val="center"/>
          </w:tcPr>
          <w:p w14:paraId="0DF3ABD8">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73E8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0256B443">
        <w:tblPrEx>
          <w:tblCellMar>
            <w:top w:w="0" w:type="dxa"/>
            <w:left w:w="108" w:type="dxa"/>
            <w:bottom w:w="0" w:type="dxa"/>
            <w:right w:w="108" w:type="dxa"/>
          </w:tblCellMar>
        </w:tblPrEx>
        <w:trPr>
          <w:trHeight w:val="360" w:hRule="atLeast"/>
        </w:trPr>
        <w:tc>
          <w:tcPr>
            <w:tcW w:w="197" w:type="pct"/>
            <w:vMerge w:val="restart"/>
            <w:tcBorders>
              <w:top w:val="nil"/>
              <w:left w:val="single" w:color="000000" w:sz="4" w:space="0"/>
              <w:bottom w:val="single" w:color="000000" w:sz="4" w:space="0"/>
              <w:right w:val="single" w:color="000000" w:sz="4" w:space="0"/>
            </w:tcBorders>
            <w:shd w:val="clear" w:color="auto" w:fill="auto"/>
            <w:vAlign w:val="center"/>
          </w:tcPr>
          <w:p w14:paraId="128C7D99">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548" w:type="pct"/>
            <w:vMerge w:val="restart"/>
            <w:tcBorders>
              <w:top w:val="nil"/>
              <w:left w:val="single" w:color="000000" w:sz="4" w:space="0"/>
              <w:bottom w:val="single" w:color="000000" w:sz="4" w:space="0"/>
              <w:right w:val="single" w:color="000000" w:sz="4" w:space="0"/>
            </w:tcBorders>
            <w:shd w:val="clear" w:color="auto" w:fill="auto"/>
            <w:vAlign w:val="center"/>
          </w:tcPr>
          <w:p w14:paraId="621C4306">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472" w:type="pct"/>
            <w:gridSpan w:val="5"/>
            <w:tcBorders>
              <w:top w:val="single" w:color="000000" w:sz="4" w:space="0"/>
              <w:left w:val="nil"/>
              <w:bottom w:val="single" w:color="000000" w:sz="4" w:space="0"/>
              <w:right w:val="single" w:color="000000" w:sz="4" w:space="0"/>
            </w:tcBorders>
            <w:shd w:val="clear" w:color="auto" w:fill="auto"/>
            <w:vAlign w:val="center"/>
          </w:tcPr>
          <w:p w14:paraId="6CE2708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782" w:type="pct"/>
            <w:gridSpan w:val="4"/>
            <w:tcBorders>
              <w:top w:val="single" w:color="000000" w:sz="4" w:space="0"/>
              <w:left w:val="nil"/>
              <w:bottom w:val="single" w:color="000000" w:sz="4" w:space="0"/>
              <w:right w:val="single" w:color="000000" w:sz="4" w:space="0"/>
            </w:tcBorders>
            <w:shd w:val="clear" w:color="auto" w:fill="auto"/>
            <w:vAlign w:val="center"/>
          </w:tcPr>
          <w:p w14:paraId="3A50BD68">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6AFB8C01">
        <w:tblPrEx>
          <w:tblCellMar>
            <w:top w:w="0" w:type="dxa"/>
            <w:left w:w="108" w:type="dxa"/>
            <w:bottom w:w="0" w:type="dxa"/>
            <w:right w:w="108" w:type="dxa"/>
          </w:tblCellMar>
        </w:tblPrEx>
        <w:trPr>
          <w:trHeight w:val="2682" w:hRule="atLeast"/>
        </w:trPr>
        <w:tc>
          <w:tcPr>
            <w:tcW w:w="197" w:type="pct"/>
            <w:vMerge w:val="continue"/>
            <w:tcBorders>
              <w:top w:val="nil"/>
              <w:left w:val="single" w:color="000000" w:sz="4" w:space="0"/>
              <w:bottom w:val="single" w:color="000000" w:sz="4" w:space="0"/>
              <w:right w:val="single" w:color="000000" w:sz="4" w:space="0"/>
            </w:tcBorders>
            <w:vAlign w:val="center"/>
          </w:tcPr>
          <w:p w14:paraId="298D2705">
            <w:pPr>
              <w:widowControl/>
              <w:jc w:val="left"/>
              <w:rPr>
                <w:rFonts w:ascii="宋体" w:hAnsi="宋体" w:eastAsia="宋体" w:cs="宋体"/>
                <w:color w:val="000000"/>
                <w:sz w:val="18"/>
                <w:szCs w:val="18"/>
              </w:rPr>
            </w:pPr>
          </w:p>
        </w:tc>
        <w:tc>
          <w:tcPr>
            <w:tcW w:w="548" w:type="pct"/>
            <w:vMerge w:val="continue"/>
            <w:tcBorders>
              <w:top w:val="nil"/>
              <w:left w:val="single" w:color="000000" w:sz="4" w:space="0"/>
              <w:bottom w:val="single" w:color="000000" w:sz="4" w:space="0"/>
              <w:right w:val="single" w:color="000000" w:sz="4" w:space="0"/>
            </w:tcBorders>
            <w:vAlign w:val="center"/>
          </w:tcPr>
          <w:p w14:paraId="47DEBC14">
            <w:pPr>
              <w:widowControl/>
              <w:jc w:val="left"/>
              <w:rPr>
                <w:rFonts w:ascii="宋体" w:hAnsi="宋体" w:eastAsia="宋体" w:cs="宋体"/>
                <w:color w:val="000000"/>
                <w:sz w:val="18"/>
                <w:szCs w:val="18"/>
              </w:rPr>
            </w:pPr>
          </w:p>
        </w:tc>
        <w:tc>
          <w:tcPr>
            <w:tcW w:w="2472" w:type="pct"/>
            <w:gridSpan w:val="5"/>
            <w:tcBorders>
              <w:top w:val="single" w:color="000000" w:sz="4" w:space="0"/>
              <w:left w:val="nil"/>
              <w:bottom w:val="single" w:color="000000" w:sz="4" w:space="0"/>
              <w:right w:val="single" w:color="000000" w:sz="4" w:space="0"/>
            </w:tcBorders>
            <w:shd w:val="clear" w:color="auto" w:fill="auto"/>
            <w:vAlign w:val="center"/>
          </w:tcPr>
          <w:p w14:paraId="147BD7D6">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根据《遂宁市安居区刑满释放人员服务管理工作细则》（遂安委办发〔2015〕19 秘密文件）、《遂宁市刑满释放人员服务管理改革试点工作方案》、《遂宁市关于全面推进和创新刑满释放解除劳教人员安置帮教工资实施方案》（遂综治委安帮办〔2011〕07号）规定，县区政府财政要将安置帮教工作经费过渡性安置帮教基地、“三无”刑满释放人员必接经费、安置帮教志愿者工作经费等列入财政预算。安置帮教系针对刑满释放5年内的人员帮教、安置、促进再就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根据《中共中央办公厅国务院办公厅转发《中央社会治安综合治理委员会关于进一步加强刑满释放接触劳教人员安置帮教工作的意见》的通知》（中办发〔2010〕5号 秘密文件），各级党委政府要将刑释解矫人员安置帮教工作经费，包括各级安置帮教工作领导机构工作经费、刑释解矫人员职业技能培训和职业技能鉴定费、安置帮教志愿者工作经费等，纳入同级财政预算，切实予以保障。</w:t>
            </w:r>
          </w:p>
        </w:tc>
        <w:tc>
          <w:tcPr>
            <w:tcW w:w="1782" w:type="pct"/>
            <w:gridSpan w:val="4"/>
            <w:tcBorders>
              <w:top w:val="single" w:color="000000" w:sz="4" w:space="0"/>
              <w:left w:val="nil"/>
              <w:bottom w:val="single" w:color="000000" w:sz="4" w:space="0"/>
              <w:right w:val="single" w:color="000000" w:sz="4" w:space="0"/>
            </w:tcBorders>
            <w:shd w:val="clear" w:color="auto" w:fill="auto"/>
            <w:vAlign w:val="center"/>
          </w:tcPr>
          <w:p w14:paraId="39EF4F44">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与监狱、看守所等无缝衔接刑释人员29人。截至目前，全区在册安置帮教对象2053名，其中重点安置帮教对象293人，帮教率100%，开展远程探视申请409人次。</w:t>
            </w:r>
          </w:p>
        </w:tc>
      </w:tr>
      <w:tr w14:paraId="5EB9DA3E">
        <w:tblPrEx>
          <w:tblCellMar>
            <w:top w:w="0" w:type="dxa"/>
            <w:left w:w="108" w:type="dxa"/>
            <w:bottom w:w="0" w:type="dxa"/>
            <w:right w:w="108" w:type="dxa"/>
          </w:tblCellMar>
        </w:tblPrEx>
        <w:trPr>
          <w:trHeight w:val="1140" w:hRule="atLeast"/>
        </w:trPr>
        <w:tc>
          <w:tcPr>
            <w:tcW w:w="197" w:type="pct"/>
            <w:vMerge w:val="continue"/>
            <w:tcBorders>
              <w:top w:val="nil"/>
              <w:left w:val="single" w:color="000000" w:sz="4" w:space="0"/>
              <w:bottom w:val="single" w:color="000000" w:sz="4" w:space="0"/>
              <w:right w:val="single" w:color="000000" w:sz="4" w:space="0"/>
            </w:tcBorders>
            <w:vAlign w:val="center"/>
          </w:tcPr>
          <w:p w14:paraId="4C09BE2A">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55597BD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254" w:type="pct"/>
            <w:gridSpan w:val="9"/>
            <w:tcBorders>
              <w:top w:val="single" w:color="000000" w:sz="4" w:space="0"/>
              <w:left w:val="nil"/>
              <w:bottom w:val="single" w:color="000000" w:sz="4" w:space="0"/>
              <w:right w:val="single" w:color="000000" w:sz="4" w:space="0"/>
            </w:tcBorders>
            <w:shd w:val="clear" w:color="auto" w:fill="auto"/>
            <w:vAlign w:val="center"/>
          </w:tcPr>
          <w:p w14:paraId="1D6F810E">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加强刑释人员安置帮教工作。确保做到“四个不发生”，积极落实“必接必送”制度，与监狱、看守所等无缝衔接刑释人员29人。截至目前，全区在册安置帮教对象2053名，其中重点安置帮教对象293人，帮教率100%，开展远程探视申请409人次。</w:t>
            </w:r>
          </w:p>
        </w:tc>
      </w:tr>
      <w:tr w14:paraId="12899AA1">
        <w:tblPrEx>
          <w:tblCellMar>
            <w:top w:w="0" w:type="dxa"/>
            <w:left w:w="108" w:type="dxa"/>
            <w:bottom w:w="0" w:type="dxa"/>
            <w:right w:w="108" w:type="dxa"/>
          </w:tblCellMar>
        </w:tblPrEx>
        <w:trPr>
          <w:trHeight w:val="619" w:hRule="atLeast"/>
        </w:trPr>
        <w:tc>
          <w:tcPr>
            <w:tcW w:w="197" w:type="pct"/>
            <w:vMerge w:val="restart"/>
            <w:tcBorders>
              <w:top w:val="nil"/>
              <w:left w:val="single" w:color="000000" w:sz="4" w:space="0"/>
              <w:bottom w:val="single" w:color="000000" w:sz="4" w:space="0"/>
              <w:right w:val="single" w:color="000000" w:sz="4" w:space="0"/>
            </w:tcBorders>
            <w:shd w:val="clear" w:color="auto" w:fill="auto"/>
            <w:vAlign w:val="center"/>
          </w:tcPr>
          <w:p w14:paraId="7DFA7FA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548" w:type="pct"/>
            <w:tcBorders>
              <w:top w:val="nil"/>
              <w:left w:val="nil"/>
              <w:bottom w:val="single" w:color="000000" w:sz="4" w:space="0"/>
              <w:right w:val="single" w:color="000000" w:sz="4" w:space="0"/>
            </w:tcBorders>
            <w:shd w:val="clear" w:color="auto" w:fill="auto"/>
            <w:vAlign w:val="center"/>
          </w:tcPr>
          <w:p w14:paraId="6F817ED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483" w:type="pct"/>
            <w:tcBorders>
              <w:top w:val="nil"/>
              <w:left w:val="nil"/>
              <w:bottom w:val="single" w:color="000000" w:sz="4" w:space="0"/>
              <w:right w:val="single" w:color="000000" w:sz="4" w:space="0"/>
            </w:tcBorders>
            <w:shd w:val="clear" w:color="auto" w:fill="auto"/>
            <w:vAlign w:val="center"/>
          </w:tcPr>
          <w:p w14:paraId="4895571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1004" w:type="pct"/>
            <w:tcBorders>
              <w:top w:val="nil"/>
              <w:left w:val="nil"/>
              <w:bottom w:val="single" w:color="000000" w:sz="4" w:space="0"/>
              <w:right w:val="single" w:color="000000" w:sz="4" w:space="0"/>
            </w:tcBorders>
            <w:shd w:val="clear" w:color="auto" w:fill="auto"/>
            <w:vAlign w:val="center"/>
          </w:tcPr>
          <w:p w14:paraId="15BE85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1751172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375" w:type="pct"/>
            <w:tcBorders>
              <w:top w:val="nil"/>
              <w:left w:val="nil"/>
              <w:bottom w:val="single" w:color="000000" w:sz="4" w:space="0"/>
              <w:right w:val="single" w:color="000000" w:sz="4" w:space="0"/>
            </w:tcBorders>
            <w:shd w:val="clear" w:color="auto" w:fill="auto"/>
            <w:vAlign w:val="center"/>
          </w:tcPr>
          <w:p w14:paraId="1E8CF5B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76" w:type="pct"/>
            <w:tcBorders>
              <w:top w:val="nil"/>
              <w:left w:val="nil"/>
              <w:bottom w:val="single" w:color="000000" w:sz="4" w:space="0"/>
              <w:right w:val="single" w:color="000000" w:sz="4" w:space="0"/>
            </w:tcBorders>
            <w:shd w:val="clear" w:color="auto" w:fill="auto"/>
            <w:vAlign w:val="center"/>
          </w:tcPr>
          <w:p w14:paraId="35CDE87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784AE0C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974" w:type="pct"/>
            <w:tcBorders>
              <w:top w:val="nil"/>
              <w:left w:val="nil"/>
              <w:bottom w:val="single" w:color="000000" w:sz="4" w:space="0"/>
              <w:right w:val="single" w:color="000000" w:sz="4" w:space="0"/>
            </w:tcBorders>
            <w:shd w:val="clear" w:color="auto" w:fill="auto"/>
            <w:vAlign w:val="center"/>
          </w:tcPr>
          <w:p w14:paraId="0E58A80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3487283D">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1F318653">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532B40F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483" w:type="pct"/>
            <w:tcBorders>
              <w:top w:val="nil"/>
              <w:left w:val="nil"/>
              <w:bottom w:val="single" w:color="000000" w:sz="4" w:space="0"/>
              <w:right w:val="single" w:color="000000" w:sz="4" w:space="0"/>
            </w:tcBorders>
            <w:shd w:val="clear" w:color="auto" w:fill="auto"/>
            <w:vAlign w:val="center"/>
          </w:tcPr>
          <w:p w14:paraId="338DEA9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5.00</w:t>
            </w:r>
          </w:p>
        </w:tc>
        <w:tc>
          <w:tcPr>
            <w:tcW w:w="1004" w:type="pct"/>
            <w:tcBorders>
              <w:top w:val="nil"/>
              <w:left w:val="nil"/>
              <w:bottom w:val="single" w:color="000000" w:sz="4" w:space="0"/>
              <w:right w:val="single" w:color="000000" w:sz="4" w:space="0"/>
            </w:tcBorders>
            <w:shd w:val="clear" w:color="auto" w:fill="auto"/>
            <w:vAlign w:val="center"/>
          </w:tcPr>
          <w:p w14:paraId="71D1DF3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1.45</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004E4E2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1.45</w:t>
            </w:r>
          </w:p>
        </w:tc>
        <w:tc>
          <w:tcPr>
            <w:tcW w:w="375" w:type="pct"/>
            <w:tcBorders>
              <w:top w:val="nil"/>
              <w:left w:val="nil"/>
              <w:bottom w:val="single" w:color="000000" w:sz="4" w:space="0"/>
              <w:right w:val="single" w:color="000000" w:sz="4" w:space="0"/>
            </w:tcBorders>
            <w:shd w:val="clear" w:color="auto" w:fill="auto"/>
            <w:vAlign w:val="center"/>
          </w:tcPr>
          <w:p w14:paraId="7F4E115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29.06%</w:t>
            </w:r>
          </w:p>
        </w:tc>
        <w:tc>
          <w:tcPr>
            <w:tcW w:w="176" w:type="pct"/>
            <w:tcBorders>
              <w:top w:val="nil"/>
              <w:left w:val="nil"/>
              <w:bottom w:val="single" w:color="000000" w:sz="4" w:space="0"/>
              <w:right w:val="single" w:color="000000" w:sz="4" w:space="0"/>
            </w:tcBorders>
            <w:shd w:val="clear" w:color="auto" w:fill="auto"/>
            <w:vAlign w:val="center"/>
          </w:tcPr>
          <w:p w14:paraId="3D6B9F6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57" w:type="pct"/>
            <w:tcBorders>
              <w:top w:val="nil"/>
              <w:left w:val="nil"/>
              <w:bottom w:val="single" w:color="000000" w:sz="4" w:space="0"/>
              <w:right w:val="single" w:color="000000" w:sz="4" w:space="0"/>
            </w:tcBorders>
            <w:shd w:val="clear" w:color="auto" w:fill="auto"/>
            <w:vAlign w:val="center"/>
          </w:tcPr>
          <w:p w14:paraId="37EFBF2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2.906</w:t>
            </w:r>
          </w:p>
        </w:tc>
        <w:tc>
          <w:tcPr>
            <w:tcW w:w="974" w:type="pct"/>
            <w:vMerge w:val="restart"/>
            <w:tcBorders>
              <w:top w:val="nil"/>
              <w:left w:val="single" w:color="000000" w:sz="4" w:space="0"/>
              <w:bottom w:val="single" w:color="000000" w:sz="4" w:space="0"/>
              <w:right w:val="single" w:color="000000" w:sz="4" w:space="0"/>
            </w:tcBorders>
            <w:shd w:val="clear" w:color="auto" w:fill="auto"/>
            <w:vAlign w:val="center"/>
          </w:tcPr>
          <w:p w14:paraId="54AA4C71">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项目需经过多级审批，我区财政紧</w:t>
            </w:r>
            <w:r>
              <w:rPr>
                <w:rFonts w:ascii="Courier New" w:hAnsi="Courier New" w:eastAsia="宋体" w:cs="Courier New"/>
                <w:color w:val="000000"/>
                <w:sz w:val="16"/>
                <w:szCs w:val="16"/>
              </w:rPr>
              <w:br w:type="textWrapping"/>
            </w:r>
            <w:r>
              <w:rPr>
                <w:rFonts w:ascii="Courier New" w:hAnsi="Courier New" w:eastAsia="宋体" w:cs="Courier New"/>
                <w:color w:val="000000"/>
                <w:sz w:val="16"/>
                <w:szCs w:val="16"/>
              </w:rPr>
              <w:t>张，年底申请支付的财政未审批，导致执行率未达到100%。</w:t>
            </w:r>
          </w:p>
        </w:tc>
      </w:tr>
      <w:tr w14:paraId="4E1DB235">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71CF0348">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2AC8483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483" w:type="pct"/>
            <w:tcBorders>
              <w:top w:val="nil"/>
              <w:left w:val="nil"/>
              <w:bottom w:val="single" w:color="000000" w:sz="4" w:space="0"/>
              <w:right w:val="single" w:color="000000" w:sz="4" w:space="0"/>
            </w:tcBorders>
            <w:shd w:val="clear" w:color="auto" w:fill="auto"/>
            <w:vAlign w:val="center"/>
          </w:tcPr>
          <w:p w14:paraId="707A2C4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5.00</w:t>
            </w:r>
          </w:p>
        </w:tc>
        <w:tc>
          <w:tcPr>
            <w:tcW w:w="1004" w:type="pct"/>
            <w:tcBorders>
              <w:top w:val="nil"/>
              <w:left w:val="nil"/>
              <w:bottom w:val="single" w:color="000000" w:sz="4" w:space="0"/>
              <w:right w:val="single" w:color="000000" w:sz="4" w:space="0"/>
            </w:tcBorders>
            <w:shd w:val="clear" w:color="auto" w:fill="auto"/>
            <w:vAlign w:val="center"/>
          </w:tcPr>
          <w:p w14:paraId="20C734A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1.45</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3B7B2CB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1.45</w:t>
            </w:r>
          </w:p>
        </w:tc>
        <w:tc>
          <w:tcPr>
            <w:tcW w:w="375" w:type="pct"/>
            <w:tcBorders>
              <w:top w:val="nil"/>
              <w:left w:val="nil"/>
              <w:bottom w:val="single" w:color="000000" w:sz="4" w:space="0"/>
              <w:right w:val="single" w:color="000000" w:sz="4" w:space="0"/>
            </w:tcBorders>
            <w:shd w:val="clear" w:color="auto" w:fill="auto"/>
            <w:vAlign w:val="center"/>
          </w:tcPr>
          <w:p w14:paraId="08D50C4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29.06%</w:t>
            </w:r>
          </w:p>
        </w:tc>
        <w:tc>
          <w:tcPr>
            <w:tcW w:w="176" w:type="pct"/>
            <w:tcBorders>
              <w:top w:val="nil"/>
              <w:left w:val="nil"/>
              <w:bottom w:val="single" w:color="000000" w:sz="4" w:space="0"/>
              <w:right w:val="single" w:color="000000" w:sz="4" w:space="0"/>
            </w:tcBorders>
            <w:shd w:val="clear" w:color="auto" w:fill="auto"/>
            <w:vAlign w:val="center"/>
          </w:tcPr>
          <w:p w14:paraId="7CE8C4A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69BAE02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74" w:type="pct"/>
            <w:vMerge w:val="continue"/>
            <w:tcBorders>
              <w:top w:val="nil"/>
              <w:left w:val="single" w:color="000000" w:sz="4" w:space="0"/>
              <w:bottom w:val="single" w:color="000000" w:sz="4" w:space="0"/>
              <w:right w:val="single" w:color="000000" w:sz="4" w:space="0"/>
            </w:tcBorders>
            <w:vAlign w:val="center"/>
          </w:tcPr>
          <w:p w14:paraId="3602ABEB">
            <w:pPr>
              <w:widowControl/>
              <w:jc w:val="left"/>
              <w:rPr>
                <w:rFonts w:ascii="Courier New" w:hAnsi="Courier New" w:eastAsia="宋体" w:cs="Courier New"/>
                <w:color w:val="000000"/>
                <w:sz w:val="16"/>
                <w:szCs w:val="16"/>
              </w:rPr>
            </w:pPr>
          </w:p>
        </w:tc>
      </w:tr>
      <w:tr w14:paraId="57865987">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29AC21C9">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5E600909">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483" w:type="pct"/>
            <w:tcBorders>
              <w:top w:val="nil"/>
              <w:left w:val="nil"/>
              <w:bottom w:val="single" w:color="000000" w:sz="4" w:space="0"/>
              <w:right w:val="single" w:color="000000" w:sz="4" w:space="0"/>
            </w:tcBorders>
            <w:shd w:val="clear" w:color="auto" w:fill="auto"/>
            <w:vAlign w:val="center"/>
          </w:tcPr>
          <w:p w14:paraId="750FF94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4" w:type="pct"/>
            <w:tcBorders>
              <w:top w:val="nil"/>
              <w:left w:val="nil"/>
              <w:bottom w:val="single" w:color="000000" w:sz="4" w:space="0"/>
              <w:right w:val="single" w:color="000000" w:sz="4" w:space="0"/>
            </w:tcBorders>
            <w:shd w:val="clear" w:color="auto" w:fill="auto"/>
            <w:vAlign w:val="center"/>
          </w:tcPr>
          <w:p w14:paraId="6FCFF8B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079D25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5" w:type="pct"/>
            <w:tcBorders>
              <w:top w:val="nil"/>
              <w:left w:val="nil"/>
              <w:bottom w:val="single" w:color="000000" w:sz="4" w:space="0"/>
              <w:right w:val="single" w:color="000000" w:sz="4" w:space="0"/>
            </w:tcBorders>
            <w:shd w:val="clear" w:color="auto" w:fill="auto"/>
            <w:vAlign w:val="center"/>
          </w:tcPr>
          <w:p w14:paraId="66A3061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2E73028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5C6360C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74" w:type="pct"/>
            <w:vMerge w:val="continue"/>
            <w:tcBorders>
              <w:top w:val="nil"/>
              <w:left w:val="single" w:color="000000" w:sz="4" w:space="0"/>
              <w:bottom w:val="single" w:color="000000" w:sz="4" w:space="0"/>
              <w:right w:val="single" w:color="000000" w:sz="4" w:space="0"/>
            </w:tcBorders>
            <w:vAlign w:val="center"/>
          </w:tcPr>
          <w:p w14:paraId="6FFCEE1E">
            <w:pPr>
              <w:widowControl/>
              <w:jc w:val="left"/>
              <w:rPr>
                <w:rFonts w:ascii="Courier New" w:hAnsi="Courier New" w:eastAsia="宋体" w:cs="Courier New"/>
                <w:color w:val="000000"/>
                <w:sz w:val="16"/>
                <w:szCs w:val="16"/>
              </w:rPr>
            </w:pPr>
          </w:p>
        </w:tc>
      </w:tr>
      <w:tr w14:paraId="0873C278">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058AF12B">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3F5D31A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483" w:type="pct"/>
            <w:tcBorders>
              <w:top w:val="nil"/>
              <w:left w:val="nil"/>
              <w:bottom w:val="single" w:color="000000" w:sz="4" w:space="0"/>
              <w:right w:val="single" w:color="000000" w:sz="4" w:space="0"/>
            </w:tcBorders>
            <w:shd w:val="clear" w:color="auto" w:fill="auto"/>
            <w:vAlign w:val="center"/>
          </w:tcPr>
          <w:p w14:paraId="0846C6B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4" w:type="pct"/>
            <w:tcBorders>
              <w:top w:val="nil"/>
              <w:left w:val="nil"/>
              <w:bottom w:val="single" w:color="000000" w:sz="4" w:space="0"/>
              <w:right w:val="single" w:color="000000" w:sz="4" w:space="0"/>
            </w:tcBorders>
            <w:shd w:val="clear" w:color="auto" w:fill="auto"/>
            <w:vAlign w:val="center"/>
          </w:tcPr>
          <w:p w14:paraId="1431544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35F65AE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5" w:type="pct"/>
            <w:tcBorders>
              <w:top w:val="nil"/>
              <w:left w:val="nil"/>
              <w:bottom w:val="single" w:color="000000" w:sz="4" w:space="0"/>
              <w:right w:val="single" w:color="000000" w:sz="4" w:space="0"/>
            </w:tcBorders>
            <w:shd w:val="clear" w:color="auto" w:fill="auto"/>
            <w:vAlign w:val="center"/>
          </w:tcPr>
          <w:p w14:paraId="707B071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23D773C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258F10D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74" w:type="pct"/>
            <w:vMerge w:val="continue"/>
            <w:tcBorders>
              <w:top w:val="nil"/>
              <w:left w:val="single" w:color="000000" w:sz="4" w:space="0"/>
              <w:bottom w:val="single" w:color="000000" w:sz="4" w:space="0"/>
              <w:right w:val="single" w:color="000000" w:sz="4" w:space="0"/>
            </w:tcBorders>
            <w:vAlign w:val="center"/>
          </w:tcPr>
          <w:p w14:paraId="691E3FBF">
            <w:pPr>
              <w:widowControl/>
              <w:jc w:val="left"/>
              <w:rPr>
                <w:rFonts w:ascii="Courier New" w:hAnsi="Courier New" w:eastAsia="宋体" w:cs="Courier New"/>
                <w:color w:val="000000"/>
                <w:sz w:val="16"/>
                <w:szCs w:val="16"/>
              </w:rPr>
            </w:pPr>
          </w:p>
        </w:tc>
      </w:tr>
      <w:tr w14:paraId="6DC18B23">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060ABEB3">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4CAE547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483" w:type="pct"/>
            <w:tcBorders>
              <w:top w:val="nil"/>
              <w:left w:val="nil"/>
              <w:bottom w:val="single" w:color="000000" w:sz="4" w:space="0"/>
              <w:right w:val="single" w:color="000000" w:sz="4" w:space="0"/>
            </w:tcBorders>
            <w:shd w:val="clear" w:color="auto" w:fill="auto"/>
            <w:vAlign w:val="center"/>
          </w:tcPr>
          <w:p w14:paraId="11760BA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004" w:type="pct"/>
            <w:tcBorders>
              <w:top w:val="nil"/>
              <w:left w:val="nil"/>
              <w:bottom w:val="single" w:color="000000" w:sz="4" w:space="0"/>
              <w:right w:val="single" w:color="000000" w:sz="4" w:space="0"/>
            </w:tcBorders>
            <w:shd w:val="clear" w:color="auto" w:fill="auto"/>
            <w:vAlign w:val="center"/>
          </w:tcPr>
          <w:p w14:paraId="1A36B1D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38DF997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375" w:type="pct"/>
            <w:tcBorders>
              <w:top w:val="nil"/>
              <w:left w:val="nil"/>
              <w:bottom w:val="single" w:color="000000" w:sz="4" w:space="0"/>
              <w:right w:val="single" w:color="000000" w:sz="4" w:space="0"/>
            </w:tcBorders>
            <w:shd w:val="clear" w:color="auto" w:fill="auto"/>
            <w:vAlign w:val="center"/>
          </w:tcPr>
          <w:p w14:paraId="57E3548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76" w:type="pct"/>
            <w:tcBorders>
              <w:top w:val="nil"/>
              <w:left w:val="nil"/>
              <w:bottom w:val="single" w:color="000000" w:sz="4" w:space="0"/>
              <w:right w:val="single" w:color="000000" w:sz="4" w:space="0"/>
            </w:tcBorders>
            <w:shd w:val="clear" w:color="auto" w:fill="auto"/>
            <w:vAlign w:val="center"/>
          </w:tcPr>
          <w:p w14:paraId="2F2B8F2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6EA495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74" w:type="pct"/>
            <w:vMerge w:val="continue"/>
            <w:tcBorders>
              <w:top w:val="nil"/>
              <w:left w:val="single" w:color="000000" w:sz="4" w:space="0"/>
              <w:bottom w:val="single" w:color="000000" w:sz="4" w:space="0"/>
              <w:right w:val="single" w:color="000000" w:sz="4" w:space="0"/>
            </w:tcBorders>
            <w:vAlign w:val="center"/>
          </w:tcPr>
          <w:p w14:paraId="251E747B">
            <w:pPr>
              <w:widowControl/>
              <w:jc w:val="left"/>
              <w:rPr>
                <w:rFonts w:ascii="Courier New" w:hAnsi="Courier New" w:eastAsia="宋体" w:cs="Courier New"/>
                <w:color w:val="000000"/>
                <w:sz w:val="16"/>
                <w:szCs w:val="16"/>
              </w:rPr>
            </w:pPr>
          </w:p>
        </w:tc>
      </w:tr>
      <w:tr w14:paraId="38BA11F6">
        <w:tblPrEx>
          <w:tblCellMar>
            <w:top w:w="0" w:type="dxa"/>
            <w:left w:w="108" w:type="dxa"/>
            <w:bottom w:w="0" w:type="dxa"/>
            <w:right w:w="108" w:type="dxa"/>
          </w:tblCellMar>
        </w:tblPrEx>
        <w:trPr>
          <w:trHeight w:val="619" w:hRule="atLeast"/>
        </w:trPr>
        <w:tc>
          <w:tcPr>
            <w:tcW w:w="197" w:type="pct"/>
            <w:vMerge w:val="restart"/>
            <w:tcBorders>
              <w:top w:val="nil"/>
              <w:left w:val="single" w:color="000000" w:sz="4" w:space="0"/>
              <w:bottom w:val="nil"/>
              <w:right w:val="single" w:color="000000" w:sz="4" w:space="0"/>
            </w:tcBorders>
            <w:shd w:val="clear" w:color="auto" w:fill="auto"/>
            <w:vAlign w:val="center"/>
          </w:tcPr>
          <w:p w14:paraId="54142B9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548" w:type="pct"/>
            <w:tcBorders>
              <w:top w:val="nil"/>
              <w:left w:val="nil"/>
              <w:bottom w:val="single" w:color="000000" w:sz="4" w:space="0"/>
              <w:right w:val="single" w:color="000000" w:sz="4" w:space="0"/>
            </w:tcBorders>
            <w:shd w:val="clear" w:color="auto" w:fill="auto"/>
            <w:vAlign w:val="center"/>
          </w:tcPr>
          <w:p w14:paraId="436BB10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483" w:type="pct"/>
            <w:tcBorders>
              <w:top w:val="nil"/>
              <w:left w:val="nil"/>
              <w:bottom w:val="single" w:color="000000" w:sz="4" w:space="0"/>
              <w:right w:val="single" w:color="000000" w:sz="4" w:space="0"/>
            </w:tcBorders>
            <w:shd w:val="clear" w:color="auto" w:fill="auto"/>
            <w:vAlign w:val="center"/>
          </w:tcPr>
          <w:p w14:paraId="08A7928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1004" w:type="pct"/>
            <w:tcBorders>
              <w:top w:val="nil"/>
              <w:left w:val="nil"/>
              <w:bottom w:val="single" w:color="000000" w:sz="4" w:space="0"/>
              <w:right w:val="single" w:color="000000" w:sz="4" w:space="0"/>
            </w:tcBorders>
            <w:shd w:val="clear" w:color="auto" w:fill="auto"/>
            <w:vAlign w:val="center"/>
          </w:tcPr>
          <w:p w14:paraId="2900978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74" w:type="pct"/>
            <w:tcBorders>
              <w:top w:val="nil"/>
              <w:left w:val="nil"/>
              <w:bottom w:val="single" w:color="000000" w:sz="4" w:space="0"/>
              <w:right w:val="single" w:color="000000" w:sz="4" w:space="0"/>
            </w:tcBorders>
            <w:shd w:val="clear" w:color="auto" w:fill="auto"/>
            <w:vAlign w:val="center"/>
          </w:tcPr>
          <w:p w14:paraId="51C1CD6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553" w:type="pct"/>
            <w:tcBorders>
              <w:top w:val="nil"/>
              <w:left w:val="nil"/>
              <w:bottom w:val="single" w:color="000000" w:sz="4" w:space="0"/>
              <w:right w:val="single" w:color="000000" w:sz="4" w:space="0"/>
            </w:tcBorders>
            <w:shd w:val="clear" w:color="auto" w:fill="auto"/>
            <w:vAlign w:val="center"/>
          </w:tcPr>
          <w:p w14:paraId="250B173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257" w:type="pct"/>
            <w:tcBorders>
              <w:top w:val="nil"/>
              <w:left w:val="nil"/>
              <w:bottom w:val="single" w:color="000000" w:sz="4" w:space="0"/>
              <w:right w:val="single" w:color="000000" w:sz="4" w:space="0"/>
            </w:tcBorders>
            <w:shd w:val="clear" w:color="auto" w:fill="auto"/>
            <w:vAlign w:val="center"/>
          </w:tcPr>
          <w:p w14:paraId="6115EBF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375" w:type="pct"/>
            <w:tcBorders>
              <w:top w:val="nil"/>
              <w:left w:val="nil"/>
              <w:bottom w:val="single" w:color="000000" w:sz="4" w:space="0"/>
              <w:right w:val="single" w:color="000000" w:sz="4" w:space="0"/>
            </w:tcBorders>
            <w:shd w:val="clear" w:color="auto" w:fill="auto"/>
            <w:vAlign w:val="center"/>
          </w:tcPr>
          <w:p w14:paraId="76E5D8A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76" w:type="pct"/>
            <w:tcBorders>
              <w:top w:val="nil"/>
              <w:left w:val="nil"/>
              <w:bottom w:val="single" w:color="000000" w:sz="4" w:space="0"/>
              <w:right w:val="single" w:color="000000" w:sz="4" w:space="0"/>
            </w:tcBorders>
            <w:shd w:val="clear" w:color="auto" w:fill="auto"/>
            <w:vAlign w:val="center"/>
          </w:tcPr>
          <w:p w14:paraId="289E558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7BAAB1B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974" w:type="pct"/>
            <w:tcBorders>
              <w:top w:val="nil"/>
              <w:left w:val="nil"/>
              <w:bottom w:val="single" w:color="000000" w:sz="4" w:space="0"/>
              <w:right w:val="single" w:color="000000" w:sz="4" w:space="0"/>
            </w:tcBorders>
            <w:shd w:val="clear" w:color="auto" w:fill="auto"/>
            <w:vAlign w:val="center"/>
          </w:tcPr>
          <w:p w14:paraId="1FB631D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1AAFCD18">
        <w:tblPrEx>
          <w:tblCellMar>
            <w:top w:w="0" w:type="dxa"/>
            <w:left w:w="108" w:type="dxa"/>
            <w:bottom w:w="0" w:type="dxa"/>
            <w:right w:w="108" w:type="dxa"/>
          </w:tblCellMar>
        </w:tblPrEx>
        <w:trPr>
          <w:trHeight w:val="619" w:hRule="atLeast"/>
        </w:trPr>
        <w:tc>
          <w:tcPr>
            <w:tcW w:w="197" w:type="pct"/>
            <w:vMerge w:val="continue"/>
            <w:tcBorders>
              <w:top w:val="nil"/>
              <w:left w:val="single" w:color="000000" w:sz="4" w:space="0"/>
              <w:bottom w:val="nil"/>
              <w:right w:val="single" w:color="000000" w:sz="4" w:space="0"/>
            </w:tcBorders>
            <w:vAlign w:val="center"/>
          </w:tcPr>
          <w:p w14:paraId="5EF79ACF">
            <w:pPr>
              <w:widowControl/>
              <w:jc w:val="left"/>
              <w:rPr>
                <w:rFonts w:ascii="宋体" w:hAnsi="宋体" w:eastAsia="宋体" w:cs="宋体"/>
                <w:color w:val="000000"/>
                <w:sz w:val="18"/>
                <w:szCs w:val="18"/>
              </w:rPr>
            </w:pPr>
          </w:p>
        </w:tc>
        <w:tc>
          <w:tcPr>
            <w:tcW w:w="548" w:type="pct"/>
            <w:vMerge w:val="restart"/>
            <w:tcBorders>
              <w:top w:val="nil"/>
              <w:left w:val="single" w:color="000000" w:sz="4" w:space="0"/>
              <w:bottom w:val="single" w:color="000000" w:sz="4" w:space="0"/>
              <w:right w:val="single" w:color="000000" w:sz="4" w:space="0"/>
            </w:tcBorders>
            <w:shd w:val="clear" w:color="auto" w:fill="auto"/>
            <w:vAlign w:val="center"/>
          </w:tcPr>
          <w:p w14:paraId="174FDDE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483" w:type="pct"/>
            <w:tcBorders>
              <w:top w:val="nil"/>
              <w:left w:val="nil"/>
              <w:bottom w:val="single" w:color="000000" w:sz="4" w:space="0"/>
              <w:right w:val="single" w:color="000000" w:sz="4" w:space="0"/>
            </w:tcBorders>
            <w:shd w:val="clear" w:color="auto" w:fill="auto"/>
            <w:vAlign w:val="center"/>
          </w:tcPr>
          <w:p w14:paraId="508C8A9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1004" w:type="pct"/>
            <w:tcBorders>
              <w:top w:val="nil"/>
              <w:left w:val="nil"/>
              <w:bottom w:val="single" w:color="000000" w:sz="4" w:space="0"/>
              <w:right w:val="single" w:color="000000" w:sz="4" w:space="0"/>
            </w:tcBorders>
            <w:shd w:val="clear" w:color="auto" w:fill="auto"/>
            <w:vAlign w:val="center"/>
          </w:tcPr>
          <w:p w14:paraId="1F9F474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安置、帮教刑释人员</w:t>
            </w:r>
          </w:p>
        </w:tc>
        <w:tc>
          <w:tcPr>
            <w:tcW w:w="174" w:type="pct"/>
            <w:tcBorders>
              <w:top w:val="nil"/>
              <w:left w:val="nil"/>
              <w:bottom w:val="single" w:color="000000" w:sz="4" w:space="0"/>
              <w:right w:val="single" w:color="000000" w:sz="4" w:space="0"/>
            </w:tcBorders>
            <w:shd w:val="clear" w:color="auto" w:fill="auto"/>
            <w:vAlign w:val="center"/>
          </w:tcPr>
          <w:p w14:paraId="17F5D40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3" w:type="pct"/>
            <w:tcBorders>
              <w:top w:val="nil"/>
              <w:left w:val="nil"/>
              <w:bottom w:val="single" w:color="000000" w:sz="4" w:space="0"/>
              <w:right w:val="single" w:color="000000" w:sz="4" w:space="0"/>
            </w:tcBorders>
            <w:shd w:val="clear" w:color="auto" w:fill="auto"/>
            <w:vAlign w:val="center"/>
          </w:tcPr>
          <w:p w14:paraId="358B49E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w:t>
            </w:r>
          </w:p>
        </w:tc>
        <w:tc>
          <w:tcPr>
            <w:tcW w:w="257" w:type="pct"/>
            <w:tcBorders>
              <w:top w:val="nil"/>
              <w:left w:val="nil"/>
              <w:bottom w:val="single" w:color="000000" w:sz="4" w:space="0"/>
              <w:right w:val="single" w:color="000000" w:sz="4" w:space="0"/>
            </w:tcBorders>
            <w:shd w:val="clear" w:color="auto" w:fill="auto"/>
            <w:vAlign w:val="center"/>
          </w:tcPr>
          <w:p w14:paraId="729269E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人次</w:t>
            </w:r>
          </w:p>
        </w:tc>
        <w:tc>
          <w:tcPr>
            <w:tcW w:w="375" w:type="pct"/>
            <w:tcBorders>
              <w:top w:val="nil"/>
              <w:left w:val="nil"/>
              <w:bottom w:val="single" w:color="000000" w:sz="4" w:space="0"/>
              <w:right w:val="single" w:color="000000" w:sz="4" w:space="0"/>
            </w:tcBorders>
            <w:shd w:val="clear" w:color="auto" w:fill="auto"/>
            <w:vAlign w:val="center"/>
          </w:tcPr>
          <w:p w14:paraId="728E270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293</w:t>
            </w:r>
          </w:p>
        </w:tc>
        <w:tc>
          <w:tcPr>
            <w:tcW w:w="176" w:type="pct"/>
            <w:tcBorders>
              <w:top w:val="nil"/>
              <w:left w:val="nil"/>
              <w:bottom w:val="single" w:color="000000" w:sz="4" w:space="0"/>
              <w:right w:val="single" w:color="000000" w:sz="4" w:space="0"/>
            </w:tcBorders>
            <w:shd w:val="clear" w:color="auto" w:fill="auto"/>
            <w:vAlign w:val="center"/>
          </w:tcPr>
          <w:p w14:paraId="7199B46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257" w:type="pct"/>
            <w:tcBorders>
              <w:top w:val="nil"/>
              <w:left w:val="nil"/>
              <w:bottom w:val="single" w:color="000000" w:sz="4" w:space="0"/>
              <w:right w:val="single" w:color="000000" w:sz="4" w:space="0"/>
            </w:tcBorders>
            <w:shd w:val="clear" w:color="auto" w:fill="auto"/>
            <w:vAlign w:val="center"/>
          </w:tcPr>
          <w:p w14:paraId="08E63C6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974" w:type="pct"/>
            <w:tcBorders>
              <w:top w:val="nil"/>
              <w:left w:val="nil"/>
              <w:bottom w:val="single" w:color="000000" w:sz="4" w:space="0"/>
              <w:right w:val="single" w:color="000000" w:sz="4" w:space="0"/>
            </w:tcBorders>
            <w:shd w:val="clear" w:color="auto" w:fill="auto"/>
            <w:vAlign w:val="center"/>
          </w:tcPr>
          <w:p w14:paraId="06A3432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39385F70">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3E184D62">
            <w:pPr>
              <w:widowControl/>
              <w:jc w:val="left"/>
              <w:rPr>
                <w:rFonts w:ascii="宋体" w:hAnsi="宋体" w:eastAsia="宋体" w:cs="宋体"/>
                <w:color w:val="000000"/>
                <w:sz w:val="18"/>
                <w:szCs w:val="18"/>
              </w:rPr>
            </w:pPr>
          </w:p>
        </w:tc>
        <w:tc>
          <w:tcPr>
            <w:tcW w:w="548" w:type="pct"/>
            <w:vMerge w:val="continue"/>
            <w:tcBorders>
              <w:top w:val="nil"/>
              <w:left w:val="single" w:color="000000" w:sz="4" w:space="0"/>
              <w:bottom w:val="single" w:color="000000" w:sz="4" w:space="0"/>
              <w:right w:val="single" w:color="000000" w:sz="4" w:space="0"/>
            </w:tcBorders>
            <w:vAlign w:val="center"/>
          </w:tcPr>
          <w:p w14:paraId="57D6CBE3">
            <w:pPr>
              <w:widowControl/>
              <w:jc w:val="left"/>
              <w:rPr>
                <w:rFonts w:ascii="宋体" w:hAnsi="宋体" w:eastAsia="宋体" w:cs="宋体"/>
                <w:color w:val="000000"/>
                <w:sz w:val="18"/>
                <w:szCs w:val="18"/>
              </w:rPr>
            </w:pPr>
          </w:p>
        </w:tc>
        <w:tc>
          <w:tcPr>
            <w:tcW w:w="483" w:type="pct"/>
            <w:tcBorders>
              <w:top w:val="nil"/>
              <w:left w:val="nil"/>
              <w:bottom w:val="single" w:color="000000" w:sz="4" w:space="0"/>
              <w:right w:val="single" w:color="000000" w:sz="4" w:space="0"/>
            </w:tcBorders>
            <w:shd w:val="clear" w:color="auto" w:fill="auto"/>
            <w:vAlign w:val="center"/>
          </w:tcPr>
          <w:p w14:paraId="27DE3BB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1004" w:type="pct"/>
            <w:tcBorders>
              <w:top w:val="nil"/>
              <w:left w:val="nil"/>
              <w:bottom w:val="single" w:color="000000" w:sz="4" w:space="0"/>
              <w:right w:val="single" w:color="000000" w:sz="4" w:space="0"/>
            </w:tcBorders>
            <w:shd w:val="clear" w:color="auto" w:fill="auto"/>
            <w:vAlign w:val="center"/>
          </w:tcPr>
          <w:p w14:paraId="781D2EF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刑释人员安帮率</w:t>
            </w:r>
          </w:p>
        </w:tc>
        <w:tc>
          <w:tcPr>
            <w:tcW w:w="174" w:type="pct"/>
            <w:tcBorders>
              <w:top w:val="nil"/>
              <w:left w:val="nil"/>
              <w:bottom w:val="single" w:color="000000" w:sz="4" w:space="0"/>
              <w:right w:val="single" w:color="000000" w:sz="4" w:space="0"/>
            </w:tcBorders>
            <w:shd w:val="clear" w:color="auto" w:fill="auto"/>
            <w:vAlign w:val="center"/>
          </w:tcPr>
          <w:p w14:paraId="41DF2B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3" w:type="pct"/>
            <w:tcBorders>
              <w:top w:val="nil"/>
              <w:left w:val="nil"/>
              <w:bottom w:val="single" w:color="000000" w:sz="4" w:space="0"/>
              <w:right w:val="single" w:color="000000" w:sz="4" w:space="0"/>
            </w:tcBorders>
            <w:shd w:val="clear" w:color="auto" w:fill="auto"/>
            <w:vAlign w:val="center"/>
          </w:tcPr>
          <w:p w14:paraId="42F24BC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257" w:type="pct"/>
            <w:tcBorders>
              <w:top w:val="nil"/>
              <w:left w:val="nil"/>
              <w:bottom w:val="single" w:color="000000" w:sz="4" w:space="0"/>
              <w:right w:val="single" w:color="000000" w:sz="4" w:space="0"/>
            </w:tcBorders>
            <w:shd w:val="clear" w:color="auto" w:fill="auto"/>
            <w:vAlign w:val="center"/>
          </w:tcPr>
          <w:p w14:paraId="7B0AE6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097B598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100</w:t>
            </w:r>
          </w:p>
        </w:tc>
        <w:tc>
          <w:tcPr>
            <w:tcW w:w="176" w:type="pct"/>
            <w:tcBorders>
              <w:top w:val="nil"/>
              <w:left w:val="nil"/>
              <w:bottom w:val="single" w:color="000000" w:sz="4" w:space="0"/>
              <w:right w:val="single" w:color="000000" w:sz="4" w:space="0"/>
            </w:tcBorders>
            <w:shd w:val="clear" w:color="auto" w:fill="auto"/>
            <w:vAlign w:val="center"/>
          </w:tcPr>
          <w:p w14:paraId="751038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257" w:type="pct"/>
            <w:tcBorders>
              <w:top w:val="nil"/>
              <w:left w:val="nil"/>
              <w:bottom w:val="single" w:color="000000" w:sz="4" w:space="0"/>
              <w:right w:val="single" w:color="000000" w:sz="4" w:space="0"/>
            </w:tcBorders>
            <w:shd w:val="clear" w:color="auto" w:fill="auto"/>
            <w:vAlign w:val="center"/>
          </w:tcPr>
          <w:p w14:paraId="52D03B2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974" w:type="pct"/>
            <w:tcBorders>
              <w:top w:val="nil"/>
              <w:left w:val="nil"/>
              <w:bottom w:val="single" w:color="000000" w:sz="4" w:space="0"/>
              <w:right w:val="single" w:color="000000" w:sz="4" w:space="0"/>
            </w:tcBorders>
            <w:shd w:val="clear" w:color="auto" w:fill="auto"/>
            <w:vAlign w:val="center"/>
          </w:tcPr>
          <w:p w14:paraId="21D524CA">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42472B78">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0EB329D4">
            <w:pPr>
              <w:widowControl/>
              <w:jc w:val="left"/>
              <w:rPr>
                <w:rFonts w:ascii="宋体" w:hAnsi="宋体" w:eastAsia="宋体" w:cs="宋体"/>
                <w:color w:val="000000"/>
                <w:sz w:val="18"/>
                <w:szCs w:val="18"/>
              </w:rPr>
            </w:pPr>
          </w:p>
        </w:tc>
        <w:tc>
          <w:tcPr>
            <w:tcW w:w="548" w:type="pct"/>
            <w:vMerge w:val="continue"/>
            <w:tcBorders>
              <w:top w:val="nil"/>
              <w:left w:val="single" w:color="000000" w:sz="4" w:space="0"/>
              <w:bottom w:val="single" w:color="000000" w:sz="4" w:space="0"/>
              <w:right w:val="single" w:color="000000" w:sz="4" w:space="0"/>
            </w:tcBorders>
            <w:vAlign w:val="center"/>
          </w:tcPr>
          <w:p w14:paraId="119D6163">
            <w:pPr>
              <w:widowControl/>
              <w:jc w:val="left"/>
              <w:rPr>
                <w:rFonts w:ascii="宋体" w:hAnsi="宋体" w:eastAsia="宋体" w:cs="宋体"/>
                <w:color w:val="000000"/>
                <w:sz w:val="18"/>
                <w:szCs w:val="18"/>
              </w:rPr>
            </w:pPr>
          </w:p>
        </w:tc>
        <w:tc>
          <w:tcPr>
            <w:tcW w:w="483" w:type="pct"/>
            <w:tcBorders>
              <w:top w:val="nil"/>
              <w:left w:val="nil"/>
              <w:bottom w:val="single" w:color="000000" w:sz="4" w:space="0"/>
              <w:right w:val="single" w:color="000000" w:sz="4" w:space="0"/>
            </w:tcBorders>
            <w:shd w:val="clear" w:color="auto" w:fill="auto"/>
            <w:vAlign w:val="center"/>
          </w:tcPr>
          <w:p w14:paraId="363970D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1004" w:type="pct"/>
            <w:tcBorders>
              <w:top w:val="nil"/>
              <w:left w:val="nil"/>
              <w:bottom w:val="single" w:color="000000" w:sz="4" w:space="0"/>
              <w:right w:val="single" w:color="000000" w:sz="4" w:space="0"/>
            </w:tcBorders>
            <w:shd w:val="clear" w:color="auto" w:fill="auto"/>
            <w:vAlign w:val="center"/>
          </w:tcPr>
          <w:p w14:paraId="015BB43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刑满释放人员帮教期限</w:t>
            </w:r>
          </w:p>
        </w:tc>
        <w:tc>
          <w:tcPr>
            <w:tcW w:w="174" w:type="pct"/>
            <w:tcBorders>
              <w:top w:val="nil"/>
              <w:left w:val="nil"/>
              <w:bottom w:val="single" w:color="000000" w:sz="4" w:space="0"/>
              <w:right w:val="single" w:color="000000" w:sz="4" w:space="0"/>
            </w:tcBorders>
            <w:shd w:val="clear" w:color="auto" w:fill="auto"/>
            <w:vAlign w:val="center"/>
          </w:tcPr>
          <w:p w14:paraId="18230D2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3" w:type="pct"/>
            <w:tcBorders>
              <w:top w:val="nil"/>
              <w:left w:val="nil"/>
              <w:bottom w:val="single" w:color="000000" w:sz="4" w:space="0"/>
              <w:right w:val="single" w:color="000000" w:sz="4" w:space="0"/>
            </w:tcBorders>
            <w:shd w:val="clear" w:color="auto" w:fill="auto"/>
            <w:vAlign w:val="center"/>
          </w:tcPr>
          <w:p w14:paraId="12B387F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257" w:type="pct"/>
            <w:tcBorders>
              <w:top w:val="nil"/>
              <w:left w:val="nil"/>
              <w:bottom w:val="single" w:color="000000" w:sz="4" w:space="0"/>
              <w:right w:val="single" w:color="000000" w:sz="4" w:space="0"/>
            </w:tcBorders>
            <w:shd w:val="clear" w:color="auto" w:fill="auto"/>
            <w:vAlign w:val="center"/>
          </w:tcPr>
          <w:p w14:paraId="5C4C923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w:t>
            </w:r>
          </w:p>
        </w:tc>
        <w:tc>
          <w:tcPr>
            <w:tcW w:w="375" w:type="pct"/>
            <w:tcBorders>
              <w:top w:val="nil"/>
              <w:left w:val="nil"/>
              <w:bottom w:val="single" w:color="000000" w:sz="4" w:space="0"/>
              <w:right w:val="single" w:color="000000" w:sz="4" w:space="0"/>
            </w:tcBorders>
            <w:shd w:val="clear" w:color="auto" w:fill="auto"/>
            <w:vAlign w:val="center"/>
          </w:tcPr>
          <w:p w14:paraId="2AD950E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5</w:t>
            </w:r>
          </w:p>
        </w:tc>
        <w:tc>
          <w:tcPr>
            <w:tcW w:w="176" w:type="pct"/>
            <w:tcBorders>
              <w:top w:val="nil"/>
              <w:left w:val="nil"/>
              <w:bottom w:val="single" w:color="000000" w:sz="4" w:space="0"/>
              <w:right w:val="single" w:color="000000" w:sz="4" w:space="0"/>
            </w:tcBorders>
            <w:shd w:val="clear" w:color="auto" w:fill="auto"/>
            <w:vAlign w:val="center"/>
          </w:tcPr>
          <w:p w14:paraId="0C00EA1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257" w:type="pct"/>
            <w:tcBorders>
              <w:top w:val="nil"/>
              <w:left w:val="nil"/>
              <w:bottom w:val="single" w:color="000000" w:sz="4" w:space="0"/>
              <w:right w:val="single" w:color="000000" w:sz="4" w:space="0"/>
            </w:tcBorders>
            <w:shd w:val="clear" w:color="auto" w:fill="auto"/>
            <w:vAlign w:val="center"/>
          </w:tcPr>
          <w:p w14:paraId="46D3125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974" w:type="pct"/>
            <w:tcBorders>
              <w:top w:val="nil"/>
              <w:left w:val="nil"/>
              <w:bottom w:val="single" w:color="000000" w:sz="4" w:space="0"/>
              <w:right w:val="single" w:color="000000" w:sz="4" w:space="0"/>
            </w:tcBorders>
            <w:shd w:val="clear" w:color="auto" w:fill="auto"/>
            <w:vAlign w:val="center"/>
          </w:tcPr>
          <w:p w14:paraId="053149A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ABCD134">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23A8A77F">
            <w:pPr>
              <w:widowControl/>
              <w:jc w:val="left"/>
              <w:rPr>
                <w:rFonts w:ascii="宋体" w:hAnsi="宋体" w:eastAsia="宋体" w:cs="宋体"/>
                <w:color w:val="000000"/>
                <w:sz w:val="18"/>
                <w:szCs w:val="18"/>
              </w:rPr>
            </w:pPr>
          </w:p>
        </w:tc>
        <w:tc>
          <w:tcPr>
            <w:tcW w:w="548" w:type="pct"/>
            <w:vMerge w:val="restart"/>
            <w:tcBorders>
              <w:top w:val="nil"/>
              <w:left w:val="single" w:color="000000" w:sz="4" w:space="0"/>
              <w:bottom w:val="single" w:color="000000" w:sz="4" w:space="0"/>
              <w:right w:val="single" w:color="000000" w:sz="4" w:space="0"/>
            </w:tcBorders>
            <w:shd w:val="clear" w:color="auto" w:fill="auto"/>
            <w:vAlign w:val="center"/>
          </w:tcPr>
          <w:p w14:paraId="05FCA87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483" w:type="pct"/>
            <w:vMerge w:val="restart"/>
            <w:tcBorders>
              <w:top w:val="nil"/>
              <w:left w:val="single" w:color="000000" w:sz="4" w:space="0"/>
              <w:bottom w:val="single" w:color="000000" w:sz="4" w:space="0"/>
              <w:right w:val="single" w:color="000000" w:sz="4" w:space="0"/>
            </w:tcBorders>
            <w:shd w:val="clear" w:color="auto" w:fill="auto"/>
            <w:vAlign w:val="center"/>
          </w:tcPr>
          <w:p w14:paraId="39B369B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可持续影响指标</w:t>
            </w:r>
          </w:p>
        </w:tc>
        <w:tc>
          <w:tcPr>
            <w:tcW w:w="1004" w:type="pct"/>
            <w:tcBorders>
              <w:top w:val="nil"/>
              <w:left w:val="nil"/>
              <w:bottom w:val="single" w:color="000000" w:sz="4" w:space="0"/>
              <w:right w:val="single" w:color="000000" w:sz="4" w:space="0"/>
            </w:tcBorders>
            <w:shd w:val="clear" w:color="auto" w:fill="auto"/>
            <w:vAlign w:val="center"/>
          </w:tcPr>
          <w:p w14:paraId="7F6AF2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刑释解矫人员重新犯罪率</w:t>
            </w:r>
          </w:p>
        </w:tc>
        <w:tc>
          <w:tcPr>
            <w:tcW w:w="174" w:type="pct"/>
            <w:tcBorders>
              <w:top w:val="nil"/>
              <w:left w:val="nil"/>
              <w:bottom w:val="single" w:color="000000" w:sz="4" w:space="0"/>
              <w:right w:val="single" w:color="000000" w:sz="4" w:space="0"/>
            </w:tcBorders>
            <w:shd w:val="clear" w:color="auto" w:fill="auto"/>
            <w:vAlign w:val="center"/>
          </w:tcPr>
          <w:p w14:paraId="6BA7C8C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3" w:type="pct"/>
            <w:tcBorders>
              <w:top w:val="nil"/>
              <w:left w:val="nil"/>
              <w:bottom w:val="single" w:color="000000" w:sz="4" w:space="0"/>
              <w:right w:val="single" w:color="000000" w:sz="4" w:space="0"/>
            </w:tcBorders>
            <w:shd w:val="clear" w:color="auto" w:fill="auto"/>
            <w:vAlign w:val="center"/>
          </w:tcPr>
          <w:p w14:paraId="56AB175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257" w:type="pct"/>
            <w:tcBorders>
              <w:top w:val="nil"/>
              <w:left w:val="nil"/>
              <w:bottom w:val="single" w:color="000000" w:sz="4" w:space="0"/>
              <w:right w:val="single" w:color="000000" w:sz="4" w:space="0"/>
            </w:tcBorders>
            <w:shd w:val="clear" w:color="auto" w:fill="auto"/>
            <w:vAlign w:val="center"/>
          </w:tcPr>
          <w:p w14:paraId="13111C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15B3FB5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0.5</w:t>
            </w:r>
          </w:p>
        </w:tc>
        <w:tc>
          <w:tcPr>
            <w:tcW w:w="176" w:type="pct"/>
            <w:tcBorders>
              <w:top w:val="nil"/>
              <w:left w:val="nil"/>
              <w:bottom w:val="single" w:color="000000" w:sz="4" w:space="0"/>
              <w:right w:val="single" w:color="000000" w:sz="4" w:space="0"/>
            </w:tcBorders>
            <w:shd w:val="clear" w:color="auto" w:fill="auto"/>
            <w:vAlign w:val="center"/>
          </w:tcPr>
          <w:p w14:paraId="4FF017E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257" w:type="pct"/>
            <w:tcBorders>
              <w:top w:val="nil"/>
              <w:left w:val="nil"/>
              <w:bottom w:val="single" w:color="000000" w:sz="4" w:space="0"/>
              <w:right w:val="single" w:color="000000" w:sz="4" w:space="0"/>
            </w:tcBorders>
            <w:shd w:val="clear" w:color="auto" w:fill="auto"/>
            <w:vAlign w:val="center"/>
          </w:tcPr>
          <w:p w14:paraId="5C81FDF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974" w:type="pct"/>
            <w:tcBorders>
              <w:top w:val="nil"/>
              <w:left w:val="nil"/>
              <w:bottom w:val="single" w:color="000000" w:sz="4" w:space="0"/>
              <w:right w:val="single" w:color="000000" w:sz="4" w:space="0"/>
            </w:tcBorders>
            <w:shd w:val="clear" w:color="auto" w:fill="auto"/>
            <w:vAlign w:val="center"/>
          </w:tcPr>
          <w:p w14:paraId="1B7F3A3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7DF0CAD">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10FE8F21">
            <w:pPr>
              <w:widowControl/>
              <w:jc w:val="left"/>
              <w:rPr>
                <w:rFonts w:ascii="宋体" w:hAnsi="宋体" w:eastAsia="宋体" w:cs="宋体"/>
                <w:color w:val="000000"/>
                <w:sz w:val="18"/>
                <w:szCs w:val="18"/>
              </w:rPr>
            </w:pPr>
          </w:p>
        </w:tc>
        <w:tc>
          <w:tcPr>
            <w:tcW w:w="548" w:type="pct"/>
            <w:vMerge w:val="continue"/>
            <w:tcBorders>
              <w:top w:val="nil"/>
              <w:left w:val="single" w:color="000000" w:sz="4" w:space="0"/>
              <w:bottom w:val="single" w:color="000000" w:sz="4" w:space="0"/>
              <w:right w:val="single" w:color="000000" w:sz="4" w:space="0"/>
            </w:tcBorders>
            <w:vAlign w:val="center"/>
          </w:tcPr>
          <w:p w14:paraId="525EE322">
            <w:pPr>
              <w:widowControl/>
              <w:jc w:val="left"/>
              <w:rPr>
                <w:rFonts w:ascii="宋体" w:hAnsi="宋体" w:eastAsia="宋体" w:cs="宋体"/>
                <w:color w:val="000000"/>
                <w:sz w:val="18"/>
                <w:szCs w:val="18"/>
              </w:rPr>
            </w:pPr>
          </w:p>
        </w:tc>
        <w:tc>
          <w:tcPr>
            <w:tcW w:w="483" w:type="pct"/>
            <w:vMerge w:val="continue"/>
            <w:tcBorders>
              <w:top w:val="nil"/>
              <w:left w:val="single" w:color="000000" w:sz="4" w:space="0"/>
              <w:bottom w:val="single" w:color="000000" w:sz="4" w:space="0"/>
              <w:right w:val="single" w:color="000000" w:sz="4" w:space="0"/>
            </w:tcBorders>
            <w:vAlign w:val="center"/>
          </w:tcPr>
          <w:p w14:paraId="4996714E">
            <w:pPr>
              <w:widowControl/>
              <w:jc w:val="left"/>
              <w:rPr>
                <w:rFonts w:ascii="宋体" w:hAnsi="宋体" w:eastAsia="宋体" w:cs="宋体"/>
                <w:color w:val="000000"/>
                <w:sz w:val="18"/>
                <w:szCs w:val="18"/>
              </w:rPr>
            </w:pPr>
          </w:p>
        </w:tc>
        <w:tc>
          <w:tcPr>
            <w:tcW w:w="1004" w:type="pct"/>
            <w:tcBorders>
              <w:top w:val="nil"/>
              <w:left w:val="nil"/>
              <w:bottom w:val="single" w:color="000000" w:sz="4" w:space="0"/>
              <w:right w:val="single" w:color="000000" w:sz="4" w:space="0"/>
            </w:tcBorders>
            <w:shd w:val="clear" w:color="auto" w:fill="auto"/>
            <w:vAlign w:val="center"/>
          </w:tcPr>
          <w:p w14:paraId="6272051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刑释解矫人员顺利融入社会</w:t>
            </w:r>
          </w:p>
        </w:tc>
        <w:tc>
          <w:tcPr>
            <w:tcW w:w="174" w:type="pct"/>
            <w:tcBorders>
              <w:top w:val="nil"/>
              <w:left w:val="nil"/>
              <w:bottom w:val="single" w:color="000000" w:sz="4" w:space="0"/>
              <w:right w:val="single" w:color="000000" w:sz="4" w:space="0"/>
            </w:tcBorders>
            <w:shd w:val="clear" w:color="auto" w:fill="auto"/>
            <w:vAlign w:val="center"/>
          </w:tcPr>
          <w:p w14:paraId="6475BDD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3" w:type="pct"/>
            <w:tcBorders>
              <w:top w:val="nil"/>
              <w:left w:val="nil"/>
              <w:bottom w:val="single" w:color="000000" w:sz="4" w:space="0"/>
              <w:right w:val="single" w:color="000000" w:sz="4" w:space="0"/>
            </w:tcBorders>
            <w:shd w:val="clear" w:color="auto" w:fill="auto"/>
            <w:vAlign w:val="center"/>
          </w:tcPr>
          <w:p w14:paraId="52E705F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257" w:type="pct"/>
            <w:tcBorders>
              <w:top w:val="nil"/>
              <w:left w:val="nil"/>
              <w:bottom w:val="single" w:color="000000" w:sz="4" w:space="0"/>
              <w:right w:val="single" w:color="000000" w:sz="4" w:space="0"/>
            </w:tcBorders>
            <w:shd w:val="clear" w:color="auto" w:fill="auto"/>
            <w:vAlign w:val="center"/>
          </w:tcPr>
          <w:p w14:paraId="6234C6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132B6A4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95</w:t>
            </w:r>
          </w:p>
        </w:tc>
        <w:tc>
          <w:tcPr>
            <w:tcW w:w="176" w:type="pct"/>
            <w:tcBorders>
              <w:top w:val="nil"/>
              <w:left w:val="nil"/>
              <w:bottom w:val="single" w:color="000000" w:sz="4" w:space="0"/>
              <w:right w:val="single" w:color="000000" w:sz="4" w:space="0"/>
            </w:tcBorders>
            <w:shd w:val="clear" w:color="auto" w:fill="auto"/>
            <w:vAlign w:val="center"/>
          </w:tcPr>
          <w:p w14:paraId="511178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257" w:type="pct"/>
            <w:tcBorders>
              <w:top w:val="nil"/>
              <w:left w:val="nil"/>
              <w:bottom w:val="single" w:color="000000" w:sz="4" w:space="0"/>
              <w:right w:val="single" w:color="000000" w:sz="4" w:space="0"/>
            </w:tcBorders>
            <w:shd w:val="clear" w:color="auto" w:fill="auto"/>
            <w:vAlign w:val="center"/>
          </w:tcPr>
          <w:p w14:paraId="3C008A0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974" w:type="pct"/>
            <w:tcBorders>
              <w:top w:val="nil"/>
              <w:left w:val="nil"/>
              <w:bottom w:val="single" w:color="000000" w:sz="4" w:space="0"/>
              <w:right w:val="single" w:color="000000" w:sz="4" w:space="0"/>
            </w:tcBorders>
            <w:shd w:val="clear" w:color="auto" w:fill="auto"/>
            <w:vAlign w:val="center"/>
          </w:tcPr>
          <w:p w14:paraId="3655DE2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47426C31">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7C3128F5">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69F7444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483" w:type="pct"/>
            <w:tcBorders>
              <w:top w:val="nil"/>
              <w:left w:val="nil"/>
              <w:bottom w:val="single" w:color="000000" w:sz="4" w:space="0"/>
              <w:right w:val="single" w:color="000000" w:sz="4" w:space="0"/>
            </w:tcBorders>
            <w:shd w:val="clear" w:color="auto" w:fill="auto"/>
            <w:vAlign w:val="center"/>
          </w:tcPr>
          <w:p w14:paraId="7040AA8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1004" w:type="pct"/>
            <w:tcBorders>
              <w:top w:val="nil"/>
              <w:left w:val="nil"/>
              <w:bottom w:val="single" w:color="000000" w:sz="4" w:space="0"/>
              <w:right w:val="single" w:color="000000" w:sz="4" w:space="0"/>
            </w:tcBorders>
            <w:shd w:val="clear" w:color="auto" w:fill="auto"/>
            <w:vAlign w:val="center"/>
          </w:tcPr>
          <w:p w14:paraId="468EC66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174" w:type="pct"/>
            <w:tcBorders>
              <w:top w:val="nil"/>
              <w:left w:val="nil"/>
              <w:bottom w:val="single" w:color="000000" w:sz="4" w:space="0"/>
              <w:right w:val="single" w:color="000000" w:sz="4" w:space="0"/>
            </w:tcBorders>
            <w:shd w:val="clear" w:color="auto" w:fill="auto"/>
            <w:vAlign w:val="center"/>
          </w:tcPr>
          <w:p w14:paraId="7F8173B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3" w:type="pct"/>
            <w:tcBorders>
              <w:top w:val="nil"/>
              <w:left w:val="nil"/>
              <w:bottom w:val="single" w:color="000000" w:sz="4" w:space="0"/>
              <w:right w:val="single" w:color="000000" w:sz="4" w:space="0"/>
            </w:tcBorders>
            <w:shd w:val="clear" w:color="auto" w:fill="auto"/>
            <w:vAlign w:val="center"/>
          </w:tcPr>
          <w:p w14:paraId="144F2F4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257" w:type="pct"/>
            <w:tcBorders>
              <w:top w:val="nil"/>
              <w:left w:val="nil"/>
              <w:bottom w:val="single" w:color="000000" w:sz="4" w:space="0"/>
              <w:right w:val="single" w:color="000000" w:sz="4" w:space="0"/>
            </w:tcBorders>
            <w:shd w:val="clear" w:color="auto" w:fill="auto"/>
            <w:vAlign w:val="center"/>
          </w:tcPr>
          <w:p w14:paraId="2EFEB2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0485639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95</w:t>
            </w:r>
          </w:p>
        </w:tc>
        <w:tc>
          <w:tcPr>
            <w:tcW w:w="176" w:type="pct"/>
            <w:tcBorders>
              <w:top w:val="nil"/>
              <w:left w:val="nil"/>
              <w:bottom w:val="single" w:color="000000" w:sz="4" w:space="0"/>
              <w:right w:val="single" w:color="000000" w:sz="4" w:space="0"/>
            </w:tcBorders>
            <w:shd w:val="clear" w:color="auto" w:fill="auto"/>
            <w:vAlign w:val="center"/>
          </w:tcPr>
          <w:p w14:paraId="3614CB2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57" w:type="pct"/>
            <w:tcBorders>
              <w:top w:val="nil"/>
              <w:left w:val="nil"/>
              <w:bottom w:val="single" w:color="000000" w:sz="4" w:space="0"/>
              <w:right w:val="single" w:color="000000" w:sz="4" w:space="0"/>
            </w:tcBorders>
            <w:shd w:val="clear" w:color="auto" w:fill="auto"/>
            <w:vAlign w:val="center"/>
          </w:tcPr>
          <w:p w14:paraId="172626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974" w:type="pct"/>
            <w:tcBorders>
              <w:top w:val="nil"/>
              <w:left w:val="nil"/>
              <w:bottom w:val="single" w:color="000000" w:sz="4" w:space="0"/>
              <w:right w:val="single" w:color="000000" w:sz="4" w:space="0"/>
            </w:tcBorders>
            <w:shd w:val="clear" w:color="auto" w:fill="auto"/>
            <w:vAlign w:val="center"/>
          </w:tcPr>
          <w:p w14:paraId="0D52D0B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49BCD6A">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263C261F">
            <w:pPr>
              <w:widowControl/>
              <w:jc w:val="left"/>
              <w:rPr>
                <w:rFonts w:ascii="宋体" w:hAnsi="宋体" w:eastAsia="宋体" w:cs="宋体"/>
                <w:color w:val="000000"/>
                <w:sz w:val="18"/>
                <w:szCs w:val="18"/>
              </w:rPr>
            </w:pPr>
          </w:p>
        </w:tc>
        <w:tc>
          <w:tcPr>
            <w:tcW w:w="548" w:type="pct"/>
            <w:tcBorders>
              <w:top w:val="nil"/>
              <w:left w:val="nil"/>
              <w:bottom w:val="single" w:color="000000" w:sz="4" w:space="0"/>
              <w:right w:val="single" w:color="000000" w:sz="4" w:space="0"/>
            </w:tcBorders>
            <w:shd w:val="clear" w:color="auto" w:fill="auto"/>
            <w:vAlign w:val="center"/>
          </w:tcPr>
          <w:p w14:paraId="54D04B7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483" w:type="pct"/>
            <w:tcBorders>
              <w:top w:val="nil"/>
              <w:left w:val="nil"/>
              <w:bottom w:val="single" w:color="000000" w:sz="4" w:space="0"/>
              <w:right w:val="single" w:color="000000" w:sz="4" w:space="0"/>
            </w:tcBorders>
            <w:shd w:val="clear" w:color="auto" w:fill="auto"/>
            <w:vAlign w:val="center"/>
          </w:tcPr>
          <w:p w14:paraId="1DB9EA2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004" w:type="pct"/>
            <w:tcBorders>
              <w:top w:val="nil"/>
              <w:left w:val="nil"/>
              <w:bottom w:val="single" w:color="000000" w:sz="4" w:space="0"/>
              <w:right w:val="single" w:color="000000" w:sz="4" w:space="0"/>
            </w:tcBorders>
            <w:shd w:val="clear" w:color="auto" w:fill="auto"/>
            <w:vAlign w:val="center"/>
          </w:tcPr>
          <w:p w14:paraId="221E708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安置帮教走访费用</w:t>
            </w:r>
          </w:p>
        </w:tc>
        <w:tc>
          <w:tcPr>
            <w:tcW w:w="174" w:type="pct"/>
            <w:tcBorders>
              <w:top w:val="nil"/>
              <w:left w:val="nil"/>
              <w:bottom w:val="single" w:color="000000" w:sz="4" w:space="0"/>
              <w:right w:val="single" w:color="000000" w:sz="4" w:space="0"/>
            </w:tcBorders>
            <w:shd w:val="clear" w:color="auto" w:fill="auto"/>
            <w:vAlign w:val="center"/>
          </w:tcPr>
          <w:p w14:paraId="4E05E49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53" w:type="pct"/>
            <w:tcBorders>
              <w:top w:val="nil"/>
              <w:left w:val="nil"/>
              <w:bottom w:val="single" w:color="000000" w:sz="4" w:space="0"/>
              <w:right w:val="single" w:color="000000" w:sz="4" w:space="0"/>
            </w:tcBorders>
            <w:shd w:val="clear" w:color="auto" w:fill="auto"/>
            <w:vAlign w:val="center"/>
          </w:tcPr>
          <w:p w14:paraId="2EEC180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57" w:type="pct"/>
            <w:tcBorders>
              <w:top w:val="nil"/>
              <w:left w:val="nil"/>
              <w:bottom w:val="single" w:color="000000" w:sz="4" w:space="0"/>
              <w:right w:val="single" w:color="000000" w:sz="4" w:space="0"/>
            </w:tcBorders>
            <w:shd w:val="clear" w:color="auto" w:fill="auto"/>
            <w:vAlign w:val="center"/>
          </w:tcPr>
          <w:p w14:paraId="5908B85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元/人·次</w:t>
            </w:r>
          </w:p>
        </w:tc>
        <w:tc>
          <w:tcPr>
            <w:tcW w:w="375" w:type="pct"/>
            <w:tcBorders>
              <w:top w:val="nil"/>
              <w:left w:val="nil"/>
              <w:bottom w:val="single" w:color="000000" w:sz="4" w:space="0"/>
              <w:right w:val="single" w:color="000000" w:sz="4" w:space="0"/>
            </w:tcBorders>
            <w:shd w:val="clear" w:color="auto" w:fill="auto"/>
            <w:vAlign w:val="center"/>
          </w:tcPr>
          <w:p w14:paraId="4E19CD3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100</w:t>
            </w:r>
          </w:p>
        </w:tc>
        <w:tc>
          <w:tcPr>
            <w:tcW w:w="176" w:type="pct"/>
            <w:tcBorders>
              <w:top w:val="nil"/>
              <w:left w:val="nil"/>
              <w:bottom w:val="single" w:color="000000" w:sz="4" w:space="0"/>
              <w:right w:val="single" w:color="000000" w:sz="4" w:space="0"/>
            </w:tcBorders>
            <w:shd w:val="clear" w:color="auto" w:fill="auto"/>
            <w:vAlign w:val="center"/>
          </w:tcPr>
          <w:p w14:paraId="4A79551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257" w:type="pct"/>
            <w:tcBorders>
              <w:top w:val="nil"/>
              <w:left w:val="nil"/>
              <w:bottom w:val="single" w:color="000000" w:sz="4" w:space="0"/>
              <w:right w:val="single" w:color="000000" w:sz="4" w:space="0"/>
            </w:tcBorders>
            <w:shd w:val="clear" w:color="auto" w:fill="auto"/>
            <w:vAlign w:val="center"/>
          </w:tcPr>
          <w:p w14:paraId="5533FC7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974" w:type="pct"/>
            <w:tcBorders>
              <w:top w:val="nil"/>
              <w:left w:val="nil"/>
              <w:bottom w:val="single" w:color="000000" w:sz="4" w:space="0"/>
              <w:right w:val="single" w:color="000000" w:sz="4" w:space="0"/>
            </w:tcBorders>
            <w:shd w:val="clear" w:color="auto" w:fill="auto"/>
            <w:vAlign w:val="center"/>
          </w:tcPr>
          <w:p w14:paraId="0B4D395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36AB3B57">
        <w:tblPrEx>
          <w:tblCellMar>
            <w:top w:w="0" w:type="dxa"/>
            <w:left w:w="108" w:type="dxa"/>
            <w:bottom w:w="0" w:type="dxa"/>
            <w:right w:w="108" w:type="dxa"/>
          </w:tblCellMar>
        </w:tblPrEx>
        <w:trPr>
          <w:trHeight w:val="28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6B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548" w:type="pct"/>
            <w:tcBorders>
              <w:top w:val="nil"/>
              <w:left w:val="nil"/>
              <w:bottom w:val="single" w:color="000000" w:sz="4" w:space="0"/>
              <w:right w:val="single" w:color="000000" w:sz="4" w:space="0"/>
            </w:tcBorders>
            <w:shd w:val="clear" w:color="auto" w:fill="auto"/>
            <w:vAlign w:val="center"/>
          </w:tcPr>
          <w:p w14:paraId="348E8C6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83" w:type="pct"/>
            <w:tcBorders>
              <w:top w:val="nil"/>
              <w:left w:val="nil"/>
              <w:bottom w:val="single" w:color="000000" w:sz="4" w:space="0"/>
              <w:right w:val="single" w:color="000000" w:sz="4" w:space="0"/>
            </w:tcBorders>
            <w:shd w:val="clear" w:color="auto" w:fill="auto"/>
            <w:vAlign w:val="center"/>
          </w:tcPr>
          <w:p w14:paraId="5FE9C1D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4" w:type="pct"/>
            <w:tcBorders>
              <w:top w:val="nil"/>
              <w:left w:val="nil"/>
              <w:bottom w:val="single" w:color="000000" w:sz="4" w:space="0"/>
              <w:right w:val="single" w:color="000000" w:sz="4" w:space="0"/>
            </w:tcBorders>
            <w:shd w:val="clear" w:color="auto" w:fill="auto"/>
            <w:vAlign w:val="center"/>
          </w:tcPr>
          <w:p w14:paraId="4072F1F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4" w:type="pct"/>
            <w:tcBorders>
              <w:top w:val="nil"/>
              <w:left w:val="nil"/>
              <w:bottom w:val="single" w:color="000000" w:sz="4" w:space="0"/>
              <w:right w:val="single" w:color="000000" w:sz="4" w:space="0"/>
            </w:tcBorders>
            <w:shd w:val="clear" w:color="auto" w:fill="auto"/>
            <w:vAlign w:val="center"/>
          </w:tcPr>
          <w:p w14:paraId="4757C2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53" w:type="pct"/>
            <w:tcBorders>
              <w:top w:val="nil"/>
              <w:left w:val="nil"/>
              <w:bottom w:val="single" w:color="000000" w:sz="4" w:space="0"/>
              <w:right w:val="single" w:color="000000" w:sz="4" w:space="0"/>
            </w:tcBorders>
            <w:shd w:val="clear" w:color="auto" w:fill="auto"/>
            <w:vAlign w:val="center"/>
          </w:tcPr>
          <w:p w14:paraId="03C329F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17173E6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5" w:type="pct"/>
            <w:tcBorders>
              <w:top w:val="nil"/>
              <w:left w:val="nil"/>
              <w:bottom w:val="single" w:color="000000" w:sz="4" w:space="0"/>
              <w:right w:val="single" w:color="000000" w:sz="4" w:space="0"/>
            </w:tcBorders>
            <w:shd w:val="clear" w:color="auto" w:fill="auto"/>
            <w:vAlign w:val="center"/>
          </w:tcPr>
          <w:p w14:paraId="6292423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75AFC4E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57" w:type="pct"/>
            <w:tcBorders>
              <w:top w:val="nil"/>
              <w:left w:val="nil"/>
              <w:bottom w:val="single" w:color="000000" w:sz="4" w:space="0"/>
              <w:right w:val="single" w:color="000000" w:sz="4" w:space="0"/>
            </w:tcBorders>
            <w:shd w:val="clear" w:color="auto" w:fill="auto"/>
            <w:vAlign w:val="center"/>
          </w:tcPr>
          <w:p w14:paraId="3A68A6D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92.906</w:t>
            </w:r>
          </w:p>
        </w:tc>
        <w:tc>
          <w:tcPr>
            <w:tcW w:w="974" w:type="pct"/>
            <w:tcBorders>
              <w:top w:val="nil"/>
              <w:left w:val="nil"/>
              <w:bottom w:val="single" w:color="000000" w:sz="4" w:space="0"/>
              <w:right w:val="single" w:color="000000" w:sz="4" w:space="0"/>
            </w:tcBorders>
            <w:shd w:val="clear" w:color="auto" w:fill="auto"/>
            <w:vAlign w:val="center"/>
          </w:tcPr>
          <w:p w14:paraId="11F50073">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20662F49">
        <w:tblPrEx>
          <w:tblCellMar>
            <w:top w:w="0" w:type="dxa"/>
            <w:left w:w="108" w:type="dxa"/>
            <w:bottom w:w="0" w:type="dxa"/>
            <w:right w:w="108" w:type="dxa"/>
          </w:tblCellMar>
        </w:tblPrEx>
        <w:trPr>
          <w:trHeight w:val="1200"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11FE7A0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585918C4">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预算执行率一般，绩效评价得分“92.91”，评价等级为“优”。</w:t>
            </w:r>
          </w:p>
        </w:tc>
      </w:tr>
      <w:tr w14:paraId="4BEB3A47">
        <w:tblPrEx>
          <w:tblCellMar>
            <w:top w:w="0" w:type="dxa"/>
            <w:left w:w="108" w:type="dxa"/>
            <w:bottom w:w="0" w:type="dxa"/>
            <w:right w:w="108" w:type="dxa"/>
          </w:tblCellMar>
        </w:tblPrEx>
        <w:trPr>
          <w:trHeight w:val="942"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5BBE25C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07F68482">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项目需经过多级审批，但我区财政紧张，年底申请支付的财政未审批，导致执行率未较低。</w:t>
            </w:r>
          </w:p>
        </w:tc>
      </w:tr>
      <w:tr w14:paraId="6EF6968A">
        <w:tblPrEx>
          <w:tblCellMar>
            <w:top w:w="0" w:type="dxa"/>
            <w:left w:w="108" w:type="dxa"/>
            <w:bottom w:w="0" w:type="dxa"/>
            <w:right w:w="108" w:type="dxa"/>
          </w:tblCellMar>
        </w:tblPrEx>
        <w:trPr>
          <w:trHeight w:val="1242"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3529EBD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6F0D9E9E">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我局应对加强与财政部门的沟通协调，建立定期的信息交流机制，及时掌握财政资金的下达情况，确保资金及时支付。</w:t>
            </w:r>
          </w:p>
        </w:tc>
      </w:tr>
      <w:tr w14:paraId="56BD507D">
        <w:tblPrEx>
          <w:tblCellMar>
            <w:top w:w="0" w:type="dxa"/>
            <w:left w:w="108" w:type="dxa"/>
            <w:bottom w:w="0" w:type="dxa"/>
            <w:right w:w="108" w:type="dxa"/>
          </w:tblCellMar>
        </w:tblPrEx>
        <w:trPr>
          <w:trHeight w:val="619"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7599B">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项目负责人：顾震</w:t>
            </w:r>
          </w:p>
        </w:tc>
        <w:tc>
          <w:tcPr>
            <w:tcW w:w="2593" w:type="pct"/>
            <w:gridSpan w:val="6"/>
            <w:tcBorders>
              <w:top w:val="single" w:color="000000" w:sz="4" w:space="0"/>
              <w:left w:val="nil"/>
              <w:bottom w:val="single" w:color="000000" w:sz="4" w:space="0"/>
              <w:right w:val="single" w:color="000000" w:sz="4" w:space="0"/>
            </w:tcBorders>
            <w:shd w:val="clear" w:color="auto" w:fill="auto"/>
            <w:vAlign w:val="center"/>
          </w:tcPr>
          <w:p w14:paraId="5BD80B90">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2E1AEF40">
      <w:pPr>
        <w:pStyle w:val="196"/>
        <w:ind w:left="632" w:firstLine="632"/>
        <w:rPr>
          <w:rFonts w:ascii="Times New Roman" w:eastAsia="黑体"/>
          <w:shd w:val="clear" w:color="auto" w:fill="FFFFFF"/>
          <w:lang w:val="zh-CN"/>
        </w:rPr>
      </w:pPr>
    </w:p>
    <w:p w14:paraId="19F5B36C">
      <w:pPr>
        <w:pStyle w:val="196"/>
        <w:ind w:left="632" w:firstLine="632"/>
        <w:rPr>
          <w:rFonts w:ascii="Times New Roman" w:eastAsia="黑体"/>
          <w:shd w:val="clear" w:color="auto" w:fill="FFFFFF"/>
          <w:lang w:val="zh-CN"/>
        </w:rPr>
      </w:pPr>
    </w:p>
    <w:p w14:paraId="76AFBBA3">
      <w:pPr>
        <w:pStyle w:val="196"/>
        <w:ind w:left="632" w:firstLine="632"/>
        <w:rPr>
          <w:rFonts w:ascii="Times New Roman" w:eastAsia="黑体"/>
          <w:shd w:val="clear" w:color="auto" w:fill="FFFFFF"/>
          <w:lang w:val="zh-CN"/>
        </w:rPr>
      </w:pPr>
    </w:p>
    <w:p w14:paraId="57F3AB84">
      <w:pPr>
        <w:pStyle w:val="196"/>
        <w:ind w:left="632" w:firstLine="632"/>
        <w:rPr>
          <w:rFonts w:ascii="Times New Roman" w:eastAsia="黑体"/>
          <w:shd w:val="clear" w:color="auto" w:fill="FFFFFF"/>
          <w:lang w:val="zh-CN"/>
        </w:rPr>
      </w:pPr>
    </w:p>
    <w:p w14:paraId="72486A91">
      <w:pPr>
        <w:pStyle w:val="196"/>
        <w:ind w:left="632" w:firstLine="632"/>
        <w:rPr>
          <w:rFonts w:ascii="Times New Roman" w:eastAsia="黑体"/>
          <w:shd w:val="clear" w:color="auto" w:fill="FFFFFF"/>
          <w:lang w:val="zh-CN"/>
        </w:rPr>
      </w:pPr>
    </w:p>
    <w:p w14:paraId="579950CE">
      <w:pPr>
        <w:spacing w:line="580" w:lineRule="exact"/>
        <w:rPr>
          <w:rStyle w:val="198"/>
          <w:rFonts w:eastAsia="黑体"/>
          <w:b w:val="0"/>
          <w:bCs w:val="0"/>
        </w:rPr>
      </w:pPr>
    </w:p>
    <w:tbl>
      <w:tblPr>
        <w:tblStyle w:val="36"/>
        <w:tblW w:w="5000" w:type="pct"/>
        <w:tblInd w:w="0" w:type="dxa"/>
        <w:tblLayout w:type="autofit"/>
        <w:tblCellMar>
          <w:top w:w="0" w:type="dxa"/>
          <w:left w:w="108" w:type="dxa"/>
          <w:bottom w:w="0" w:type="dxa"/>
          <w:right w:w="108" w:type="dxa"/>
        </w:tblCellMar>
      </w:tblPr>
      <w:tblGrid>
        <w:gridCol w:w="576"/>
        <w:gridCol w:w="988"/>
        <w:gridCol w:w="853"/>
        <w:gridCol w:w="1269"/>
        <w:gridCol w:w="396"/>
        <w:gridCol w:w="999"/>
        <w:gridCol w:w="396"/>
        <w:gridCol w:w="756"/>
        <w:gridCol w:w="486"/>
        <w:gridCol w:w="666"/>
        <w:gridCol w:w="1857"/>
      </w:tblGrid>
      <w:tr w14:paraId="61F5B92A">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46EC5CF">
            <w:pPr>
              <w:widowControl/>
              <w:jc w:val="center"/>
              <w:rPr>
                <w:rFonts w:ascii="宋体" w:hAnsi="宋体" w:eastAsia="宋体" w:cs="宋体"/>
                <w:b/>
                <w:bCs/>
                <w:color w:val="000000"/>
                <w:sz w:val="40"/>
                <w:szCs w:val="40"/>
              </w:rPr>
            </w:pPr>
            <w:bookmarkStart w:id="104" w:name="_Toc15396618"/>
            <w:r>
              <w:rPr>
                <w:rFonts w:hint="eastAsia" w:ascii="宋体" w:hAnsi="宋体" w:eastAsia="宋体" w:cs="宋体"/>
                <w:b/>
                <w:bCs/>
                <w:color w:val="000000"/>
                <w:sz w:val="40"/>
                <w:szCs w:val="40"/>
              </w:rPr>
              <w:t>部门预算项目支出绩效自评表</w:t>
            </w:r>
          </w:p>
        </w:tc>
      </w:tr>
      <w:tr w14:paraId="095A3392">
        <w:tblPrEx>
          <w:tblCellMar>
            <w:top w:w="0" w:type="dxa"/>
            <w:left w:w="108" w:type="dxa"/>
            <w:bottom w:w="0" w:type="dxa"/>
            <w:right w:w="108" w:type="dxa"/>
          </w:tblCellMar>
        </w:tblPrEx>
        <w:trPr>
          <w:trHeight w:val="559" w:hRule="atLeast"/>
        </w:trPr>
        <w:tc>
          <w:tcPr>
            <w:tcW w:w="814" w:type="pct"/>
            <w:gridSpan w:val="2"/>
            <w:tcBorders>
              <w:top w:val="nil"/>
              <w:left w:val="single" w:color="auto" w:sz="4" w:space="0"/>
              <w:bottom w:val="single" w:color="000000" w:sz="4" w:space="0"/>
              <w:right w:val="single" w:color="auto" w:sz="4" w:space="0"/>
            </w:tcBorders>
            <w:shd w:val="clear" w:color="auto" w:fill="auto"/>
            <w:vAlign w:val="center"/>
          </w:tcPr>
          <w:p w14:paraId="7E12EC5A">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186" w:type="pct"/>
            <w:gridSpan w:val="9"/>
            <w:tcBorders>
              <w:top w:val="nil"/>
              <w:left w:val="nil"/>
              <w:bottom w:val="single" w:color="000000" w:sz="4" w:space="0"/>
              <w:right w:val="single" w:color="auto" w:sz="4" w:space="0"/>
            </w:tcBorders>
            <w:shd w:val="clear" w:color="auto" w:fill="auto"/>
            <w:vAlign w:val="center"/>
          </w:tcPr>
          <w:p w14:paraId="6F796D7C">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51090422T000000280633-案件代理</w:t>
            </w:r>
          </w:p>
        </w:tc>
      </w:tr>
      <w:tr w14:paraId="2809B706">
        <w:tblPrEx>
          <w:tblCellMar>
            <w:top w:w="0" w:type="dxa"/>
            <w:left w:w="108" w:type="dxa"/>
            <w:bottom w:w="0" w:type="dxa"/>
            <w:right w:w="108" w:type="dxa"/>
          </w:tblCellMar>
        </w:tblPrEx>
        <w:trPr>
          <w:trHeight w:val="514" w:hRule="atLeast"/>
        </w:trPr>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7779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273" w:type="pct"/>
            <w:gridSpan w:val="5"/>
            <w:tcBorders>
              <w:top w:val="single" w:color="000000" w:sz="4" w:space="0"/>
              <w:left w:val="nil"/>
              <w:bottom w:val="single" w:color="000000" w:sz="4" w:space="0"/>
              <w:right w:val="single" w:color="000000" w:sz="4" w:space="0"/>
            </w:tcBorders>
            <w:shd w:val="clear" w:color="auto" w:fill="auto"/>
            <w:vAlign w:val="center"/>
          </w:tcPr>
          <w:p w14:paraId="50E76C2C">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407" w:type="pct"/>
            <w:tcBorders>
              <w:top w:val="nil"/>
              <w:left w:val="nil"/>
              <w:bottom w:val="nil"/>
              <w:right w:val="nil"/>
            </w:tcBorders>
            <w:shd w:val="clear" w:color="auto" w:fill="auto"/>
            <w:vAlign w:val="center"/>
          </w:tcPr>
          <w:p w14:paraId="167A3D55">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1AA3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3DCF23A8">
        <w:tblPrEx>
          <w:tblCellMar>
            <w:top w:w="0" w:type="dxa"/>
            <w:left w:w="108" w:type="dxa"/>
            <w:bottom w:w="0" w:type="dxa"/>
            <w:right w:w="108" w:type="dxa"/>
          </w:tblCellMar>
        </w:tblPrEx>
        <w:trPr>
          <w:trHeight w:val="360"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0F8BBA0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602" w:type="pct"/>
            <w:vMerge w:val="restart"/>
            <w:tcBorders>
              <w:top w:val="nil"/>
              <w:left w:val="single" w:color="000000" w:sz="4" w:space="0"/>
              <w:bottom w:val="single" w:color="000000" w:sz="4" w:space="0"/>
              <w:right w:val="single" w:color="000000" w:sz="4" w:space="0"/>
            </w:tcBorders>
            <w:shd w:val="clear" w:color="auto" w:fill="auto"/>
            <w:vAlign w:val="center"/>
          </w:tcPr>
          <w:p w14:paraId="3018A869">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273" w:type="pct"/>
            <w:gridSpan w:val="5"/>
            <w:tcBorders>
              <w:top w:val="single" w:color="000000" w:sz="4" w:space="0"/>
              <w:left w:val="nil"/>
              <w:bottom w:val="single" w:color="000000" w:sz="4" w:space="0"/>
              <w:right w:val="single" w:color="000000" w:sz="4" w:space="0"/>
            </w:tcBorders>
            <w:shd w:val="clear" w:color="auto" w:fill="auto"/>
            <w:vAlign w:val="center"/>
          </w:tcPr>
          <w:p w14:paraId="237B9A1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914" w:type="pct"/>
            <w:gridSpan w:val="4"/>
            <w:tcBorders>
              <w:top w:val="single" w:color="000000" w:sz="4" w:space="0"/>
              <w:left w:val="nil"/>
              <w:bottom w:val="single" w:color="000000" w:sz="4" w:space="0"/>
              <w:right w:val="single" w:color="000000" w:sz="4" w:space="0"/>
            </w:tcBorders>
            <w:shd w:val="clear" w:color="auto" w:fill="auto"/>
            <w:vAlign w:val="center"/>
          </w:tcPr>
          <w:p w14:paraId="130E7496">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202E6824">
        <w:tblPrEx>
          <w:tblCellMar>
            <w:top w:w="0" w:type="dxa"/>
            <w:left w:w="108" w:type="dxa"/>
            <w:bottom w:w="0" w:type="dxa"/>
            <w:right w:w="108" w:type="dxa"/>
          </w:tblCellMar>
        </w:tblPrEx>
        <w:trPr>
          <w:trHeight w:val="2682" w:hRule="atLeast"/>
        </w:trPr>
        <w:tc>
          <w:tcPr>
            <w:tcW w:w="211" w:type="pct"/>
            <w:vMerge w:val="continue"/>
            <w:tcBorders>
              <w:top w:val="nil"/>
              <w:left w:val="single" w:color="000000" w:sz="4" w:space="0"/>
              <w:bottom w:val="single" w:color="000000" w:sz="4" w:space="0"/>
              <w:right w:val="single" w:color="000000" w:sz="4" w:space="0"/>
            </w:tcBorders>
            <w:vAlign w:val="center"/>
          </w:tcPr>
          <w:p w14:paraId="2BEC2697">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0CE93EAC">
            <w:pPr>
              <w:widowControl/>
              <w:jc w:val="left"/>
              <w:rPr>
                <w:rFonts w:ascii="宋体" w:hAnsi="宋体" w:eastAsia="宋体" w:cs="宋体"/>
                <w:color w:val="000000"/>
                <w:sz w:val="18"/>
                <w:szCs w:val="18"/>
              </w:rPr>
            </w:pPr>
          </w:p>
        </w:tc>
        <w:tc>
          <w:tcPr>
            <w:tcW w:w="2273" w:type="pct"/>
            <w:gridSpan w:val="5"/>
            <w:tcBorders>
              <w:top w:val="single" w:color="000000" w:sz="4" w:space="0"/>
              <w:left w:val="nil"/>
              <w:bottom w:val="single" w:color="000000" w:sz="4" w:space="0"/>
              <w:right w:val="single" w:color="000000" w:sz="4" w:space="0"/>
            </w:tcBorders>
            <w:shd w:val="clear" w:color="auto" w:fill="auto"/>
            <w:vAlign w:val="center"/>
          </w:tcPr>
          <w:p w14:paraId="204A362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根据中共中央、国务院印发《法治政府建设实施纲要（2021－2025年）》第三十四条：加强法律顾问和公职律师队伍建设，提升法律顾问和公职律师参与重大决策的能力水平，用于社会律师参与重大行政决策合法性审查、重大行政诉讼案件、民商事案件、仲裁案件等案件代理。</w:t>
            </w:r>
          </w:p>
        </w:tc>
        <w:tc>
          <w:tcPr>
            <w:tcW w:w="1914" w:type="pct"/>
            <w:gridSpan w:val="4"/>
            <w:tcBorders>
              <w:top w:val="single" w:color="000000" w:sz="4" w:space="0"/>
              <w:left w:val="nil"/>
              <w:bottom w:val="single" w:color="000000" w:sz="4" w:space="0"/>
              <w:right w:val="single" w:color="000000" w:sz="4" w:space="0"/>
            </w:tcBorders>
            <w:shd w:val="clear" w:color="auto" w:fill="auto"/>
            <w:vAlign w:val="center"/>
          </w:tcPr>
          <w:p w14:paraId="4D84D6A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着力提升法律援助质效。深入抓好“法援惠民生、助力农民工”“乡村振兴、法治同行”等品牌建设活动，切实做到法律援助“应援尽援”。全年办理援助案件347件，其中受理农民工援助案件252件，讨回欠薪、挽回经济损失149.08万元。</w:t>
            </w:r>
          </w:p>
        </w:tc>
      </w:tr>
      <w:tr w14:paraId="56BC3E05">
        <w:tblPrEx>
          <w:tblCellMar>
            <w:top w:w="0" w:type="dxa"/>
            <w:left w:w="108" w:type="dxa"/>
            <w:bottom w:w="0" w:type="dxa"/>
            <w:right w:w="108" w:type="dxa"/>
          </w:tblCellMar>
        </w:tblPrEx>
        <w:trPr>
          <w:trHeight w:val="1140" w:hRule="atLeast"/>
        </w:trPr>
        <w:tc>
          <w:tcPr>
            <w:tcW w:w="211" w:type="pct"/>
            <w:vMerge w:val="continue"/>
            <w:tcBorders>
              <w:top w:val="nil"/>
              <w:left w:val="single" w:color="000000" w:sz="4" w:space="0"/>
              <w:bottom w:val="single" w:color="000000" w:sz="4" w:space="0"/>
              <w:right w:val="single" w:color="000000" w:sz="4" w:space="0"/>
            </w:tcBorders>
            <w:vAlign w:val="center"/>
          </w:tcPr>
          <w:p w14:paraId="12AA5D9C">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57ABD08B">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186" w:type="pct"/>
            <w:gridSpan w:val="9"/>
            <w:tcBorders>
              <w:top w:val="single" w:color="000000" w:sz="4" w:space="0"/>
              <w:left w:val="nil"/>
              <w:bottom w:val="single" w:color="000000" w:sz="4" w:space="0"/>
              <w:right w:val="single" w:color="000000" w:sz="4" w:space="0"/>
            </w:tcBorders>
            <w:shd w:val="clear" w:color="auto" w:fill="auto"/>
            <w:vAlign w:val="center"/>
          </w:tcPr>
          <w:p w14:paraId="4567F69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着力提升法律援助质效。深入抓好“法援惠民生、助力农民工”“乡村振兴、法治同行”等品牌建设活动，切实做到法律援助“应援尽援”。全年办理援助案件347件，其中受理农民工援助案件252件，讨回欠薪、挽回经济损失149.08万元。</w:t>
            </w:r>
          </w:p>
        </w:tc>
      </w:tr>
      <w:tr w14:paraId="700C1B0A">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35FBCFF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602" w:type="pct"/>
            <w:tcBorders>
              <w:top w:val="nil"/>
              <w:left w:val="nil"/>
              <w:bottom w:val="single" w:color="000000" w:sz="4" w:space="0"/>
              <w:right w:val="single" w:color="000000" w:sz="4" w:space="0"/>
            </w:tcBorders>
            <w:shd w:val="clear" w:color="auto" w:fill="auto"/>
            <w:vAlign w:val="center"/>
          </w:tcPr>
          <w:p w14:paraId="5C51EAA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530" w:type="pct"/>
            <w:tcBorders>
              <w:top w:val="nil"/>
              <w:left w:val="nil"/>
              <w:bottom w:val="single" w:color="000000" w:sz="4" w:space="0"/>
              <w:right w:val="single" w:color="000000" w:sz="4" w:space="0"/>
            </w:tcBorders>
            <w:shd w:val="clear" w:color="auto" w:fill="auto"/>
            <w:vAlign w:val="center"/>
          </w:tcPr>
          <w:p w14:paraId="4201BAC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755" w:type="pct"/>
            <w:tcBorders>
              <w:top w:val="nil"/>
              <w:left w:val="nil"/>
              <w:bottom w:val="single" w:color="000000" w:sz="4" w:space="0"/>
              <w:right w:val="single" w:color="000000" w:sz="4" w:space="0"/>
            </w:tcBorders>
            <w:shd w:val="clear" w:color="auto" w:fill="auto"/>
            <w:vAlign w:val="center"/>
          </w:tcPr>
          <w:p w14:paraId="78C9E78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0A6620F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407" w:type="pct"/>
            <w:tcBorders>
              <w:top w:val="nil"/>
              <w:left w:val="nil"/>
              <w:bottom w:val="single" w:color="000000" w:sz="4" w:space="0"/>
              <w:right w:val="single" w:color="000000" w:sz="4" w:space="0"/>
            </w:tcBorders>
            <w:shd w:val="clear" w:color="auto" w:fill="auto"/>
            <w:vAlign w:val="center"/>
          </w:tcPr>
          <w:p w14:paraId="56A4A3C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90" w:type="pct"/>
            <w:tcBorders>
              <w:top w:val="nil"/>
              <w:left w:val="nil"/>
              <w:bottom w:val="single" w:color="000000" w:sz="4" w:space="0"/>
              <w:right w:val="single" w:color="000000" w:sz="4" w:space="0"/>
            </w:tcBorders>
            <w:shd w:val="clear" w:color="auto" w:fill="auto"/>
            <w:vAlign w:val="center"/>
          </w:tcPr>
          <w:p w14:paraId="0FA5891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43" w:type="pct"/>
            <w:tcBorders>
              <w:top w:val="nil"/>
              <w:left w:val="nil"/>
              <w:bottom w:val="single" w:color="000000" w:sz="4" w:space="0"/>
              <w:right w:val="single" w:color="000000" w:sz="4" w:space="0"/>
            </w:tcBorders>
            <w:shd w:val="clear" w:color="auto" w:fill="auto"/>
            <w:vAlign w:val="center"/>
          </w:tcPr>
          <w:p w14:paraId="16044B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74" w:type="pct"/>
            <w:tcBorders>
              <w:top w:val="nil"/>
              <w:left w:val="nil"/>
              <w:bottom w:val="single" w:color="000000" w:sz="4" w:space="0"/>
              <w:right w:val="single" w:color="000000" w:sz="4" w:space="0"/>
            </w:tcBorders>
            <w:shd w:val="clear" w:color="auto" w:fill="auto"/>
            <w:vAlign w:val="center"/>
          </w:tcPr>
          <w:p w14:paraId="5326AD1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71DAC531">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4918520D">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0F83AD6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530" w:type="pct"/>
            <w:tcBorders>
              <w:top w:val="nil"/>
              <w:left w:val="nil"/>
              <w:bottom w:val="single" w:color="000000" w:sz="4" w:space="0"/>
              <w:right w:val="single" w:color="000000" w:sz="4" w:space="0"/>
            </w:tcBorders>
            <w:shd w:val="clear" w:color="auto" w:fill="auto"/>
            <w:vAlign w:val="center"/>
          </w:tcPr>
          <w:p w14:paraId="1D419D6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w:t>
            </w:r>
          </w:p>
        </w:tc>
        <w:tc>
          <w:tcPr>
            <w:tcW w:w="755" w:type="pct"/>
            <w:tcBorders>
              <w:top w:val="nil"/>
              <w:left w:val="nil"/>
              <w:bottom w:val="single" w:color="000000" w:sz="4" w:space="0"/>
              <w:right w:val="single" w:color="000000" w:sz="4" w:space="0"/>
            </w:tcBorders>
            <w:shd w:val="clear" w:color="auto" w:fill="auto"/>
            <w:vAlign w:val="center"/>
          </w:tcPr>
          <w:p w14:paraId="49A549B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37C307F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w:t>
            </w:r>
          </w:p>
        </w:tc>
        <w:tc>
          <w:tcPr>
            <w:tcW w:w="407" w:type="pct"/>
            <w:tcBorders>
              <w:top w:val="nil"/>
              <w:left w:val="nil"/>
              <w:bottom w:val="single" w:color="000000" w:sz="4" w:space="0"/>
              <w:right w:val="single" w:color="000000" w:sz="4" w:space="0"/>
            </w:tcBorders>
            <w:shd w:val="clear" w:color="auto" w:fill="auto"/>
            <w:vAlign w:val="center"/>
          </w:tcPr>
          <w:p w14:paraId="10C021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66.67%</w:t>
            </w:r>
          </w:p>
        </w:tc>
        <w:tc>
          <w:tcPr>
            <w:tcW w:w="190" w:type="pct"/>
            <w:tcBorders>
              <w:top w:val="nil"/>
              <w:left w:val="nil"/>
              <w:bottom w:val="single" w:color="000000" w:sz="4" w:space="0"/>
              <w:right w:val="single" w:color="000000" w:sz="4" w:space="0"/>
            </w:tcBorders>
            <w:shd w:val="clear" w:color="auto" w:fill="auto"/>
            <w:vAlign w:val="center"/>
          </w:tcPr>
          <w:p w14:paraId="7037131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43" w:type="pct"/>
            <w:tcBorders>
              <w:top w:val="nil"/>
              <w:left w:val="nil"/>
              <w:bottom w:val="single" w:color="000000" w:sz="4" w:space="0"/>
              <w:right w:val="single" w:color="000000" w:sz="4" w:space="0"/>
            </w:tcBorders>
            <w:shd w:val="clear" w:color="auto" w:fill="auto"/>
            <w:vAlign w:val="center"/>
          </w:tcPr>
          <w:p w14:paraId="666F3C8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6.67</w:t>
            </w:r>
          </w:p>
        </w:tc>
        <w:tc>
          <w:tcPr>
            <w:tcW w:w="1074" w:type="pct"/>
            <w:vMerge w:val="restart"/>
            <w:tcBorders>
              <w:top w:val="nil"/>
              <w:left w:val="single" w:color="000000" w:sz="4" w:space="0"/>
              <w:bottom w:val="single" w:color="000000" w:sz="4" w:space="0"/>
              <w:right w:val="single" w:color="000000" w:sz="4" w:space="0"/>
            </w:tcBorders>
            <w:shd w:val="clear" w:color="auto" w:fill="auto"/>
            <w:vAlign w:val="center"/>
          </w:tcPr>
          <w:p w14:paraId="34DD92AA">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项目需经过多级审批，我区财政紧</w:t>
            </w:r>
            <w:r>
              <w:rPr>
                <w:rFonts w:ascii="Courier New" w:hAnsi="Courier New" w:eastAsia="宋体" w:cs="Courier New"/>
                <w:color w:val="000000"/>
                <w:sz w:val="16"/>
                <w:szCs w:val="16"/>
              </w:rPr>
              <w:br w:type="textWrapping"/>
            </w:r>
            <w:r>
              <w:rPr>
                <w:rFonts w:ascii="Courier New" w:hAnsi="Courier New" w:eastAsia="宋体" w:cs="Courier New"/>
                <w:color w:val="000000"/>
                <w:sz w:val="16"/>
                <w:szCs w:val="16"/>
              </w:rPr>
              <w:t>张，年底申请支付的财政未审批，导致执行率未达到100%。</w:t>
            </w:r>
          </w:p>
        </w:tc>
      </w:tr>
      <w:tr w14:paraId="2BEA778F">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16CF463C">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259A31D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530" w:type="pct"/>
            <w:tcBorders>
              <w:top w:val="nil"/>
              <w:left w:val="nil"/>
              <w:bottom w:val="single" w:color="000000" w:sz="4" w:space="0"/>
              <w:right w:val="single" w:color="000000" w:sz="4" w:space="0"/>
            </w:tcBorders>
            <w:shd w:val="clear" w:color="auto" w:fill="auto"/>
            <w:vAlign w:val="center"/>
          </w:tcPr>
          <w:p w14:paraId="3ED2F1F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w:t>
            </w:r>
          </w:p>
        </w:tc>
        <w:tc>
          <w:tcPr>
            <w:tcW w:w="755" w:type="pct"/>
            <w:tcBorders>
              <w:top w:val="nil"/>
              <w:left w:val="nil"/>
              <w:bottom w:val="single" w:color="000000" w:sz="4" w:space="0"/>
              <w:right w:val="single" w:color="000000" w:sz="4" w:space="0"/>
            </w:tcBorders>
            <w:shd w:val="clear" w:color="auto" w:fill="auto"/>
            <w:vAlign w:val="center"/>
          </w:tcPr>
          <w:p w14:paraId="7785545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007992B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w:t>
            </w:r>
          </w:p>
        </w:tc>
        <w:tc>
          <w:tcPr>
            <w:tcW w:w="407" w:type="pct"/>
            <w:tcBorders>
              <w:top w:val="nil"/>
              <w:left w:val="nil"/>
              <w:bottom w:val="single" w:color="000000" w:sz="4" w:space="0"/>
              <w:right w:val="single" w:color="000000" w:sz="4" w:space="0"/>
            </w:tcBorders>
            <w:shd w:val="clear" w:color="auto" w:fill="auto"/>
            <w:vAlign w:val="center"/>
          </w:tcPr>
          <w:p w14:paraId="34D6D8A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66.67%</w:t>
            </w:r>
          </w:p>
        </w:tc>
        <w:tc>
          <w:tcPr>
            <w:tcW w:w="190" w:type="pct"/>
            <w:tcBorders>
              <w:top w:val="nil"/>
              <w:left w:val="nil"/>
              <w:bottom w:val="single" w:color="000000" w:sz="4" w:space="0"/>
              <w:right w:val="single" w:color="000000" w:sz="4" w:space="0"/>
            </w:tcBorders>
            <w:shd w:val="clear" w:color="auto" w:fill="auto"/>
            <w:vAlign w:val="center"/>
          </w:tcPr>
          <w:p w14:paraId="0D44045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15185AE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4" w:type="pct"/>
            <w:vMerge w:val="continue"/>
            <w:tcBorders>
              <w:top w:val="nil"/>
              <w:left w:val="single" w:color="000000" w:sz="4" w:space="0"/>
              <w:bottom w:val="single" w:color="000000" w:sz="4" w:space="0"/>
              <w:right w:val="single" w:color="000000" w:sz="4" w:space="0"/>
            </w:tcBorders>
            <w:vAlign w:val="center"/>
          </w:tcPr>
          <w:p w14:paraId="27C3A67C">
            <w:pPr>
              <w:widowControl/>
              <w:jc w:val="left"/>
              <w:rPr>
                <w:rFonts w:ascii="Courier New" w:hAnsi="Courier New" w:eastAsia="宋体" w:cs="Courier New"/>
                <w:color w:val="000000"/>
                <w:sz w:val="16"/>
                <w:szCs w:val="16"/>
              </w:rPr>
            </w:pPr>
          </w:p>
        </w:tc>
      </w:tr>
      <w:tr w14:paraId="1C4ED586">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12C89245">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2B8FFBCD">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530" w:type="pct"/>
            <w:tcBorders>
              <w:top w:val="nil"/>
              <w:left w:val="nil"/>
              <w:bottom w:val="single" w:color="000000" w:sz="4" w:space="0"/>
              <w:right w:val="single" w:color="000000" w:sz="4" w:space="0"/>
            </w:tcBorders>
            <w:shd w:val="clear" w:color="auto" w:fill="auto"/>
            <w:vAlign w:val="center"/>
          </w:tcPr>
          <w:p w14:paraId="7E710C1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5" w:type="pct"/>
            <w:tcBorders>
              <w:top w:val="nil"/>
              <w:left w:val="nil"/>
              <w:bottom w:val="single" w:color="000000" w:sz="4" w:space="0"/>
              <w:right w:val="single" w:color="000000" w:sz="4" w:space="0"/>
            </w:tcBorders>
            <w:shd w:val="clear" w:color="auto" w:fill="auto"/>
            <w:vAlign w:val="center"/>
          </w:tcPr>
          <w:p w14:paraId="66D0B8A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4F6D0A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7" w:type="pct"/>
            <w:tcBorders>
              <w:top w:val="nil"/>
              <w:left w:val="nil"/>
              <w:bottom w:val="single" w:color="000000" w:sz="4" w:space="0"/>
              <w:right w:val="single" w:color="000000" w:sz="4" w:space="0"/>
            </w:tcBorders>
            <w:shd w:val="clear" w:color="auto" w:fill="auto"/>
            <w:vAlign w:val="center"/>
          </w:tcPr>
          <w:p w14:paraId="1F37C1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562A54B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4AEE620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4" w:type="pct"/>
            <w:vMerge w:val="continue"/>
            <w:tcBorders>
              <w:top w:val="nil"/>
              <w:left w:val="single" w:color="000000" w:sz="4" w:space="0"/>
              <w:bottom w:val="single" w:color="000000" w:sz="4" w:space="0"/>
              <w:right w:val="single" w:color="000000" w:sz="4" w:space="0"/>
            </w:tcBorders>
            <w:vAlign w:val="center"/>
          </w:tcPr>
          <w:p w14:paraId="042CD5CA">
            <w:pPr>
              <w:widowControl/>
              <w:jc w:val="left"/>
              <w:rPr>
                <w:rFonts w:ascii="Courier New" w:hAnsi="Courier New" w:eastAsia="宋体" w:cs="Courier New"/>
                <w:color w:val="000000"/>
                <w:sz w:val="16"/>
                <w:szCs w:val="16"/>
              </w:rPr>
            </w:pPr>
          </w:p>
        </w:tc>
      </w:tr>
      <w:tr w14:paraId="71A03F30">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03021CAA">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5984724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530" w:type="pct"/>
            <w:tcBorders>
              <w:top w:val="nil"/>
              <w:left w:val="nil"/>
              <w:bottom w:val="single" w:color="000000" w:sz="4" w:space="0"/>
              <w:right w:val="single" w:color="000000" w:sz="4" w:space="0"/>
            </w:tcBorders>
            <w:shd w:val="clear" w:color="auto" w:fill="auto"/>
            <w:vAlign w:val="center"/>
          </w:tcPr>
          <w:p w14:paraId="51399CD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5" w:type="pct"/>
            <w:tcBorders>
              <w:top w:val="nil"/>
              <w:left w:val="nil"/>
              <w:bottom w:val="single" w:color="000000" w:sz="4" w:space="0"/>
              <w:right w:val="single" w:color="000000" w:sz="4" w:space="0"/>
            </w:tcBorders>
            <w:shd w:val="clear" w:color="auto" w:fill="auto"/>
            <w:vAlign w:val="center"/>
          </w:tcPr>
          <w:p w14:paraId="6DF2646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4B580D0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7" w:type="pct"/>
            <w:tcBorders>
              <w:top w:val="nil"/>
              <w:left w:val="nil"/>
              <w:bottom w:val="single" w:color="000000" w:sz="4" w:space="0"/>
              <w:right w:val="single" w:color="000000" w:sz="4" w:space="0"/>
            </w:tcBorders>
            <w:shd w:val="clear" w:color="auto" w:fill="auto"/>
            <w:vAlign w:val="center"/>
          </w:tcPr>
          <w:p w14:paraId="315A7C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2ADEDDC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0067B9F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4" w:type="pct"/>
            <w:vMerge w:val="continue"/>
            <w:tcBorders>
              <w:top w:val="nil"/>
              <w:left w:val="single" w:color="000000" w:sz="4" w:space="0"/>
              <w:bottom w:val="single" w:color="000000" w:sz="4" w:space="0"/>
              <w:right w:val="single" w:color="000000" w:sz="4" w:space="0"/>
            </w:tcBorders>
            <w:vAlign w:val="center"/>
          </w:tcPr>
          <w:p w14:paraId="6E33352A">
            <w:pPr>
              <w:widowControl/>
              <w:jc w:val="left"/>
              <w:rPr>
                <w:rFonts w:ascii="Courier New" w:hAnsi="Courier New" w:eastAsia="宋体" w:cs="Courier New"/>
                <w:color w:val="000000"/>
                <w:sz w:val="16"/>
                <w:szCs w:val="16"/>
              </w:rPr>
            </w:pPr>
          </w:p>
        </w:tc>
      </w:tr>
      <w:tr w14:paraId="698DB0A1">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78F16CEB">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277DEF5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530" w:type="pct"/>
            <w:tcBorders>
              <w:top w:val="nil"/>
              <w:left w:val="nil"/>
              <w:bottom w:val="single" w:color="000000" w:sz="4" w:space="0"/>
              <w:right w:val="single" w:color="000000" w:sz="4" w:space="0"/>
            </w:tcBorders>
            <w:shd w:val="clear" w:color="auto" w:fill="auto"/>
            <w:vAlign w:val="center"/>
          </w:tcPr>
          <w:p w14:paraId="64F56DBB">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755" w:type="pct"/>
            <w:tcBorders>
              <w:top w:val="nil"/>
              <w:left w:val="nil"/>
              <w:bottom w:val="single" w:color="000000" w:sz="4" w:space="0"/>
              <w:right w:val="single" w:color="000000" w:sz="4" w:space="0"/>
            </w:tcBorders>
            <w:shd w:val="clear" w:color="auto" w:fill="auto"/>
            <w:vAlign w:val="center"/>
          </w:tcPr>
          <w:p w14:paraId="5327B80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3676869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07" w:type="pct"/>
            <w:tcBorders>
              <w:top w:val="nil"/>
              <w:left w:val="nil"/>
              <w:bottom w:val="single" w:color="000000" w:sz="4" w:space="0"/>
              <w:right w:val="single" w:color="000000" w:sz="4" w:space="0"/>
            </w:tcBorders>
            <w:shd w:val="clear" w:color="auto" w:fill="auto"/>
            <w:vAlign w:val="center"/>
          </w:tcPr>
          <w:p w14:paraId="270BE6F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90" w:type="pct"/>
            <w:tcBorders>
              <w:top w:val="nil"/>
              <w:left w:val="nil"/>
              <w:bottom w:val="single" w:color="000000" w:sz="4" w:space="0"/>
              <w:right w:val="single" w:color="000000" w:sz="4" w:space="0"/>
            </w:tcBorders>
            <w:shd w:val="clear" w:color="auto" w:fill="auto"/>
            <w:vAlign w:val="center"/>
          </w:tcPr>
          <w:p w14:paraId="25BF920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34A2113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4" w:type="pct"/>
            <w:vMerge w:val="continue"/>
            <w:tcBorders>
              <w:top w:val="nil"/>
              <w:left w:val="single" w:color="000000" w:sz="4" w:space="0"/>
              <w:bottom w:val="single" w:color="000000" w:sz="4" w:space="0"/>
              <w:right w:val="single" w:color="000000" w:sz="4" w:space="0"/>
            </w:tcBorders>
            <w:vAlign w:val="center"/>
          </w:tcPr>
          <w:p w14:paraId="76F02AFC">
            <w:pPr>
              <w:widowControl/>
              <w:jc w:val="left"/>
              <w:rPr>
                <w:rFonts w:ascii="Courier New" w:hAnsi="Courier New" w:eastAsia="宋体" w:cs="Courier New"/>
                <w:color w:val="000000"/>
                <w:sz w:val="16"/>
                <w:szCs w:val="16"/>
              </w:rPr>
            </w:pPr>
          </w:p>
        </w:tc>
      </w:tr>
      <w:tr w14:paraId="7643E8CD">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nil"/>
              <w:right w:val="single" w:color="000000" w:sz="4" w:space="0"/>
            </w:tcBorders>
            <w:shd w:val="clear" w:color="auto" w:fill="auto"/>
            <w:vAlign w:val="center"/>
          </w:tcPr>
          <w:p w14:paraId="3FCF49D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602" w:type="pct"/>
            <w:tcBorders>
              <w:top w:val="nil"/>
              <w:left w:val="nil"/>
              <w:bottom w:val="single" w:color="000000" w:sz="4" w:space="0"/>
              <w:right w:val="single" w:color="000000" w:sz="4" w:space="0"/>
            </w:tcBorders>
            <w:shd w:val="clear" w:color="auto" w:fill="auto"/>
            <w:vAlign w:val="center"/>
          </w:tcPr>
          <w:p w14:paraId="4640FFA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530" w:type="pct"/>
            <w:tcBorders>
              <w:top w:val="nil"/>
              <w:left w:val="nil"/>
              <w:bottom w:val="single" w:color="000000" w:sz="4" w:space="0"/>
              <w:right w:val="single" w:color="000000" w:sz="4" w:space="0"/>
            </w:tcBorders>
            <w:shd w:val="clear" w:color="auto" w:fill="auto"/>
            <w:vAlign w:val="center"/>
          </w:tcPr>
          <w:p w14:paraId="52D3807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755" w:type="pct"/>
            <w:tcBorders>
              <w:top w:val="nil"/>
              <w:left w:val="nil"/>
              <w:bottom w:val="single" w:color="000000" w:sz="4" w:space="0"/>
              <w:right w:val="single" w:color="000000" w:sz="4" w:space="0"/>
            </w:tcBorders>
            <w:shd w:val="clear" w:color="auto" w:fill="auto"/>
            <w:vAlign w:val="center"/>
          </w:tcPr>
          <w:p w14:paraId="747681A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89" w:type="pct"/>
            <w:tcBorders>
              <w:top w:val="nil"/>
              <w:left w:val="nil"/>
              <w:bottom w:val="single" w:color="000000" w:sz="4" w:space="0"/>
              <w:right w:val="single" w:color="000000" w:sz="4" w:space="0"/>
            </w:tcBorders>
            <w:shd w:val="clear" w:color="auto" w:fill="auto"/>
            <w:vAlign w:val="center"/>
          </w:tcPr>
          <w:p w14:paraId="5988BB3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609" w:type="pct"/>
            <w:tcBorders>
              <w:top w:val="nil"/>
              <w:left w:val="nil"/>
              <w:bottom w:val="single" w:color="000000" w:sz="4" w:space="0"/>
              <w:right w:val="single" w:color="000000" w:sz="4" w:space="0"/>
            </w:tcBorders>
            <w:shd w:val="clear" w:color="auto" w:fill="auto"/>
            <w:vAlign w:val="center"/>
          </w:tcPr>
          <w:p w14:paraId="53A741D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189" w:type="pct"/>
            <w:tcBorders>
              <w:top w:val="nil"/>
              <w:left w:val="nil"/>
              <w:bottom w:val="single" w:color="000000" w:sz="4" w:space="0"/>
              <w:right w:val="single" w:color="000000" w:sz="4" w:space="0"/>
            </w:tcBorders>
            <w:shd w:val="clear" w:color="auto" w:fill="auto"/>
            <w:vAlign w:val="center"/>
          </w:tcPr>
          <w:p w14:paraId="5511EE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407" w:type="pct"/>
            <w:tcBorders>
              <w:top w:val="nil"/>
              <w:left w:val="nil"/>
              <w:bottom w:val="single" w:color="000000" w:sz="4" w:space="0"/>
              <w:right w:val="single" w:color="000000" w:sz="4" w:space="0"/>
            </w:tcBorders>
            <w:shd w:val="clear" w:color="auto" w:fill="auto"/>
            <w:vAlign w:val="center"/>
          </w:tcPr>
          <w:p w14:paraId="7CDCFD8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90" w:type="pct"/>
            <w:tcBorders>
              <w:top w:val="nil"/>
              <w:left w:val="nil"/>
              <w:bottom w:val="single" w:color="000000" w:sz="4" w:space="0"/>
              <w:right w:val="single" w:color="000000" w:sz="4" w:space="0"/>
            </w:tcBorders>
            <w:shd w:val="clear" w:color="auto" w:fill="auto"/>
            <w:vAlign w:val="center"/>
          </w:tcPr>
          <w:p w14:paraId="64E70E4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43" w:type="pct"/>
            <w:tcBorders>
              <w:top w:val="nil"/>
              <w:left w:val="nil"/>
              <w:bottom w:val="single" w:color="000000" w:sz="4" w:space="0"/>
              <w:right w:val="single" w:color="000000" w:sz="4" w:space="0"/>
            </w:tcBorders>
            <w:shd w:val="clear" w:color="auto" w:fill="auto"/>
            <w:vAlign w:val="center"/>
          </w:tcPr>
          <w:p w14:paraId="3667B78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74" w:type="pct"/>
            <w:tcBorders>
              <w:top w:val="nil"/>
              <w:left w:val="nil"/>
              <w:bottom w:val="single" w:color="000000" w:sz="4" w:space="0"/>
              <w:right w:val="single" w:color="000000" w:sz="4" w:space="0"/>
            </w:tcBorders>
            <w:shd w:val="clear" w:color="auto" w:fill="auto"/>
            <w:vAlign w:val="center"/>
          </w:tcPr>
          <w:p w14:paraId="432513E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41EAE612">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750ADFE7">
            <w:pPr>
              <w:widowControl/>
              <w:jc w:val="left"/>
              <w:rPr>
                <w:rFonts w:ascii="宋体" w:hAnsi="宋体" w:eastAsia="宋体" w:cs="宋体"/>
                <w:color w:val="000000"/>
                <w:sz w:val="18"/>
                <w:szCs w:val="18"/>
              </w:rPr>
            </w:pPr>
          </w:p>
        </w:tc>
        <w:tc>
          <w:tcPr>
            <w:tcW w:w="602" w:type="pct"/>
            <w:vMerge w:val="restart"/>
            <w:tcBorders>
              <w:top w:val="nil"/>
              <w:left w:val="single" w:color="000000" w:sz="4" w:space="0"/>
              <w:bottom w:val="single" w:color="000000" w:sz="4" w:space="0"/>
              <w:right w:val="single" w:color="000000" w:sz="4" w:space="0"/>
            </w:tcBorders>
            <w:shd w:val="clear" w:color="auto" w:fill="auto"/>
            <w:vAlign w:val="center"/>
          </w:tcPr>
          <w:p w14:paraId="6622C87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530" w:type="pct"/>
            <w:vMerge w:val="restart"/>
            <w:tcBorders>
              <w:top w:val="nil"/>
              <w:left w:val="single" w:color="000000" w:sz="4" w:space="0"/>
              <w:bottom w:val="single" w:color="000000" w:sz="4" w:space="0"/>
              <w:right w:val="single" w:color="000000" w:sz="4" w:space="0"/>
            </w:tcBorders>
            <w:shd w:val="clear" w:color="auto" w:fill="auto"/>
            <w:vAlign w:val="center"/>
          </w:tcPr>
          <w:p w14:paraId="048D8B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755" w:type="pct"/>
            <w:tcBorders>
              <w:top w:val="nil"/>
              <w:left w:val="nil"/>
              <w:bottom w:val="single" w:color="000000" w:sz="4" w:space="0"/>
              <w:right w:val="single" w:color="000000" w:sz="4" w:space="0"/>
            </w:tcBorders>
            <w:shd w:val="clear" w:color="auto" w:fill="auto"/>
            <w:vAlign w:val="center"/>
          </w:tcPr>
          <w:p w14:paraId="6F0937E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代理非诉案件</w:t>
            </w:r>
          </w:p>
        </w:tc>
        <w:tc>
          <w:tcPr>
            <w:tcW w:w="189" w:type="pct"/>
            <w:tcBorders>
              <w:top w:val="nil"/>
              <w:left w:val="nil"/>
              <w:bottom w:val="single" w:color="000000" w:sz="4" w:space="0"/>
              <w:right w:val="single" w:color="000000" w:sz="4" w:space="0"/>
            </w:tcBorders>
            <w:shd w:val="clear" w:color="auto" w:fill="auto"/>
            <w:vAlign w:val="center"/>
          </w:tcPr>
          <w:p w14:paraId="02CFFE9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7239909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189" w:type="pct"/>
            <w:tcBorders>
              <w:top w:val="nil"/>
              <w:left w:val="nil"/>
              <w:bottom w:val="single" w:color="000000" w:sz="4" w:space="0"/>
              <w:right w:val="single" w:color="000000" w:sz="4" w:space="0"/>
            </w:tcBorders>
            <w:shd w:val="clear" w:color="auto" w:fill="auto"/>
            <w:vAlign w:val="center"/>
          </w:tcPr>
          <w:p w14:paraId="2C64AD3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件</w:t>
            </w:r>
          </w:p>
        </w:tc>
        <w:tc>
          <w:tcPr>
            <w:tcW w:w="407" w:type="pct"/>
            <w:tcBorders>
              <w:top w:val="nil"/>
              <w:left w:val="nil"/>
              <w:bottom w:val="single" w:color="000000" w:sz="4" w:space="0"/>
              <w:right w:val="single" w:color="000000" w:sz="4" w:space="0"/>
            </w:tcBorders>
            <w:shd w:val="clear" w:color="auto" w:fill="auto"/>
            <w:vAlign w:val="center"/>
          </w:tcPr>
          <w:p w14:paraId="5425ED6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w:t>
            </w:r>
          </w:p>
        </w:tc>
        <w:tc>
          <w:tcPr>
            <w:tcW w:w="190" w:type="pct"/>
            <w:tcBorders>
              <w:top w:val="nil"/>
              <w:left w:val="nil"/>
              <w:bottom w:val="single" w:color="000000" w:sz="4" w:space="0"/>
              <w:right w:val="single" w:color="000000" w:sz="4" w:space="0"/>
            </w:tcBorders>
            <w:shd w:val="clear" w:color="auto" w:fill="auto"/>
            <w:vAlign w:val="center"/>
          </w:tcPr>
          <w:p w14:paraId="498EDD2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243" w:type="pct"/>
            <w:tcBorders>
              <w:top w:val="nil"/>
              <w:left w:val="nil"/>
              <w:bottom w:val="single" w:color="000000" w:sz="4" w:space="0"/>
              <w:right w:val="single" w:color="000000" w:sz="4" w:space="0"/>
            </w:tcBorders>
            <w:shd w:val="clear" w:color="auto" w:fill="auto"/>
            <w:vAlign w:val="center"/>
          </w:tcPr>
          <w:p w14:paraId="0F642F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1074" w:type="pct"/>
            <w:tcBorders>
              <w:top w:val="nil"/>
              <w:left w:val="nil"/>
              <w:bottom w:val="single" w:color="000000" w:sz="4" w:space="0"/>
              <w:right w:val="single" w:color="000000" w:sz="4" w:space="0"/>
            </w:tcBorders>
            <w:shd w:val="clear" w:color="auto" w:fill="auto"/>
            <w:vAlign w:val="center"/>
          </w:tcPr>
          <w:p w14:paraId="1CADD0A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2802819">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6C1329B1">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0F6C51B3">
            <w:pPr>
              <w:widowControl/>
              <w:jc w:val="left"/>
              <w:rPr>
                <w:rFonts w:ascii="宋体" w:hAnsi="宋体" w:eastAsia="宋体" w:cs="宋体"/>
                <w:color w:val="000000"/>
                <w:sz w:val="18"/>
                <w:szCs w:val="18"/>
              </w:rPr>
            </w:pPr>
          </w:p>
        </w:tc>
        <w:tc>
          <w:tcPr>
            <w:tcW w:w="530" w:type="pct"/>
            <w:vMerge w:val="continue"/>
            <w:tcBorders>
              <w:top w:val="nil"/>
              <w:left w:val="single" w:color="000000" w:sz="4" w:space="0"/>
              <w:bottom w:val="single" w:color="000000" w:sz="4" w:space="0"/>
              <w:right w:val="single" w:color="000000" w:sz="4" w:space="0"/>
            </w:tcBorders>
            <w:vAlign w:val="center"/>
          </w:tcPr>
          <w:p w14:paraId="1D4524DC">
            <w:pPr>
              <w:widowControl/>
              <w:jc w:val="left"/>
              <w:rPr>
                <w:rFonts w:ascii="宋体" w:hAnsi="宋体" w:eastAsia="宋体" w:cs="宋体"/>
                <w:color w:val="000000"/>
                <w:sz w:val="18"/>
                <w:szCs w:val="18"/>
              </w:rPr>
            </w:pPr>
          </w:p>
        </w:tc>
        <w:tc>
          <w:tcPr>
            <w:tcW w:w="755" w:type="pct"/>
            <w:tcBorders>
              <w:top w:val="nil"/>
              <w:left w:val="nil"/>
              <w:bottom w:val="single" w:color="000000" w:sz="4" w:space="0"/>
              <w:right w:val="single" w:color="000000" w:sz="4" w:space="0"/>
            </w:tcBorders>
            <w:shd w:val="clear" w:color="auto" w:fill="auto"/>
            <w:vAlign w:val="center"/>
          </w:tcPr>
          <w:p w14:paraId="765A660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代理重大行政案件、民商事诉讼案件</w:t>
            </w:r>
          </w:p>
        </w:tc>
        <w:tc>
          <w:tcPr>
            <w:tcW w:w="189" w:type="pct"/>
            <w:tcBorders>
              <w:top w:val="nil"/>
              <w:left w:val="nil"/>
              <w:bottom w:val="single" w:color="000000" w:sz="4" w:space="0"/>
              <w:right w:val="single" w:color="000000" w:sz="4" w:space="0"/>
            </w:tcBorders>
            <w:shd w:val="clear" w:color="auto" w:fill="auto"/>
            <w:vAlign w:val="center"/>
          </w:tcPr>
          <w:p w14:paraId="13D05A1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1705B72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189" w:type="pct"/>
            <w:tcBorders>
              <w:top w:val="nil"/>
              <w:left w:val="nil"/>
              <w:bottom w:val="single" w:color="000000" w:sz="4" w:space="0"/>
              <w:right w:val="single" w:color="000000" w:sz="4" w:space="0"/>
            </w:tcBorders>
            <w:shd w:val="clear" w:color="auto" w:fill="auto"/>
            <w:vAlign w:val="center"/>
          </w:tcPr>
          <w:p w14:paraId="3B59BD7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件</w:t>
            </w:r>
          </w:p>
        </w:tc>
        <w:tc>
          <w:tcPr>
            <w:tcW w:w="407" w:type="pct"/>
            <w:tcBorders>
              <w:top w:val="nil"/>
              <w:left w:val="nil"/>
              <w:bottom w:val="single" w:color="000000" w:sz="4" w:space="0"/>
              <w:right w:val="single" w:color="000000" w:sz="4" w:space="0"/>
            </w:tcBorders>
            <w:shd w:val="clear" w:color="auto" w:fill="auto"/>
            <w:vAlign w:val="center"/>
          </w:tcPr>
          <w:p w14:paraId="185058B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w:t>
            </w:r>
          </w:p>
        </w:tc>
        <w:tc>
          <w:tcPr>
            <w:tcW w:w="190" w:type="pct"/>
            <w:tcBorders>
              <w:top w:val="nil"/>
              <w:left w:val="nil"/>
              <w:bottom w:val="single" w:color="000000" w:sz="4" w:space="0"/>
              <w:right w:val="single" w:color="000000" w:sz="4" w:space="0"/>
            </w:tcBorders>
            <w:shd w:val="clear" w:color="auto" w:fill="auto"/>
            <w:vAlign w:val="center"/>
          </w:tcPr>
          <w:p w14:paraId="54BD256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243" w:type="pct"/>
            <w:tcBorders>
              <w:top w:val="nil"/>
              <w:left w:val="nil"/>
              <w:bottom w:val="single" w:color="000000" w:sz="4" w:space="0"/>
              <w:right w:val="single" w:color="000000" w:sz="4" w:space="0"/>
            </w:tcBorders>
            <w:shd w:val="clear" w:color="auto" w:fill="auto"/>
            <w:vAlign w:val="center"/>
          </w:tcPr>
          <w:p w14:paraId="1635683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1074" w:type="pct"/>
            <w:tcBorders>
              <w:top w:val="nil"/>
              <w:left w:val="nil"/>
              <w:bottom w:val="single" w:color="000000" w:sz="4" w:space="0"/>
              <w:right w:val="single" w:color="000000" w:sz="4" w:space="0"/>
            </w:tcBorders>
            <w:shd w:val="clear" w:color="auto" w:fill="auto"/>
            <w:vAlign w:val="center"/>
          </w:tcPr>
          <w:p w14:paraId="540CD10B">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3033F099">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7AF2F1F2">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6E9F5F67">
            <w:pPr>
              <w:widowControl/>
              <w:jc w:val="left"/>
              <w:rPr>
                <w:rFonts w:ascii="宋体" w:hAnsi="宋体" w:eastAsia="宋体" w:cs="宋体"/>
                <w:color w:val="000000"/>
                <w:sz w:val="18"/>
                <w:szCs w:val="18"/>
              </w:rPr>
            </w:pPr>
          </w:p>
        </w:tc>
        <w:tc>
          <w:tcPr>
            <w:tcW w:w="530" w:type="pct"/>
            <w:tcBorders>
              <w:top w:val="nil"/>
              <w:left w:val="nil"/>
              <w:bottom w:val="single" w:color="000000" w:sz="4" w:space="0"/>
              <w:right w:val="single" w:color="000000" w:sz="4" w:space="0"/>
            </w:tcBorders>
            <w:shd w:val="clear" w:color="auto" w:fill="auto"/>
            <w:vAlign w:val="center"/>
          </w:tcPr>
          <w:p w14:paraId="2572E2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755" w:type="pct"/>
            <w:tcBorders>
              <w:top w:val="nil"/>
              <w:left w:val="nil"/>
              <w:bottom w:val="single" w:color="000000" w:sz="4" w:space="0"/>
              <w:right w:val="single" w:color="000000" w:sz="4" w:space="0"/>
            </w:tcBorders>
            <w:shd w:val="clear" w:color="auto" w:fill="auto"/>
            <w:vAlign w:val="center"/>
          </w:tcPr>
          <w:p w14:paraId="0088133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诉讼案件质量最大程度维护区政府利益</w:t>
            </w:r>
          </w:p>
        </w:tc>
        <w:tc>
          <w:tcPr>
            <w:tcW w:w="189" w:type="pct"/>
            <w:tcBorders>
              <w:top w:val="nil"/>
              <w:left w:val="nil"/>
              <w:bottom w:val="single" w:color="000000" w:sz="4" w:space="0"/>
              <w:right w:val="single" w:color="000000" w:sz="4" w:space="0"/>
            </w:tcBorders>
            <w:shd w:val="clear" w:color="auto" w:fill="auto"/>
            <w:vAlign w:val="center"/>
          </w:tcPr>
          <w:p w14:paraId="5ED8AD1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09" w:type="pct"/>
            <w:tcBorders>
              <w:top w:val="nil"/>
              <w:left w:val="nil"/>
              <w:bottom w:val="single" w:color="000000" w:sz="4" w:space="0"/>
              <w:right w:val="single" w:color="000000" w:sz="4" w:space="0"/>
            </w:tcBorders>
            <w:shd w:val="clear" w:color="auto" w:fill="auto"/>
            <w:vAlign w:val="center"/>
          </w:tcPr>
          <w:p w14:paraId="37F5AB5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89" w:type="pct"/>
            <w:tcBorders>
              <w:top w:val="nil"/>
              <w:left w:val="nil"/>
              <w:bottom w:val="single" w:color="000000" w:sz="4" w:space="0"/>
              <w:right w:val="single" w:color="000000" w:sz="4" w:space="0"/>
            </w:tcBorders>
            <w:shd w:val="clear" w:color="auto" w:fill="auto"/>
            <w:vAlign w:val="center"/>
          </w:tcPr>
          <w:p w14:paraId="3ECF9D2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7" w:type="pct"/>
            <w:tcBorders>
              <w:top w:val="nil"/>
              <w:left w:val="nil"/>
              <w:bottom w:val="single" w:color="000000" w:sz="4" w:space="0"/>
              <w:right w:val="single" w:color="000000" w:sz="4" w:space="0"/>
            </w:tcBorders>
            <w:shd w:val="clear" w:color="auto" w:fill="auto"/>
            <w:vAlign w:val="center"/>
          </w:tcPr>
          <w:p w14:paraId="24D9856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90" w:type="pct"/>
            <w:tcBorders>
              <w:top w:val="nil"/>
              <w:left w:val="nil"/>
              <w:bottom w:val="single" w:color="000000" w:sz="4" w:space="0"/>
              <w:right w:val="single" w:color="000000" w:sz="4" w:space="0"/>
            </w:tcBorders>
            <w:shd w:val="clear" w:color="auto" w:fill="auto"/>
            <w:vAlign w:val="center"/>
          </w:tcPr>
          <w:p w14:paraId="25B6FFB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243" w:type="pct"/>
            <w:tcBorders>
              <w:top w:val="nil"/>
              <w:left w:val="nil"/>
              <w:bottom w:val="single" w:color="000000" w:sz="4" w:space="0"/>
              <w:right w:val="single" w:color="000000" w:sz="4" w:space="0"/>
            </w:tcBorders>
            <w:shd w:val="clear" w:color="auto" w:fill="auto"/>
            <w:vAlign w:val="center"/>
          </w:tcPr>
          <w:p w14:paraId="7F025A2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1074" w:type="pct"/>
            <w:tcBorders>
              <w:top w:val="nil"/>
              <w:left w:val="nil"/>
              <w:bottom w:val="single" w:color="000000" w:sz="4" w:space="0"/>
              <w:right w:val="single" w:color="000000" w:sz="4" w:space="0"/>
            </w:tcBorders>
            <w:shd w:val="clear" w:color="auto" w:fill="auto"/>
            <w:vAlign w:val="center"/>
          </w:tcPr>
          <w:p w14:paraId="52F6A8E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FA33042">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209942F7">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269E6375">
            <w:pPr>
              <w:widowControl/>
              <w:jc w:val="left"/>
              <w:rPr>
                <w:rFonts w:ascii="宋体" w:hAnsi="宋体" w:eastAsia="宋体" w:cs="宋体"/>
                <w:color w:val="000000"/>
                <w:sz w:val="18"/>
                <w:szCs w:val="18"/>
              </w:rPr>
            </w:pPr>
          </w:p>
        </w:tc>
        <w:tc>
          <w:tcPr>
            <w:tcW w:w="530" w:type="pct"/>
            <w:tcBorders>
              <w:top w:val="nil"/>
              <w:left w:val="nil"/>
              <w:bottom w:val="single" w:color="000000" w:sz="4" w:space="0"/>
              <w:right w:val="single" w:color="000000" w:sz="4" w:space="0"/>
            </w:tcBorders>
            <w:shd w:val="clear" w:color="auto" w:fill="auto"/>
            <w:vAlign w:val="center"/>
          </w:tcPr>
          <w:p w14:paraId="2D2165A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755" w:type="pct"/>
            <w:tcBorders>
              <w:top w:val="nil"/>
              <w:left w:val="nil"/>
              <w:bottom w:val="single" w:color="000000" w:sz="4" w:space="0"/>
              <w:right w:val="single" w:color="000000" w:sz="4" w:space="0"/>
            </w:tcBorders>
            <w:shd w:val="clear" w:color="auto" w:fill="auto"/>
            <w:vAlign w:val="center"/>
          </w:tcPr>
          <w:p w14:paraId="096A979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案件一审审结时间（特殊情况会延迟）</w:t>
            </w:r>
          </w:p>
        </w:tc>
        <w:tc>
          <w:tcPr>
            <w:tcW w:w="189" w:type="pct"/>
            <w:tcBorders>
              <w:top w:val="nil"/>
              <w:left w:val="nil"/>
              <w:bottom w:val="single" w:color="000000" w:sz="4" w:space="0"/>
              <w:right w:val="single" w:color="000000" w:sz="4" w:space="0"/>
            </w:tcBorders>
            <w:shd w:val="clear" w:color="auto" w:fill="auto"/>
            <w:vAlign w:val="center"/>
          </w:tcPr>
          <w:p w14:paraId="19FE891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0F5726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89" w:type="pct"/>
            <w:tcBorders>
              <w:top w:val="nil"/>
              <w:left w:val="nil"/>
              <w:bottom w:val="single" w:color="000000" w:sz="4" w:space="0"/>
              <w:right w:val="single" w:color="000000" w:sz="4" w:space="0"/>
            </w:tcBorders>
            <w:shd w:val="clear" w:color="auto" w:fill="auto"/>
            <w:vAlign w:val="center"/>
          </w:tcPr>
          <w:p w14:paraId="15A1755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月</w:t>
            </w:r>
          </w:p>
        </w:tc>
        <w:tc>
          <w:tcPr>
            <w:tcW w:w="407" w:type="pct"/>
            <w:tcBorders>
              <w:top w:val="nil"/>
              <w:left w:val="nil"/>
              <w:bottom w:val="single" w:color="000000" w:sz="4" w:space="0"/>
              <w:right w:val="single" w:color="000000" w:sz="4" w:space="0"/>
            </w:tcBorders>
            <w:shd w:val="clear" w:color="auto" w:fill="auto"/>
            <w:vAlign w:val="center"/>
          </w:tcPr>
          <w:p w14:paraId="1B54BB8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5</w:t>
            </w:r>
          </w:p>
        </w:tc>
        <w:tc>
          <w:tcPr>
            <w:tcW w:w="190" w:type="pct"/>
            <w:tcBorders>
              <w:top w:val="nil"/>
              <w:left w:val="nil"/>
              <w:bottom w:val="single" w:color="000000" w:sz="4" w:space="0"/>
              <w:right w:val="single" w:color="000000" w:sz="4" w:space="0"/>
            </w:tcBorders>
            <w:shd w:val="clear" w:color="auto" w:fill="auto"/>
            <w:vAlign w:val="center"/>
          </w:tcPr>
          <w:p w14:paraId="562D746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43" w:type="pct"/>
            <w:tcBorders>
              <w:top w:val="nil"/>
              <w:left w:val="nil"/>
              <w:bottom w:val="single" w:color="000000" w:sz="4" w:space="0"/>
              <w:right w:val="single" w:color="000000" w:sz="4" w:space="0"/>
            </w:tcBorders>
            <w:shd w:val="clear" w:color="auto" w:fill="auto"/>
            <w:vAlign w:val="center"/>
          </w:tcPr>
          <w:p w14:paraId="4C0767B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4" w:type="pct"/>
            <w:tcBorders>
              <w:top w:val="nil"/>
              <w:left w:val="nil"/>
              <w:bottom w:val="single" w:color="000000" w:sz="4" w:space="0"/>
              <w:right w:val="single" w:color="000000" w:sz="4" w:space="0"/>
            </w:tcBorders>
            <w:shd w:val="clear" w:color="auto" w:fill="auto"/>
            <w:vAlign w:val="center"/>
          </w:tcPr>
          <w:p w14:paraId="283D46B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8D486A8">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065BC2FB">
            <w:pPr>
              <w:widowControl/>
              <w:jc w:val="left"/>
              <w:rPr>
                <w:rFonts w:ascii="宋体" w:hAnsi="宋体" w:eastAsia="宋体" w:cs="宋体"/>
                <w:color w:val="000000"/>
                <w:sz w:val="18"/>
                <w:szCs w:val="18"/>
              </w:rPr>
            </w:pPr>
          </w:p>
        </w:tc>
        <w:tc>
          <w:tcPr>
            <w:tcW w:w="602" w:type="pct"/>
            <w:vMerge w:val="restart"/>
            <w:tcBorders>
              <w:top w:val="nil"/>
              <w:left w:val="single" w:color="000000" w:sz="4" w:space="0"/>
              <w:bottom w:val="single" w:color="000000" w:sz="4" w:space="0"/>
              <w:right w:val="single" w:color="000000" w:sz="4" w:space="0"/>
            </w:tcBorders>
            <w:shd w:val="clear" w:color="auto" w:fill="auto"/>
            <w:vAlign w:val="center"/>
          </w:tcPr>
          <w:p w14:paraId="209305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530" w:type="pct"/>
            <w:tcBorders>
              <w:top w:val="nil"/>
              <w:left w:val="nil"/>
              <w:bottom w:val="single" w:color="000000" w:sz="4" w:space="0"/>
              <w:right w:val="single" w:color="000000" w:sz="4" w:space="0"/>
            </w:tcBorders>
            <w:shd w:val="clear" w:color="auto" w:fill="auto"/>
            <w:vAlign w:val="center"/>
          </w:tcPr>
          <w:p w14:paraId="443943B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经济效益指标</w:t>
            </w:r>
          </w:p>
        </w:tc>
        <w:tc>
          <w:tcPr>
            <w:tcW w:w="755" w:type="pct"/>
            <w:tcBorders>
              <w:top w:val="nil"/>
              <w:left w:val="nil"/>
              <w:bottom w:val="single" w:color="000000" w:sz="4" w:space="0"/>
              <w:right w:val="single" w:color="000000" w:sz="4" w:space="0"/>
            </w:tcBorders>
            <w:shd w:val="clear" w:color="auto" w:fill="auto"/>
            <w:vAlign w:val="center"/>
          </w:tcPr>
          <w:p w14:paraId="7F2F45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最大程度减少政府经济损失</w:t>
            </w:r>
          </w:p>
        </w:tc>
        <w:tc>
          <w:tcPr>
            <w:tcW w:w="189" w:type="pct"/>
            <w:tcBorders>
              <w:top w:val="nil"/>
              <w:left w:val="nil"/>
              <w:bottom w:val="single" w:color="000000" w:sz="4" w:space="0"/>
              <w:right w:val="single" w:color="000000" w:sz="4" w:space="0"/>
            </w:tcBorders>
            <w:shd w:val="clear" w:color="auto" w:fill="auto"/>
            <w:vAlign w:val="center"/>
          </w:tcPr>
          <w:p w14:paraId="5F4669A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09" w:type="pct"/>
            <w:tcBorders>
              <w:top w:val="nil"/>
              <w:left w:val="nil"/>
              <w:bottom w:val="single" w:color="000000" w:sz="4" w:space="0"/>
              <w:right w:val="single" w:color="000000" w:sz="4" w:space="0"/>
            </w:tcBorders>
            <w:shd w:val="clear" w:color="auto" w:fill="auto"/>
            <w:vAlign w:val="center"/>
          </w:tcPr>
          <w:p w14:paraId="04134F1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89" w:type="pct"/>
            <w:tcBorders>
              <w:top w:val="nil"/>
              <w:left w:val="nil"/>
              <w:bottom w:val="single" w:color="000000" w:sz="4" w:space="0"/>
              <w:right w:val="single" w:color="000000" w:sz="4" w:space="0"/>
            </w:tcBorders>
            <w:shd w:val="clear" w:color="auto" w:fill="auto"/>
            <w:vAlign w:val="center"/>
          </w:tcPr>
          <w:p w14:paraId="0507D63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7" w:type="pct"/>
            <w:tcBorders>
              <w:top w:val="nil"/>
              <w:left w:val="nil"/>
              <w:bottom w:val="single" w:color="000000" w:sz="4" w:space="0"/>
              <w:right w:val="single" w:color="000000" w:sz="4" w:space="0"/>
            </w:tcBorders>
            <w:shd w:val="clear" w:color="auto" w:fill="auto"/>
            <w:vAlign w:val="center"/>
          </w:tcPr>
          <w:p w14:paraId="10BD813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90" w:type="pct"/>
            <w:tcBorders>
              <w:top w:val="nil"/>
              <w:left w:val="nil"/>
              <w:bottom w:val="single" w:color="000000" w:sz="4" w:space="0"/>
              <w:right w:val="single" w:color="000000" w:sz="4" w:space="0"/>
            </w:tcBorders>
            <w:shd w:val="clear" w:color="auto" w:fill="auto"/>
            <w:vAlign w:val="center"/>
          </w:tcPr>
          <w:p w14:paraId="5B95E88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43" w:type="pct"/>
            <w:tcBorders>
              <w:top w:val="nil"/>
              <w:left w:val="nil"/>
              <w:bottom w:val="single" w:color="000000" w:sz="4" w:space="0"/>
              <w:right w:val="single" w:color="000000" w:sz="4" w:space="0"/>
            </w:tcBorders>
            <w:shd w:val="clear" w:color="auto" w:fill="auto"/>
            <w:vAlign w:val="center"/>
          </w:tcPr>
          <w:p w14:paraId="6566586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074" w:type="pct"/>
            <w:tcBorders>
              <w:top w:val="nil"/>
              <w:left w:val="nil"/>
              <w:bottom w:val="single" w:color="000000" w:sz="4" w:space="0"/>
              <w:right w:val="single" w:color="000000" w:sz="4" w:space="0"/>
            </w:tcBorders>
            <w:shd w:val="clear" w:color="auto" w:fill="auto"/>
            <w:vAlign w:val="center"/>
          </w:tcPr>
          <w:p w14:paraId="478B4DE6">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3D4DD229">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548881D2">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340AA0CF">
            <w:pPr>
              <w:widowControl/>
              <w:jc w:val="left"/>
              <w:rPr>
                <w:rFonts w:ascii="宋体" w:hAnsi="宋体" w:eastAsia="宋体" w:cs="宋体"/>
                <w:color w:val="000000"/>
                <w:sz w:val="18"/>
                <w:szCs w:val="18"/>
              </w:rPr>
            </w:pPr>
          </w:p>
        </w:tc>
        <w:tc>
          <w:tcPr>
            <w:tcW w:w="530" w:type="pct"/>
            <w:vMerge w:val="restart"/>
            <w:tcBorders>
              <w:top w:val="nil"/>
              <w:left w:val="single" w:color="000000" w:sz="4" w:space="0"/>
              <w:bottom w:val="single" w:color="000000" w:sz="4" w:space="0"/>
              <w:right w:val="single" w:color="000000" w:sz="4" w:space="0"/>
            </w:tcBorders>
            <w:shd w:val="clear" w:color="auto" w:fill="auto"/>
            <w:vAlign w:val="center"/>
          </w:tcPr>
          <w:p w14:paraId="2BF835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755" w:type="pct"/>
            <w:tcBorders>
              <w:top w:val="nil"/>
              <w:left w:val="nil"/>
              <w:bottom w:val="single" w:color="000000" w:sz="4" w:space="0"/>
              <w:right w:val="single" w:color="000000" w:sz="4" w:space="0"/>
            </w:tcBorders>
            <w:shd w:val="clear" w:color="auto" w:fill="auto"/>
            <w:vAlign w:val="center"/>
          </w:tcPr>
          <w:p w14:paraId="280C74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提高政府公信力</w:t>
            </w:r>
          </w:p>
        </w:tc>
        <w:tc>
          <w:tcPr>
            <w:tcW w:w="189" w:type="pct"/>
            <w:tcBorders>
              <w:top w:val="nil"/>
              <w:left w:val="nil"/>
              <w:bottom w:val="single" w:color="000000" w:sz="4" w:space="0"/>
              <w:right w:val="single" w:color="000000" w:sz="4" w:space="0"/>
            </w:tcBorders>
            <w:shd w:val="clear" w:color="auto" w:fill="auto"/>
            <w:vAlign w:val="center"/>
          </w:tcPr>
          <w:p w14:paraId="331ADA2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09" w:type="pct"/>
            <w:tcBorders>
              <w:top w:val="nil"/>
              <w:left w:val="nil"/>
              <w:bottom w:val="single" w:color="000000" w:sz="4" w:space="0"/>
              <w:right w:val="single" w:color="000000" w:sz="4" w:space="0"/>
            </w:tcBorders>
            <w:shd w:val="clear" w:color="auto" w:fill="auto"/>
            <w:vAlign w:val="center"/>
          </w:tcPr>
          <w:p w14:paraId="24CEA5D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89" w:type="pct"/>
            <w:tcBorders>
              <w:top w:val="nil"/>
              <w:left w:val="nil"/>
              <w:bottom w:val="single" w:color="000000" w:sz="4" w:space="0"/>
              <w:right w:val="single" w:color="000000" w:sz="4" w:space="0"/>
            </w:tcBorders>
            <w:shd w:val="clear" w:color="auto" w:fill="auto"/>
            <w:vAlign w:val="center"/>
          </w:tcPr>
          <w:p w14:paraId="1A88B1A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7" w:type="pct"/>
            <w:tcBorders>
              <w:top w:val="nil"/>
              <w:left w:val="nil"/>
              <w:bottom w:val="single" w:color="000000" w:sz="4" w:space="0"/>
              <w:right w:val="single" w:color="000000" w:sz="4" w:space="0"/>
            </w:tcBorders>
            <w:shd w:val="clear" w:color="auto" w:fill="auto"/>
            <w:vAlign w:val="center"/>
          </w:tcPr>
          <w:p w14:paraId="5358E9D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90" w:type="pct"/>
            <w:tcBorders>
              <w:top w:val="nil"/>
              <w:left w:val="nil"/>
              <w:bottom w:val="single" w:color="000000" w:sz="4" w:space="0"/>
              <w:right w:val="single" w:color="000000" w:sz="4" w:space="0"/>
            </w:tcBorders>
            <w:shd w:val="clear" w:color="auto" w:fill="auto"/>
            <w:vAlign w:val="center"/>
          </w:tcPr>
          <w:p w14:paraId="5B170D2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43" w:type="pct"/>
            <w:tcBorders>
              <w:top w:val="nil"/>
              <w:left w:val="nil"/>
              <w:bottom w:val="single" w:color="000000" w:sz="4" w:space="0"/>
              <w:right w:val="single" w:color="000000" w:sz="4" w:space="0"/>
            </w:tcBorders>
            <w:shd w:val="clear" w:color="auto" w:fill="auto"/>
            <w:vAlign w:val="center"/>
          </w:tcPr>
          <w:p w14:paraId="0E5D9BE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74" w:type="pct"/>
            <w:tcBorders>
              <w:top w:val="nil"/>
              <w:left w:val="nil"/>
              <w:bottom w:val="single" w:color="000000" w:sz="4" w:space="0"/>
              <w:right w:val="single" w:color="000000" w:sz="4" w:space="0"/>
            </w:tcBorders>
            <w:shd w:val="clear" w:color="auto" w:fill="auto"/>
            <w:vAlign w:val="center"/>
          </w:tcPr>
          <w:p w14:paraId="61AF94B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21A0211">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125D3932">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51A3D7C3">
            <w:pPr>
              <w:widowControl/>
              <w:jc w:val="left"/>
              <w:rPr>
                <w:rFonts w:ascii="宋体" w:hAnsi="宋体" w:eastAsia="宋体" w:cs="宋体"/>
                <w:color w:val="000000"/>
                <w:sz w:val="18"/>
                <w:szCs w:val="18"/>
              </w:rPr>
            </w:pPr>
          </w:p>
        </w:tc>
        <w:tc>
          <w:tcPr>
            <w:tcW w:w="530" w:type="pct"/>
            <w:vMerge w:val="continue"/>
            <w:tcBorders>
              <w:top w:val="nil"/>
              <w:left w:val="single" w:color="000000" w:sz="4" w:space="0"/>
              <w:bottom w:val="single" w:color="000000" w:sz="4" w:space="0"/>
              <w:right w:val="single" w:color="000000" w:sz="4" w:space="0"/>
            </w:tcBorders>
            <w:vAlign w:val="center"/>
          </w:tcPr>
          <w:p w14:paraId="2203C526">
            <w:pPr>
              <w:widowControl/>
              <w:jc w:val="left"/>
              <w:rPr>
                <w:rFonts w:ascii="宋体" w:hAnsi="宋体" w:eastAsia="宋体" w:cs="宋体"/>
                <w:color w:val="000000"/>
                <w:sz w:val="18"/>
                <w:szCs w:val="18"/>
              </w:rPr>
            </w:pPr>
          </w:p>
        </w:tc>
        <w:tc>
          <w:tcPr>
            <w:tcW w:w="755" w:type="pct"/>
            <w:tcBorders>
              <w:top w:val="nil"/>
              <w:left w:val="nil"/>
              <w:bottom w:val="single" w:color="000000" w:sz="4" w:space="0"/>
              <w:right w:val="single" w:color="000000" w:sz="4" w:space="0"/>
            </w:tcBorders>
            <w:shd w:val="clear" w:color="auto" w:fill="auto"/>
            <w:vAlign w:val="center"/>
          </w:tcPr>
          <w:p w14:paraId="45D2CD1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提高法治政府公信力</w:t>
            </w:r>
          </w:p>
        </w:tc>
        <w:tc>
          <w:tcPr>
            <w:tcW w:w="189" w:type="pct"/>
            <w:tcBorders>
              <w:top w:val="nil"/>
              <w:left w:val="nil"/>
              <w:bottom w:val="single" w:color="000000" w:sz="4" w:space="0"/>
              <w:right w:val="single" w:color="000000" w:sz="4" w:space="0"/>
            </w:tcBorders>
            <w:shd w:val="clear" w:color="auto" w:fill="auto"/>
            <w:vAlign w:val="center"/>
          </w:tcPr>
          <w:p w14:paraId="1F6B17A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09" w:type="pct"/>
            <w:tcBorders>
              <w:top w:val="nil"/>
              <w:left w:val="nil"/>
              <w:bottom w:val="single" w:color="000000" w:sz="4" w:space="0"/>
              <w:right w:val="single" w:color="000000" w:sz="4" w:space="0"/>
            </w:tcBorders>
            <w:shd w:val="clear" w:color="auto" w:fill="auto"/>
            <w:vAlign w:val="center"/>
          </w:tcPr>
          <w:p w14:paraId="1FAC2EC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89" w:type="pct"/>
            <w:tcBorders>
              <w:top w:val="nil"/>
              <w:left w:val="nil"/>
              <w:bottom w:val="single" w:color="000000" w:sz="4" w:space="0"/>
              <w:right w:val="single" w:color="000000" w:sz="4" w:space="0"/>
            </w:tcBorders>
            <w:shd w:val="clear" w:color="auto" w:fill="auto"/>
            <w:vAlign w:val="center"/>
          </w:tcPr>
          <w:p w14:paraId="762E34F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7" w:type="pct"/>
            <w:tcBorders>
              <w:top w:val="nil"/>
              <w:left w:val="nil"/>
              <w:bottom w:val="single" w:color="000000" w:sz="4" w:space="0"/>
              <w:right w:val="single" w:color="000000" w:sz="4" w:space="0"/>
            </w:tcBorders>
            <w:shd w:val="clear" w:color="auto" w:fill="auto"/>
            <w:vAlign w:val="center"/>
          </w:tcPr>
          <w:p w14:paraId="4D42C1C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90" w:type="pct"/>
            <w:tcBorders>
              <w:top w:val="nil"/>
              <w:left w:val="nil"/>
              <w:bottom w:val="single" w:color="000000" w:sz="4" w:space="0"/>
              <w:right w:val="single" w:color="000000" w:sz="4" w:space="0"/>
            </w:tcBorders>
            <w:shd w:val="clear" w:color="auto" w:fill="auto"/>
            <w:vAlign w:val="center"/>
          </w:tcPr>
          <w:p w14:paraId="1EB9636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43" w:type="pct"/>
            <w:tcBorders>
              <w:top w:val="nil"/>
              <w:left w:val="nil"/>
              <w:bottom w:val="single" w:color="000000" w:sz="4" w:space="0"/>
              <w:right w:val="single" w:color="000000" w:sz="4" w:space="0"/>
            </w:tcBorders>
            <w:shd w:val="clear" w:color="auto" w:fill="auto"/>
            <w:vAlign w:val="center"/>
          </w:tcPr>
          <w:p w14:paraId="20FFCB5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1074" w:type="pct"/>
            <w:tcBorders>
              <w:top w:val="nil"/>
              <w:left w:val="nil"/>
              <w:bottom w:val="single" w:color="000000" w:sz="4" w:space="0"/>
              <w:right w:val="single" w:color="000000" w:sz="4" w:space="0"/>
            </w:tcBorders>
            <w:shd w:val="clear" w:color="auto" w:fill="auto"/>
            <w:vAlign w:val="center"/>
          </w:tcPr>
          <w:p w14:paraId="53E71B7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F99DCCB">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5BACAE02">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4E1E31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530" w:type="pct"/>
            <w:tcBorders>
              <w:top w:val="nil"/>
              <w:left w:val="nil"/>
              <w:bottom w:val="single" w:color="000000" w:sz="4" w:space="0"/>
              <w:right w:val="single" w:color="000000" w:sz="4" w:space="0"/>
            </w:tcBorders>
            <w:shd w:val="clear" w:color="auto" w:fill="auto"/>
            <w:vAlign w:val="center"/>
          </w:tcPr>
          <w:p w14:paraId="52EC13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755" w:type="pct"/>
            <w:tcBorders>
              <w:top w:val="nil"/>
              <w:left w:val="nil"/>
              <w:bottom w:val="single" w:color="000000" w:sz="4" w:space="0"/>
              <w:right w:val="single" w:color="000000" w:sz="4" w:space="0"/>
            </w:tcBorders>
            <w:shd w:val="clear" w:color="auto" w:fill="auto"/>
            <w:vAlign w:val="center"/>
          </w:tcPr>
          <w:p w14:paraId="1B23AC7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189" w:type="pct"/>
            <w:tcBorders>
              <w:top w:val="nil"/>
              <w:left w:val="nil"/>
              <w:bottom w:val="single" w:color="000000" w:sz="4" w:space="0"/>
              <w:right w:val="single" w:color="000000" w:sz="4" w:space="0"/>
            </w:tcBorders>
            <w:shd w:val="clear" w:color="auto" w:fill="auto"/>
            <w:vAlign w:val="center"/>
          </w:tcPr>
          <w:p w14:paraId="3A22FF7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4CC6DF9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85</w:t>
            </w:r>
          </w:p>
        </w:tc>
        <w:tc>
          <w:tcPr>
            <w:tcW w:w="189" w:type="pct"/>
            <w:tcBorders>
              <w:top w:val="nil"/>
              <w:left w:val="nil"/>
              <w:bottom w:val="single" w:color="000000" w:sz="4" w:space="0"/>
              <w:right w:val="single" w:color="000000" w:sz="4" w:space="0"/>
            </w:tcBorders>
            <w:shd w:val="clear" w:color="auto" w:fill="auto"/>
            <w:vAlign w:val="center"/>
          </w:tcPr>
          <w:p w14:paraId="3A7CBCD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7" w:type="pct"/>
            <w:tcBorders>
              <w:top w:val="nil"/>
              <w:left w:val="nil"/>
              <w:bottom w:val="single" w:color="000000" w:sz="4" w:space="0"/>
              <w:right w:val="single" w:color="000000" w:sz="4" w:space="0"/>
            </w:tcBorders>
            <w:shd w:val="clear" w:color="auto" w:fill="auto"/>
            <w:vAlign w:val="center"/>
          </w:tcPr>
          <w:p w14:paraId="3C7C35E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90</w:t>
            </w:r>
          </w:p>
        </w:tc>
        <w:tc>
          <w:tcPr>
            <w:tcW w:w="190" w:type="pct"/>
            <w:tcBorders>
              <w:top w:val="nil"/>
              <w:left w:val="nil"/>
              <w:bottom w:val="single" w:color="000000" w:sz="4" w:space="0"/>
              <w:right w:val="single" w:color="000000" w:sz="4" w:space="0"/>
            </w:tcBorders>
            <w:shd w:val="clear" w:color="auto" w:fill="auto"/>
            <w:vAlign w:val="center"/>
          </w:tcPr>
          <w:p w14:paraId="2F09B34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43" w:type="pct"/>
            <w:tcBorders>
              <w:top w:val="nil"/>
              <w:left w:val="nil"/>
              <w:bottom w:val="single" w:color="000000" w:sz="4" w:space="0"/>
              <w:right w:val="single" w:color="000000" w:sz="4" w:space="0"/>
            </w:tcBorders>
            <w:shd w:val="clear" w:color="auto" w:fill="auto"/>
            <w:vAlign w:val="center"/>
          </w:tcPr>
          <w:p w14:paraId="6DF5FCA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74" w:type="pct"/>
            <w:tcBorders>
              <w:top w:val="nil"/>
              <w:left w:val="nil"/>
              <w:bottom w:val="single" w:color="000000" w:sz="4" w:space="0"/>
              <w:right w:val="single" w:color="000000" w:sz="4" w:space="0"/>
            </w:tcBorders>
            <w:shd w:val="clear" w:color="auto" w:fill="auto"/>
            <w:vAlign w:val="center"/>
          </w:tcPr>
          <w:p w14:paraId="5990989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D3D1905">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43820A0C">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0F625F7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530" w:type="pct"/>
            <w:tcBorders>
              <w:top w:val="nil"/>
              <w:left w:val="nil"/>
              <w:bottom w:val="single" w:color="000000" w:sz="4" w:space="0"/>
              <w:right w:val="single" w:color="000000" w:sz="4" w:space="0"/>
            </w:tcBorders>
            <w:shd w:val="clear" w:color="auto" w:fill="auto"/>
            <w:vAlign w:val="center"/>
          </w:tcPr>
          <w:p w14:paraId="5EEF04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755" w:type="pct"/>
            <w:tcBorders>
              <w:top w:val="nil"/>
              <w:left w:val="nil"/>
              <w:bottom w:val="single" w:color="000000" w:sz="4" w:space="0"/>
              <w:right w:val="single" w:color="000000" w:sz="4" w:space="0"/>
            </w:tcBorders>
            <w:shd w:val="clear" w:color="auto" w:fill="auto"/>
            <w:vAlign w:val="center"/>
          </w:tcPr>
          <w:p w14:paraId="7D43D02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案件代理费</w:t>
            </w:r>
          </w:p>
        </w:tc>
        <w:tc>
          <w:tcPr>
            <w:tcW w:w="189" w:type="pct"/>
            <w:tcBorders>
              <w:top w:val="nil"/>
              <w:left w:val="nil"/>
              <w:bottom w:val="single" w:color="000000" w:sz="4" w:space="0"/>
              <w:right w:val="single" w:color="000000" w:sz="4" w:space="0"/>
            </w:tcBorders>
            <w:shd w:val="clear" w:color="auto" w:fill="auto"/>
            <w:vAlign w:val="center"/>
          </w:tcPr>
          <w:p w14:paraId="4D83E6D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7C7E6F1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189" w:type="pct"/>
            <w:tcBorders>
              <w:top w:val="nil"/>
              <w:left w:val="nil"/>
              <w:bottom w:val="single" w:color="000000" w:sz="4" w:space="0"/>
              <w:right w:val="single" w:color="000000" w:sz="4" w:space="0"/>
            </w:tcBorders>
            <w:shd w:val="clear" w:color="auto" w:fill="auto"/>
            <w:vAlign w:val="center"/>
          </w:tcPr>
          <w:p w14:paraId="6A33AC4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万元</w:t>
            </w:r>
          </w:p>
        </w:tc>
        <w:tc>
          <w:tcPr>
            <w:tcW w:w="407" w:type="pct"/>
            <w:tcBorders>
              <w:top w:val="nil"/>
              <w:left w:val="nil"/>
              <w:bottom w:val="single" w:color="000000" w:sz="4" w:space="0"/>
              <w:right w:val="single" w:color="000000" w:sz="4" w:space="0"/>
            </w:tcBorders>
            <w:shd w:val="clear" w:color="auto" w:fill="auto"/>
            <w:vAlign w:val="center"/>
          </w:tcPr>
          <w:p w14:paraId="7F68942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w:t>
            </w:r>
          </w:p>
        </w:tc>
        <w:tc>
          <w:tcPr>
            <w:tcW w:w="190" w:type="pct"/>
            <w:tcBorders>
              <w:top w:val="nil"/>
              <w:left w:val="nil"/>
              <w:bottom w:val="single" w:color="000000" w:sz="4" w:space="0"/>
              <w:right w:val="single" w:color="000000" w:sz="4" w:space="0"/>
            </w:tcBorders>
            <w:shd w:val="clear" w:color="auto" w:fill="auto"/>
            <w:vAlign w:val="center"/>
          </w:tcPr>
          <w:p w14:paraId="795C607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243" w:type="pct"/>
            <w:tcBorders>
              <w:top w:val="nil"/>
              <w:left w:val="nil"/>
              <w:bottom w:val="single" w:color="000000" w:sz="4" w:space="0"/>
              <w:right w:val="single" w:color="000000" w:sz="4" w:space="0"/>
            </w:tcBorders>
            <w:shd w:val="clear" w:color="auto" w:fill="auto"/>
            <w:vAlign w:val="center"/>
          </w:tcPr>
          <w:p w14:paraId="27129AA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1074" w:type="pct"/>
            <w:tcBorders>
              <w:top w:val="nil"/>
              <w:left w:val="nil"/>
              <w:bottom w:val="single" w:color="000000" w:sz="4" w:space="0"/>
              <w:right w:val="single" w:color="000000" w:sz="4" w:space="0"/>
            </w:tcBorders>
            <w:shd w:val="clear" w:color="auto" w:fill="auto"/>
            <w:vAlign w:val="center"/>
          </w:tcPr>
          <w:p w14:paraId="4D5286E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43197F64">
        <w:tblPrEx>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018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602" w:type="pct"/>
            <w:tcBorders>
              <w:top w:val="nil"/>
              <w:left w:val="nil"/>
              <w:bottom w:val="single" w:color="000000" w:sz="4" w:space="0"/>
              <w:right w:val="single" w:color="000000" w:sz="4" w:space="0"/>
            </w:tcBorders>
            <w:shd w:val="clear" w:color="auto" w:fill="auto"/>
            <w:vAlign w:val="center"/>
          </w:tcPr>
          <w:p w14:paraId="4018972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30" w:type="pct"/>
            <w:tcBorders>
              <w:top w:val="nil"/>
              <w:left w:val="nil"/>
              <w:bottom w:val="single" w:color="000000" w:sz="4" w:space="0"/>
              <w:right w:val="single" w:color="000000" w:sz="4" w:space="0"/>
            </w:tcBorders>
            <w:shd w:val="clear" w:color="auto" w:fill="auto"/>
            <w:vAlign w:val="center"/>
          </w:tcPr>
          <w:p w14:paraId="45CB68B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5" w:type="pct"/>
            <w:tcBorders>
              <w:top w:val="nil"/>
              <w:left w:val="nil"/>
              <w:bottom w:val="single" w:color="000000" w:sz="4" w:space="0"/>
              <w:right w:val="single" w:color="000000" w:sz="4" w:space="0"/>
            </w:tcBorders>
            <w:shd w:val="clear" w:color="auto" w:fill="auto"/>
            <w:vAlign w:val="center"/>
          </w:tcPr>
          <w:p w14:paraId="165DA22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14:paraId="612562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609" w:type="pct"/>
            <w:tcBorders>
              <w:top w:val="nil"/>
              <w:left w:val="nil"/>
              <w:bottom w:val="single" w:color="000000" w:sz="4" w:space="0"/>
              <w:right w:val="single" w:color="000000" w:sz="4" w:space="0"/>
            </w:tcBorders>
            <w:shd w:val="clear" w:color="auto" w:fill="auto"/>
            <w:vAlign w:val="center"/>
          </w:tcPr>
          <w:p w14:paraId="29A32BC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14:paraId="25576A2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7" w:type="pct"/>
            <w:tcBorders>
              <w:top w:val="nil"/>
              <w:left w:val="nil"/>
              <w:bottom w:val="single" w:color="000000" w:sz="4" w:space="0"/>
              <w:right w:val="single" w:color="000000" w:sz="4" w:space="0"/>
            </w:tcBorders>
            <w:shd w:val="clear" w:color="auto" w:fill="auto"/>
            <w:vAlign w:val="center"/>
          </w:tcPr>
          <w:p w14:paraId="6498510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4FF4080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43" w:type="pct"/>
            <w:tcBorders>
              <w:top w:val="nil"/>
              <w:left w:val="nil"/>
              <w:bottom w:val="single" w:color="000000" w:sz="4" w:space="0"/>
              <w:right w:val="single" w:color="000000" w:sz="4" w:space="0"/>
            </w:tcBorders>
            <w:shd w:val="clear" w:color="auto" w:fill="auto"/>
            <w:vAlign w:val="center"/>
          </w:tcPr>
          <w:p w14:paraId="1F1099B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95.67</w:t>
            </w:r>
          </w:p>
        </w:tc>
        <w:tc>
          <w:tcPr>
            <w:tcW w:w="1074" w:type="pct"/>
            <w:tcBorders>
              <w:top w:val="nil"/>
              <w:left w:val="nil"/>
              <w:bottom w:val="single" w:color="000000" w:sz="4" w:space="0"/>
              <w:right w:val="single" w:color="000000" w:sz="4" w:space="0"/>
            </w:tcBorders>
            <w:shd w:val="clear" w:color="auto" w:fill="auto"/>
            <w:vAlign w:val="center"/>
          </w:tcPr>
          <w:p w14:paraId="2B15430F">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363CE72A">
        <w:tblPrEx>
          <w:tblCellMar>
            <w:top w:w="0" w:type="dxa"/>
            <w:left w:w="108" w:type="dxa"/>
            <w:bottom w:w="0" w:type="dxa"/>
            <w:right w:w="108" w:type="dxa"/>
          </w:tblCellMar>
        </w:tblPrEx>
        <w:trPr>
          <w:trHeight w:val="60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1C7F94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3537726C">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存在预算执行率较低的情况，绩效评价得分“95.67”，评价等级为“优”。</w:t>
            </w:r>
          </w:p>
        </w:tc>
      </w:tr>
      <w:tr w14:paraId="32F82A0B">
        <w:tblPrEx>
          <w:tblCellMar>
            <w:top w:w="0" w:type="dxa"/>
            <w:left w:w="108" w:type="dxa"/>
            <w:bottom w:w="0" w:type="dxa"/>
            <w:right w:w="108" w:type="dxa"/>
          </w:tblCellMar>
        </w:tblPrEx>
        <w:trPr>
          <w:trHeight w:val="57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79A151A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0F57437B">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项目需经过多级审批，但我区财政紧张，年底申请支付的财政未审批，导致执行率未较低。</w:t>
            </w:r>
          </w:p>
        </w:tc>
      </w:tr>
      <w:tr w14:paraId="734E97D5">
        <w:tblPrEx>
          <w:tblCellMar>
            <w:top w:w="0" w:type="dxa"/>
            <w:left w:w="108" w:type="dxa"/>
            <w:bottom w:w="0" w:type="dxa"/>
            <w:right w:w="108" w:type="dxa"/>
          </w:tblCellMar>
        </w:tblPrEx>
        <w:trPr>
          <w:trHeight w:val="63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1B1FB31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215E2052">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我局应对加强与财政部门的沟通协调，建立定期的信息交流机制，及时掌握财政资金的下达情况，确保资金及时支付。</w:t>
            </w:r>
          </w:p>
        </w:tc>
      </w:tr>
      <w:tr w14:paraId="26FB654D">
        <w:tblPrEx>
          <w:tblCellMar>
            <w:top w:w="0" w:type="dxa"/>
            <w:left w:w="108" w:type="dxa"/>
            <w:bottom w:w="0" w:type="dxa"/>
            <w:right w:w="108" w:type="dxa"/>
          </w:tblCellMar>
        </w:tblPrEx>
        <w:trPr>
          <w:trHeight w:val="619" w:hRule="atLeast"/>
        </w:trPr>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12FB9">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w:t>
            </w:r>
            <w:bookmarkStart w:id="105" w:name="OLE_LINK54"/>
            <w:bookmarkStart w:id="106" w:name="OLE_LINK53"/>
            <w:r>
              <w:rPr>
                <w:rFonts w:ascii="Courier New" w:hAnsi="Courier New" w:eastAsia="宋体" w:cs="Courier New"/>
                <w:color w:val="auto"/>
                <w:sz w:val="18"/>
                <w:szCs w:val="18"/>
              </w:rPr>
              <w:t>顾震</w:t>
            </w:r>
            <w:bookmarkEnd w:id="105"/>
            <w:bookmarkEnd w:id="106"/>
          </w:p>
        </w:tc>
        <w:tc>
          <w:tcPr>
            <w:tcW w:w="2712" w:type="pct"/>
            <w:gridSpan w:val="6"/>
            <w:tcBorders>
              <w:top w:val="single" w:color="000000" w:sz="4" w:space="0"/>
              <w:left w:val="nil"/>
              <w:bottom w:val="single" w:color="000000" w:sz="4" w:space="0"/>
              <w:right w:val="single" w:color="000000" w:sz="4" w:space="0"/>
            </w:tcBorders>
            <w:shd w:val="clear" w:color="auto" w:fill="auto"/>
            <w:vAlign w:val="center"/>
          </w:tcPr>
          <w:p w14:paraId="2E247A2C">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406D5985">
      <w:pPr>
        <w:spacing w:line="560" w:lineRule="exact"/>
        <w:rPr>
          <w:rFonts w:eastAsia="黑体"/>
          <w:sz w:val="44"/>
          <w:szCs w:val="44"/>
        </w:rPr>
      </w:pPr>
    </w:p>
    <w:p w14:paraId="1DC677FA">
      <w:pPr>
        <w:pStyle w:val="2"/>
        <w:widowControl w:val="0"/>
        <w:numPr>
          <w:ilvl w:val="0"/>
          <w:numId w:val="0"/>
        </w:numPr>
        <w:jc w:val="both"/>
        <w:rPr>
          <w:rFonts w:eastAsia="黑体"/>
          <w:sz w:val="44"/>
          <w:szCs w:val="44"/>
        </w:rPr>
      </w:pPr>
    </w:p>
    <w:p w14:paraId="1685B5AF">
      <w:pPr>
        <w:pStyle w:val="2"/>
        <w:widowControl w:val="0"/>
        <w:numPr>
          <w:ilvl w:val="0"/>
          <w:numId w:val="0"/>
        </w:numPr>
        <w:jc w:val="both"/>
        <w:rPr>
          <w:rFonts w:eastAsia="黑体"/>
          <w:sz w:val="44"/>
          <w:szCs w:val="44"/>
        </w:rPr>
      </w:pPr>
    </w:p>
    <w:p w14:paraId="320F7825">
      <w:pPr>
        <w:pStyle w:val="2"/>
        <w:widowControl w:val="0"/>
        <w:numPr>
          <w:ilvl w:val="0"/>
          <w:numId w:val="0"/>
        </w:numPr>
        <w:jc w:val="both"/>
        <w:rPr>
          <w:rFonts w:eastAsia="黑体"/>
          <w:sz w:val="44"/>
          <w:szCs w:val="44"/>
        </w:rPr>
      </w:pPr>
    </w:p>
    <w:p w14:paraId="7D2B8791">
      <w:pPr>
        <w:pStyle w:val="2"/>
        <w:widowControl w:val="0"/>
        <w:numPr>
          <w:ilvl w:val="0"/>
          <w:numId w:val="0"/>
        </w:numPr>
        <w:jc w:val="both"/>
        <w:rPr>
          <w:rFonts w:eastAsia="黑体"/>
          <w:sz w:val="44"/>
          <w:szCs w:val="44"/>
        </w:rPr>
      </w:pPr>
    </w:p>
    <w:p w14:paraId="1464CC05">
      <w:pPr>
        <w:pStyle w:val="2"/>
        <w:widowControl w:val="0"/>
        <w:numPr>
          <w:ilvl w:val="0"/>
          <w:numId w:val="0"/>
        </w:numPr>
        <w:jc w:val="both"/>
        <w:rPr>
          <w:rFonts w:eastAsia="黑体"/>
          <w:sz w:val="44"/>
          <w:szCs w:val="44"/>
        </w:rPr>
      </w:pPr>
    </w:p>
    <w:p w14:paraId="497C02BB">
      <w:pPr>
        <w:pStyle w:val="2"/>
        <w:widowControl w:val="0"/>
        <w:numPr>
          <w:ilvl w:val="0"/>
          <w:numId w:val="0"/>
        </w:numPr>
        <w:jc w:val="both"/>
        <w:rPr>
          <w:rFonts w:eastAsia="黑体"/>
          <w:sz w:val="44"/>
          <w:szCs w:val="44"/>
        </w:rPr>
      </w:pPr>
    </w:p>
    <w:p w14:paraId="19091911">
      <w:pPr>
        <w:pStyle w:val="2"/>
        <w:widowControl w:val="0"/>
        <w:numPr>
          <w:ilvl w:val="0"/>
          <w:numId w:val="0"/>
        </w:numPr>
        <w:jc w:val="both"/>
        <w:rPr>
          <w:rFonts w:eastAsia="黑体"/>
          <w:sz w:val="44"/>
          <w:szCs w:val="44"/>
        </w:rPr>
      </w:pPr>
    </w:p>
    <w:p w14:paraId="1EC5016B">
      <w:pPr>
        <w:pStyle w:val="2"/>
        <w:widowControl w:val="0"/>
        <w:numPr>
          <w:ilvl w:val="0"/>
          <w:numId w:val="0"/>
        </w:numPr>
        <w:jc w:val="both"/>
        <w:rPr>
          <w:rFonts w:eastAsia="黑体"/>
          <w:sz w:val="44"/>
          <w:szCs w:val="44"/>
        </w:rPr>
      </w:pPr>
    </w:p>
    <w:p w14:paraId="553C4B76">
      <w:pPr>
        <w:pStyle w:val="2"/>
        <w:widowControl w:val="0"/>
        <w:numPr>
          <w:ilvl w:val="0"/>
          <w:numId w:val="0"/>
        </w:numPr>
        <w:jc w:val="both"/>
        <w:rPr>
          <w:rFonts w:eastAsia="黑体"/>
          <w:sz w:val="44"/>
          <w:szCs w:val="44"/>
        </w:rPr>
      </w:pPr>
    </w:p>
    <w:p w14:paraId="2DF971C6">
      <w:pPr>
        <w:pStyle w:val="222"/>
        <w:spacing w:line="578" w:lineRule="exact"/>
        <w:jc w:val="center"/>
        <w:rPr>
          <w:rFonts w:ascii="Times New Roman" w:hAnsi="Times New Roman" w:eastAsia="方正小标宋简体"/>
          <w:kern w:val="2"/>
          <w:sz w:val="44"/>
          <w:szCs w:val="44"/>
          <w:lang w:val="en-US"/>
        </w:rPr>
      </w:pPr>
      <w:bookmarkStart w:id="107" w:name="_Toc14542"/>
      <w:r>
        <w:rPr>
          <w:rFonts w:hint="eastAsia" w:ascii="Times New Roman" w:hAnsi="Times New Roman" w:eastAsia="方正小标宋简体"/>
          <w:kern w:val="2"/>
          <w:sz w:val="44"/>
          <w:szCs w:val="44"/>
          <w:lang w:val="en-US"/>
        </w:rPr>
        <w:t>专项</w:t>
      </w:r>
      <w:r>
        <w:rPr>
          <w:rFonts w:ascii="Times New Roman" w:hAnsi="Times New Roman" w:eastAsia="方正小标宋简体"/>
          <w:kern w:val="2"/>
          <w:sz w:val="44"/>
          <w:szCs w:val="44"/>
          <w:lang w:val="en-US"/>
        </w:rPr>
        <w:t>预算项目绩效评价报告</w:t>
      </w:r>
    </w:p>
    <w:p w14:paraId="7C3EBC60">
      <w:pPr>
        <w:pStyle w:val="222"/>
        <w:spacing w:line="578" w:lineRule="exact"/>
        <w:ind w:firstLine="640"/>
        <w:jc w:val="center"/>
        <w:rPr>
          <w:rFonts w:ascii="Times New Roman" w:hAnsi="Times New Roman"/>
          <w:kern w:val="2"/>
          <w:sz w:val="32"/>
          <w:szCs w:val="32"/>
        </w:rPr>
      </w:pPr>
      <w:r>
        <w:rPr>
          <w:rFonts w:hint="eastAsia" w:ascii="Times New Roman" w:hAnsi="Times New Roman"/>
          <w:kern w:val="2"/>
          <w:sz w:val="32"/>
          <w:szCs w:val="32"/>
        </w:rPr>
        <w:t>（采购公共法律服务）</w:t>
      </w:r>
    </w:p>
    <w:p w14:paraId="3A5DE902">
      <w:pPr>
        <w:adjustRightInd w:val="0"/>
        <w:snapToGrid w:val="0"/>
        <w:spacing w:line="578" w:lineRule="exact"/>
        <w:ind w:firstLine="640" w:firstLineChars="200"/>
        <w:outlineLvl w:val="1"/>
        <w:rPr>
          <w:rFonts w:ascii="Times New Roman" w:hAnsi="Times New Roman" w:eastAsia="黑体"/>
          <w:color w:val="000000"/>
          <w:szCs w:val="32"/>
          <w:lang w:val="zh-CN"/>
        </w:rPr>
      </w:pPr>
      <w:bookmarkStart w:id="108" w:name="_Toc19367"/>
      <w:r>
        <w:rPr>
          <w:rFonts w:ascii="Times New Roman" w:hAnsi="Times New Roman" w:eastAsia="黑体"/>
          <w:color w:val="000000"/>
          <w:szCs w:val="32"/>
        </w:rPr>
        <w:t>一、</w:t>
      </w:r>
      <w:r>
        <w:rPr>
          <w:rFonts w:ascii="Times New Roman" w:hAnsi="Times New Roman" w:eastAsia="黑体"/>
          <w:color w:val="000000"/>
          <w:szCs w:val="32"/>
          <w:lang w:val="zh-CN"/>
        </w:rPr>
        <w:t>项目概况</w:t>
      </w:r>
      <w:bookmarkEnd w:id="108"/>
    </w:p>
    <w:p w14:paraId="096B6652">
      <w:pPr>
        <w:widowControl/>
        <w:adjustRightInd w:val="0"/>
        <w:snapToGrid w:val="0"/>
        <w:spacing w:line="560" w:lineRule="exact"/>
        <w:ind w:firstLine="640" w:firstLineChars="200"/>
        <w:contextualSpacing/>
        <w:jc w:val="left"/>
        <w:rPr>
          <w:rFonts w:ascii="Times New Roman" w:hAnsi="Times New Roman" w:eastAsia="楷体_GB2312"/>
          <w:color w:val="000000"/>
          <w:szCs w:val="32"/>
          <w:lang w:val="zh-CN"/>
        </w:rPr>
      </w:pPr>
      <w:r>
        <w:rPr>
          <w:rFonts w:ascii="Times New Roman" w:hAnsi="Times New Roman" w:eastAsia="楷体_GB2312"/>
          <w:color w:val="000000"/>
          <w:szCs w:val="32"/>
          <w:lang w:val="zh-CN"/>
        </w:rPr>
        <w:t>（一）设立背景及基本情况。</w:t>
      </w:r>
    </w:p>
    <w:p w14:paraId="1F3609A4">
      <w:pPr>
        <w:widowControl/>
        <w:adjustRightInd w:val="0"/>
        <w:snapToGrid w:val="0"/>
        <w:spacing w:line="560" w:lineRule="exact"/>
        <w:ind w:firstLine="640" w:firstLineChars="200"/>
        <w:contextualSpacing/>
        <w:jc w:val="left"/>
        <w:rPr>
          <w:rFonts w:ascii="仿宋" w:hAnsi="仿宋" w:eastAsia="仿宋" w:cs="仿宋"/>
          <w:color w:val="000000"/>
          <w:szCs w:val="32"/>
          <w:lang w:val="zh-CN"/>
        </w:rPr>
      </w:pPr>
      <w:r>
        <w:rPr>
          <w:rFonts w:hint="eastAsia" w:ascii="仿宋" w:hAnsi="仿宋" w:eastAsia="仿宋" w:cs="仿宋"/>
          <w:color w:val="000000"/>
          <w:szCs w:val="32"/>
        </w:rPr>
        <w:t>1.</w:t>
      </w:r>
      <w:r>
        <w:rPr>
          <w:rFonts w:hint="eastAsia"/>
        </w:rPr>
        <w:t xml:space="preserve"> </w:t>
      </w:r>
      <w:r>
        <w:rPr>
          <w:rFonts w:hint="eastAsia" w:ascii="仿宋" w:hAnsi="仿宋" w:eastAsia="仿宋" w:cs="仿宋"/>
          <w:color w:val="000000"/>
          <w:szCs w:val="32"/>
        </w:rPr>
        <w:t>采购公共法律服务年初预算0万元，主要用于</w:t>
      </w:r>
      <w:r>
        <w:rPr>
          <w:rFonts w:hint="eastAsia" w:ascii="仿宋" w:hAnsi="仿宋" w:eastAsia="仿宋" w:cs="仿宋"/>
          <w:bCs/>
          <w:color w:val="000000"/>
          <w:szCs w:val="32"/>
        </w:rPr>
        <w:t>推进法治政府建设，提高依法行政水平，全面推行法律顾问制度，加强社会主义法治文化建设，建设法治政府，为政府及时提供法律服务，降低风险等</w:t>
      </w:r>
      <w:r>
        <w:rPr>
          <w:rFonts w:hint="eastAsia" w:ascii="仿宋" w:hAnsi="仿宋" w:eastAsia="仿宋" w:cs="仿宋"/>
          <w:color w:val="000000"/>
          <w:szCs w:val="32"/>
        </w:rPr>
        <w:t>方面的工作</w:t>
      </w:r>
      <w:r>
        <w:rPr>
          <w:rFonts w:hint="eastAsia" w:ascii="仿宋" w:hAnsi="仿宋" w:eastAsia="仿宋" w:cs="仿宋"/>
          <w:color w:val="000000"/>
          <w:szCs w:val="32"/>
          <w:lang w:val="zh-CN"/>
        </w:rPr>
        <w:t xml:space="preserve">。 </w:t>
      </w:r>
    </w:p>
    <w:p w14:paraId="0E61F724">
      <w:pPr>
        <w:widowControl/>
        <w:adjustRightInd w:val="0"/>
        <w:snapToGrid w:val="0"/>
        <w:spacing w:line="580" w:lineRule="exact"/>
        <w:ind w:firstLine="640" w:firstLineChars="200"/>
        <w:contextualSpacing/>
        <w:jc w:val="left"/>
        <w:rPr>
          <w:rFonts w:ascii="仿宋" w:hAnsi="仿宋" w:eastAsia="仿宋" w:cs="仿宋"/>
          <w:color w:val="000000"/>
          <w:szCs w:val="32"/>
          <w:lang w:val="zh-CN"/>
        </w:rPr>
      </w:pPr>
      <w:r>
        <w:rPr>
          <w:rFonts w:hint="eastAsia" w:ascii="仿宋" w:hAnsi="仿宋" w:eastAsia="仿宋" w:cs="仿宋"/>
          <w:color w:val="000000"/>
          <w:szCs w:val="32"/>
        </w:rPr>
        <w:t>2.</w:t>
      </w:r>
      <w:r>
        <w:rPr>
          <w:rFonts w:hint="eastAsia" w:ascii="仿宋" w:hAnsi="仿宋" w:eastAsia="仿宋" w:cs="仿宋"/>
          <w:color w:val="000000"/>
          <w:szCs w:val="32"/>
          <w:lang w:val="zh-CN"/>
        </w:rPr>
        <w:t>项目立项、资金申报的依据。区相关文件。</w:t>
      </w:r>
    </w:p>
    <w:p w14:paraId="68259B2B">
      <w:pPr>
        <w:spacing w:line="560" w:lineRule="exact"/>
        <w:ind w:firstLine="640" w:firstLineChars="200"/>
        <w:rPr>
          <w:rFonts w:ascii="仿宋" w:hAnsi="仿宋" w:eastAsia="仿宋" w:cs="仿宋"/>
          <w:bCs/>
          <w:color w:val="000000"/>
          <w:szCs w:val="32"/>
        </w:rPr>
      </w:pPr>
      <w:r>
        <w:rPr>
          <w:rFonts w:hint="eastAsia" w:ascii="仿宋" w:hAnsi="仿宋" w:eastAsia="仿宋" w:cs="仿宋"/>
          <w:color w:val="000000"/>
          <w:szCs w:val="32"/>
        </w:rPr>
        <w:t>3.</w:t>
      </w:r>
      <w:r>
        <w:rPr>
          <w:rFonts w:hint="eastAsia" w:ascii="仿宋" w:hAnsi="仿宋" w:eastAsia="仿宋" w:cs="仿宋"/>
          <w:color w:val="000000"/>
          <w:szCs w:val="32"/>
          <w:lang w:val="zh-CN"/>
        </w:rPr>
        <w:t>项目主要内容、部门职能。</w:t>
      </w:r>
      <w:bookmarkStart w:id="109" w:name="_Toc6862"/>
      <w:r>
        <w:rPr>
          <w:rFonts w:hint="eastAsia" w:ascii="仿宋" w:hAnsi="仿宋" w:eastAsia="仿宋" w:cs="仿宋"/>
          <w:bCs/>
          <w:color w:val="000000"/>
          <w:szCs w:val="32"/>
        </w:rPr>
        <w:t>依托公共法律服务中心建成安居区“一站式”矛盾纠纷多元化解平台，整合诉讼服务、检察服务、信访服务、人民调解、法律援助、行政复议、公证服务，实现群众办理涉法事务“只跑一次”。全年共协调化解重大矛盾纠纷14件，办理公证事项713件。</w:t>
      </w:r>
    </w:p>
    <w:p w14:paraId="19B35445">
      <w:pPr>
        <w:spacing w:line="560" w:lineRule="exact"/>
        <w:ind w:firstLine="640" w:firstLineChars="200"/>
        <w:rPr>
          <w:rFonts w:ascii="仿宋" w:hAnsi="仿宋" w:eastAsia="仿宋"/>
          <w:bCs/>
          <w:iCs/>
          <w:color w:val="000000"/>
          <w:lang w:val="zh-CN"/>
        </w:rPr>
      </w:pPr>
      <w:r>
        <w:rPr>
          <w:rFonts w:ascii="Times New Roman" w:hAnsi="Times New Roman" w:eastAsia="楷体_GB2312"/>
          <w:color w:val="000000"/>
          <w:szCs w:val="32"/>
          <w:lang w:val="zh-CN"/>
        </w:rPr>
        <w:t>（二）</w:t>
      </w:r>
      <w:r>
        <w:rPr>
          <w:rFonts w:ascii="Times New Roman" w:hAnsi="Times New Roman" w:eastAsia="楷体_GB2312"/>
          <w:color w:val="000000"/>
          <w:szCs w:val="32"/>
        </w:rPr>
        <w:t>实施目的及支持方向</w:t>
      </w:r>
      <w:r>
        <w:rPr>
          <w:rFonts w:hint="eastAsia" w:ascii="Times New Roman" w:hAnsi="Times New Roman" w:eastAsia="楷体_GB2312"/>
          <w:color w:val="000000"/>
          <w:szCs w:val="32"/>
        </w:rPr>
        <w:t>。</w:t>
      </w:r>
      <w:r>
        <w:rPr>
          <w:rFonts w:hint="eastAsia" w:ascii="仿宋" w:hAnsi="仿宋" w:eastAsia="仿宋" w:cs="仿宋"/>
          <w:color w:val="000000"/>
          <w:szCs w:val="32"/>
        </w:rPr>
        <w:t>推进法治政府建设，提高依法行政水平，全面推行法律顾问制度，加强社会主义法治文化建设，建设法治政府，为政府及时提供法律服务，降低风险</w:t>
      </w:r>
      <w:r>
        <w:rPr>
          <w:rFonts w:hint="eastAsia" w:ascii="仿宋" w:hAnsi="仿宋" w:eastAsia="仿宋" w:cs="仿宋"/>
          <w:iCs/>
          <w:color w:val="000000"/>
          <w:szCs w:val="32"/>
        </w:rPr>
        <w:t>。</w:t>
      </w:r>
      <w:r>
        <w:rPr>
          <w:rFonts w:hint="eastAsia" w:ascii="仿宋" w:hAnsi="仿宋" w:eastAsia="仿宋"/>
          <w:bCs/>
          <w:iCs/>
          <w:color w:val="000000"/>
          <w:szCs w:val="32"/>
        </w:rPr>
        <w:t>该项目资金根据区司法局实际支出情况按需支取。</w:t>
      </w:r>
      <w:bookmarkEnd w:id="109"/>
    </w:p>
    <w:p w14:paraId="4D0EACC1">
      <w:pPr>
        <w:widowControl/>
        <w:adjustRightInd w:val="0"/>
        <w:snapToGrid w:val="0"/>
        <w:spacing w:line="578" w:lineRule="exact"/>
        <w:ind w:firstLine="640" w:firstLineChars="200"/>
        <w:contextualSpacing/>
        <w:jc w:val="left"/>
        <w:rPr>
          <w:rFonts w:ascii="仿宋" w:hAnsi="仿宋" w:eastAsia="仿宋" w:cs="仿宋_GB2312"/>
          <w:color w:val="000000"/>
          <w:szCs w:val="32"/>
        </w:rPr>
      </w:pPr>
      <w:r>
        <w:rPr>
          <w:rFonts w:ascii="Times New Roman" w:hAnsi="Times New Roman" w:eastAsia="楷体_GB2312"/>
          <w:color w:val="000000"/>
          <w:szCs w:val="32"/>
          <w:lang w:val="zh-CN"/>
        </w:rPr>
        <w:t>（三）</w:t>
      </w:r>
      <w:r>
        <w:rPr>
          <w:rFonts w:ascii="Times New Roman" w:hAnsi="Times New Roman" w:eastAsia="楷体_GB2312"/>
          <w:color w:val="000000"/>
          <w:szCs w:val="32"/>
        </w:rPr>
        <w:t>预算安排及分配管理</w:t>
      </w:r>
      <w:r>
        <w:rPr>
          <w:rFonts w:ascii="Times New Roman" w:hAnsi="Times New Roman" w:eastAsia="楷体_GB2312"/>
          <w:color w:val="000000"/>
          <w:szCs w:val="32"/>
          <w:lang w:val="zh-CN"/>
        </w:rPr>
        <w:t>。</w:t>
      </w:r>
      <w:r>
        <w:rPr>
          <w:rFonts w:hint="eastAsia" w:ascii="仿宋" w:hAnsi="仿宋" w:eastAsia="仿宋"/>
          <w:color w:val="000000"/>
          <w:szCs w:val="32"/>
        </w:rPr>
        <w:t>年初预算安排0万元，使用18万元。</w:t>
      </w:r>
      <w:r>
        <w:rPr>
          <w:rFonts w:ascii="Times New Roman" w:hAnsi="Times New Roman"/>
          <w:color w:val="000000"/>
          <w:szCs w:val="32"/>
        </w:rPr>
        <w:t>项目资金</w:t>
      </w:r>
      <w:r>
        <w:rPr>
          <w:rFonts w:hint="eastAsia" w:ascii="Times New Roman" w:hAnsi="Times New Roman"/>
          <w:color w:val="000000"/>
          <w:szCs w:val="32"/>
        </w:rPr>
        <w:t>由区司法局</w:t>
      </w:r>
      <w:r>
        <w:rPr>
          <w:rFonts w:hint="eastAsia" w:ascii="仿宋" w:hAnsi="仿宋" w:eastAsia="仿宋" w:cs="仿宋_GB2312"/>
          <w:color w:val="000000"/>
          <w:szCs w:val="32"/>
        </w:rPr>
        <w:t>监管，并严格按照相关财经纪律执行。</w:t>
      </w:r>
    </w:p>
    <w:p w14:paraId="46AA6590">
      <w:pPr>
        <w:widowControl/>
        <w:adjustRightInd w:val="0"/>
        <w:snapToGrid w:val="0"/>
        <w:spacing w:line="578" w:lineRule="exact"/>
        <w:ind w:firstLine="640" w:firstLineChars="200"/>
        <w:contextualSpacing/>
        <w:jc w:val="left"/>
        <w:rPr>
          <w:rFonts w:ascii="仿宋" w:hAnsi="仿宋" w:eastAsia="仿宋" w:cs="仿宋"/>
          <w:color w:val="000000"/>
          <w:szCs w:val="32"/>
        </w:rPr>
      </w:pPr>
      <w:r>
        <w:rPr>
          <w:rFonts w:ascii="Times New Roman" w:hAnsi="Times New Roman" w:eastAsia="楷体_GB2312"/>
          <w:color w:val="000000"/>
          <w:szCs w:val="32"/>
          <w:lang w:val="zh-CN"/>
        </w:rPr>
        <w:t>（四）项目绩效目标设置。</w:t>
      </w:r>
      <w:r>
        <w:rPr>
          <w:rFonts w:hint="eastAsia" w:ascii="仿宋" w:hAnsi="仿宋" w:eastAsia="仿宋" w:cs="仿宋"/>
          <w:color w:val="000000"/>
          <w:szCs w:val="32"/>
        </w:rPr>
        <w:t>依托公共法律服务中心建成安居区“一站式”矛盾纠纷多元化解平台，整合诉讼服务、检察服务、信访服务、人民调解、法律援助、行政复议、公证服务，实现群众办理涉法事务“只跑一次”</w:t>
      </w:r>
      <w:r>
        <w:rPr>
          <w:rStyle w:val="230"/>
          <w:rFonts w:hint="eastAsia" w:ascii="仿宋" w:hAnsi="仿宋" w:eastAsia="仿宋" w:cs="仿宋"/>
          <w:color w:val="000000"/>
          <w:szCs w:val="32"/>
        </w:rPr>
        <w:t>。</w:t>
      </w:r>
      <w:r>
        <w:rPr>
          <w:rFonts w:hint="eastAsia" w:ascii="仿宋" w:hAnsi="仿宋" w:eastAsia="仿宋" w:cs="仿宋"/>
          <w:color w:val="000000"/>
          <w:szCs w:val="32"/>
        </w:rPr>
        <w:t>组建自评工作组收集和整理自评的相关数据和信息进行自我分析和评估，对自评的结果进行总结和归纳并制定改进计划和措施，及时跟进和落实。</w:t>
      </w:r>
    </w:p>
    <w:p w14:paraId="4C11224F">
      <w:pPr>
        <w:adjustRightInd w:val="0"/>
        <w:snapToGrid w:val="0"/>
        <w:spacing w:line="578" w:lineRule="exact"/>
        <w:ind w:firstLine="640" w:firstLineChars="200"/>
        <w:outlineLvl w:val="1"/>
        <w:rPr>
          <w:rFonts w:ascii="Times New Roman" w:hAnsi="Times New Roman" w:eastAsia="黑体"/>
          <w:color w:val="000000"/>
          <w:szCs w:val="32"/>
        </w:rPr>
      </w:pPr>
      <w:bookmarkStart w:id="110" w:name="_Toc18441"/>
      <w:r>
        <w:rPr>
          <w:rFonts w:ascii="Times New Roman" w:hAnsi="Times New Roman" w:eastAsia="黑体"/>
          <w:color w:val="000000"/>
          <w:szCs w:val="32"/>
        </w:rPr>
        <w:t>二、评价实施</w:t>
      </w:r>
      <w:bookmarkEnd w:id="110"/>
    </w:p>
    <w:p w14:paraId="64684E92">
      <w:pPr>
        <w:spacing w:line="578" w:lineRule="exact"/>
        <w:ind w:firstLine="640"/>
        <w:rPr>
          <w:rFonts w:ascii="仿宋" w:hAnsi="仿宋" w:eastAsia="仿宋" w:cs="仿宋"/>
          <w:color w:val="000000"/>
          <w:szCs w:val="32"/>
          <w:lang w:val="zh-CN"/>
        </w:rPr>
      </w:pPr>
      <w:r>
        <w:rPr>
          <w:rFonts w:ascii="Times New Roman" w:hAnsi="Times New Roman" w:eastAsia="楷体_GB2312"/>
          <w:color w:val="000000"/>
          <w:szCs w:val="32"/>
          <w:lang w:val="zh-CN"/>
        </w:rPr>
        <w:t>（一）评价目的。</w:t>
      </w:r>
      <w:r>
        <w:rPr>
          <w:rFonts w:hint="eastAsia" w:ascii="Times New Roman" w:hAnsi="Times New Roman" w:eastAsia="楷体_GB2312"/>
          <w:color w:val="000000"/>
          <w:szCs w:val="32"/>
          <w:lang w:val="zh-CN"/>
        </w:rPr>
        <w:t>反</w:t>
      </w:r>
      <w:r>
        <w:rPr>
          <w:rFonts w:hint="eastAsia" w:ascii="仿宋" w:hAnsi="仿宋" w:eastAsia="仿宋" w:cs="仿宋"/>
          <w:color w:val="000000"/>
          <w:szCs w:val="32"/>
          <w:lang w:val="zh-CN"/>
        </w:rPr>
        <w:t>映项目实施是否偏离目标，并总结经验，为改善管理，纠正目标与实际的偏差提供依据。</w:t>
      </w:r>
    </w:p>
    <w:p w14:paraId="025FF175">
      <w:pPr>
        <w:adjustRightInd w:val="0"/>
        <w:snapToGrid w:val="0"/>
        <w:spacing w:line="578" w:lineRule="exact"/>
        <w:ind w:firstLine="640" w:firstLineChars="200"/>
        <w:rPr>
          <w:rFonts w:ascii="仿宋" w:hAnsi="仿宋" w:eastAsia="仿宋" w:cs="仿宋"/>
          <w:color w:val="000000"/>
          <w:szCs w:val="32"/>
          <w:lang w:val="zh-CN"/>
        </w:rPr>
      </w:pPr>
      <w:r>
        <w:rPr>
          <w:rFonts w:ascii="Times New Roman" w:hAnsi="Times New Roman" w:eastAsia="楷体_GB2312"/>
          <w:color w:val="000000"/>
          <w:szCs w:val="32"/>
          <w:lang w:val="zh-CN"/>
        </w:rPr>
        <w:t>（二）预设问题及评价重点。</w:t>
      </w:r>
      <w:r>
        <w:rPr>
          <w:rFonts w:hint="eastAsia" w:ascii="仿宋" w:hAnsi="仿宋" w:eastAsia="仿宋"/>
          <w:color w:val="000000"/>
          <w:szCs w:val="32"/>
          <w:lang w:val="zh-CN"/>
        </w:rPr>
        <w:t>采购公共法律服务</w:t>
      </w:r>
      <w:r>
        <w:rPr>
          <w:rFonts w:hint="eastAsia" w:ascii="仿宋" w:hAnsi="仿宋" w:eastAsia="仿宋" w:cs="仿宋"/>
          <w:color w:val="000000"/>
        </w:rPr>
        <w:t>严格</w:t>
      </w:r>
      <w:bookmarkStart w:id="111" w:name="OLE_LINK72"/>
      <w:bookmarkStart w:id="112" w:name="OLE_LINK71"/>
      <w:r>
        <w:rPr>
          <w:rFonts w:hint="eastAsia" w:ascii="仿宋" w:hAnsi="仿宋" w:eastAsia="仿宋" w:cs="仿宋"/>
          <w:color w:val="000000"/>
        </w:rPr>
        <w:t>按</w:t>
      </w:r>
      <w:bookmarkEnd w:id="111"/>
      <w:bookmarkEnd w:id="112"/>
      <w:r>
        <w:rPr>
          <w:rFonts w:hint="eastAsia" w:ascii="仿宋" w:hAnsi="仿宋" w:eastAsia="仿宋" w:cs="仿宋"/>
          <w:color w:val="000000"/>
        </w:rPr>
        <w:t>照专款专用原则，及时通知有关单位提供合法票据，完善报账手续，严格票据审核，规范报账程序，确保资金使用的及时性、规范性，同时财政部门对资金支付严格审核，确保资金使用安全。</w:t>
      </w:r>
    </w:p>
    <w:p w14:paraId="351349AC">
      <w:pPr>
        <w:adjustRightInd w:val="0"/>
        <w:snapToGrid w:val="0"/>
        <w:spacing w:line="578" w:lineRule="exact"/>
        <w:ind w:firstLine="640" w:firstLineChars="200"/>
        <w:rPr>
          <w:rFonts w:ascii="Times New Roman" w:hAnsi="Times New Roman"/>
          <w:color w:val="000000"/>
          <w:szCs w:val="32"/>
          <w:lang w:val="zh-CN"/>
        </w:rPr>
      </w:pPr>
      <w:r>
        <w:rPr>
          <w:rFonts w:ascii="Times New Roman" w:hAnsi="Times New Roman" w:eastAsia="楷体_GB2312"/>
          <w:color w:val="000000"/>
          <w:szCs w:val="32"/>
          <w:lang w:val="zh-CN"/>
        </w:rPr>
        <w:t>（三）评价选点。</w:t>
      </w:r>
      <w:r>
        <w:rPr>
          <w:rFonts w:hint="eastAsia" w:ascii="仿宋" w:hAnsi="仿宋" w:eastAsia="仿宋" w:cs="仿宋"/>
          <w:color w:val="000000"/>
          <w:szCs w:val="32"/>
          <w:lang w:val="zh-CN"/>
        </w:rPr>
        <w:t>项目实际完成情况</w:t>
      </w:r>
      <w:r>
        <w:rPr>
          <w:rFonts w:hint="eastAsia" w:ascii="Times New Roman" w:hAnsi="Times New Roman"/>
          <w:color w:val="000000"/>
          <w:szCs w:val="32"/>
          <w:lang w:val="zh-CN"/>
        </w:rPr>
        <w:t>。</w:t>
      </w:r>
    </w:p>
    <w:p w14:paraId="50D1B78D">
      <w:pPr>
        <w:spacing w:line="578" w:lineRule="exact"/>
        <w:ind w:left="640" w:leftChars="200"/>
        <w:rPr>
          <w:rFonts w:ascii="Times New Roman" w:hAnsi="Times New Roman"/>
          <w:color w:val="000000"/>
        </w:rPr>
      </w:pPr>
      <w:r>
        <w:rPr>
          <w:rFonts w:ascii="Times New Roman" w:hAnsi="Times New Roman" w:eastAsia="楷体_GB2312"/>
          <w:color w:val="000000"/>
          <w:szCs w:val="32"/>
          <w:lang w:val="zh-CN"/>
        </w:rPr>
        <w:t>（四）评价方法。</w:t>
      </w:r>
      <w:r>
        <w:rPr>
          <w:rFonts w:hint="eastAsia" w:ascii="仿宋" w:hAnsi="仿宋" w:eastAsia="仿宋"/>
          <w:color w:val="000000"/>
          <w:kern w:val="2"/>
          <w:szCs w:val="32"/>
        </w:rPr>
        <w:t>本次项目支出绩效评价采取分级评分法。</w:t>
      </w:r>
      <w:r>
        <w:rPr>
          <w:rFonts w:ascii="Times New Roman" w:hAnsi="Times New Roman" w:eastAsia="楷体_GB2312"/>
          <w:color w:val="000000"/>
          <w:szCs w:val="32"/>
          <w:lang w:val="zh-CN"/>
        </w:rPr>
        <w:t>（五）评价组织。</w:t>
      </w:r>
      <w:r>
        <w:rPr>
          <w:rFonts w:hint="eastAsia" w:ascii="仿宋" w:hAnsi="仿宋" w:eastAsia="仿宋"/>
          <w:color w:val="000000"/>
          <w:szCs w:val="32"/>
        </w:rPr>
        <w:t>成立工作专班，</w:t>
      </w:r>
      <w:r>
        <w:rPr>
          <w:rFonts w:hint="eastAsia" w:ascii="仿宋" w:hAnsi="仿宋" w:eastAsia="仿宋"/>
          <w:snapToGrid w:val="0"/>
          <w:color w:val="000000"/>
          <w:szCs w:val="32"/>
        </w:rPr>
        <w:t>落实工作责任，有力有序开展2024年部门预算项目支出绩效自</w:t>
      </w:r>
      <w:r>
        <w:rPr>
          <w:rFonts w:hint="eastAsia" w:ascii="仿宋" w:hAnsi="仿宋" w:eastAsia="仿宋"/>
          <w:color w:val="000000"/>
          <w:szCs w:val="32"/>
        </w:rPr>
        <w:t>评工作。</w:t>
      </w:r>
    </w:p>
    <w:p w14:paraId="0C611285">
      <w:pPr>
        <w:adjustRightInd w:val="0"/>
        <w:snapToGrid w:val="0"/>
        <w:spacing w:line="578" w:lineRule="exact"/>
        <w:ind w:firstLine="640" w:firstLineChars="200"/>
        <w:outlineLvl w:val="1"/>
        <w:rPr>
          <w:rFonts w:ascii="Times New Roman" w:hAnsi="Times New Roman"/>
          <w:color w:val="000000"/>
          <w:szCs w:val="32"/>
          <w:lang w:val="zh-CN"/>
        </w:rPr>
      </w:pPr>
      <w:bookmarkStart w:id="113" w:name="_Toc20405"/>
      <w:r>
        <w:rPr>
          <w:rFonts w:ascii="Times New Roman" w:hAnsi="Times New Roman" w:eastAsia="黑体"/>
          <w:color w:val="000000"/>
          <w:szCs w:val="32"/>
        </w:rPr>
        <w:t>三、绩效分析</w:t>
      </w:r>
      <w:bookmarkEnd w:id="113"/>
      <w:r>
        <w:rPr>
          <w:rFonts w:ascii="Times New Roman" w:hAnsi="Times New Roman"/>
          <w:color w:val="000000"/>
          <w:szCs w:val="32"/>
          <w:lang w:val="zh-CN"/>
        </w:rPr>
        <w:tab/>
      </w:r>
    </w:p>
    <w:p w14:paraId="2B1D7CF8">
      <w:pPr>
        <w:spacing w:line="578" w:lineRule="exact"/>
        <w:ind w:firstLine="640"/>
        <w:rPr>
          <w:rFonts w:ascii="Times New Roman" w:hAnsi="Times New Roman"/>
          <w:color w:val="000000"/>
          <w:szCs w:val="32"/>
        </w:rPr>
      </w:pPr>
      <w:r>
        <w:rPr>
          <w:rFonts w:ascii="Times New Roman" w:hAnsi="Times New Roman"/>
          <w:color w:val="000000"/>
          <w:szCs w:val="32"/>
          <w:lang w:val="zh-CN"/>
        </w:rPr>
        <w:t>根据项目预算绩效评价指标体系“通用指标”“专用指标”“个性指标”涉及二、三级指标进行逐项绩效分析并评分</w:t>
      </w:r>
      <w:r>
        <w:rPr>
          <w:rFonts w:ascii="Times New Roman" w:hAnsi="Times New Roman"/>
          <w:color w:val="000000"/>
          <w:szCs w:val="32"/>
        </w:rPr>
        <w:t>。</w:t>
      </w:r>
    </w:p>
    <w:p w14:paraId="181A0A47">
      <w:pPr>
        <w:spacing w:line="600" w:lineRule="exact"/>
        <w:ind w:firstLine="640" w:firstLineChars="200"/>
        <w:outlineLvl w:val="2"/>
        <w:rPr>
          <w:rFonts w:ascii="Times New Roman" w:hAnsi="Times New Roman" w:eastAsia="楷体_GB2312"/>
          <w:color w:val="000000"/>
          <w:szCs w:val="32"/>
        </w:rPr>
      </w:pPr>
      <w:r>
        <w:rPr>
          <w:rFonts w:ascii="Times New Roman" w:hAnsi="Times New Roman" w:eastAsia="楷体_GB2312"/>
          <w:color w:val="000000"/>
          <w:szCs w:val="32"/>
          <w:lang w:val="zh-CN"/>
        </w:rPr>
        <w:t>（一）</w:t>
      </w:r>
      <w:r>
        <w:rPr>
          <w:rFonts w:ascii="Times New Roman" w:hAnsi="Times New Roman" w:eastAsia="楷体_GB2312"/>
          <w:color w:val="000000"/>
          <w:szCs w:val="32"/>
        </w:rPr>
        <w:t>通用指标</w:t>
      </w:r>
      <w:r>
        <w:rPr>
          <w:rFonts w:ascii="Times New Roman" w:hAnsi="Times New Roman" w:eastAsia="楷体_GB2312"/>
          <w:color w:val="000000"/>
          <w:szCs w:val="32"/>
          <w:lang w:val="zh-CN"/>
        </w:rPr>
        <w:t>绩效分析。</w:t>
      </w:r>
    </w:p>
    <w:p w14:paraId="29798D66">
      <w:pPr>
        <w:spacing w:line="578" w:lineRule="exact"/>
        <w:ind w:firstLine="640"/>
        <w:rPr>
          <w:rFonts w:ascii="仿宋" w:hAnsi="仿宋" w:eastAsia="仿宋" w:cs="仿宋"/>
          <w:color w:val="000000"/>
          <w:szCs w:val="32"/>
        </w:rPr>
      </w:pPr>
      <w:r>
        <w:rPr>
          <w:rFonts w:hint="eastAsia" w:ascii="仿宋" w:hAnsi="仿宋" w:eastAsia="仿宋" w:cs="仿宋"/>
          <w:color w:val="000000"/>
          <w:szCs w:val="32"/>
        </w:rPr>
        <w:t>1.项目决策。从综合评价来看，区司法局各预算项目设立依据基本充分，均设定了各项目绩效目标，对资金配置方面均有明确的测算依据，整体情况良好。</w:t>
      </w:r>
    </w:p>
    <w:p w14:paraId="46188453">
      <w:pPr>
        <w:spacing w:line="578" w:lineRule="exact"/>
        <w:ind w:firstLine="640"/>
        <w:rPr>
          <w:rFonts w:ascii="仿宋" w:hAnsi="仿宋" w:eastAsia="仿宋" w:cs="仿宋"/>
          <w:color w:val="000000"/>
          <w:szCs w:val="32"/>
          <w:lang w:val="zh-CN"/>
        </w:rPr>
      </w:pPr>
      <w:r>
        <w:rPr>
          <w:rFonts w:hint="eastAsia" w:ascii="仿宋" w:hAnsi="仿宋" w:eastAsia="仿宋" w:cs="仿宋"/>
          <w:color w:val="000000"/>
          <w:szCs w:val="32"/>
        </w:rPr>
        <w:t>2.项目管理。</w:t>
      </w:r>
      <w:r>
        <w:rPr>
          <w:rFonts w:hint="eastAsia" w:ascii="仿宋" w:hAnsi="仿宋" w:eastAsia="仿宋" w:cs="仿宋"/>
          <w:color w:val="000000"/>
          <w:kern w:val="2"/>
          <w:szCs w:val="32"/>
        </w:rPr>
        <w:t>从整体评价来看，区</w:t>
      </w:r>
      <w:r>
        <w:rPr>
          <w:rFonts w:hint="eastAsia" w:ascii="仿宋" w:hAnsi="仿宋" w:eastAsia="仿宋" w:cs="仿宋"/>
          <w:color w:val="000000"/>
          <w:szCs w:val="32"/>
        </w:rPr>
        <w:t>司法局</w:t>
      </w:r>
      <w:r>
        <w:rPr>
          <w:rFonts w:hint="eastAsia" w:ascii="仿宋" w:hAnsi="仿宋" w:eastAsia="仿宋" w:cs="仿宋"/>
          <w:color w:val="000000"/>
          <w:kern w:val="2"/>
          <w:szCs w:val="32"/>
        </w:rPr>
        <w:t>建立了基本能全面覆盖的管理制度，各项目按照财政局相关要求稳步推进，并根据年度工作计划做好各项目工作。年初预算批复后，根据项目推进情况申请资金下达，截至2024年12月31日，项目资金到位18万元，支出18万元，项目资金执行率为100%。项目运行成本均在可控制范围内。</w:t>
      </w:r>
    </w:p>
    <w:p w14:paraId="46140E7D">
      <w:pPr>
        <w:spacing w:line="578"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3.项目实施。项目经费</w:t>
      </w:r>
      <w:r>
        <w:rPr>
          <w:rFonts w:hint="eastAsia" w:ascii="仿宋" w:hAnsi="仿宋" w:eastAsia="仿宋" w:cs="仿宋"/>
          <w:color w:val="000000"/>
        </w:rPr>
        <w:t>严格按照专款专用原则，年初</w:t>
      </w:r>
      <w:r>
        <w:rPr>
          <w:rFonts w:hint="eastAsia" w:ascii="仿宋" w:hAnsi="仿宋" w:eastAsia="仿宋" w:cs="仿宋"/>
          <w:color w:val="000000"/>
          <w:szCs w:val="32"/>
        </w:rPr>
        <w:t>预算安排0万元，使用18万元。（其中：预算支出18万元，年度调增预算</w:t>
      </w:r>
      <w:bookmarkStart w:id="114" w:name="OLE_LINK73"/>
      <w:bookmarkStart w:id="115" w:name="OLE_LINK74"/>
      <w:r>
        <w:rPr>
          <w:rFonts w:hint="eastAsia" w:ascii="仿宋" w:hAnsi="仿宋" w:eastAsia="仿宋" w:cs="仿宋"/>
          <w:color w:val="000000"/>
          <w:szCs w:val="32"/>
        </w:rPr>
        <w:t>18万元)。</w:t>
      </w:r>
      <w:r>
        <w:rPr>
          <w:rFonts w:hint="eastAsia" w:ascii="仿宋" w:hAnsi="仿宋" w:eastAsia="仿宋" w:cs="仿宋"/>
          <w:color w:val="000000"/>
          <w:szCs w:val="32"/>
          <w:lang w:val="zh-CN"/>
        </w:rPr>
        <w:t>单位</w:t>
      </w:r>
      <w:r>
        <w:rPr>
          <w:rFonts w:hint="eastAsia" w:ascii="仿宋" w:hAnsi="仿宋" w:eastAsia="仿宋" w:cs="仿宋"/>
          <w:color w:val="000000"/>
          <w:szCs w:val="32"/>
        </w:rPr>
        <w:t>无截留、挤占、挪用、虚列支出等情况。</w:t>
      </w:r>
    </w:p>
    <w:bookmarkEnd w:id="114"/>
    <w:bookmarkEnd w:id="115"/>
    <w:p w14:paraId="1934A1F8">
      <w:pPr>
        <w:widowControl/>
        <w:spacing w:line="600" w:lineRule="exact"/>
        <w:ind w:firstLine="960" w:firstLineChars="300"/>
        <w:jc w:val="left"/>
        <w:rPr>
          <w:rFonts w:ascii="仿宋" w:hAnsi="仿宋" w:eastAsia="仿宋" w:cs="仿宋"/>
          <w:color w:val="000000"/>
          <w:szCs w:val="32"/>
        </w:rPr>
      </w:pPr>
      <w:r>
        <w:rPr>
          <w:rFonts w:hint="eastAsia" w:ascii="仿宋" w:hAnsi="仿宋" w:eastAsia="仿宋" w:cs="仿宋"/>
          <w:color w:val="000000"/>
          <w:szCs w:val="32"/>
        </w:rPr>
        <w:t>4.项目结果。已完成全区应整理的档案资料及相关工作</w:t>
      </w:r>
      <w:r>
        <w:rPr>
          <w:rFonts w:hint="eastAsia" w:ascii="仿宋" w:hAnsi="仿宋" w:eastAsia="仿宋" w:cs="仿宋"/>
          <w:color w:val="000000"/>
          <w:szCs w:val="32"/>
          <w:lang w:val="zh-CN"/>
        </w:rPr>
        <w:t>。</w:t>
      </w:r>
    </w:p>
    <w:p w14:paraId="0715A84F">
      <w:pPr>
        <w:spacing w:line="578" w:lineRule="exact"/>
        <w:ind w:firstLine="640" w:firstLineChars="200"/>
        <w:rPr>
          <w:rFonts w:ascii="仿宋" w:hAnsi="仿宋" w:eastAsia="仿宋" w:cs="仿宋"/>
          <w:color w:val="000000"/>
          <w:szCs w:val="32"/>
          <w:lang w:val="zh-CN"/>
        </w:rPr>
      </w:pPr>
      <w:r>
        <w:rPr>
          <w:rFonts w:ascii="Times New Roman" w:hAnsi="Times New Roman" w:eastAsia="楷体_GB2312"/>
          <w:color w:val="000000"/>
          <w:szCs w:val="32"/>
          <w:lang w:val="zh-CN"/>
        </w:rPr>
        <w:t>（二）</w:t>
      </w:r>
      <w:r>
        <w:rPr>
          <w:rFonts w:ascii="Times New Roman" w:hAnsi="Times New Roman" w:eastAsia="楷体_GB2312"/>
          <w:color w:val="000000"/>
          <w:szCs w:val="32"/>
        </w:rPr>
        <w:t>专用指标</w:t>
      </w:r>
      <w:r>
        <w:rPr>
          <w:rFonts w:ascii="Times New Roman" w:hAnsi="Times New Roman" w:eastAsia="楷体_GB2312"/>
          <w:color w:val="000000"/>
          <w:szCs w:val="32"/>
          <w:lang w:val="zh-CN"/>
        </w:rPr>
        <w:t>绩效分析。</w:t>
      </w:r>
      <w:r>
        <w:rPr>
          <w:rFonts w:hint="eastAsia" w:ascii="仿宋" w:hAnsi="仿宋" w:eastAsia="仿宋" w:cs="仿宋"/>
          <w:color w:val="000000"/>
          <w:szCs w:val="32"/>
          <w:lang w:val="zh-CN"/>
        </w:rPr>
        <w:t>根据</w:t>
      </w:r>
      <w:r>
        <w:rPr>
          <w:rFonts w:hint="eastAsia" w:ascii="仿宋" w:hAnsi="仿宋" w:eastAsia="仿宋" w:cs="仿宋"/>
          <w:color w:val="000000"/>
          <w:szCs w:val="32"/>
        </w:rPr>
        <w:t>专项预算项目资金支持对象选择所属指标进行绩效分析。支持对象</w:t>
      </w:r>
      <w:r>
        <w:rPr>
          <w:rFonts w:hint="eastAsia" w:ascii="仿宋" w:hAnsi="仿宋" w:eastAsia="仿宋" w:cs="仿宋"/>
          <w:color w:val="000000"/>
          <w:szCs w:val="32"/>
          <w:lang w:val="zh-CN"/>
        </w:rPr>
        <w:t>包括产业发展、民生保障、基础设施、行政运转等方面。</w:t>
      </w:r>
    </w:p>
    <w:p w14:paraId="27826D4A">
      <w:pPr>
        <w:spacing w:line="578"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1.产业发展。围绕符合性、成长性、经济性进行绩效分析。</w:t>
      </w:r>
    </w:p>
    <w:p w14:paraId="47A907DC">
      <w:pPr>
        <w:spacing w:line="578"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w:t>
      </w:r>
      <w:r>
        <w:rPr>
          <w:rFonts w:hint="eastAsia" w:ascii="仿宋" w:hAnsi="仿宋" w:eastAsia="仿宋" w:cs="仿宋"/>
          <w:color w:val="000000"/>
          <w:szCs w:val="32"/>
          <w:lang w:val="zh-CN"/>
        </w:rPr>
        <w:t>民生保障。</w:t>
      </w:r>
      <w:r>
        <w:rPr>
          <w:rFonts w:hint="eastAsia" w:ascii="仿宋" w:hAnsi="仿宋" w:eastAsia="仿宋" w:cs="仿宋"/>
          <w:color w:val="000000"/>
          <w:szCs w:val="32"/>
        </w:rPr>
        <w:t>围绕区域均衡性、对象精准性、标准合理性、群众满意度进行绩效分析。</w:t>
      </w:r>
    </w:p>
    <w:p w14:paraId="78F3B6F7">
      <w:pPr>
        <w:spacing w:line="578"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3.基础设施。在建项目围绕工程进度和资金拨付进行绩效分析；建成项目围绕项目验收、功能实现、后续管护进行</w:t>
      </w:r>
      <w:r>
        <w:rPr>
          <w:rFonts w:hint="eastAsia" w:ascii="仿宋" w:hAnsi="仿宋" w:eastAsia="仿宋" w:cs="仿宋"/>
          <w:color w:val="000000"/>
          <w:szCs w:val="32"/>
          <w:lang w:val="zh-CN"/>
        </w:rPr>
        <w:t>绩效分析。</w:t>
      </w:r>
    </w:p>
    <w:p w14:paraId="4F4DE37D">
      <w:pPr>
        <w:spacing w:line="578"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w:t>
      </w:r>
      <w:r>
        <w:rPr>
          <w:rFonts w:hint="eastAsia" w:ascii="仿宋" w:hAnsi="仿宋" w:eastAsia="仿宋" w:cs="仿宋"/>
          <w:color w:val="000000"/>
          <w:szCs w:val="32"/>
          <w:lang w:val="zh-CN"/>
        </w:rPr>
        <w:t>行政运转。围绕用途合规性、程序合规性、标准合规性进行绩效分析。</w:t>
      </w:r>
    </w:p>
    <w:p w14:paraId="62B9860A">
      <w:pPr>
        <w:spacing w:line="578" w:lineRule="exact"/>
        <w:ind w:firstLine="640"/>
        <w:rPr>
          <w:rFonts w:ascii="仿宋" w:hAnsi="仿宋" w:eastAsia="仿宋" w:cs="仿宋"/>
          <w:color w:val="000000"/>
          <w:szCs w:val="32"/>
        </w:rPr>
      </w:pPr>
      <w:r>
        <w:rPr>
          <w:rFonts w:ascii="Times New Roman" w:hAnsi="Times New Roman" w:eastAsia="楷体_GB2312"/>
          <w:color w:val="000000"/>
          <w:szCs w:val="32"/>
          <w:lang w:val="zh-CN"/>
        </w:rPr>
        <w:t>（三）</w:t>
      </w:r>
      <w:r>
        <w:rPr>
          <w:rFonts w:ascii="Times New Roman" w:hAnsi="Times New Roman" w:eastAsia="楷体_GB2312"/>
          <w:color w:val="000000"/>
          <w:szCs w:val="32"/>
        </w:rPr>
        <w:t>个性指标</w:t>
      </w:r>
      <w:r>
        <w:rPr>
          <w:rFonts w:ascii="Times New Roman" w:hAnsi="Times New Roman" w:eastAsia="楷体_GB2312"/>
          <w:color w:val="000000"/>
          <w:szCs w:val="32"/>
          <w:lang w:val="zh-CN"/>
        </w:rPr>
        <w:t>绩效分析。</w:t>
      </w:r>
      <w:r>
        <w:rPr>
          <w:rFonts w:hint="eastAsia" w:ascii="仿宋" w:hAnsi="仿宋" w:eastAsia="仿宋" w:cs="仿宋"/>
          <w:color w:val="000000"/>
          <w:szCs w:val="32"/>
          <w:lang w:val="zh-CN"/>
        </w:rPr>
        <w:t>根据项目个性自行设定部分指标，反映该项指标执行完成情况。</w:t>
      </w:r>
    </w:p>
    <w:p w14:paraId="5665474C">
      <w:pPr>
        <w:pStyle w:val="16"/>
        <w:tabs>
          <w:tab w:val="left" w:pos="2160"/>
        </w:tabs>
        <w:spacing w:line="600" w:lineRule="exact"/>
        <w:ind w:firstLine="640" w:firstLineChars="200"/>
        <w:outlineLvl w:val="1"/>
        <w:rPr>
          <w:rFonts w:ascii="Times New Roman" w:hAnsi="Times New Roman" w:eastAsia="黑体"/>
          <w:color w:val="000000"/>
          <w:szCs w:val="32"/>
        </w:rPr>
      </w:pPr>
      <w:bookmarkStart w:id="116" w:name="_Toc11339"/>
      <w:r>
        <w:rPr>
          <w:rFonts w:ascii="Times New Roman" w:hAnsi="Times New Roman" w:eastAsia="黑体"/>
          <w:color w:val="000000"/>
          <w:szCs w:val="32"/>
        </w:rPr>
        <w:t>四、评价结论</w:t>
      </w:r>
      <w:bookmarkEnd w:id="116"/>
    </w:p>
    <w:p w14:paraId="7B82EE04">
      <w:pPr>
        <w:pStyle w:val="16"/>
        <w:tabs>
          <w:tab w:val="left" w:pos="2160"/>
        </w:tabs>
        <w:spacing w:line="600" w:lineRule="exact"/>
        <w:ind w:firstLine="640" w:firstLineChars="200"/>
        <w:rPr>
          <w:rFonts w:ascii="仿宋" w:hAnsi="仿宋" w:eastAsia="仿宋" w:cs="仿宋"/>
          <w:color w:val="000000"/>
          <w:szCs w:val="32"/>
        </w:rPr>
      </w:pPr>
      <w:r>
        <w:rPr>
          <w:rFonts w:hint="eastAsia" w:ascii="仿宋" w:hAnsi="仿宋" w:eastAsia="仿宋" w:cs="仿宋"/>
          <w:color w:val="000000"/>
          <w:szCs w:val="32"/>
          <w:lang w:bidi="ar"/>
        </w:rPr>
        <w:t>采购公共法律服务</w:t>
      </w:r>
      <w:r>
        <w:rPr>
          <w:rFonts w:hint="eastAsia" w:ascii="仿宋" w:hAnsi="仿宋" w:eastAsia="仿宋" w:cs="仿宋"/>
          <w:iCs/>
          <w:color w:val="000000"/>
          <w:szCs w:val="32"/>
          <w:lang w:bidi="ar"/>
        </w:rPr>
        <w:t>项目绩效总体评价良好,</w:t>
      </w:r>
      <w:r>
        <w:rPr>
          <w:rFonts w:hint="eastAsia" w:ascii="仿宋" w:hAnsi="仿宋" w:eastAsia="仿宋" w:cs="仿宋"/>
          <w:color w:val="000000"/>
          <w:szCs w:val="32"/>
        </w:rPr>
        <w:t>自评得分99.4分。</w:t>
      </w:r>
    </w:p>
    <w:p w14:paraId="0041ADA4">
      <w:pPr>
        <w:pStyle w:val="16"/>
        <w:tabs>
          <w:tab w:val="left" w:pos="2160"/>
        </w:tabs>
        <w:spacing w:line="600" w:lineRule="exact"/>
        <w:ind w:left="640"/>
        <w:outlineLvl w:val="1"/>
        <w:rPr>
          <w:rFonts w:ascii="Times New Roman" w:hAnsi="Times New Roman" w:eastAsia="黑体"/>
          <w:color w:val="000000"/>
          <w:szCs w:val="32"/>
        </w:rPr>
      </w:pPr>
      <w:bookmarkStart w:id="117" w:name="_Toc5801"/>
      <w:r>
        <w:rPr>
          <w:rFonts w:hint="eastAsia" w:ascii="Times New Roman" w:hAnsi="Times New Roman" w:eastAsia="黑体"/>
          <w:color w:val="000000"/>
          <w:szCs w:val="32"/>
        </w:rPr>
        <w:t>五、</w:t>
      </w:r>
      <w:r>
        <w:rPr>
          <w:rFonts w:ascii="Times New Roman" w:hAnsi="Times New Roman" w:eastAsia="黑体"/>
          <w:color w:val="000000"/>
          <w:szCs w:val="32"/>
        </w:rPr>
        <w:t>存在主要问题</w:t>
      </w:r>
      <w:bookmarkEnd w:id="117"/>
    </w:p>
    <w:p w14:paraId="699788DE">
      <w:pPr>
        <w:pStyle w:val="16"/>
        <w:tabs>
          <w:tab w:val="left" w:pos="2160"/>
        </w:tabs>
        <w:spacing w:line="600" w:lineRule="exact"/>
        <w:ind w:firstLine="640" w:firstLineChars="200"/>
        <w:rPr>
          <w:rFonts w:ascii="仿宋" w:hAnsi="仿宋" w:eastAsia="仿宋" w:cs="仿宋"/>
          <w:color w:val="000000"/>
          <w:kern w:val="2"/>
          <w:szCs w:val="32"/>
        </w:rPr>
      </w:pPr>
      <w:r>
        <w:rPr>
          <w:rFonts w:hint="eastAsia" w:ascii="仿宋" w:hAnsi="仿宋" w:eastAsia="仿宋" w:cs="仿宋"/>
          <w:color w:val="000000"/>
          <w:kern w:val="2"/>
          <w:szCs w:val="32"/>
        </w:rPr>
        <w:t>无</w:t>
      </w:r>
    </w:p>
    <w:p w14:paraId="7B5CCED3">
      <w:pPr>
        <w:pStyle w:val="16"/>
        <w:tabs>
          <w:tab w:val="left" w:pos="2160"/>
        </w:tabs>
        <w:spacing w:line="600" w:lineRule="exact"/>
        <w:ind w:firstLine="640" w:firstLineChars="200"/>
        <w:outlineLvl w:val="1"/>
        <w:rPr>
          <w:rFonts w:ascii="Times New Roman" w:hAnsi="Times New Roman" w:eastAsia="黑体"/>
          <w:color w:val="000000"/>
          <w:position w:val="3"/>
          <w:szCs w:val="32"/>
          <w:lang w:val="zh-CN"/>
        </w:rPr>
      </w:pPr>
      <w:bookmarkStart w:id="118" w:name="_Toc1625"/>
      <w:r>
        <w:rPr>
          <w:rFonts w:ascii="Times New Roman" w:hAnsi="Times New Roman" w:eastAsia="黑体"/>
          <w:color w:val="000000"/>
          <w:position w:val="3"/>
          <w:szCs w:val="32"/>
          <w:lang w:val="zh-CN"/>
        </w:rPr>
        <w:t>六、改进建议</w:t>
      </w:r>
      <w:bookmarkEnd w:id="118"/>
    </w:p>
    <w:p w14:paraId="0DBE51D8">
      <w:pPr>
        <w:tabs>
          <w:tab w:val="left" w:pos="1911"/>
        </w:tabs>
        <w:jc w:val="left"/>
        <w:rPr>
          <w:rFonts w:hint="eastAsia" w:ascii="仿宋" w:hAnsi="仿宋" w:eastAsia="仿宋" w:cs="仿宋"/>
          <w:color w:val="000000"/>
          <w:kern w:val="2"/>
          <w:szCs w:val="32"/>
        </w:rPr>
      </w:pPr>
      <w:r>
        <w:rPr>
          <w:rFonts w:hint="eastAsia" w:ascii="仿宋" w:hAnsi="仿宋" w:eastAsia="仿宋" w:cs="仿宋"/>
          <w:color w:val="000000"/>
          <w:kern w:val="2"/>
          <w:szCs w:val="32"/>
        </w:rPr>
        <w:t>无</w:t>
      </w:r>
    </w:p>
    <w:p w14:paraId="71A289C5">
      <w:pPr>
        <w:pStyle w:val="2"/>
        <w:widowControl w:val="0"/>
        <w:numPr>
          <w:ilvl w:val="0"/>
          <w:numId w:val="0"/>
        </w:numPr>
        <w:jc w:val="both"/>
      </w:pPr>
    </w:p>
    <w:p w14:paraId="5878A64A">
      <w:pPr>
        <w:pStyle w:val="2"/>
        <w:widowControl w:val="0"/>
        <w:numPr>
          <w:ilvl w:val="0"/>
          <w:numId w:val="0"/>
        </w:numPr>
        <w:jc w:val="both"/>
      </w:pPr>
    </w:p>
    <w:p w14:paraId="0F54FB06">
      <w:pPr>
        <w:pStyle w:val="2"/>
        <w:widowControl w:val="0"/>
        <w:numPr>
          <w:ilvl w:val="0"/>
          <w:numId w:val="0"/>
        </w:numPr>
        <w:jc w:val="both"/>
      </w:pPr>
    </w:p>
    <w:p w14:paraId="1F7DA39E">
      <w:pPr>
        <w:pStyle w:val="2"/>
        <w:widowControl w:val="0"/>
        <w:numPr>
          <w:ilvl w:val="0"/>
          <w:numId w:val="0"/>
        </w:numPr>
        <w:jc w:val="both"/>
      </w:pPr>
    </w:p>
    <w:p w14:paraId="650AF159">
      <w:pPr>
        <w:pStyle w:val="2"/>
        <w:widowControl w:val="0"/>
        <w:numPr>
          <w:ilvl w:val="0"/>
          <w:numId w:val="0"/>
        </w:numPr>
        <w:jc w:val="both"/>
      </w:pPr>
    </w:p>
    <w:p w14:paraId="64819E91">
      <w:pPr>
        <w:pStyle w:val="2"/>
        <w:widowControl w:val="0"/>
        <w:numPr>
          <w:ilvl w:val="0"/>
          <w:numId w:val="0"/>
        </w:numPr>
        <w:jc w:val="both"/>
      </w:pPr>
    </w:p>
    <w:p w14:paraId="4E8F4A80">
      <w:pPr>
        <w:pStyle w:val="2"/>
        <w:widowControl w:val="0"/>
        <w:numPr>
          <w:ilvl w:val="0"/>
          <w:numId w:val="0"/>
        </w:numPr>
        <w:jc w:val="both"/>
      </w:pPr>
    </w:p>
    <w:p w14:paraId="1C423F0C">
      <w:pPr>
        <w:pStyle w:val="2"/>
        <w:widowControl w:val="0"/>
        <w:numPr>
          <w:ilvl w:val="0"/>
          <w:numId w:val="0"/>
        </w:numPr>
        <w:jc w:val="both"/>
      </w:pPr>
    </w:p>
    <w:p w14:paraId="4C5F66BC">
      <w:pPr>
        <w:pStyle w:val="2"/>
        <w:widowControl w:val="0"/>
        <w:numPr>
          <w:ilvl w:val="0"/>
          <w:numId w:val="0"/>
        </w:numPr>
        <w:jc w:val="both"/>
      </w:pPr>
    </w:p>
    <w:p w14:paraId="7EEE5BEA">
      <w:pPr>
        <w:pStyle w:val="2"/>
        <w:widowControl w:val="0"/>
        <w:numPr>
          <w:ilvl w:val="0"/>
          <w:numId w:val="0"/>
        </w:numPr>
        <w:jc w:val="both"/>
      </w:pPr>
    </w:p>
    <w:p w14:paraId="6F703243">
      <w:pPr>
        <w:pStyle w:val="2"/>
        <w:widowControl w:val="0"/>
        <w:numPr>
          <w:ilvl w:val="0"/>
          <w:numId w:val="0"/>
        </w:numPr>
        <w:jc w:val="both"/>
      </w:pPr>
    </w:p>
    <w:p w14:paraId="7B884242">
      <w:pPr>
        <w:pStyle w:val="2"/>
        <w:widowControl w:val="0"/>
        <w:numPr>
          <w:ilvl w:val="0"/>
          <w:numId w:val="0"/>
        </w:numPr>
        <w:jc w:val="both"/>
      </w:pPr>
    </w:p>
    <w:tbl>
      <w:tblPr>
        <w:tblStyle w:val="36"/>
        <w:tblW w:w="5000" w:type="pct"/>
        <w:tblInd w:w="0" w:type="dxa"/>
        <w:tblLayout w:type="autofit"/>
        <w:tblCellMar>
          <w:top w:w="0" w:type="dxa"/>
          <w:left w:w="108" w:type="dxa"/>
          <w:bottom w:w="0" w:type="dxa"/>
          <w:right w:w="108" w:type="dxa"/>
        </w:tblCellMar>
      </w:tblPr>
      <w:tblGrid>
        <w:gridCol w:w="576"/>
        <w:gridCol w:w="986"/>
        <w:gridCol w:w="851"/>
        <w:gridCol w:w="1269"/>
        <w:gridCol w:w="396"/>
        <w:gridCol w:w="999"/>
        <w:gridCol w:w="396"/>
        <w:gridCol w:w="846"/>
        <w:gridCol w:w="486"/>
        <w:gridCol w:w="576"/>
        <w:gridCol w:w="1861"/>
      </w:tblGrid>
      <w:tr w14:paraId="662F24FA">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F67F137">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62A3282A">
        <w:tblPrEx>
          <w:tblCellMar>
            <w:top w:w="0" w:type="dxa"/>
            <w:left w:w="108" w:type="dxa"/>
            <w:bottom w:w="0" w:type="dxa"/>
            <w:right w:w="108" w:type="dxa"/>
          </w:tblCellMar>
        </w:tblPrEx>
        <w:trPr>
          <w:trHeight w:val="559" w:hRule="atLeast"/>
        </w:trPr>
        <w:tc>
          <w:tcPr>
            <w:tcW w:w="816" w:type="pct"/>
            <w:gridSpan w:val="2"/>
            <w:tcBorders>
              <w:top w:val="nil"/>
              <w:left w:val="single" w:color="auto" w:sz="4" w:space="0"/>
              <w:bottom w:val="single" w:color="000000" w:sz="4" w:space="0"/>
              <w:right w:val="single" w:color="auto" w:sz="4" w:space="0"/>
            </w:tcBorders>
            <w:shd w:val="clear" w:color="auto" w:fill="auto"/>
            <w:vAlign w:val="center"/>
          </w:tcPr>
          <w:p w14:paraId="2B9AD1D2">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184" w:type="pct"/>
            <w:gridSpan w:val="9"/>
            <w:tcBorders>
              <w:top w:val="nil"/>
              <w:left w:val="nil"/>
              <w:bottom w:val="single" w:color="000000" w:sz="4" w:space="0"/>
              <w:right w:val="single" w:color="auto" w:sz="4" w:space="0"/>
            </w:tcBorders>
            <w:shd w:val="clear" w:color="auto" w:fill="auto"/>
            <w:vAlign w:val="center"/>
          </w:tcPr>
          <w:p w14:paraId="6C1CCAE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51090422T000000378652-采购公共法律服务</w:t>
            </w:r>
          </w:p>
        </w:tc>
      </w:tr>
      <w:tr w14:paraId="47948FF7">
        <w:tblPrEx>
          <w:tblCellMar>
            <w:top w:w="0" w:type="dxa"/>
            <w:left w:w="108" w:type="dxa"/>
            <w:bottom w:w="0" w:type="dxa"/>
            <w:right w:w="108" w:type="dxa"/>
          </w:tblCellMar>
        </w:tblPrEx>
        <w:trPr>
          <w:trHeight w:val="514" w:hRule="atLeast"/>
        </w:trPr>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4E2E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281" w:type="pct"/>
            <w:gridSpan w:val="5"/>
            <w:tcBorders>
              <w:top w:val="single" w:color="000000" w:sz="4" w:space="0"/>
              <w:left w:val="nil"/>
              <w:bottom w:val="single" w:color="000000" w:sz="4" w:space="0"/>
              <w:right w:val="single" w:color="000000" w:sz="4" w:space="0"/>
            </w:tcBorders>
            <w:shd w:val="clear" w:color="auto" w:fill="auto"/>
            <w:vAlign w:val="center"/>
          </w:tcPr>
          <w:p w14:paraId="3A0DD2BB">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408" w:type="pct"/>
            <w:tcBorders>
              <w:top w:val="nil"/>
              <w:left w:val="nil"/>
              <w:bottom w:val="nil"/>
              <w:right w:val="nil"/>
            </w:tcBorders>
            <w:shd w:val="clear" w:color="auto" w:fill="auto"/>
            <w:vAlign w:val="center"/>
          </w:tcPr>
          <w:p w14:paraId="5DA1202F">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AC29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7A773253">
        <w:tblPrEx>
          <w:tblCellMar>
            <w:top w:w="0" w:type="dxa"/>
            <w:left w:w="108" w:type="dxa"/>
            <w:bottom w:w="0" w:type="dxa"/>
            <w:right w:w="108" w:type="dxa"/>
          </w:tblCellMar>
        </w:tblPrEx>
        <w:trPr>
          <w:trHeight w:val="360"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66AE7288">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605" w:type="pct"/>
            <w:vMerge w:val="restart"/>
            <w:tcBorders>
              <w:top w:val="nil"/>
              <w:left w:val="single" w:color="000000" w:sz="4" w:space="0"/>
              <w:bottom w:val="single" w:color="000000" w:sz="4" w:space="0"/>
              <w:right w:val="single" w:color="000000" w:sz="4" w:space="0"/>
            </w:tcBorders>
            <w:shd w:val="clear" w:color="auto" w:fill="auto"/>
            <w:vAlign w:val="center"/>
          </w:tcPr>
          <w:p w14:paraId="3C80A2C2">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281" w:type="pct"/>
            <w:gridSpan w:val="5"/>
            <w:tcBorders>
              <w:top w:val="single" w:color="000000" w:sz="4" w:space="0"/>
              <w:left w:val="nil"/>
              <w:bottom w:val="single" w:color="000000" w:sz="4" w:space="0"/>
              <w:right w:val="single" w:color="000000" w:sz="4" w:space="0"/>
            </w:tcBorders>
            <w:shd w:val="clear" w:color="auto" w:fill="auto"/>
            <w:vAlign w:val="center"/>
          </w:tcPr>
          <w:p w14:paraId="6313207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902" w:type="pct"/>
            <w:gridSpan w:val="4"/>
            <w:tcBorders>
              <w:top w:val="single" w:color="000000" w:sz="4" w:space="0"/>
              <w:left w:val="nil"/>
              <w:bottom w:val="single" w:color="000000" w:sz="4" w:space="0"/>
              <w:right w:val="single" w:color="000000" w:sz="4" w:space="0"/>
            </w:tcBorders>
            <w:shd w:val="clear" w:color="auto" w:fill="auto"/>
            <w:vAlign w:val="center"/>
          </w:tcPr>
          <w:p w14:paraId="3A39F31D">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1BD97812">
        <w:tblPrEx>
          <w:tblCellMar>
            <w:top w:w="0" w:type="dxa"/>
            <w:left w:w="108" w:type="dxa"/>
            <w:bottom w:w="0" w:type="dxa"/>
            <w:right w:w="108" w:type="dxa"/>
          </w:tblCellMar>
        </w:tblPrEx>
        <w:trPr>
          <w:trHeight w:val="2682" w:hRule="atLeast"/>
        </w:trPr>
        <w:tc>
          <w:tcPr>
            <w:tcW w:w="211" w:type="pct"/>
            <w:vMerge w:val="continue"/>
            <w:tcBorders>
              <w:top w:val="nil"/>
              <w:left w:val="single" w:color="000000" w:sz="4" w:space="0"/>
              <w:bottom w:val="single" w:color="000000" w:sz="4" w:space="0"/>
              <w:right w:val="single" w:color="000000" w:sz="4" w:space="0"/>
            </w:tcBorders>
            <w:vAlign w:val="center"/>
          </w:tcPr>
          <w:p w14:paraId="60CD5D74">
            <w:pPr>
              <w:widowControl/>
              <w:jc w:val="left"/>
              <w:rPr>
                <w:rFonts w:ascii="宋体" w:hAnsi="宋体" w:eastAsia="宋体" w:cs="宋体"/>
                <w:color w:val="000000"/>
                <w:sz w:val="18"/>
                <w:szCs w:val="18"/>
              </w:rPr>
            </w:pPr>
          </w:p>
        </w:tc>
        <w:tc>
          <w:tcPr>
            <w:tcW w:w="605" w:type="pct"/>
            <w:vMerge w:val="continue"/>
            <w:tcBorders>
              <w:top w:val="nil"/>
              <w:left w:val="single" w:color="000000" w:sz="4" w:space="0"/>
              <w:bottom w:val="single" w:color="000000" w:sz="4" w:space="0"/>
              <w:right w:val="single" w:color="000000" w:sz="4" w:space="0"/>
            </w:tcBorders>
            <w:vAlign w:val="center"/>
          </w:tcPr>
          <w:p w14:paraId="1E447618">
            <w:pPr>
              <w:widowControl/>
              <w:jc w:val="left"/>
              <w:rPr>
                <w:rFonts w:ascii="宋体" w:hAnsi="宋体" w:eastAsia="宋体" w:cs="宋体"/>
                <w:color w:val="000000"/>
                <w:sz w:val="18"/>
                <w:szCs w:val="18"/>
              </w:rPr>
            </w:pPr>
          </w:p>
        </w:tc>
        <w:tc>
          <w:tcPr>
            <w:tcW w:w="2281" w:type="pct"/>
            <w:gridSpan w:val="5"/>
            <w:tcBorders>
              <w:top w:val="single" w:color="000000" w:sz="4" w:space="0"/>
              <w:left w:val="nil"/>
              <w:bottom w:val="single" w:color="000000" w:sz="4" w:space="0"/>
              <w:right w:val="single" w:color="000000" w:sz="4" w:space="0"/>
            </w:tcBorders>
            <w:shd w:val="clear" w:color="auto" w:fill="auto"/>
            <w:vAlign w:val="center"/>
          </w:tcPr>
          <w:p w14:paraId="5DB89E7A">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推进法治政府建设，提高依法行政水平，全面推行法律顾问制度，加强社会主义法治文化建设，建设法治政府，为政府及时提供法律服务，降低风险。</w:t>
            </w:r>
          </w:p>
        </w:tc>
        <w:tc>
          <w:tcPr>
            <w:tcW w:w="1902" w:type="pct"/>
            <w:gridSpan w:val="4"/>
            <w:tcBorders>
              <w:top w:val="single" w:color="000000" w:sz="4" w:space="0"/>
              <w:left w:val="nil"/>
              <w:bottom w:val="single" w:color="000000" w:sz="4" w:space="0"/>
              <w:right w:val="single" w:color="000000" w:sz="4" w:space="0"/>
            </w:tcBorders>
            <w:shd w:val="clear" w:color="auto" w:fill="auto"/>
            <w:vAlign w:val="center"/>
          </w:tcPr>
          <w:p w14:paraId="6930EBA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依托公共法律服务中心建成安居区“一站式”矛盾纠纷多元化解平台，整合诉讼服务、检察服务、信访服务、人民调解、法律援助、行政复议、公证服务，实现群众办理涉法事务“只跑一次”。全年共协调化解重大矛盾纠纷14件，办理公证事项713件。</w:t>
            </w:r>
          </w:p>
        </w:tc>
      </w:tr>
      <w:tr w14:paraId="07C5D4AF">
        <w:tblPrEx>
          <w:tblCellMar>
            <w:top w:w="0" w:type="dxa"/>
            <w:left w:w="108" w:type="dxa"/>
            <w:bottom w:w="0" w:type="dxa"/>
            <w:right w:w="108" w:type="dxa"/>
          </w:tblCellMar>
        </w:tblPrEx>
        <w:trPr>
          <w:trHeight w:val="1140" w:hRule="atLeast"/>
        </w:trPr>
        <w:tc>
          <w:tcPr>
            <w:tcW w:w="211" w:type="pct"/>
            <w:vMerge w:val="continue"/>
            <w:tcBorders>
              <w:top w:val="nil"/>
              <w:left w:val="single" w:color="000000" w:sz="4" w:space="0"/>
              <w:bottom w:val="single" w:color="000000" w:sz="4" w:space="0"/>
              <w:right w:val="single" w:color="000000" w:sz="4" w:space="0"/>
            </w:tcBorders>
            <w:vAlign w:val="center"/>
          </w:tcPr>
          <w:p w14:paraId="6C3F9E7D">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28203249">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184" w:type="pct"/>
            <w:gridSpan w:val="9"/>
            <w:tcBorders>
              <w:top w:val="single" w:color="000000" w:sz="4" w:space="0"/>
              <w:left w:val="nil"/>
              <w:bottom w:val="single" w:color="000000" w:sz="4" w:space="0"/>
              <w:right w:val="single" w:color="000000" w:sz="4" w:space="0"/>
            </w:tcBorders>
            <w:shd w:val="clear" w:color="auto" w:fill="auto"/>
            <w:vAlign w:val="center"/>
          </w:tcPr>
          <w:p w14:paraId="70441DB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依托公共法律服务中心建成安居区“一站式”矛盾纠纷多元化解平台，整合诉讼服务、检察服务、信访服务、人民调解、法律援助、行政复议、公证服务，实现群众办理涉法事务“只跑一次”。全年共协调化解重大矛盾纠纷14件，办理公证事项713件。</w:t>
            </w:r>
          </w:p>
        </w:tc>
      </w:tr>
      <w:tr w14:paraId="33149BFA">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4D16285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605" w:type="pct"/>
            <w:tcBorders>
              <w:top w:val="nil"/>
              <w:left w:val="nil"/>
              <w:bottom w:val="single" w:color="000000" w:sz="4" w:space="0"/>
              <w:right w:val="single" w:color="000000" w:sz="4" w:space="0"/>
            </w:tcBorders>
            <w:shd w:val="clear" w:color="auto" w:fill="auto"/>
            <w:vAlign w:val="center"/>
          </w:tcPr>
          <w:p w14:paraId="303A01A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532" w:type="pct"/>
            <w:tcBorders>
              <w:top w:val="nil"/>
              <w:left w:val="nil"/>
              <w:bottom w:val="single" w:color="000000" w:sz="4" w:space="0"/>
              <w:right w:val="single" w:color="000000" w:sz="4" w:space="0"/>
            </w:tcBorders>
            <w:shd w:val="clear" w:color="auto" w:fill="auto"/>
            <w:vAlign w:val="center"/>
          </w:tcPr>
          <w:p w14:paraId="72982AB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758" w:type="pct"/>
            <w:tcBorders>
              <w:top w:val="nil"/>
              <w:left w:val="nil"/>
              <w:bottom w:val="single" w:color="000000" w:sz="4" w:space="0"/>
              <w:right w:val="single" w:color="000000" w:sz="4" w:space="0"/>
            </w:tcBorders>
            <w:shd w:val="clear" w:color="auto" w:fill="auto"/>
            <w:vAlign w:val="center"/>
          </w:tcPr>
          <w:p w14:paraId="6C8A500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0215C4A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408" w:type="pct"/>
            <w:tcBorders>
              <w:top w:val="nil"/>
              <w:left w:val="nil"/>
              <w:bottom w:val="single" w:color="000000" w:sz="4" w:space="0"/>
              <w:right w:val="single" w:color="000000" w:sz="4" w:space="0"/>
            </w:tcBorders>
            <w:shd w:val="clear" w:color="auto" w:fill="auto"/>
            <w:vAlign w:val="center"/>
          </w:tcPr>
          <w:p w14:paraId="22B400D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90" w:type="pct"/>
            <w:tcBorders>
              <w:top w:val="nil"/>
              <w:left w:val="nil"/>
              <w:bottom w:val="single" w:color="000000" w:sz="4" w:space="0"/>
              <w:right w:val="single" w:color="000000" w:sz="4" w:space="0"/>
            </w:tcBorders>
            <w:shd w:val="clear" w:color="auto" w:fill="auto"/>
            <w:vAlign w:val="center"/>
          </w:tcPr>
          <w:p w14:paraId="3A815E0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26" w:type="pct"/>
            <w:tcBorders>
              <w:top w:val="nil"/>
              <w:left w:val="nil"/>
              <w:bottom w:val="single" w:color="000000" w:sz="4" w:space="0"/>
              <w:right w:val="single" w:color="000000" w:sz="4" w:space="0"/>
            </w:tcBorders>
            <w:shd w:val="clear" w:color="auto" w:fill="auto"/>
            <w:vAlign w:val="center"/>
          </w:tcPr>
          <w:p w14:paraId="3160E4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79" w:type="pct"/>
            <w:tcBorders>
              <w:top w:val="nil"/>
              <w:left w:val="nil"/>
              <w:bottom w:val="single" w:color="000000" w:sz="4" w:space="0"/>
              <w:right w:val="single" w:color="000000" w:sz="4" w:space="0"/>
            </w:tcBorders>
            <w:shd w:val="clear" w:color="auto" w:fill="auto"/>
            <w:vAlign w:val="center"/>
          </w:tcPr>
          <w:p w14:paraId="34E3432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61166D2D">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01974B43">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61A937C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532" w:type="pct"/>
            <w:tcBorders>
              <w:top w:val="nil"/>
              <w:left w:val="nil"/>
              <w:bottom w:val="single" w:color="000000" w:sz="4" w:space="0"/>
              <w:right w:val="single" w:color="000000" w:sz="4" w:space="0"/>
            </w:tcBorders>
            <w:shd w:val="clear" w:color="auto" w:fill="auto"/>
            <w:vAlign w:val="center"/>
          </w:tcPr>
          <w:p w14:paraId="6F2968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758" w:type="pct"/>
            <w:tcBorders>
              <w:top w:val="nil"/>
              <w:left w:val="nil"/>
              <w:bottom w:val="single" w:color="000000" w:sz="4" w:space="0"/>
              <w:right w:val="single" w:color="000000" w:sz="4" w:space="0"/>
            </w:tcBorders>
            <w:shd w:val="clear" w:color="auto" w:fill="auto"/>
            <w:vAlign w:val="center"/>
          </w:tcPr>
          <w:p w14:paraId="2AC4E43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18.00</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769614D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18.00</w:t>
            </w:r>
          </w:p>
        </w:tc>
        <w:tc>
          <w:tcPr>
            <w:tcW w:w="408" w:type="pct"/>
            <w:tcBorders>
              <w:top w:val="nil"/>
              <w:left w:val="nil"/>
              <w:bottom w:val="single" w:color="000000" w:sz="4" w:space="0"/>
              <w:right w:val="single" w:color="000000" w:sz="4" w:space="0"/>
            </w:tcBorders>
            <w:shd w:val="clear" w:color="auto" w:fill="auto"/>
            <w:vAlign w:val="center"/>
          </w:tcPr>
          <w:p w14:paraId="5636ADE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90" w:type="pct"/>
            <w:tcBorders>
              <w:top w:val="nil"/>
              <w:left w:val="nil"/>
              <w:bottom w:val="single" w:color="000000" w:sz="4" w:space="0"/>
              <w:right w:val="single" w:color="000000" w:sz="4" w:space="0"/>
            </w:tcBorders>
            <w:shd w:val="clear" w:color="auto" w:fill="auto"/>
            <w:vAlign w:val="center"/>
          </w:tcPr>
          <w:p w14:paraId="75A263B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66249EF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vMerge w:val="restart"/>
            <w:tcBorders>
              <w:top w:val="nil"/>
              <w:left w:val="single" w:color="000000" w:sz="4" w:space="0"/>
              <w:bottom w:val="single" w:color="000000" w:sz="4" w:space="0"/>
              <w:right w:val="single" w:color="000000" w:sz="4" w:space="0"/>
            </w:tcBorders>
            <w:shd w:val="clear" w:color="auto" w:fill="auto"/>
            <w:vAlign w:val="center"/>
          </w:tcPr>
          <w:p w14:paraId="18973272">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　</w:t>
            </w:r>
          </w:p>
        </w:tc>
      </w:tr>
      <w:tr w14:paraId="3030EFB2">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27E6DEAD">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43FD86A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532" w:type="pct"/>
            <w:tcBorders>
              <w:top w:val="nil"/>
              <w:left w:val="nil"/>
              <w:bottom w:val="single" w:color="000000" w:sz="4" w:space="0"/>
              <w:right w:val="single" w:color="000000" w:sz="4" w:space="0"/>
            </w:tcBorders>
            <w:shd w:val="clear" w:color="auto" w:fill="auto"/>
            <w:vAlign w:val="center"/>
          </w:tcPr>
          <w:p w14:paraId="6C56FC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758" w:type="pct"/>
            <w:tcBorders>
              <w:top w:val="nil"/>
              <w:left w:val="nil"/>
              <w:bottom w:val="single" w:color="000000" w:sz="4" w:space="0"/>
              <w:right w:val="single" w:color="000000" w:sz="4" w:space="0"/>
            </w:tcBorders>
            <w:shd w:val="clear" w:color="auto" w:fill="auto"/>
            <w:vAlign w:val="center"/>
          </w:tcPr>
          <w:p w14:paraId="2A50BE3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18.00</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396A2EC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18.00</w:t>
            </w:r>
          </w:p>
        </w:tc>
        <w:tc>
          <w:tcPr>
            <w:tcW w:w="408" w:type="pct"/>
            <w:tcBorders>
              <w:top w:val="nil"/>
              <w:left w:val="nil"/>
              <w:bottom w:val="single" w:color="000000" w:sz="4" w:space="0"/>
              <w:right w:val="single" w:color="000000" w:sz="4" w:space="0"/>
            </w:tcBorders>
            <w:shd w:val="clear" w:color="auto" w:fill="auto"/>
            <w:vAlign w:val="center"/>
          </w:tcPr>
          <w:p w14:paraId="12C2FA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90" w:type="pct"/>
            <w:tcBorders>
              <w:top w:val="nil"/>
              <w:left w:val="nil"/>
              <w:bottom w:val="single" w:color="000000" w:sz="4" w:space="0"/>
              <w:right w:val="single" w:color="000000" w:sz="4" w:space="0"/>
            </w:tcBorders>
            <w:shd w:val="clear" w:color="auto" w:fill="auto"/>
            <w:vAlign w:val="center"/>
          </w:tcPr>
          <w:p w14:paraId="71544D6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43D4D9E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9" w:type="pct"/>
            <w:vMerge w:val="continue"/>
            <w:tcBorders>
              <w:top w:val="nil"/>
              <w:left w:val="single" w:color="000000" w:sz="4" w:space="0"/>
              <w:bottom w:val="single" w:color="000000" w:sz="4" w:space="0"/>
              <w:right w:val="single" w:color="000000" w:sz="4" w:space="0"/>
            </w:tcBorders>
            <w:vAlign w:val="center"/>
          </w:tcPr>
          <w:p w14:paraId="7C1B856D">
            <w:pPr>
              <w:widowControl/>
              <w:jc w:val="left"/>
              <w:rPr>
                <w:rFonts w:ascii="Courier New" w:hAnsi="Courier New" w:eastAsia="宋体" w:cs="Courier New"/>
                <w:color w:val="000000"/>
                <w:sz w:val="16"/>
                <w:szCs w:val="16"/>
              </w:rPr>
            </w:pPr>
          </w:p>
        </w:tc>
      </w:tr>
      <w:tr w14:paraId="12790449">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312864A7">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25F51D08">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532" w:type="pct"/>
            <w:tcBorders>
              <w:top w:val="nil"/>
              <w:left w:val="nil"/>
              <w:bottom w:val="single" w:color="000000" w:sz="4" w:space="0"/>
              <w:right w:val="single" w:color="000000" w:sz="4" w:space="0"/>
            </w:tcBorders>
            <w:shd w:val="clear" w:color="auto" w:fill="auto"/>
            <w:vAlign w:val="center"/>
          </w:tcPr>
          <w:p w14:paraId="2754856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8" w:type="pct"/>
            <w:tcBorders>
              <w:top w:val="nil"/>
              <w:left w:val="nil"/>
              <w:bottom w:val="single" w:color="000000" w:sz="4" w:space="0"/>
              <w:right w:val="single" w:color="000000" w:sz="4" w:space="0"/>
            </w:tcBorders>
            <w:shd w:val="clear" w:color="auto" w:fill="auto"/>
            <w:vAlign w:val="center"/>
          </w:tcPr>
          <w:p w14:paraId="5192750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0A5BC0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8" w:type="pct"/>
            <w:tcBorders>
              <w:top w:val="nil"/>
              <w:left w:val="nil"/>
              <w:bottom w:val="single" w:color="000000" w:sz="4" w:space="0"/>
              <w:right w:val="single" w:color="000000" w:sz="4" w:space="0"/>
            </w:tcBorders>
            <w:shd w:val="clear" w:color="auto" w:fill="auto"/>
            <w:vAlign w:val="center"/>
          </w:tcPr>
          <w:p w14:paraId="3C43B51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45CE16B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781C18D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9" w:type="pct"/>
            <w:vMerge w:val="continue"/>
            <w:tcBorders>
              <w:top w:val="nil"/>
              <w:left w:val="single" w:color="000000" w:sz="4" w:space="0"/>
              <w:bottom w:val="single" w:color="000000" w:sz="4" w:space="0"/>
              <w:right w:val="single" w:color="000000" w:sz="4" w:space="0"/>
            </w:tcBorders>
            <w:vAlign w:val="center"/>
          </w:tcPr>
          <w:p w14:paraId="79AE78B7">
            <w:pPr>
              <w:widowControl/>
              <w:jc w:val="left"/>
              <w:rPr>
                <w:rFonts w:ascii="Courier New" w:hAnsi="Courier New" w:eastAsia="宋体" w:cs="Courier New"/>
                <w:color w:val="000000"/>
                <w:sz w:val="16"/>
                <w:szCs w:val="16"/>
              </w:rPr>
            </w:pPr>
          </w:p>
        </w:tc>
      </w:tr>
      <w:tr w14:paraId="6A69D8DB">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1A423B47">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3BF1BC8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532" w:type="pct"/>
            <w:tcBorders>
              <w:top w:val="nil"/>
              <w:left w:val="nil"/>
              <w:bottom w:val="single" w:color="000000" w:sz="4" w:space="0"/>
              <w:right w:val="single" w:color="000000" w:sz="4" w:space="0"/>
            </w:tcBorders>
            <w:shd w:val="clear" w:color="auto" w:fill="auto"/>
            <w:vAlign w:val="center"/>
          </w:tcPr>
          <w:p w14:paraId="58EEF8A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8" w:type="pct"/>
            <w:tcBorders>
              <w:top w:val="nil"/>
              <w:left w:val="nil"/>
              <w:bottom w:val="single" w:color="000000" w:sz="4" w:space="0"/>
              <w:right w:val="single" w:color="000000" w:sz="4" w:space="0"/>
            </w:tcBorders>
            <w:shd w:val="clear" w:color="auto" w:fill="auto"/>
            <w:vAlign w:val="center"/>
          </w:tcPr>
          <w:p w14:paraId="6C9868C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4A8CD51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8" w:type="pct"/>
            <w:tcBorders>
              <w:top w:val="nil"/>
              <w:left w:val="nil"/>
              <w:bottom w:val="single" w:color="000000" w:sz="4" w:space="0"/>
              <w:right w:val="single" w:color="000000" w:sz="4" w:space="0"/>
            </w:tcBorders>
            <w:shd w:val="clear" w:color="auto" w:fill="auto"/>
            <w:vAlign w:val="center"/>
          </w:tcPr>
          <w:p w14:paraId="11D84D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5AD181E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2C713C9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9" w:type="pct"/>
            <w:vMerge w:val="continue"/>
            <w:tcBorders>
              <w:top w:val="nil"/>
              <w:left w:val="single" w:color="000000" w:sz="4" w:space="0"/>
              <w:bottom w:val="single" w:color="000000" w:sz="4" w:space="0"/>
              <w:right w:val="single" w:color="000000" w:sz="4" w:space="0"/>
            </w:tcBorders>
            <w:vAlign w:val="center"/>
          </w:tcPr>
          <w:p w14:paraId="25D71D66">
            <w:pPr>
              <w:widowControl/>
              <w:jc w:val="left"/>
              <w:rPr>
                <w:rFonts w:ascii="Courier New" w:hAnsi="Courier New" w:eastAsia="宋体" w:cs="Courier New"/>
                <w:color w:val="000000"/>
                <w:sz w:val="16"/>
                <w:szCs w:val="16"/>
              </w:rPr>
            </w:pPr>
          </w:p>
        </w:tc>
      </w:tr>
      <w:tr w14:paraId="5B1A6530">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4470D0B8">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345F246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532" w:type="pct"/>
            <w:tcBorders>
              <w:top w:val="nil"/>
              <w:left w:val="nil"/>
              <w:bottom w:val="single" w:color="000000" w:sz="4" w:space="0"/>
              <w:right w:val="single" w:color="000000" w:sz="4" w:space="0"/>
            </w:tcBorders>
            <w:shd w:val="clear" w:color="auto" w:fill="auto"/>
            <w:vAlign w:val="center"/>
          </w:tcPr>
          <w:p w14:paraId="5BF360A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758" w:type="pct"/>
            <w:tcBorders>
              <w:top w:val="nil"/>
              <w:left w:val="nil"/>
              <w:bottom w:val="single" w:color="000000" w:sz="4" w:space="0"/>
              <w:right w:val="single" w:color="000000" w:sz="4" w:space="0"/>
            </w:tcBorders>
            <w:shd w:val="clear" w:color="auto" w:fill="auto"/>
            <w:vAlign w:val="center"/>
          </w:tcPr>
          <w:p w14:paraId="11BE211A">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0F7CEDF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08" w:type="pct"/>
            <w:tcBorders>
              <w:top w:val="nil"/>
              <w:left w:val="nil"/>
              <w:bottom w:val="single" w:color="000000" w:sz="4" w:space="0"/>
              <w:right w:val="single" w:color="000000" w:sz="4" w:space="0"/>
            </w:tcBorders>
            <w:shd w:val="clear" w:color="auto" w:fill="auto"/>
            <w:vAlign w:val="center"/>
          </w:tcPr>
          <w:p w14:paraId="2496F55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90" w:type="pct"/>
            <w:tcBorders>
              <w:top w:val="nil"/>
              <w:left w:val="nil"/>
              <w:bottom w:val="single" w:color="000000" w:sz="4" w:space="0"/>
              <w:right w:val="single" w:color="000000" w:sz="4" w:space="0"/>
            </w:tcBorders>
            <w:shd w:val="clear" w:color="auto" w:fill="auto"/>
            <w:vAlign w:val="center"/>
          </w:tcPr>
          <w:p w14:paraId="298D23B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2DE44BA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9" w:type="pct"/>
            <w:vMerge w:val="continue"/>
            <w:tcBorders>
              <w:top w:val="nil"/>
              <w:left w:val="single" w:color="000000" w:sz="4" w:space="0"/>
              <w:bottom w:val="single" w:color="000000" w:sz="4" w:space="0"/>
              <w:right w:val="single" w:color="000000" w:sz="4" w:space="0"/>
            </w:tcBorders>
            <w:vAlign w:val="center"/>
          </w:tcPr>
          <w:p w14:paraId="3FE5B8D1">
            <w:pPr>
              <w:widowControl/>
              <w:jc w:val="left"/>
              <w:rPr>
                <w:rFonts w:ascii="Courier New" w:hAnsi="Courier New" w:eastAsia="宋体" w:cs="Courier New"/>
                <w:color w:val="000000"/>
                <w:sz w:val="16"/>
                <w:szCs w:val="16"/>
              </w:rPr>
            </w:pPr>
          </w:p>
        </w:tc>
      </w:tr>
      <w:tr w14:paraId="6F58BCEA">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nil"/>
              <w:right w:val="single" w:color="000000" w:sz="4" w:space="0"/>
            </w:tcBorders>
            <w:shd w:val="clear" w:color="auto" w:fill="auto"/>
            <w:vAlign w:val="center"/>
          </w:tcPr>
          <w:p w14:paraId="30592A1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605" w:type="pct"/>
            <w:tcBorders>
              <w:top w:val="nil"/>
              <w:left w:val="nil"/>
              <w:bottom w:val="single" w:color="000000" w:sz="4" w:space="0"/>
              <w:right w:val="single" w:color="000000" w:sz="4" w:space="0"/>
            </w:tcBorders>
            <w:shd w:val="clear" w:color="auto" w:fill="auto"/>
            <w:vAlign w:val="center"/>
          </w:tcPr>
          <w:p w14:paraId="1C78836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532" w:type="pct"/>
            <w:tcBorders>
              <w:top w:val="nil"/>
              <w:left w:val="nil"/>
              <w:bottom w:val="single" w:color="000000" w:sz="4" w:space="0"/>
              <w:right w:val="single" w:color="000000" w:sz="4" w:space="0"/>
            </w:tcBorders>
            <w:shd w:val="clear" w:color="auto" w:fill="auto"/>
            <w:vAlign w:val="center"/>
          </w:tcPr>
          <w:p w14:paraId="2446033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758" w:type="pct"/>
            <w:tcBorders>
              <w:top w:val="nil"/>
              <w:left w:val="nil"/>
              <w:bottom w:val="single" w:color="000000" w:sz="4" w:space="0"/>
              <w:right w:val="single" w:color="000000" w:sz="4" w:space="0"/>
            </w:tcBorders>
            <w:shd w:val="clear" w:color="auto" w:fill="auto"/>
            <w:vAlign w:val="center"/>
          </w:tcPr>
          <w:p w14:paraId="19EA365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90" w:type="pct"/>
            <w:tcBorders>
              <w:top w:val="nil"/>
              <w:left w:val="nil"/>
              <w:bottom w:val="single" w:color="000000" w:sz="4" w:space="0"/>
              <w:right w:val="single" w:color="000000" w:sz="4" w:space="0"/>
            </w:tcBorders>
            <w:shd w:val="clear" w:color="auto" w:fill="auto"/>
            <w:vAlign w:val="center"/>
          </w:tcPr>
          <w:p w14:paraId="3C2E3AA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612" w:type="pct"/>
            <w:tcBorders>
              <w:top w:val="nil"/>
              <w:left w:val="nil"/>
              <w:bottom w:val="single" w:color="000000" w:sz="4" w:space="0"/>
              <w:right w:val="single" w:color="000000" w:sz="4" w:space="0"/>
            </w:tcBorders>
            <w:shd w:val="clear" w:color="auto" w:fill="auto"/>
            <w:vAlign w:val="center"/>
          </w:tcPr>
          <w:p w14:paraId="0D775E5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190" w:type="pct"/>
            <w:tcBorders>
              <w:top w:val="nil"/>
              <w:left w:val="nil"/>
              <w:bottom w:val="single" w:color="000000" w:sz="4" w:space="0"/>
              <w:right w:val="single" w:color="000000" w:sz="4" w:space="0"/>
            </w:tcBorders>
            <w:shd w:val="clear" w:color="auto" w:fill="auto"/>
            <w:vAlign w:val="center"/>
          </w:tcPr>
          <w:p w14:paraId="1AEE13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408" w:type="pct"/>
            <w:tcBorders>
              <w:top w:val="nil"/>
              <w:left w:val="nil"/>
              <w:bottom w:val="single" w:color="000000" w:sz="4" w:space="0"/>
              <w:right w:val="single" w:color="000000" w:sz="4" w:space="0"/>
            </w:tcBorders>
            <w:shd w:val="clear" w:color="auto" w:fill="auto"/>
            <w:vAlign w:val="center"/>
          </w:tcPr>
          <w:p w14:paraId="769DA36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90" w:type="pct"/>
            <w:tcBorders>
              <w:top w:val="nil"/>
              <w:left w:val="nil"/>
              <w:bottom w:val="single" w:color="000000" w:sz="4" w:space="0"/>
              <w:right w:val="single" w:color="000000" w:sz="4" w:space="0"/>
            </w:tcBorders>
            <w:shd w:val="clear" w:color="auto" w:fill="auto"/>
            <w:vAlign w:val="center"/>
          </w:tcPr>
          <w:p w14:paraId="6BDF08A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26" w:type="pct"/>
            <w:tcBorders>
              <w:top w:val="nil"/>
              <w:left w:val="nil"/>
              <w:bottom w:val="single" w:color="000000" w:sz="4" w:space="0"/>
              <w:right w:val="single" w:color="000000" w:sz="4" w:space="0"/>
            </w:tcBorders>
            <w:shd w:val="clear" w:color="auto" w:fill="auto"/>
            <w:vAlign w:val="center"/>
          </w:tcPr>
          <w:p w14:paraId="25973C5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79" w:type="pct"/>
            <w:tcBorders>
              <w:top w:val="nil"/>
              <w:left w:val="nil"/>
              <w:bottom w:val="single" w:color="000000" w:sz="4" w:space="0"/>
              <w:right w:val="single" w:color="000000" w:sz="4" w:space="0"/>
            </w:tcBorders>
            <w:shd w:val="clear" w:color="auto" w:fill="auto"/>
            <w:vAlign w:val="center"/>
          </w:tcPr>
          <w:p w14:paraId="0ADCE7A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78E4EE0D">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62B2DEAA">
            <w:pPr>
              <w:widowControl/>
              <w:jc w:val="left"/>
              <w:rPr>
                <w:rFonts w:ascii="宋体" w:hAnsi="宋体" w:eastAsia="宋体" w:cs="宋体"/>
                <w:color w:val="000000"/>
                <w:sz w:val="18"/>
                <w:szCs w:val="18"/>
              </w:rPr>
            </w:pPr>
          </w:p>
        </w:tc>
        <w:tc>
          <w:tcPr>
            <w:tcW w:w="605" w:type="pct"/>
            <w:vMerge w:val="restart"/>
            <w:tcBorders>
              <w:top w:val="nil"/>
              <w:left w:val="single" w:color="000000" w:sz="4" w:space="0"/>
              <w:bottom w:val="single" w:color="000000" w:sz="4" w:space="0"/>
              <w:right w:val="single" w:color="000000" w:sz="4" w:space="0"/>
            </w:tcBorders>
            <w:shd w:val="clear" w:color="auto" w:fill="auto"/>
            <w:vAlign w:val="center"/>
          </w:tcPr>
          <w:p w14:paraId="73A26E5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532" w:type="pct"/>
            <w:tcBorders>
              <w:top w:val="nil"/>
              <w:left w:val="nil"/>
              <w:bottom w:val="single" w:color="000000" w:sz="4" w:space="0"/>
              <w:right w:val="single" w:color="000000" w:sz="4" w:space="0"/>
            </w:tcBorders>
            <w:shd w:val="clear" w:color="auto" w:fill="auto"/>
            <w:vAlign w:val="center"/>
          </w:tcPr>
          <w:p w14:paraId="124A539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758" w:type="pct"/>
            <w:tcBorders>
              <w:top w:val="nil"/>
              <w:left w:val="nil"/>
              <w:bottom w:val="single" w:color="000000" w:sz="4" w:space="0"/>
              <w:right w:val="single" w:color="000000" w:sz="4" w:space="0"/>
            </w:tcBorders>
            <w:shd w:val="clear" w:color="auto" w:fill="auto"/>
            <w:vAlign w:val="center"/>
          </w:tcPr>
          <w:p w14:paraId="73B1EED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律师到信访局、法院、检察院值班次数</w:t>
            </w:r>
          </w:p>
        </w:tc>
        <w:tc>
          <w:tcPr>
            <w:tcW w:w="190" w:type="pct"/>
            <w:tcBorders>
              <w:top w:val="nil"/>
              <w:left w:val="nil"/>
              <w:bottom w:val="single" w:color="000000" w:sz="4" w:space="0"/>
              <w:right w:val="single" w:color="000000" w:sz="4" w:space="0"/>
            </w:tcBorders>
            <w:shd w:val="clear" w:color="auto" w:fill="auto"/>
            <w:vAlign w:val="center"/>
          </w:tcPr>
          <w:p w14:paraId="6C6C503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3595E26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50</w:t>
            </w:r>
          </w:p>
        </w:tc>
        <w:tc>
          <w:tcPr>
            <w:tcW w:w="190" w:type="pct"/>
            <w:tcBorders>
              <w:top w:val="nil"/>
              <w:left w:val="nil"/>
              <w:bottom w:val="single" w:color="000000" w:sz="4" w:space="0"/>
              <w:right w:val="single" w:color="000000" w:sz="4" w:space="0"/>
            </w:tcBorders>
            <w:shd w:val="clear" w:color="auto" w:fill="auto"/>
            <w:vAlign w:val="center"/>
          </w:tcPr>
          <w:p w14:paraId="1754C2D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场次</w:t>
            </w:r>
          </w:p>
        </w:tc>
        <w:tc>
          <w:tcPr>
            <w:tcW w:w="408" w:type="pct"/>
            <w:tcBorders>
              <w:top w:val="nil"/>
              <w:left w:val="nil"/>
              <w:bottom w:val="single" w:color="000000" w:sz="4" w:space="0"/>
              <w:right w:val="single" w:color="000000" w:sz="4" w:space="0"/>
            </w:tcBorders>
            <w:shd w:val="clear" w:color="auto" w:fill="auto"/>
            <w:vAlign w:val="center"/>
          </w:tcPr>
          <w:p w14:paraId="2AAF885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50</w:t>
            </w:r>
          </w:p>
        </w:tc>
        <w:tc>
          <w:tcPr>
            <w:tcW w:w="190" w:type="pct"/>
            <w:tcBorders>
              <w:top w:val="nil"/>
              <w:left w:val="nil"/>
              <w:bottom w:val="single" w:color="000000" w:sz="4" w:space="0"/>
              <w:right w:val="single" w:color="000000" w:sz="4" w:space="0"/>
            </w:tcBorders>
            <w:shd w:val="clear" w:color="auto" w:fill="auto"/>
            <w:vAlign w:val="center"/>
          </w:tcPr>
          <w:p w14:paraId="1CDAF2C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w:t>
            </w:r>
          </w:p>
        </w:tc>
        <w:tc>
          <w:tcPr>
            <w:tcW w:w="226" w:type="pct"/>
            <w:tcBorders>
              <w:top w:val="nil"/>
              <w:left w:val="nil"/>
              <w:bottom w:val="single" w:color="000000" w:sz="4" w:space="0"/>
              <w:right w:val="single" w:color="000000" w:sz="4" w:space="0"/>
            </w:tcBorders>
            <w:shd w:val="clear" w:color="auto" w:fill="auto"/>
            <w:vAlign w:val="center"/>
          </w:tcPr>
          <w:p w14:paraId="35AACC7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w:t>
            </w:r>
          </w:p>
        </w:tc>
        <w:tc>
          <w:tcPr>
            <w:tcW w:w="1079" w:type="pct"/>
            <w:tcBorders>
              <w:top w:val="nil"/>
              <w:left w:val="nil"/>
              <w:bottom w:val="single" w:color="000000" w:sz="4" w:space="0"/>
              <w:right w:val="single" w:color="000000" w:sz="4" w:space="0"/>
            </w:tcBorders>
            <w:shd w:val="clear" w:color="auto" w:fill="auto"/>
            <w:vAlign w:val="center"/>
          </w:tcPr>
          <w:p w14:paraId="10C27CC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B88F89A">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0EE2691C">
            <w:pPr>
              <w:widowControl/>
              <w:jc w:val="left"/>
              <w:rPr>
                <w:rFonts w:ascii="宋体" w:hAnsi="宋体" w:eastAsia="宋体" w:cs="宋体"/>
                <w:color w:val="000000"/>
                <w:sz w:val="18"/>
                <w:szCs w:val="18"/>
              </w:rPr>
            </w:pPr>
          </w:p>
        </w:tc>
        <w:tc>
          <w:tcPr>
            <w:tcW w:w="605" w:type="pct"/>
            <w:vMerge w:val="continue"/>
            <w:tcBorders>
              <w:top w:val="nil"/>
              <w:left w:val="single" w:color="000000" w:sz="4" w:space="0"/>
              <w:bottom w:val="single" w:color="000000" w:sz="4" w:space="0"/>
              <w:right w:val="single" w:color="000000" w:sz="4" w:space="0"/>
            </w:tcBorders>
            <w:vAlign w:val="center"/>
          </w:tcPr>
          <w:p w14:paraId="2D976DAE">
            <w:pPr>
              <w:widowControl/>
              <w:jc w:val="left"/>
              <w:rPr>
                <w:rFonts w:ascii="宋体" w:hAnsi="宋体" w:eastAsia="宋体" w:cs="宋体"/>
                <w:color w:val="000000"/>
                <w:sz w:val="18"/>
                <w:szCs w:val="18"/>
              </w:rPr>
            </w:pPr>
          </w:p>
        </w:tc>
        <w:tc>
          <w:tcPr>
            <w:tcW w:w="532" w:type="pct"/>
            <w:tcBorders>
              <w:top w:val="nil"/>
              <w:left w:val="nil"/>
              <w:bottom w:val="single" w:color="000000" w:sz="4" w:space="0"/>
              <w:right w:val="single" w:color="000000" w:sz="4" w:space="0"/>
            </w:tcBorders>
            <w:shd w:val="clear" w:color="auto" w:fill="auto"/>
            <w:vAlign w:val="center"/>
          </w:tcPr>
          <w:p w14:paraId="00963D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758" w:type="pct"/>
            <w:tcBorders>
              <w:top w:val="nil"/>
              <w:left w:val="nil"/>
              <w:bottom w:val="single" w:color="000000" w:sz="4" w:space="0"/>
              <w:right w:val="single" w:color="000000" w:sz="4" w:space="0"/>
            </w:tcBorders>
            <w:shd w:val="clear" w:color="auto" w:fill="auto"/>
            <w:vAlign w:val="center"/>
          </w:tcPr>
          <w:p w14:paraId="13ECB7F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补贴发放准确率</w:t>
            </w:r>
          </w:p>
        </w:tc>
        <w:tc>
          <w:tcPr>
            <w:tcW w:w="190" w:type="pct"/>
            <w:tcBorders>
              <w:top w:val="nil"/>
              <w:left w:val="nil"/>
              <w:bottom w:val="single" w:color="000000" w:sz="4" w:space="0"/>
              <w:right w:val="single" w:color="000000" w:sz="4" w:space="0"/>
            </w:tcBorders>
            <w:shd w:val="clear" w:color="auto" w:fill="auto"/>
            <w:vAlign w:val="center"/>
          </w:tcPr>
          <w:p w14:paraId="794E64E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30684C4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190" w:type="pct"/>
            <w:tcBorders>
              <w:top w:val="nil"/>
              <w:left w:val="nil"/>
              <w:bottom w:val="single" w:color="000000" w:sz="4" w:space="0"/>
              <w:right w:val="single" w:color="000000" w:sz="4" w:space="0"/>
            </w:tcBorders>
            <w:shd w:val="clear" w:color="auto" w:fill="auto"/>
            <w:vAlign w:val="center"/>
          </w:tcPr>
          <w:p w14:paraId="18A3A5E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8" w:type="pct"/>
            <w:tcBorders>
              <w:top w:val="nil"/>
              <w:left w:val="nil"/>
              <w:bottom w:val="single" w:color="000000" w:sz="4" w:space="0"/>
              <w:right w:val="single" w:color="000000" w:sz="4" w:space="0"/>
            </w:tcBorders>
            <w:shd w:val="clear" w:color="auto" w:fill="auto"/>
            <w:vAlign w:val="center"/>
          </w:tcPr>
          <w:p w14:paraId="0B279D5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190" w:type="pct"/>
            <w:tcBorders>
              <w:top w:val="nil"/>
              <w:left w:val="nil"/>
              <w:bottom w:val="single" w:color="000000" w:sz="4" w:space="0"/>
              <w:right w:val="single" w:color="000000" w:sz="4" w:space="0"/>
            </w:tcBorders>
            <w:shd w:val="clear" w:color="auto" w:fill="auto"/>
            <w:vAlign w:val="center"/>
          </w:tcPr>
          <w:p w14:paraId="6810978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1D42E6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tcBorders>
              <w:top w:val="nil"/>
              <w:left w:val="nil"/>
              <w:bottom w:val="single" w:color="000000" w:sz="4" w:space="0"/>
              <w:right w:val="single" w:color="000000" w:sz="4" w:space="0"/>
            </w:tcBorders>
            <w:shd w:val="clear" w:color="auto" w:fill="auto"/>
            <w:vAlign w:val="center"/>
          </w:tcPr>
          <w:p w14:paraId="34869BD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1EB48E7">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23C47BEA">
            <w:pPr>
              <w:widowControl/>
              <w:jc w:val="left"/>
              <w:rPr>
                <w:rFonts w:ascii="宋体" w:hAnsi="宋体" w:eastAsia="宋体" w:cs="宋体"/>
                <w:color w:val="000000"/>
                <w:sz w:val="18"/>
                <w:szCs w:val="18"/>
              </w:rPr>
            </w:pPr>
          </w:p>
        </w:tc>
        <w:tc>
          <w:tcPr>
            <w:tcW w:w="605" w:type="pct"/>
            <w:vMerge w:val="continue"/>
            <w:tcBorders>
              <w:top w:val="nil"/>
              <w:left w:val="single" w:color="000000" w:sz="4" w:space="0"/>
              <w:bottom w:val="single" w:color="000000" w:sz="4" w:space="0"/>
              <w:right w:val="single" w:color="000000" w:sz="4" w:space="0"/>
            </w:tcBorders>
            <w:vAlign w:val="center"/>
          </w:tcPr>
          <w:p w14:paraId="60BBF732">
            <w:pPr>
              <w:widowControl/>
              <w:jc w:val="left"/>
              <w:rPr>
                <w:rFonts w:ascii="宋体" w:hAnsi="宋体" w:eastAsia="宋体" w:cs="宋体"/>
                <w:color w:val="000000"/>
                <w:sz w:val="18"/>
                <w:szCs w:val="18"/>
              </w:rPr>
            </w:pPr>
          </w:p>
        </w:tc>
        <w:tc>
          <w:tcPr>
            <w:tcW w:w="532" w:type="pct"/>
            <w:tcBorders>
              <w:top w:val="nil"/>
              <w:left w:val="nil"/>
              <w:bottom w:val="single" w:color="000000" w:sz="4" w:space="0"/>
              <w:right w:val="single" w:color="000000" w:sz="4" w:space="0"/>
            </w:tcBorders>
            <w:shd w:val="clear" w:color="auto" w:fill="auto"/>
            <w:vAlign w:val="center"/>
          </w:tcPr>
          <w:p w14:paraId="5B5E64B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758" w:type="pct"/>
            <w:tcBorders>
              <w:top w:val="nil"/>
              <w:left w:val="nil"/>
              <w:bottom w:val="single" w:color="000000" w:sz="4" w:space="0"/>
              <w:right w:val="single" w:color="000000" w:sz="4" w:space="0"/>
            </w:tcBorders>
            <w:shd w:val="clear" w:color="auto" w:fill="auto"/>
            <w:vAlign w:val="center"/>
          </w:tcPr>
          <w:p w14:paraId="33CEC0B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提供服务及时率</w:t>
            </w:r>
          </w:p>
        </w:tc>
        <w:tc>
          <w:tcPr>
            <w:tcW w:w="190" w:type="pct"/>
            <w:tcBorders>
              <w:top w:val="nil"/>
              <w:left w:val="nil"/>
              <w:bottom w:val="single" w:color="000000" w:sz="4" w:space="0"/>
              <w:right w:val="single" w:color="000000" w:sz="4" w:space="0"/>
            </w:tcBorders>
            <w:shd w:val="clear" w:color="auto" w:fill="auto"/>
            <w:vAlign w:val="center"/>
          </w:tcPr>
          <w:p w14:paraId="5225A4A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49DC960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80</w:t>
            </w:r>
          </w:p>
        </w:tc>
        <w:tc>
          <w:tcPr>
            <w:tcW w:w="190" w:type="pct"/>
            <w:tcBorders>
              <w:top w:val="nil"/>
              <w:left w:val="nil"/>
              <w:bottom w:val="single" w:color="000000" w:sz="4" w:space="0"/>
              <w:right w:val="single" w:color="000000" w:sz="4" w:space="0"/>
            </w:tcBorders>
            <w:shd w:val="clear" w:color="auto" w:fill="auto"/>
            <w:vAlign w:val="center"/>
          </w:tcPr>
          <w:p w14:paraId="709A54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8" w:type="pct"/>
            <w:tcBorders>
              <w:top w:val="nil"/>
              <w:left w:val="nil"/>
              <w:bottom w:val="single" w:color="000000" w:sz="4" w:space="0"/>
              <w:right w:val="single" w:color="000000" w:sz="4" w:space="0"/>
            </w:tcBorders>
            <w:shd w:val="clear" w:color="auto" w:fill="auto"/>
            <w:vAlign w:val="center"/>
          </w:tcPr>
          <w:p w14:paraId="003D4E2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75</w:t>
            </w:r>
          </w:p>
        </w:tc>
        <w:tc>
          <w:tcPr>
            <w:tcW w:w="190" w:type="pct"/>
            <w:tcBorders>
              <w:top w:val="nil"/>
              <w:left w:val="nil"/>
              <w:bottom w:val="single" w:color="000000" w:sz="4" w:space="0"/>
              <w:right w:val="single" w:color="000000" w:sz="4" w:space="0"/>
            </w:tcBorders>
            <w:shd w:val="clear" w:color="auto" w:fill="auto"/>
            <w:vAlign w:val="center"/>
          </w:tcPr>
          <w:p w14:paraId="0E907D0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4C8EE3F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9.4</w:t>
            </w:r>
          </w:p>
        </w:tc>
        <w:tc>
          <w:tcPr>
            <w:tcW w:w="1079" w:type="pct"/>
            <w:tcBorders>
              <w:top w:val="nil"/>
              <w:left w:val="nil"/>
              <w:bottom w:val="single" w:color="000000" w:sz="4" w:space="0"/>
              <w:right w:val="single" w:color="000000" w:sz="4" w:space="0"/>
            </w:tcBorders>
            <w:shd w:val="clear" w:color="auto" w:fill="auto"/>
            <w:vAlign w:val="center"/>
          </w:tcPr>
          <w:p w14:paraId="1A5BDBB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89F917B">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0A07959D">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1FB11F2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532" w:type="pct"/>
            <w:tcBorders>
              <w:top w:val="nil"/>
              <w:left w:val="nil"/>
              <w:bottom w:val="single" w:color="000000" w:sz="4" w:space="0"/>
              <w:right w:val="single" w:color="000000" w:sz="4" w:space="0"/>
            </w:tcBorders>
            <w:shd w:val="clear" w:color="auto" w:fill="auto"/>
            <w:vAlign w:val="center"/>
          </w:tcPr>
          <w:p w14:paraId="20FA57D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758" w:type="pct"/>
            <w:tcBorders>
              <w:top w:val="nil"/>
              <w:left w:val="nil"/>
              <w:bottom w:val="single" w:color="000000" w:sz="4" w:space="0"/>
              <w:right w:val="single" w:color="000000" w:sz="4" w:space="0"/>
            </w:tcBorders>
            <w:shd w:val="clear" w:color="auto" w:fill="auto"/>
            <w:vAlign w:val="center"/>
          </w:tcPr>
          <w:p w14:paraId="743D973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补贴成本</w:t>
            </w:r>
          </w:p>
        </w:tc>
        <w:tc>
          <w:tcPr>
            <w:tcW w:w="190" w:type="pct"/>
            <w:tcBorders>
              <w:top w:val="nil"/>
              <w:left w:val="nil"/>
              <w:bottom w:val="single" w:color="000000" w:sz="4" w:space="0"/>
              <w:right w:val="single" w:color="000000" w:sz="4" w:space="0"/>
            </w:tcBorders>
            <w:shd w:val="clear" w:color="auto" w:fill="auto"/>
            <w:vAlign w:val="center"/>
          </w:tcPr>
          <w:p w14:paraId="7D184D2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587C6E1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18</w:t>
            </w:r>
          </w:p>
        </w:tc>
        <w:tc>
          <w:tcPr>
            <w:tcW w:w="190" w:type="pct"/>
            <w:tcBorders>
              <w:top w:val="nil"/>
              <w:left w:val="nil"/>
              <w:bottom w:val="single" w:color="000000" w:sz="4" w:space="0"/>
              <w:right w:val="single" w:color="000000" w:sz="4" w:space="0"/>
            </w:tcBorders>
            <w:shd w:val="clear" w:color="auto" w:fill="auto"/>
            <w:vAlign w:val="center"/>
          </w:tcPr>
          <w:p w14:paraId="2AC2668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万元</w:t>
            </w:r>
          </w:p>
        </w:tc>
        <w:tc>
          <w:tcPr>
            <w:tcW w:w="408" w:type="pct"/>
            <w:tcBorders>
              <w:top w:val="nil"/>
              <w:left w:val="nil"/>
              <w:bottom w:val="single" w:color="000000" w:sz="4" w:space="0"/>
              <w:right w:val="single" w:color="000000" w:sz="4" w:space="0"/>
            </w:tcBorders>
            <w:shd w:val="clear" w:color="auto" w:fill="auto"/>
            <w:vAlign w:val="center"/>
          </w:tcPr>
          <w:p w14:paraId="262AAE1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18</w:t>
            </w:r>
          </w:p>
        </w:tc>
        <w:tc>
          <w:tcPr>
            <w:tcW w:w="190" w:type="pct"/>
            <w:tcBorders>
              <w:top w:val="nil"/>
              <w:left w:val="nil"/>
              <w:bottom w:val="single" w:color="000000" w:sz="4" w:space="0"/>
              <w:right w:val="single" w:color="000000" w:sz="4" w:space="0"/>
            </w:tcBorders>
            <w:shd w:val="clear" w:color="auto" w:fill="auto"/>
            <w:vAlign w:val="center"/>
          </w:tcPr>
          <w:p w14:paraId="2C2407C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2EC7D59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tcBorders>
              <w:top w:val="nil"/>
              <w:left w:val="nil"/>
              <w:bottom w:val="single" w:color="000000" w:sz="4" w:space="0"/>
              <w:right w:val="single" w:color="000000" w:sz="4" w:space="0"/>
            </w:tcBorders>
            <w:shd w:val="clear" w:color="auto" w:fill="auto"/>
            <w:vAlign w:val="center"/>
          </w:tcPr>
          <w:p w14:paraId="00D1548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DC18417">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3A61DB08">
            <w:pPr>
              <w:widowControl/>
              <w:jc w:val="left"/>
              <w:rPr>
                <w:rFonts w:ascii="宋体" w:hAnsi="宋体" w:eastAsia="宋体" w:cs="宋体"/>
                <w:color w:val="000000"/>
                <w:sz w:val="18"/>
                <w:szCs w:val="18"/>
              </w:rPr>
            </w:pPr>
          </w:p>
        </w:tc>
        <w:tc>
          <w:tcPr>
            <w:tcW w:w="605" w:type="pct"/>
            <w:tcBorders>
              <w:top w:val="nil"/>
              <w:left w:val="nil"/>
              <w:bottom w:val="nil"/>
              <w:right w:val="single" w:color="000000" w:sz="4" w:space="0"/>
            </w:tcBorders>
            <w:shd w:val="clear" w:color="auto" w:fill="auto"/>
            <w:vAlign w:val="center"/>
          </w:tcPr>
          <w:p w14:paraId="2B9024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532" w:type="pct"/>
            <w:tcBorders>
              <w:top w:val="nil"/>
              <w:left w:val="nil"/>
              <w:bottom w:val="single" w:color="000000" w:sz="4" w:space="0"/>
              <w:right w:val="single" w:color="000000" w:sz="4" w:space="0"/>
            </w:tcBorders>
            <w:shd w:val="clear" w:color="auto" w:fill="auto"/>
            <w:vAlign w:val="center"/>
          </w:tcPr>
          <w:p w14:paraId="31B66B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758" w:type="pct"/>
            <w:tcBorders>
              <w:top w:val="nil"/>
              <w:left w:val="nil"/>
              <w:bottom w:val="single" w:color="000000" w:sz="4" w:space="0"/>
              <w:right w:val="single" w:color="000000" w:sz="4" w:space="0"/>
            </w:tcBorders>
            <w:shd w:val="clear" w:color="auto" w:fill="auto"/>
            <w:vAlign w:val="center"/>
          </w:tcPr>
          <w:p w14:paraId="67CE453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律师劳务费应发尽发率</w:t>
            </w:r>
          </w:p>
        </w:tc>
        <w:tc>
          <w:tcPr>
            <w:tcW w:w="190" w:type="pct"/>
            <w:tcBorders>
              <w:top w:val="nil"/>
              <w:left w:val="nil"/>
              <w:bottom w:val="single" w:color="000000" w:sz="4" w:space="0"/>
              <w:right w:val="single" w:color="000000" w:sz="4" w:space="0"/>
            </w:tcBorders>
            <w:shd w:val="clear" w:color="auto" w:fill="auto"/>
            <w:vAlign w:val="center"/>
          </w:tcPr>
          <w:p w14:paraId="2B39A30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7F7709C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85</w:t>
            </w:r>
          </w:p>
        </w:tc>
        <w:tc>
          <w:tcPr>
            <w:tcW w:w="190" w:type="pct"/>
            <w:tcBorders>
              <w:top w:val="nil"/>
              <w:left w:val="nil"/>
              <w:bottom w:val="single" w:color="000000" w:sz="4" w:space="0"/>
              <w:right w:val="single" w:color="000000" w:sz="4" w:space="0"/>
            </w:tcBorders>
            <w:shd w:val="clear" w:color="auto" w:fill="auto"/>
            <w:vAlign w:val="center"/>
          </w:tcPr>
          <w:p w14:paraId="1DD9250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8" w:type="pct"/>
            <w:tcBorders>
              <w:top w:val="nil"/>
              <w:left w:val="nil"/>
              <w:bottom w:val="single" w:color="000000" w:sz="4" w:space="0"/>
              <w:right w:val="single" w:color="000000" w:sz="4" w:space="0"/>
            </w:tcBorders>
            <w:shd w:val="clear" w:color="auto" w:fill="auto"/>
            <w:vAlign w:val="center"/>
          </w:tcPr>
          <w:p w14:paraId="1FA09F7B">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95</w:t>
            </w:r>
          </w:p>
        </w:tc>
        <w:tc>
          <w:tcPr>
            <w:tcW w:w="190" w:type="pct"/>
            <w:tcBorders>
              <w:top w:val="nil"/>
              <w:left w:val="nil"/>
              <w:bottom w:val="single" w:color="000000" w:sz="4" w:space="0"/>
              <w:right w:val="single" w:color="000000" w:sz="4" w:space="0"/>
            </w:tcBorders>
            <w:shd w:val="clear" w:color="auto" w:fill="auto"/>
            <w:vAlign w:val="center"/>
          </w:tcPr>
          <w:p w14:paraId="235682E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w:t>
            </w:r>
          </w:p>
        </w:tc>
        <w:tc>
          <w:tcPr>
            <w:tcW w:w="226" w:type="pct"/>
            <w:tcBorders>
              <w:top w:val="nil"/>
              <w:left w:val="nil"/>
              <w:bottom w:val="single" w:color="000000" w:sz="4" w:space="0"/>
              <w:right w:val="single" w:color="000000" w:sz="4" w:space="0"/>
            </w:tcBorders>
            <w:shd w:val="clear" w:color="auto" w:fill="auto"/>
            <w:vAlign w:val="center"/>
          </w:tcPr>
          <w:p w14:paraId="09EADE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w:t>
            </w:r>
          </w:p>
        </w:tc>
        <w:tc>
          <w:tcPr>
            <w:tcW w:w="1079" w:type="pct"/>
            <w:tcBorders>
              <w:top w:val="nil"/>
              <w:left w:val="nil"/>
              <w:bottom w:val="single" w:color="000000" w:sz="4" w:space="0"/>
              <w:right w:val="single" w:color="000000" w:sz="4" w:space="0"/>
            </w:tcBorders>
            <w:shd w:val="clear" w:color="auto" w:fill="auto"/>
            <w:vAlign w:val="center"/>
          </w:tcPr>
          <w:p w14:paraId="0A556BFA">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3283F39">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561C4BB4">
            <w:pPr>
              <w:widowControl/>
              <w:jc w:val="left"/>
              <w:rPr>
                <w:rFonts w:ascii="宋体" w:hAnsi="宋体" w:eastAsia="宋体" w:cs="宋体"/>
                <w:color w:val="000000"/>
                <w:sz w:val="18"/>
                <w:szCs w:val="18"/>
              </w:rPr>
            </w:pPr>
          </w:p>
        </w:tc>
        <w:tc>
          <w:tcPr>
            <w:tcW w:w="605" w:type="pct"/>
            <w:tcBorders>
              <w:top w:val="single" w:color="000000" w:sz="4" w:space="0"/>
              <w:left w:val="nil"/>
              <w:bottom w:val="single" w:color="000000" w:sz="4" w:space="0"/>
              <w:right w:val="single" w:color="000000" w:sz="4" w:space="0"/>
            </w:tcBorders>
            <w:shd w:val="clear" w:color="auto" w:fill="auto"/>
            <w:vAlign w:val="center"/>
          </w:tcPr>
          <w:p w14:paraId="3DF4EBF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532" w:type="pct"/>
            <w:tcBorders>
              <w:top w:val="nil"/>
              <w:left w:val="nil"/>
              <w:bottom w:val="single" w:color="000000" w:sz="4" w:space="0"/>
              <w:right w:val="single" w:color="000000" w:sz="4" w:space="0"/>
            </w:tcBorders>
            <w:shd w:val="clear" w:color="auto" w:fill="auto"/>
            <w:vAlign w:val="center"/>
          </w:tcPr>
          <w:p w14:paraId="669E0EB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758" w:type="pct"/>
            <w:tcBorders>
              <w:top w:val="nil"/>
              <w:left w:val="nil"/>
              <w:bottom w:val="single" w:color="000000" w:sz="4" w:space="0"/>
              <w:right w:val="single" w:color="000000" w:sz="4" w:space="0"/>
            </w:tcBorders>
            <w:shd w:val="clear" w:color="auto" w:fill="auto"/>
            <w:vAlign w:val="center"/>
          </w:tcPr>
          <w:p w14:paraId="4CDCB28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接受咨询人员满意度</w:t>
            </w:r>
          </w:p>
        </w:tc>
        <w:tc>
          <w:tcPr>
            <w:tcW w:w="190" w:type="pct"/>
            <w:tcBorders>
              <w:top w:val="nil"/>
              <w:left w:val="nil"/>
              <w:bottom w:val="single" w:color="000000" w:sz="4" w:space="0"/>
              <w:right w:val="single" w:color="000000" w:sz="4" w:space="0"/>
            </w:tcBorders>
            <w:shd w:val="clear" w:color="auto" w:fill="auto"/>
            <w:vAlign w:val="center"/>
          </w:tcPr>
          <w:p w14:paraId="3F1FD1F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1FCDCCD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85</w:t>
            </w:r>
          </w:p>
        </w:tc>
        <w:tc>
          <w:tcPr>
            <w:tcW w:w="190" w:type="pct"/>
            <w:tcBorders>
              <w:top w:val="nil"/>
              <w:left w:val="nil"/>
              <w:bottom w:val="single" w:color="000000" w:sz="4" w:space="0"/>
              <w:right w:val="single" w:color="000000" w:sz="4" w:space="0"/>
            </w:tcBorders>
            <w:shd w:val="clear" w:color="auto" w:fill="auto"/>
            <w:vAlign w:val="center"/>
          </w:tcPr>
          <w:p w14:paraId="4714528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8" w:type="pct"/>
            <w:tcBorders>
              <w:top w:val="nil"/>
              <w:left w:val="nil"/>
              <w:bottom w:val="single" w:color="000000" w:sz="4" w:space="0"/>
              <w:right w:val="single" w:color="000000" w:sz="4" w:space="0"/>
            </w:tcBorders>
            <w:shd w:val="clear" w:color="auto" w:fill="auto"/>
            <w:vAlign w:val="center"/>
          </w:tcPr>
          <w:p w14:paraId="5411447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90</w:t>
            </w:r>
          </w:p>
        </w:tc>
        <w:tc>
          <w:tcPr>
            <w:tcW w:w="190" w:type="pct"/>
            <w:tcBorders>
              <w:top w:val="nil"/>
              <w:left w:val="nil"/>
              <w:bottom w:val="single" w:color="000000" w:sz="4" w:space="0"/>
              <w:right w:val="single" w:color="000000" w:sz="4" w:space="0"/>
            </w:tcBorders>
            <w:shd w:val="clear" w:color="auto" w:fill="auto"/>
            <w:vAlign w:val="center"/>
          </w:tcPr>
          <w:p w14:paraId="3F2625D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3A10074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tcBorders>
              <w:top w:val="nil"/>
              <w:left w:val="nil"/>
              <w:bottom w:val="single" w:color="000000" w:sz="4" w:space="0"/>
              <w:right w:val="single" w:color="000000" w:sz="4" w:space="0"/>
            </w:tcBorders>
            <w:shd w:val="clear" w:color="auto" w:fill="auto"/>
            <w:vAlign w:val="center"/>
          </w:tcPr>
          <w:p w14:paraId="5D939936">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18BFD37">
        <w:tblPrEx>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53E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605" w:type="pct"/>
            <w:tcBorders>
              <w:top w:val="nil"/>
              <w:left w:val="nil"/>
              <w:bottom w:val="single" w:color="000000" w:sz="4" w:space="0"/>
              <w:right w:val="single" w:color="000000" w:sz="4" w:space="0"/>
            </w:tcBorders>
            <w:shd w:val="clear" w:color="auto" w:fill="auto"/>
            <w:vAlign w:val="center"/>
          </w:tcPr>
          <w:p w14:paraId="5486B4F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32" w:type="pct"/>
            <w:tcBorders>
              <w:top w:val="nil"/>
              <w:left w:val="nil"/>
              <w:bottom w:val="single" w:color="000000" w:sz="4" w:space="0"/>
              <w:right w:val="single" w:color="000000" w:sz="4" w:space="0"/>
            </w:tcBorders>
            <w:shd w:val="clear" w:color="auto" w:fill="auto"/>
            <w:vAlign w:val="center"/>
          </w:tcPr>
          <w:p w14:paraId="17A5EFD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8" w:type="pct"/>
            <w:tcBorders>
              <w:top w:val="nil"/>
              <w:left w:val="nil"/>
              <w:bottom w:val="single" w:color="000000" w:sz="4" w:space="0"/>
              <w:right w:val="single" w:color="000000" w:sz="4" w:space="0"/>
            </w:tcBorders>
            <w:shd w:val="clear" w:color="auto" w:fill="auto"/>
            <w:vAlign w:val="center"/>
          </w:tcPr>
          <w:p w14:paraId="003E56F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13CF14A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612" w:type="pct"/>
            <w:tcBorders>
              <w:top w:val="nil"/>
              <w:left w:val="nil"/>
              <w:bottom w:val="single" w:color="000000" w:sz="4" w:space="0"/>
              <w:right w:val="single" w:color="000000" w:sz="4" w:space="0"/>
            </w:tcBorders>
            <w:shd w:val="clear" w:color="auto" w:fill="auto"/>
            <w:vAlign w:val="center"/>
          </w:tcPr>
          <w:p w14:paraId="1EBA617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0512F76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8" w:type="pct"/>
            <w:tcBorders>
              <w:top w:val="nil"/>
              <w:left w:val="nil"/>
              <w:bottom w:val="single" w:color="000000" w:sz="4" w:space="0"/>
              <w:right w:val="single" w:color="000000" w:sz="4" w:space="0"/>
            </w:tcBorders>
            <w:shd w:val="clear" w:color="auto" w:fill="auto"/>
            <w:vAlign w:val="center"/>
          </w:tcPr>
          <w:p w14:paraId="2D2C3BD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512D2C5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26" w:type="pct"/>
            <w:tcBorders>
              <w:top w:val="nil"/>
              <w:left w:val="nil"/>
              <w:bottom w:val="single" w:color="000000" w:sz="4" w:space="0"/>
              <w:right w:val="single" w:color="000000" w:sz="4" w:space="0"/>
            </w:tcBorders>
            <w:shd w:val="clear" w:color="auto" w:fill="auto"/>
            <w:vAlign w:val="center"/>
          </w:tcPr>
          <w:p w14:paraId="6EA0DC9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99.4</w:t>
            </w:r>
          </w:p>
        </w:tc>
        <w:tc>
          <w:tcPr>
            <w:tcW w:w="1079" w:type="pct"/>
            <w:tcBorders>
              <w:top w:val="nil"/>
              <w:left w:val="nil"/>
              <w:bottom w:val="single" w:color="000000" w:sz="4" w:space="0"/>
              <w:right w:val="single" w:color="000000" w:sz="4" w:space="0"/>
            </w:tcBorders>
            <w:shd w:val="clear" w:color="auto" w:fill="auto"/>
            <w:vAlign w:val="center"/>
          </w:tcPr>
          <w:p w14:paraId="164F53C7">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68623994">
        <w:tblPrEx>
          <w:tblCellMar>
            <w:top w:w="0" w:type="dxa"/>
            <w:left w:w="108" w:type="dxa"/>
            <w:bottom w:w="0" w:type="dxa"/>
            <w:right w:w="108" w:type="dxa"/>
          </w:tblCellMar>
        </w:tblPrEx>
        <w:trPr>
          <w:trHeight w:val="60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06E2FC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6E47B190">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存在群众对法律援助的了解比较片面的情况，绩效评价得分“99.4”，评价等级为“优”。</w:t>
            </w:r>
          </w:p>
        </w:tc>
      </w:tr>
      <w:tr w14:paraId="3C0A2268">
        <w:tblPrEx>
          <w:tblCellMar>
            <w:top w:w="0" w:type="dxa"/>
            <w:left w:w="108" w:type="dxa"/>
            <w:bottom w:w="0" w:type="dxa"/>
            <w:right w:w="108" w:type="dxa"/>
          </w:tblCellMar>
        </w:tblPrEx>
        <w:trPr>
          <w:trHeight w:val="57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7B95F7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7C457B2D">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存在的问题主要是人民法院、检察院等部门指定函件送达不及时，群众对法律援助的了解比较片面。</w:t>
            </w:r>
          </w:p>
        </w:tc>
      </w:tr>
      <w:tr w14:paraId="7B593F6F">
        <w:tblPrEx>
          <w:tblCellMar>
            <w:top w:w="0" w:type="dxa"/>
            <w:left w:w="108" w:type="dxa"/>
            <w:bottom w:w="0" w:type="dxa"/>
            <w:right w:w="108" w:type="dxa"/>
          </w:tblCellMar>
        </w:tblPrEx>
        <w:trPr>
          <w:trHeight w:val="63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683699F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1E5A926E">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一是进一步扩大律师法律援助案件参与覆盖率，从援助大厅值班、接待咨询、文书代写、案件办理等多方面全面参与，鼓励新律师加入援助队伍；二是加强法律援助相关法律法规的宣传，特别是法律援助的条件和范围，可以采取和普治股、基层司法所联合开展的方式进行，在群众中普及法律援助知</w:t>
            </w:r>
          </w:p>
        </w:tc>
      </w:tr>
      <w:tr w14:paraId="64B6E1CC">
        <w:tblPrEx>
          <w:tblCellMar>
            <w:top w:w="0" w:type="dxa"/>
            <w:left w:w="108" w:type="dxa"/>
            <w:bottom w:w="0" w:type="dxa"/>
            <w:right w:w="108" w:type="dxa"/>
          </w:tblCellMar>
        </w:tblPrEx>
        <w:trPr>
          <w:trHeight w:val="619" w:hRule="atLeast"/>
        </w:trPr>
        <w:tc>
          <w:tcPr>
            <w:tcW w:w="22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C4F93">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项目负责人：顾震</w:t>
            </w:r>
          </w:p>
        </w:tc>
        <w:tc>
          <w:tcPr>
            <w:tcW w:w="2704" w:type="pct"/>
            <w:gridSpan w:val="6"/>
            <w:tcBorders>
              <w:top w:val="single" w:color="000000" w:sz="4" w:space="0"/>
              <w:left w:val="nil"/>
              <w:bottom w:val="single" w:color="000000" w:sz="4" w:space="0"/>
              <w:right w:val="single" w:color="000000" w:sz="4" w:space="0"/>
            </w:tcBorders>
            <w:shd w:val="clear" w:color="auto" w:fill="auto"/>
            <w:vAlign w:val="center"/>
          </w:tcPr>
          <w:p w14:paraId="74892D7C">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15407564">
      <w:pPr>
        <w:spacing w:line="560" w:lineRule="exact"/>
        <w:jc w:val="center"/>
        <w:outlineLvl w:val="0"/>
        <w:rPr>
          <w:rFonts w:eastAsia="方正小标宋简体"/>
          <w:sz w:val="44"/>
          <w:szCs w:val="44"/>
        </w:rPr>
      </w:pPr>
    </w:p>
    <w:p w14:paraId="0D10BC06">
      <w:pPr>
        <w:pStyle w:val="222"/>
        <w:spacing w:line="578" w:lineRule="exact"/>
        <w:jc w:val="center"/>
        <w:rPr>
          <w:rFonts w:hint="eastAsia" w:ascii="Times New Roman" w:hAnsi="Times New Roman" w:eastAsia="方正小标宋简体"/>
          <w:kern w:val="2"/>
          <w:sz w:val="44"/>
          <w:szCs w:val="44"/>
          <w:lang w:val="en-US"/>
        </w:rPr>
      </w:pPr>
    </w:p>
    <w:p w14:paraId="751E4EFD">
      <w:pPr>
        <w:pStyle w:val="222"/>
        <w:spacing w:line="578" w:lineRule="exact"/>
        <w:jc w:val="center"/>
        <w:rPr>
          <w:rFonts w:hint="eastAsia" w:ascii="Times New Roman" w:hAnsi="Times New Roman" w:eastAsia="方正小标宋简体"/>
          <w:kern w:val="2"/>
          <w:sz w:val="44"/>
          <w:szCs w:val="44"/>
          <w:lang w:val="en-US"/>
        </w:rPr>
      </w:pPr>
    </w:p>
    <w:p w14:paraId="2D469855">
      <w:pPr>
        <w:pStyle w:val="222"/>
        <w:spacing w:line="578" w:lineRule="exact"/>
        <w:jc w:val="center"/>
        <w:rPr>
          <w:rFonts w:hint="eastAsia" w:ascii="Times New Roman" w:hAnsi="Times New Roman" w:eastAsia="方正小标宋简体"/>
          <w:kern w:val="2"/>
          <w:sz w:val="44"/>
          <w:szCs w:val="44"/>
          <w:lang w:val="en-US"/>
        </w:rPr>
      </w:pPr>
    </w:p>
    <w:p w14:paraId="4C894328">
      <w:pPr>
        <w:pStyle w:val="222"/>
        <w:spacing w:line="578" w:lineRule="exact"/>
        <w:jc w:val="center"/>
        <w:rPr>
          <w:rFonts w:hint="eastAsia" w:ascii="Times New Roman" w:hAnsi="Times New Roman" w:eastAsia="方正小标宋简体"/>
          <w:kern w:val="2"/>
          <w:sz w:val="44"/>
          <w:szCs w:val="44"/>
          <w:lang w:val="en-US"/>
        </w:rPr>
      </w:pPr>
    </w:p>
    <w:p w14:paraId="1853291E">
      <w:pPr>
        <w:pStyle w:val="222"/>
        <w:spacing w:line="578" w:lineRule="exact"/>
        <w:jc w:val="center"/>
        <w:rPr>
          <w:rFonts w:hint="eastAsia" w:ascii="Times New Roman" w:hAnsi="Times New Roman" w:eastAsia="方正小标宋简体"/>
          <w:kern w:val="2"/>
          <w:sz w:val="44"/>
          <w:szCs w:val="44"/>
          <w:lang w:val="en-US"/>
        </w:rPr>
      </w:pPr>
    </w:p>
    <w:p w14:paraId="3F8062D7">
      <w:pPr>
        <w:pStyle w:val="222"/>
        <w:spacing w:line="578" w:lineRule="exact"/>
        <w:jc w:val="center"/>
        <w:rPr>
          <w:rFonts w:hint="eastAsia" w:ascii="Times New Roman" w:hAnsi="Times New Roman" w:eastAsia="方正小标宋简体"/>
          <w:kern w:val="2"/>
          <w:sz w:val="44"/>
          <w:szCs w:val="44"/>
          <w:lang w:val="en-US"/>
        </w:rPr>
      </w:pPr>
    </w:p>
    <w:p w14:paraId="13F91A52">
      <w:pPr>
        <w:pStyle w:val="222"/>
        <w:spacing w:line="578" w:lineRule="exact"/>
        <w:jc w:val="center"/>
        <w:rPr>
          <w:rFonts w:hint="eastAsia" w:ascii="Times New Roman" w:hAnsi="Times New Roman" w:eastAsia="方正小标宋简体"/>
          <w:kern w:val="2"/>
          <w:sz w:val="44"/>
          <w:szCs w:val="44"/>
          <w:lang w:val="en-US"/>
        </w:rPr>
      </w:pPr>
    </w:p>
    <w:p w14:paraId="23B078FF">
      <w:pPr>
        <w:pStyle w:val="222"/>
        <w:spacing w:line="578" w:lineRule="exact"/>
        <w:jc w:val="center"/>
        <w:rPr>
          <w:rFonts w:hint="eastAsia" w:ascii="Times New Roman" w:hAnsi="Times New Roman" w:eastAsia="方正小标宋简体"/>
          <w:kern w:val="2"/>
          <w:sz w:val="44"/>
          <w:szCs w:val="44"/>
          <w:lang w:val="en-US"/>
        </w:rPr>
      </w:pPr>
    </w:p>
    <w:p w14:paraId="2B4BE460">
      <w:pPr>
        <w:pStyle w:val="222"/>
        <w:spacing w:line="578" w:lineRule="exact"/>
        <w:jc w:val="center"/>
        <w:rPr>
          <w:rFonts w:hint="eastAsia" w:ascii="Times New Roman" w:hAnsi="Times New Roman" w:eastAsia="方正小标宋简体"/>
          <w:kern w:val="2"/>
          <w:sz w:val="44"/>
          <w:szCs w:val="44"/>
          <w:lang w:val="en-US"/>
        </w:rPr>
      </w:pPr>
    </w:p>
    <w:p w14:paraId="5BBB55AC">
      <w:pPr>
        <w:pStyle w:val="222"/>
        <w:spacing w:line="578" w:lineRule="exact"/>
        <w:jc w:val="center"/>
        <w:rPr>
          <w:rFonts w:hint="eastAsia" w:ascii="Times New Roman" w:hAnsi="Times New Roman" w:eastAsia="方正小标宋简体"/>
          <w:kern w:val="2"/>
          <w:sz w:val="44"/>
          <w:szCs w:val="44"/>
          <w:lang w:val="en-US"/>
        </w:rPr>
      </w:pPr>
    </w:p>
    <w:p w14:paraId="434BD36E">
      <w:pPr>
        <w:pStyle w:val="222"/>
        <w:spacing w:line="578" w:lineRule="exact"/>
        <w:jc w:val="center"/>
        <w:rPr>
          <w:rFonts w:hint="eastAsia" w:ascii="Times New Roman" w:hAnsi="Times New Roman" w:eastAsia="方正小标宋简体"/>
          <w:kern w:val="2"/>
          <w:sz w:val="44"/>
          <w:szCs w:val="44"/>
          <w:lang w:val="en-US"/>
        </w:rPr>
      </w:pPr>
    </w:p>
    <w:p w14:paraId="547C1694">
      <w:pPr>
        <w:pStyle w:val="222"/>
        <w:spacing w:line="578" w:lineRule="exact"/>
        <w:jc w:val="center"/>
        <w:rPr>
          <w:rFonts w:hint="eastAsia" w:ascii="Times New Roman" w:hAnsi="Times New Roman" w:eastAsia="方正小标宋简体"/>
          <w:kern w:val="2"/>
          <w:sz w:val="44"/>
          <w:szCs w:val="44"/>
          <w:lang w:val="en-US"/>
        </w:rPr>
      </w:pPr>
    </w:p>
    <w:p w14:paraId="40EB6A36">
      <w:pPr>
        <w:pStyle w:val="222"/>
        <w:spacing w:line="578" w:lineRule="exact"/>
        <w:jc w:val="center"/>
        <w:rPr>
          <w:rFonts w:hint="eastAsia" w:ascii="Times New Roman" w:hAnsi="Times New Roman" w:eastAsia="方正小标宋简体"/>
          <w:kern w:val="2"/>
          <w:sz w:val="44"/>
          <w:szCs w:val="44"/>
          <w:lang w:val="en-US"/>
        </w:rPr>
      </w:pPr>
    </w:p>
    <w:p w14:paraId="6AA48AF3">
      <w:pPr>
        <w:pStyle w:val="222"/>
        <w:spacing w:line="578" w:lineRule="exact"/>
        <w:jc w:val="center"/>
        <w:rPr>
          <w:rFonts w:ascii="Times New Roman" w:hAnsi="Times New Roman" w:eastAsia="方正小标宋简体"/>
          <w:kern w:val="2"/>
          <w:sz w:val="44"/>
          <w:szCs w:val="44"/>
          <w:lang w:val="en-US"/>
        </w:rPr>
      </w:pPr>
      <w:r>
        <w:rPr>
          <w:rFonts w:hint="eastAsia" w:ascii="Times New Roman" w:hAnsi="Times New Roman" w:eastAsia="方正小标宋简体"/>
          <w:kern w:val="2"/>
          <w:sz w:val="44"/>
          <w:szCs w:val="44"/>
          <w:lang w:val="en-US"/>
        </w:rPr>
        <w:t>专项</w:t>
      </w:r>
      <w:r>
        <w:rPr>
          <w:rFonts w:ascii="Times New Roman" w:hAnsi="Times New Roman" w:eastAsia="方正小标宋简体"/>
          <w:kern w:val="2"/>
          <w:sz w:val="44"/>
          <w:szCs w:val="44"/>
          <w:lang w:val="en-US"/>
        </w:rPr>
        <w:t>预算项目绩效评价报告</w:t>
      </w:r>
    </w:p>
    <w:p w14:paraId="7ABBF3E4">
      <w:pPr>
        <w:pStyle w:val="222"/>
        <w:spacing w:line="578" w:lineRule="exact"/>
        <w:ind w:firstLine="640"/>
        <w:jc w:val="center"/>
        <w:rPr>
          <w:rFonts w:ascii="Times New Roman" w:hAnsi="Times New Roman"/>
          <w:kern w:val="2"/>
          <w:sz w:val="32"/>
          <w:szCs w:val="32"/>
          <w:lang w:val="en-US"/>
        </w:rPr>
      </w:pPr>
      <w:r>
        <w:rPr>
          <w:rFonts w:hint="eastAsia" w:ascii="Times New Roman" w:hAnsi="Times New Roman"/>
          <w:kern w:val="2"/>
          <w:sz w:val="32"/>
          <w:szCs w:val="32"/>
        </w:rPr>
        <w:t>（</w:t>
      </w:r>
      <w:r>
        <w:rPr>
          <w:rFonts w:hint="eastAsia" w:ascii="仿宋" w:hAnsi="仿宋" w:eastAsia="仿宋" w:cs="仿宋_GB2312"/>
          <w:sz w:val="32"/>
          <w:szCs w:val="32"/>
          <w:lang w:val="en-US"/>
        </w:rPr>
        <w:t>采购社区矫正服务</w:t>
      </w:r>
      <w:r>
        <w:rPr>
          <w:rFonts w:hint="eastAsia" w:ascii="Times New Roman" w:hAnsi="Times New Roman"/>
          <w:kern w:val="2"/>
          <w:sz w:val="32"/>
          <w:szCs w:val="32"/>
        </w:rPr>
        <w:t>）</w:t>
      </w:r>
    </w:p>
    <w:p w14:paraId="49D38958">
      <w:pPr>
        <w:adjustRightInd w:val="0"/>
        <w:snapToGrid w:val="0"/>
        <w:spacing w:line="560" w:lineRule="exact"/>
        <w:ind w:firstLine="640" w:firstLineChars="200"/>
        <w:outlineLvl w:val="1"/>
        <w:rPr>
          <w:rFonts w:ascii="Times New Roman" w:hAnsi="Times New Roman" w:eastAsia="黑体"/>
          <w:color w:val="000000"/>
          <w:szCs w:val="32"/>
          <w:lang w:val="zh-CN"/>
        </w:rPr>
      </w:pPr>
      <w:bookmarkStart w:id="119" w:name="_Toc24496"/>
      <w:r>
        <w:rPr>
          <w:rFonts w:ascii="Times New Roman" w:hAnsi="Times New Roman" w:eastAsia="黑体"/>
          <w:color w:val="000000"/>
          <w:szCs w:val="32"/>
        </w:rPr>
        <w:t>一、</w:t>
      </w:r>
      <w:r>
        <w:rPr>
          <w:rFonts w:ascii="Times New Roman" w:hAnsi="Times New Roman" w:eastAsia="黑体"/>
          <w:color w:val="000000"/>
          <w:szCs w:val="32"/>
          <w:lang w:val="zh-CN"/>
        </w:rPr>
        <w:t>项目概况</w:t>
      </w:r>
      <w:bookmarkEnd w:id="119"/>
    </w:p>
    <w:p w14:paraId="7537D59B">
      <w:pPr>
        <w:adjustRightInd w:val="0"/>
        <w:snapToGrid w:val="0"/>
        <w:spacing w:line="560" w:lineRule="exact"/>
        <w:ind w:firstLine="640" w:firstLineChars="200"/>
        <w:contextualSpacing/>
        <w:jc w:val="left"/>
        <w:rPr>
          <w:rFonts w:ascii="Times New Roman" w:hAnsi="Times New Roman" w:eastAsia="楷体_GB2312"/>
          <w:color w:val="000000"/>
          <w:szCs w:val="32"/>
          <w:lang w:val="zh-CN"/>
        </w:rPr>
      </w:pPr>
      <w:r>
        <w:rPr>
          <w:rFonts w:ascii="Times New Roman" w:hAnsi="Times New Roman" w:eastAsia="楷体_GB2312"/>
          <w:color w:val="000000"/>
          <w:szCs w:val="32"/>
          <w:lang w:val="zh-CN"/>
        </w:rPr>
        <w:t>（一）设立背景及基本情况。</w:t>
      </w:r>
    </w:p>
    <w:p w14:paraId="4FAC81C5">
      <w:pPr>
        <w:adjustRightInd w:val="0"/>
        <w:snapToGrid w:val="0"/>
        <w:spacing w:line="560" w:lineRule="exact"/>
        <w:ind w:firstLine="640" w:firstLineChars="200"/>
        <w:contextualSpacing/>
        <w:jc w:val="left"/>
        <w:rPr>
          <w:rFonts w:ascii="仿宋" w:hAnsi="仿宋" w:eastAsia="仿宋" w:cs="仿宋"/>
          <w:color w:val="000000"/>
          <w:szCs w:val="32"/>
          <w:lang w:val="zh-CN"/>
        </w:rPr>
      </w:pPr>
      <w:r>
        <w:rPr>
          <w:rFonts w:hint="eastAsia" w:ascii="Times New Roman" w:hAnsi="Times New Roman" w:eastAsia="楷体_GB2312"/>
          <w:color w:val="000000"/>
          <w:szCs w:val="32"/>
        </w:rPr>
        <w:t>1.</w:t>
      </w:r>
      <w:r>
        <w:rPr>
          <w:rFonts w:hint="eastAsia"/>
        </w:rPr>
        <w:t xml:space="preserve"> </w:t>
      </w:r>
      <w:r>
        <w:rPr>
          <w:rFonts w:hint="eastAsia" w:ascii="仿宋" w:hAnsi="仿宋" w:eastAsia="仿宋" w:cs="仿宋_GB2312"/>
          <w:color w:val="000000"/>
          <w:szCs w:val="32"/>
        </w:rPr>
        <w:t>采购社区矫正服务项目年初预算0万元，年度追加34.96万元，主要用于</w:t>
      </w:r>
      <w:r>
        <w:rPr>
          <w:rFonts w:hint="eastAsia" w:ascii="仿宋" w:hAnsi="仿宋" w:eastAsia="仿宋" w:cs="仿宋"/>
          <w:color w:val="000000"/>
          <w:szCs w:val="32"/>
        </w:rPr>
        <w:t>规范社区矫正对象教育管理。常态化开展执法检查、“三新”教育活动，定期召开风险研判分析会议与工作例会，联合民盟安居总支启动“黄丝带”帮教活动等方</w:t>
      </w:r>
      <w:r>
        <w:rPr>
          <w:rFonts w:hint="eastAsia" w:ascii="仿宋" w:hAnsi="仿宋" w:eastAsia="仿宋" w:cs="仿宋_GB2312"/>
          <w:color w:val="000000"/>
          <w:szCs w:val="32"/>
        </w:rPr>
        <w:t>面的工作</w:t>
      </w:r>
      <w:r>
        <w:rPr>
          <w:rFonts w:hint="eastAsia" w:ascii="仿宋" w:hAnsi="仿宋" w:eastAsia="仿宋" w:cs="仿宋"/>
          <w:color w:val="000000"/>
          <w:szCs w:val="32"/>
          <w:lang w:val="zh-CN"/>
        </w:rPr>
        <w:t xml:space="preserve">。 </w:t>
      </w:r>
    </w:p>
    <w:p w14:paraId="52BFA377">
      <w:pPr>
        <w:spacing w:line="540" w:lineRule="exact"/>
        <w:ind w:firstLine="632"/>
        <w:rPr>
          <w:rFonts w:ascii="仿宋" w:hAnsi="仿宋" w:eastAsia="仿宋" w:cs="仿宋"/>
          <w:szCs w:val="32"/>
          <w:lang w:val="zh-CN"/>
        </w:rPr>
      </w:pPr>
      <w:r>
        <w:rPr>
          <w:rFonts w:hint="eastAsia" w:ascii="仿宋" w:hAnsi="仿宋" w:eastAsia="仿宋" w:cs="仿宋"/>
          <w:color w:val="000000"/>
          <w:szCs w:val="32"/>
        </w:rPr>
        <w:t>2.</w:t>
      </w:r>
      <w:r>
        <w:rPr>
          <w:rFonts w:hint="eastAsia" w:ascii="仿宋" w:hAnsi="仿宋" w:eastAsia="仿宋" w:cs="仿宋"/>
          <w:color w:val="000000"/>
          <w:szCs w:val="32"/>
          <w:lang w:val="zh-CN"/>
        </w:rPr>
        <w:t>项目立项、资金申报的依据。</w:t>
      </w:r>
      <w:r>
        <w:rPr>
          <w:rFonts w:hint="eastAsia" w:ascii="仿宋_GB2312" w:hAnsi="仿宋_GB2312" w:cs="仿宋_GB2312"/>
          <w:szCs w:val="32"/>
          <w:lang w:val="zh-CN"/>
        </w:rPr>
        <w:t>《中华人民共和国社区矫正法》第一章第六条、《四川省社区矫正实施细则》（川司法发〔2020〕133号）文件第一章第八条规定。</w:t>
      </w:r>
    </w:p>
    <w:p w14:paraId="0BFF8182">
      <w:pPr>
        <w:spacing w:line="560" w:lineRule="exact"/>
        <w:ind w:firstLine="640" w:firstLineChars="200"/>
        <w:contextualSpacing/>
        <w:rPr>
          <w:rStyle w:val="230"/>
          <w:rFonts w:ascii="Times New Roman" w:hAnsi="Times New Roman"/>
          <w:color w:val="000000"/>
          <w:szCs w:val="32"/>
        </w:rPr>
      </w:pPr>
      <w:r>
        <w:rPr>
          <w:rFonts w:hint="eastAsia" w:ascii="仿宋" w:hAnsi="仿宋" w:eastAsia="仿宋" w:cs="仿宋"/>
          <w:color w:val="000000"/>
          <w:szCs w:val="32"/>
        </w:rPr>
        <w:t>3.</w:t>
      </w:r>
      <w:r>
        <w:rPr>
          <w:rFonts w:ascii="Times New Roman" w:hAnsi="Times New Roman"/>
          <w:color w:val="000000"/>
          <w:szCs w:val="32"/>
          <w:lang w:val="zh-CN"/>
        </w:rPr>
        <w:t>项目主要内容</w:t>
      </w:r>
      <w:r>
        <w:rPr>
          <w:rFonts w:hint="eastAsia" w:ascii="Times New Roman" w:hAnsi="Times New Roman"/>
          <w:color w:val="000000"/>
          <w:szCs w:val="32"/>
          <w:lang w:val="zh-CN"/>
        </w:rPr>
        <w:t>、</w:t>
      </w:r>
      <w:r>
        <w:rPr>
          <w:rFonts w:ascii="Times New Roman" w:hAnsi="Times New Roman"/>
          <w:color w:val="000000"/>
          <w:szCs w:val="32"/>
          <w:lang w:val="zh-CN"/>
        </w:rPr>
        <w:t>部门职能</w:t>
      </w:r>
      <w:r>
        <w:rPr>
          <w:rFonts w:hint="eastAsia" w:ascii="Times New Roman" w:hAnsi="Times New Roman"/>
          <w:color w:val="000000"/>
          <w:szCs w:val="32"/>
          <w:lang w:val="zh-CN"/>
        </w:rPr>
        <w:t>。</w:t>
      </w:r>
      <w:r>
        <w:rPr>
          <w:rFonts w:hint="eastAsia" w:ascii="Times New Roman" w:hAnsi="Times New Roman"/>
          <w:szCs w:val="32"/>
          <w:lang w:val="zh-CN"/>
        </w:rPr>
        <w:t>。</w:t>
      </w:r>
      <w:r>
        <w:rPr>
          <w:rFonts w:hint="eastAsia" w:ascii="仿宋_GB2312" w:hAnsi="仿宋_GB2312" w:cs="仿宋_GB2312"/>
          <w:szCs w:val="32"/>
          <w:lang w:val="zh-CN"/>
        </w:rPr>
        <w:t>对被判处管制、宣告缓刑、裁定假释、暂予监外执行这四类犯罪行为较轻的对象所实施的非监禁性矫正刑罚，其目的是为通过政府、社会以及爱心人士的帮助，使矫正对象改正恶习，并帮助他们重新回归社会</w:t>
      </w:r>
      <w:r>
        <w:rPr>
          <w:rStyle w:val="230"/>
          <w:rFonts w:hint="eastAsia"/>
          <w:color w:val="000000"/>
          <w:szCs w:val="32"/>
        </w:rPr>
        <w:t>。</w:t>
      </w:r>
    </w:p>
    <w:p w14:paraId="714B8FD3">
      <w:pPr>
        <w:spacing w:line="560" w:lineRule="exact"/>
        <w:ind w:firstLine="640" w:firstLineChars="200"/>
        <w:contextualSpacing/>
        <w:rPr>
          <w:rFonts w:ascii="仿宋" w:hAnsi="仿宋" w:eastAsia="仿宋"/>
          <w:color w:val="000000"/>
          <w:lang w:val="zh-CN"/>
        </w:rPr>
      </w:pPr>
      <w:r>
        <w:rPr>
          <w:rFonts w:ascii="Times New Roman" w:hAnsi="Times New Roman" w:eastAsia="楷体_GB2312"/>
          <w:color w:val="000000"/>
          <w:szCs w:val="32"/>
          <w:lang w:val="zh-CN"/>
        </w:rPr>
        <w:t>（二）</w:t>
      </w:r>
      <w:r>
        <w:rPr>
          <w:rFonts w:ascii="Times New Roman" w:hAnsi="Times New Roman" w:eastAsia="楷体_GB2312"/>
          <w:color w:val="000000"/>
          <w:szCs w:val="32"/>
        </w:rPr>
        <w:t>实施目的及支持方向</w:t>
      </w:r>
      <w:r>
        <w:rPr>
          <w:rFonts w:hint="eastAsia" w:ascii="Times New Roman" w:hAnsi="Times New Roman" w:eastAsia="楷体_GB2312"/>
          <w:color w:val="000000"/>
          <w:szCs w:val="32"/>
        </w:rPr>
        <w:t>。</w:t>
      </w:r>
      <w:r>
        <w:rPr>
          <w:rFonts w:hint="eastAsia" w:ascii="仿宋_GB2312" w:hAnsi="Times New Roman"/>
          <w:color w:val="000000"/>
          <w:szCs w:val="32"/>
        </w:rPr>
        <w:t>规范社区矫正对象教育管理。</w:t>
      </w:r>
      <w:r>
        <w:rPr>
          <w:rFonts w:hint="eastAsia" w:ascii="仿宋" w:hAnsi="仿宋" w:eastAsia="仿宋"/>
          <w:color w:val="000000"/>
          <w:szCs w:val="32"/>
        </w:rPr>
        <w:t>该项目资金根据区司法局实际支出情况按需支取。</w:t>
      </w:r>
    </w:p>
    <w:p w14:paraId="73B80F17">
      <w:pPr>
        <w:adjustRightInd w:val="0"/>
        <w:snapToGrid w:val="0"/>
        <w:spacing w:line="560" w:lineRule="exact"/>
        <w:ind w:firstLine="640" w:firstLineChars="200"/>
        <w:contextualSpacing/>
        <w:jc w:val="left"/>
        <w:rPr>
          <w:rFonts w:ascii="仿宋" w:hAnsi="仿宋" w:eastAsia="仿宋" w:cs="仿宋_GB2312"/>
          <w:color w:val="000000"/>
          <w:szCs w:val="32"/>
        </w:rPr>
      </w:pPr>
      <w:r>
        <w:rPr>
          <w:rFonts w:ascii="Times New Roman" w:hAnsi="Times New Roman" w:eastAsia="楷体_GB2312"/>
          <w:color w:val="000000"/>
          <w:szCs w:val="32"/>
          <w:lang w:val="zh-CN"/>
        </w:rPr>
        <w:t>（三）</w:t>
      </w:r>
      <w:r>
        <w:rPr>
          <w:rFonts w:ascii="Times New Roman" w:hAnsi="Times New Roman" w:eastAsia="楷体_GB2312"/>
          <w:color w:val="000000"/>
          <w:szCs w:val="32"/>
        </w:rPr>
        <w:t>预算安排及分配管理</w:t>
      </w:r>
      <w:r>
        <w:rPr>
          <w:rFonts w:ascii="Times New Roman" w:hAnsi="Times New Roman" w:eastAsia="楷体_GB2312"/>
          <w:color w:val="000000"/>
          <w:szCs w:val="32"/>
          <w:lang w:val="zh-CN"/>
        </w:rPr>
        <w:t>。</w:t>
      </w:r>
      <w:r>
        <w:rPr>
          <w:rFonts w:hint="eastAsia" w:ascii="仿宋" w:hAnsi="仿宋" w:eastAsia="仿宋"/>
          <w:color w:val="000000"/>
          <w:szCs w:val="32"/>
        </w:rPr>
        <w:t>年初预算安排0万元，年度追加34.96万元，使用34.96万元。</w:t>
      </w:r>
      <w:r>
        <w:rPr>
          <w:rFonts w:ascii="Times New Roman" w:hAnsi="Times New Roman"/>
          <w:color w:val="000000"/>
          <w:szCs w:val="32"/>
        </w:rPr>
        <w:t>项目资金</w:t>
      </w:r>
      <w:r>
        <w:rPr>
          <w:rFonts w:hint="eastAsia" w:ascii="Times New Roman" w:hAnsi="Times New Roman"/>
          <w:color w:val="000000"/>
          <w:szCs w:val="32"/>
        </w:rPr>
        <w:t>由区司法局</w:t>
      </w:r>
      <w:r>
        <w:rPr>
          <w:rFonts w:hint="eastAsia" w:ascii="仿宋" w:hAnsi="仿宋" w:eastAsia="仿宋" w:cs="仿宋_GB2312"/>
          <w:color w:val="000000"/>
          <w:szCs w:val="32"/>
        </w:rPr>
        <w:t>监管，并严格按照相关财经纪律执行。</w:t>
      </w:r>
    </w:p>
    <w:p w14:paraId="76BAE81C">
      <w:pPr>
        <w:adjustRightInd w:val="0"/>
        <w:snapToGrid w:val="0"/>
        <w:spacing w:line="560" w:lineRule="exact"/>
        <w:ind w:firstLine="640" w:firstLineChars="200"/>
        <w:contextualSpacing/>
        <w:jc w:val="left"/>
        <w:rPr>
          <w:rFonts w:ascii="仿宋" w:hAnsi="仿宋" w:eastAsia="仿宋" w:cs="仿宋"/>
          <w:color w:val="000000"/>
          <w:szCs w:val="32"/>
        </w:rPr>
      </w:pPr>
      <w:r>
        <w:rPr>
          <w:rFonts w:ascii="Times New Roman" w:hAnsi="Times New Roman" w:eastAsia="楷体_GB2312"/>
          <w:color w:val="000000"/>
          <w:szCs w:val="32"/>
          <w:lang w:val="zh-CN"/>
        </w:rPr>
        <w:t>（四）项目绩效目标设置。</w:t>
      </w:r>
      <w:r>
        <w:rPr>
          <w:rFonts w:hint="eastAsia" w:ascii="仿宋" w:hAnsi="仿宋" w:eastAsia="仿宋" w:cs="仿宋"/>
          <w:color w:val="000000"/>
          <w:szCs w:val="32"/>
        </w:rPr>
        <w:t>保障社区矫正对象实时监控机监管</w:t>
      </w:r>
      <w:r>
        <w:rPr>
          <w:rStyle w:val="230"/>
          <w:rFonts w:hint="eastAsia" w:ascii="仿宋" w:hAnsi="仿宋" w:eastAsia="仿宋" w:cs="仿宋"/>
          <w:color w:val="000000"/>
          <w:szCs w:val="32"/>
        </w:rPr>
        <w:t>。</w:t>
      </w:r>
      <w:r>
        <w:rPr>
          <w:rFonts w:hint="eastAsia" w:ascii="仿宋" w:hAnsi="仿宋" w:eastAsia="仿宋" w:cs="仿宋"/>
          <w:color w:val="000000"/>
          <w:szCs w:val="32"/>
        </w:rPr>
        <w:t>组建自评工作组收集和整理自评的相关数据和信息进行自我分析和评估，对自评的结果进行总结和归纳并制定改进计划和措施，及时跟进和落实。</w:t>
      </w:r>
    </w:p>
    <w:p w14:paraId="1DC776BC">
      <w:pPr>
        <w:adjustRightInd w:val="0"/>
        <w:snapToGrid w:val="0"/>
        <w:spacing w:line="560" w:lineRule="exact"/>
        <w:ind w:firstLine="640" w:firstLineChars="200"/>
        <w:outlineLvl w:val="1"/>
        <w:rPr>
          <w:rFonts w:ascii="Times New Roman" w:hAnsi="Times New Roman" w:eastAsia="黑体"/>
          <w:color w:val="000000"/>
          <w:szCs w:val="32"/>
        </w:rPr>
      </w:pPr>
      <w:bookmarkStart w:id="120" w:name="_Toc12368"/>
      <w:r>
        <w:rPr>
          <w:rFonts w:ascii="Times New Roman" w:hAnsi="Times New Roman" w:eastAsia="黑体"/>
          <w:color w:val="000000"/>
          <w:szCs w:val="32"/>
        </w:rPr>
        <w:t>二、评价实施</w:t>
      </w:r>
      <w:bookmarkEnd w:id="120"/>
    </w:p>
    <w:p w14:paraId="529F29E3">
      <w:pPr>
        <w:spacing w:line="560" w:lineRule="exact"/>
        <w:ind w:firstLine="640" w:firstLineChars="200"/>
        <w:rPr>
          <w:rFonts w:ascii="仿宋" w:hAnsi="仿宋" w:eastAsia="仿宋" w:cs="仿宋"/>
          <w:color w:val="000000"/>
          <w:szCs w:val="32"/>
          <w:lang w:val="zh-CN"/>
        </w:rPr>
      </w:pPr>
      <w:r>
        <w:rPr>
          <w:rFonts w:ascii="Times New Roman" w:hAnsi="Times New Roman" w:eastAsia="楷体_GB2312"/>
          <w:color w:val="000000"/>
          <w:szCs w:val="32"/>
          <w:lang w:val="zh-CN"/>
        </w:rPr>
        <w:t>（一）评价目的。</w:t>
      </w:r>
      <w:r>
        <w:rPr>
          <w:rFonts w:hint="eastAsia" w:ascii="仿宋" w:hAnsi="仿宋" w:eastAsia="仿宋" w:cs="仿宋"/>
          <w:color w:val="000000"/>
          <w:szCs w:val="32"/>
          <w:lang w:val="zh-CN"/>
        </w:rPr>
        <w:t>反映项目实施是否偏离目标，并总结经验，为改善管理，纠正目标与实际的偏差提供依据。</w:t>
      </w:r>
    </w:p>
    <w:p w14:paraId="191BCD2A">
      <w:pPr>
        <w:adjustRightInd w:val="0"/>
        <w:snapToGrid w:val="0"/>
        <w:spacing w:line="560" w:lineRule="exact"/>
        <w:ind w:firstLine="640" w:firstLineChars="200"/>
        <w:rPr>
          <w:rFonts w:ascii="仿宋" w:hAnsi="仿宋" w:eastAsia="仿宋" w:cs="仿宋"/>
          <w:color w:val="000000"/>
          <w:szCs w:val="32"/>
          <w:lang w:val="zh-CN"/>
        </w:rPr>
      </w:pPr>
      <w:r>
        <w:rPr>
          <w:rFonts w:ascii="Times New Roman" w:hAnsi="Times New Roman" w:eastAsia="楷体_GB2312"/>
          <w:color w:val="000000"/>
          <w:szCs w:val="32"/>
          <w:lang w:val="zh-CN"/>
        </w:rPr>
        <w:t>（二）预设问题及评价重点。</w:t>
      </w:r>
      <w:r>
        <w:rPr>
          <w:rFonts w:hint="eastAsia" w:ascii="仿宋" w:hAnsi="仿宋" w:eastAsia="仿宋" w:cs="仿宋"/>
          <w:color w:val="000000"/>
          <w:szCs w:val="32"/>
          <w:lang w:val="zh-CN"/>
        </w:rPr>
        <w:t>采购社区矫正服务项目</w:t>
      </w:r>
      <w:r>
        <w:rPr>
          <w:rFonts w:hint="eastAsia" w:ascii="仿宋" w:hAnsi="仿宋" w:eastAsia="仿宋" w:cs="仿宋"/>
          <w:color w:val="000000"/>
        </w:rPr>
        <w:t>严格按照专款专用原则，及时通知有关单位提供合法票据，完善报账手续，严格票据审核，规范报账程序，确保资金使用的及时性、规范性，同时财政部门对资金支付严格审核，确保资金使用安全。</w:t>
      </w:r>
    </w:p>
    <w:p w14:paraId="6D1E4722">
      <w:pPr>
        <w:adjustRightInd w:val="0"/>
        <w:snapToGrid w:val="0"/>
        <w:spacing w:line="560" w:lineRule="exact"/>
        <w:ind w:firstLine="640" w:firstLineChars="200"/>
        <w:rPr>
          <w:rFonts w:ascii="仿宋" w:hAnsi="仿宋" w:eastAsia="仿宋" w:cs="仿宋"/>
          <w:color w:val="000000"/>
          <w:szCs w:val="32"/>
          <w:lang w:val="zh-CN"/>
        </w:rPr>
      </w:pPr>
      <w:r>
        <w:rPr>
          <w:rFonts w:ascii="Times New Roman" w:hAnsi="Times New Roman" w:eastAsia="楷体_GB2312"/>
          <w:color w:val="000000"/>
          <w:szCs w:val="32"/>
          <w:lang w:val="zh-CN"/>
        </w:rPr>
        <w:t>（三）评价选点。</w:t>
      </w:r>
      <w:r>
        <w:rPr>
          <w:rFonts w:hint="eastAsia" w:ascii="仿宋" w:hAnsi="仿宋" w:eastAsia="仿宋" w:cs="仿宋"/>
          <w:color w:val="000000"/>
          <w:szCs w:val="32"/>
          <w:lang w:val="zh-CN"/>
        </w:rPr>
        <w:t>项目实际完成情况。</w:t>
      </w:r>
    </w:p>
    <w:p w14:paraId="0A3F40DE">
      <w:pPr>
        <w:spacing w:line="560" w:lineRule="exact"/>
        <w:ind w:left="640" w:leftChars="200"/>
        <w:rPr>
          <w:rFonts w:ascii="Times New Roman" w:hAnsi="Times New Roman"/>
          <w:color w:val="000000"/>
        </w:rPr>
      </w:pPr>
      <w:r>
        <w:rPr>
          <w:rFonts w:ascii="Times New Roman" w:hAnsi="Times New Roman" w:eastAsia="楷体_GB2312"/>
          <w:color w:val="000000"/>
          <w:szCs w:val="32"/>
          <w:lang w:val="zh-CN"/>
        </w:rPr>
        <w:t>（四）评价方法。</w:t>
      </w:r>
      <w:r>
        <w:rPr>
          <w:rFonts w:hint="eastAsia" w:ascii="仿宋" w:hAnsi="仿宋" w:eastAsia="仿宋"/>
          <w:color w:val="000000"/>
          <w:kern w:val="2"/>
          <w:szCs w:val="32"/>
        </w:rPr>
        <w:t>本次项目支出绩效评价采取分级评分法。</w:t>
      </w:r>
      <w:r>
        <w:rPr>
          <w:rFonts w:ascii="Times New Roman" w:hAnsi="Times New Roman" w:eastAsia="楷体_GB2312"/>
          <w:color w:val="000000"/>
          <w:szCs w:val="32"/>
          <w:lang w:val="zh-CN"/>
        </w:rPr>
        <w:t>（五）评价组织。</w:t>
      </w:r>
      <w:r>
        <w:rPr>
          <w:rFonts w:hint="eastAsia" w:ascii="仿宋" w:hAnsi="仿宋" w:eastAsia="仿宋"/>
          <w:color w:val="000000"/>
          <w:szCs w:val="32"/>
        </w:rPr>
        <w:t>成立工作专班，</w:t>
      </w:r>
      <w:r>
        <w:rPr>
          <w:rFonts w:hint="eastAsia" w:ascii="仿宋" w:hAnsi="仿宋" w:eastAsia="仿宋"/>
          <w:snapToGrid w:val="0"/>
          <w:color w:val="000000"/>
          <w:szCs w:val="32"/>
        </w:rPr>
        <w:t>落实工作责任，有力有序开展2024年部门预算项目支出绩效自</w:t>
      </w:r>
      <w:r>
        <w:rPr>
          <w:rFonts w:hint="eastAsia" w:ascii="仿宋" w:hAnsi="仿宋" w:eastAsia="仿宋"/>
          <w:color w:val="000000"/>
          <w:szCs w:val="32"/>
        </w:rPr>
        <w:t>评工作。</w:t>
      </w:r>
    </w:p>
    <w:p w14:paraId="6AFE597A">
      <w:pPr>
        <w:adjustRightInd w:val="0"/>
        <w:snapToGrid w:val="0"/>
        <w:spacing w:line="560" w:lineRule="exact"/>
        <w:ind w:firstLine="640" w:firstLineChars="200"/>
        <w:outlineLvl w:val="1"/>
        <w:rPr>
          <w:rFonts w:ascii="Times New Roman" w:hAnsi="Times New Roman"/>
          <w:color w:val="000000"/>
          <w:szCs w:val="32"/>
          <w:lang w:val="zh-CN"/>
        </w:rPr>
      </w:pPr>
      <w:bookmarkStart w:id="121" w:name="_Toc30138"/>
      <w:r>
        <w:rPr>
          <w:rFonts w:ascii="Times New Roman" w:hAnsi="Times New Roman" w:eastAsia="黑体"/>
          <w:color w:val="000000"/>
          <w:szCs w:val="32"/>
        </w:rPr>
        <w:t>三、绩效分析</w:t>
      </w:r>
      <w:bookmarkEnd w:id="121"/>
      <w:r>
        <w:rPr>
          <w:rFonts w:ascii="Times New Roman" w:hAnsi="Times New Roman"/>
          <w:color w:val="000000"/>
          <w:szCs w:val="32"/>
          <w:lang w:val="zh-CN"/>
        </w:rPr>
        <w:tab/>
      </w:r>
    </w:p>
    <w:p w14:paraId="75FA1B8D">
      <w:pPr>
        <w:spacing w:line="560" w:lineRule="exact"/>
        <w:ind w:firstLine="640" w:firstLineChars="200"/>
        <w:rPr>
          <w:rFonts w:ascii="Times New Roman" w:hAnsi="Times New Roman"/>
          <w:color w:val="000000"/>
          <w:szCs w:val="32"/>
        </w:rPr>
      </w:pPr>
      <w:r>
        <w:rPr>
          <w:rFonts w:ascii="Times New Roman" w:hAnsi="Times New Roman"/>
          <w:color w:val="000000"/>
          <w:szCs w:val="32"/>
          <w:lang w:val="zh-CN"/>
        </w:rPr>
        <w:t>根据项目预算绩效评价指标体系“通用指标”“专用指标”“个性指标”涉及二、三级指标进行逐项绩效分析并评分</w:t>
      </w:r>
      <w:r>
        <w:rPr>
          <w:rFonts w:ascii="Times New Roman" w:hAnsi="Times New Roman"/>
          <w:color w:val="000000"/>
          <w:szCs w:val="32"/>
        </w:rPr>
        <w:t>。</w:t>
      </w:r>
    </w:p>
    <w:p w14:paraId="34CC48A3">
      <w:pPr>
        <w:spacing w:line="560" w:lineRule="exact"/>
        <w:ind w:firstLine="640" w:firstLineChars="200"/>
        <w:outlineLvl w:val="2"/>
        <w:rPr>
          <w:rFonts w:ascii="Times New Roman" w:hAnsi="Times New Roman" w:eastAsia="楷体_GB2312"/>
          <w:color w:val="000000"/>
          <w:szCs w:val="32"/>
        </w:rPr>
      </w:pPr>
      <w:r>
        <w:rPr>
          <w:rFonts w:ascii="Times New Roman" w:hAnsi="Times New Roman" w:eastAsia="楷体_GB2312"/>
          <w:color w:val="000000"/>
          <w:szCs w:val="32"/>
          <w:lang w:val="zh-CN"/>
        </w:rPr>
        <w:t>（一）</w:t>
      </w:r>
      <w:r>
        <w:rPr>
          <w:rFonts w:ascii="Times New Roman" w:hAnsi="Times New Roman" w:eastAsia="楷体_GB2312"/>
          <w:color w:val="000000"/>
          <w:szCs w:val="32"/>
        </w:rPr>
        <w:t>通用指标</w:t>
      </w:r>
      <w:r>
        <w:rPr>
          <w:rFonts w:ascii="Times New Roman" w:hAnsi="Times New Roman" w:eastAsia="楷体_GB2312"/>
          <w:color w:val="000000"/>
          <w:szCs w:val="32"/>
          <w:lang w:val="zh-CN"/>
        </w:rPr>
        <w:t>绩效分析。</w:t>
      </w:r>
    </w:p>
    <w:p w14:paraId="31E9B7E2">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1.项目决策。从综合评价来看，区</w:t>
      </w:r>
      <w:bookmarkStart w:id="122" w:name="OLE_LINK69"/>
      <w:bookmarkStart w:id="123" w:name="OLE_LINK70"/>
      <w:r>
        <w:rPr>
          <w:rFonts w:hint="eastAsia" w:ascii="仿宋" w:hAnsi="仿宋" w:eastAsia="仿宋" w:cs="仿宋"/>
          <w:color w:val="000000"/>
          <w:szCs w:val="32"/>
        </w:rPr>
        <w:t>司法局</w:t>
      </w:r>
      <w:bookmarkEnd w:id="122"/>
      <w:bookmarkEnd w:id="123"/>
      <w:r>
        <w:rPr>
          <w:rFonts w:hint="eastAsia" w:ascii="仿宋" w:hAnsi="仿宋" w:eastAsia="仿宋" w:cs="仿宋"/>
          <w:color w:val="000000"/>
          <w:szCs w:val="32"/>
        </w:rPr>
        <w:t>各预算项目设立依据基本充分，均设定了各项目绩效目标，对资金配置方面均有明确的测算依据，整体情况良好。</w:t>
      </w:r>
    </w:p>
    <w:p w14:paraId="5F0E0D55">
      <w:pPr>
        <w:spacing w:line="560" w:lineRule="exact"/>
        <w:ind w:firstLine="640" w:firstLineChars="200"/>
        <w:rPr>
          <w:rFonts w:ascii="仿宋" w:hAnsi="仿宋" w:eastAsia="仿宋" w:cs="仿宋"/>
          <w:color w:val="000000"/>
          <w:szCs w:val="32"/>
          <w:lang w:val="zh-CN"/>
        </w:rPr>
      </w:pPr>
      <w:r>
        <w:rPr>
          <w:rFonts w:hint="eastAsia" w:ascii="仿宋" w:hAnsi="仿宋" w:eastAsia="仿宋" w:cs="仿宋"/>
          <w:color w:val="000000"/>
          <w:szCs w:val="32"/>
        </w:rPr>
        <w:t>2.项目管理。</w:t>
      </w:r>
      <w:r>
        <w:rPr>
          <w:rFonts w:hint="eastAsia" w:ascii="仿宋" w:hAnsi="仿宋" w:eastAsia="仿宋" w:cs="仿宋"/>
          <w:color w:val="000000"/>
          <w:kern w:val="2"/>
          <w:szCs w:val="32"/>
        </w:rPr>
        <w:t>从整体评价来看，区</w:t>
      </w:r>
      <w:r>
        <w:rPr>
          <w:rFonts w:hint="eastAsia" w:ascii="仿宋" w:hAnsi="仿宋" w:eastAsia="仿宋" w:cs="仿宋"/>
          <w:color w:val="000000"/>
          <w:szCs w:val="32"/>
        </w:rPr>
        <w:t>司法局</w:t>
      </w:r>
      <w:r>
        <w:rPr>
          <w:rFonts w:hint="eastAsia" w:ascii="仿宋" w:hAnsi="仿宋" w:eastAsia="仿宋" w:cs="仿宋"/>
          <w:color w:val="000000"/>
          <w:kern w:val="2"/>
          <w:szCs w:val="32"/>
        </w:rPr>
        <w:t>建立了基本能全面覆盖的管理制度，各项目按照财政局相关要求稳步推进，并根据年度工作计划做好各项目工作。年初预算批复后，根据项目推进情况申请资金下达，截至2024年12月31日，项目资金到位34.96万元，支出34.96万元，项目资金执行率为100%。项目运行成本均在可控制范围内。</w:t>
      </w:r>
    </w:p>
    <w:p w14:paraId="7F57386C">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3.项目实施。项目经费</w:t>
      </w:r>
      <w:r>
        <w:rPr>
          <w:rFonts w:hint="eastAsia" w:ascii="仿宋" w:hAnsi="仿宋" w:eastAsia="仿宋" w:cs="仿宋"/>
          <w:color w:val="000000"/>
        </w:rPr>
        <w:t>严格按照专款专用原则，年初</w:t>
      </w:r>
      <w:r>
        <w:rPr>
          <w:rFonts w:hint="eastAsia" w:ascii="仿宋" w:hAnsi="仿宋" w:eastAsia="仿宋" w:cs="仿宋"/>
          <w:color w:val="000000"/>
          <w:szCs w:val="32"/>
        </w:rPr>
        <w:t>预算安排0万元，年度追加34.96万元，使用34.96万元。</w:t>
      </w:r>
      <w:r>
        <w:rPr>
          <w:rFonts w:hint="eastAsia" w:ascii="仿宋" w:hAnsi="仿宋" w:eastAsia="仿宋" w:cs="仿宋"/>
          <w:color w:val="000000"/>
          <w:szCs w:val="32"/>
          <w:lang w:val="zh-CN"/>
        </w:rPr>
        <w:t>单位</w:t>
      </w:r>
      <w:r>
        <w:rPr>
          <w:rFonts w:hint="eastAsia" w:ascii="仿宋" w:hAnsi="仿宋" w:eastAsia="仿宋" w:cs="仿宋"/>
          <w:color w:val="000000"/>
          <w:szCs w:val="32"/>
        </w:rPr>
        <w:t>无截留、挤占、挪用、虚列支出等情况。</w:t>
      </w:r>
    </w:p>
    <w:p w14:paraId="48EDC47A">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项目结果。规范社区矫正对象教育管理。常态化开展执法检查、“三新”教育活动，定期召开风险研判分析会议与工作例会，联合民盟安居总支启动“黄丝带”帮教活动，全年共办理调查评估166件，列管社区矫正对象446人。</w:t>
      </w:r>
      <w:r>
        <w:rPr>
          <w:rFonts w:hint="eastAsia" w:ascii="仿宋" w:hAnsi="仿宋" w:eastAsia="仿宋" w:cs="仿宋"/>
          <w:color w:val="000000"/>
          <w:kern w:val="2"/>
        </w:rPr>
        <w:t>项目</w:t>
      </w:r>
      <w:r>
        <w:rPr>
          <w:rFonts w:hint="eastAsia" w:ascii="仿宋" w:hAnsi="仿宋" w:eastAsia="仿宋" w:cs="仿宋"/>
          <w:color w:val="000000"/>
          <w:szCs w:val="32"/>
          <w:lang w:val="zh-CN"/>
        </w:rPr>
        <w:t>完成时效</w:t>
      </w:r>
      <w:r>
        <w:rPr>
          <w:rFonts w:hint="eastAsia" w:ascii="仿宋" w:hAnsi="仿宋" w:eastAsia="仿宋" w:cs="仿宋"/>
          <w:color w:val="000000"/>
          <w:szCs w:val="32"/>
        </w:rPr>
        <w:t>1年</w:t>
      </w:r>
      <w:r>
        <w:rPr>
          <w:rFonts w:hint="eastAsia" w:ascii="仿宋" w:hAnsi="仿宋" w:eastAsia="仿宋" w:cs="仿宋"/>
          <w:color w:val="000000"/>
          <w:szCs w:val="32"/>
          <w:lang w:val="zh-CN"/>
        </w:rPr>
        <w:t>。</w:t>
      </w:r>
    </w:p>
    <w:p w14:paraId="5E517F41">
      <w:pPr>
        <w:spacing w:line="560" w:lineRule="exact"/>
        <w:ind w:firstLine="640" w:firstLineChars="200"/>
        <w:rPr>
          <w:rFonts w:ascii="仿宋" w:hAnsi="仿宋" w:eastAsia="仿宋" w:cs="仿宋"/>
          <w:color w:val="000000"/>
          <w:szCs w:val="32"/>
          <w:lang w:val="zh-CN"/>
        </w:rPr>
      </w:pPr>
      <w:r>
        <w:rPr>
          <w:rFonts w:ascii="Times New Roman" w:hAnsi="Times New Roman" w:eastAsia="楷体_GB2312"/>
          <w:color w:val="000000"/>
          <w:szCs w:val="32"/>
          <w:lang w:val="zh-CN"/>
        </w:rPr>
        <w:t>（二）</w:t>
      </w:r>
      <w:r>
        <w:rPr>
          <w:rFonts w:ascii="Times New Roman" w:hAnsi="Times New Roman" w:eastAsia="楷体_GB2312"/>
          <w:color w:val="000000"/>
          <w:szCs w:val="32"/>
        </w:rPr>
        <w:t>专用指标</w:t>
      </w:r>
      <w:r>
        <w:rPr>
          <w:rFonts w:ascii="Times New Roman" w:hAnsi="Times New Roman" w:eastAsia="楷体_GB2312"/>
          <w:color w:val="000000"/>
          <w:szCs w:val="32"/>
          <w:lang w:val="zh-CN"/>
        </w:rPr>
        <w:t>绩效分析。</w:t>
      </w:r>
      <w:r>
        <w:rPr>
          <w:rFonts w:hint="eastAsia" w:ascii="仿宋" w:hAnsi="仿宋" w:eastAsia="仿宋" w:cs="仿宋"/>
          <w:color w:val="000000"/>
          <w:szCs w:val="32"/>
          <w:lang w:val="zh-CN"/>
        </w:rPr>
        <w:t>根据</w:t>
      </w:r>
      <w:r>
        <w:rPr>
          <w:rFonts w:hint="eastAsia" w:ascii="仿宋" w:hAnsi="仿宋" w:eastAsia="仿宋" w:cs="仿宋"/>
          <w:color w:val="000000"/>
          <w:szCs w:val="32"/>
        </w:rPr>
        <w:t>专项预算项目资金支持对象选择所属指标进行绩效分析。支持对象</w:t>
      </w:r>
      <w:r>
        <w:rPr>
          <w:rFonts w:hint="eastAsia" w:ascii="仿宋" w:hAnsi="仿宋" w:eastAsia="仿宋" w:cs="仿宋"/>
          <w:color w:val="000000"/>
          <w:szCs w:val="32"/>
          <w:lang w:val="zh-CN"/>
        </w:rPr>
        <w:t>包括产业发展、民生保障、基础设施、行政运转等方面。</w:t>
      </w:r>
    </w:p>
    <w:p w14:paraId="7EDE7962">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1.产业发展。围绕符合性、成长性、经济性进行绩效分析。</w:t>
      </w:r>
    </w:p>
    <w:p w14:paraId="60A5F940">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w:t>
      </w:r>
      <w:r>
        <w:rPr>
          <w:rFonts w:hint="eastAsia" w:ascii="仿宋" w:hAnsi="仿宋" w:eastAsia="仿宋" w:cs="仿宋"/>
          <w:color w:val="000000"/>
          <w:szCs w:val="32"/>
          <w:lang w:val="zh-CN"/>
        </w:rPr>
        <w:t>民生保障。</w:t>
      </w:r>
      <w:r>
        <w:rPr>
          <w:rFonts w:hint="eastAsia" w:ascii="仿宋" w:hAnsi="仿宋" w:eastAsia="仿宋" w:cs="仿宋"/>
          <w:color w:val="000000"/>
          <w:szCs w:val="32"/>
        </w:rPr>
        <w:t>围绕区域均衡性、对象精准性、标准合理性、群众满意度进行绩效分析。</w:t>
      </w:r>
    </w:p>
    <w:p w14:paraId="6643FEAD">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3.基础设施。在建项目围绕工程进度和资金拨付进行绩效分析；建成项目围绕项目验收、功能实现、后续管护进行</w:t>
      </w:r>
      <w:r>
        <w:rPr>
          <w:rFonts w:hint="eastAsia" w:ascii="仿宋" w:hAnsi="仿宋" w:eastAsia="仿宋" w:cs="仿宋"/>
          <w:color w:val="000000"/>
          <w:szCs w:val="32"/>
          <w:lang w:val="zh-CN"/>
        </w:rPr>
        <w:t>绩效分析。</w:t>
      </w:r>
    </w:p>
    <w:p w14:paraId="54C22440">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w:t>
      </w:r>
      <w:r>
        <w:rPr>
          <w:rFonts w:hint="eastAsia" w:ascii="仿宋" w:hAnsi="仿宋" w:eastAsia="仿宋" w:cs="仿宋"/>
          <w:color w:val="000000"/>
          <w:szCs w:val="32"/>
          <w:lang w:val="zh-CN"/>
        </w:rPr>
        <w:t>行政运转。围绕用途合规性、程序合规性、标准合规性进行绩效分析。</w:t>
      </w:r>
    </w:p>
    <w:p w14:paraId="2D477D6C">
      <w:pPr>
        <w:spacing w:line="560" w:lineRule="exact"/>
        <w:ind w:firstLine="640" w:firstLineChars="200"/>
        <w:rPr>
          <w:rFonts w:ascii="仿宋" w:hAnsi="仿宋" w:eastAsia="仿宋" w:cs="仿宋"/>
          <w:color w:val="000000"/>
          <w:szCs w:val="32"/>
        </w:rPr>
      </w:pPr>
      <w:r>
        <w:rPr>
          <w:rFonts w:ascii="Times New Roman" w:hAnsi="Times New Roman" w:eastAsia="楷体_GB2312"/>
          <w:color w:val="000000"/>
          <w:szCs w:val="32"/>
          <w:lang w:val="zh-CN"/>
        </w:rPr>
        <w:t>（三）</w:t>
      </w:r>
      <w:r>
        <w:rPr>
          <w:rFonts w:ascii="Times New Roman" w:hAnsi="Times New Roman" w:eastAsia="楷体_GB2312"/>
          <w:color w:val="000000"/>
          <w:szCs w:val="32"/>
        </w:rPr>
        <w:t>个性指标</w:t>
      </w:r>
      <w:r>
        <w:rPr>
          <w:rFonts w:ascii="Times New Roman" w:hAnsi="Times New Roman" w:eastAsia="楷体_GB2312"/>
          <w:color w:val="000000"/>
          <w:szCs w:val="32"/>
          <w:lang w:val="zh-CN"/>
        </w:rPr>
        <w:t>绩效分析。</w:t>
      </w:r>
      <w:r>
        <w:rPr>
          <w:rFonts w:hint="eastAsia" w:ascii="仿宋" w:hAnsi="仿宋" w:eastAsia="仿宋" w:cs="仿宋"/>
          <w:color w:val="000000"/>
          <w:szCs w:val="32"/>
          <w:lang w:val="zh-CN"/>
        </w:rPr>
        <w:t>根据项目个性自行设定部分指标，反映该项指标执行完成情况。</w:t>
      </w:r>
    </w:p>
    <w:p w14:paraId="6ADDC325">
      <w:pPr>
        <w:pStyle w:val="16"/>
        <w:tabs>
          <w:tab w:val="left" w:pos="2160"/>
        </w:tabs>
        <w:spacing w:line="560" w:lineRule="exact"/>
        <w:ind w:firstLine="640" w:firstLineChars="200"/>
        <w:outlineLvl w:val="1"/>
        <w:rPr>
          <w:rFonts w:ascii="Times New Roman" w:hAnsi="Times New Roman" w:eastAsia="黑体"/>
          <w:color w:val="000000"/>
          <w:szCs w:val="32"/>
        </w:rPr>
      </w:pPr>
      <w:bookmarkStart w:id="124" w:name="_Toc4811"/>
      <w:r>
        <w:rPr>
          <w:rFonts w:ascii="Times New Roman" w:hAnsi="Times New Roman" w:eastAsia="黑体"/>
          <w:color w:val="000000"/>
          <w:szCs w:val="32"/>
        </w:rPr>
        <w:t>四、评价结论</w:t>
      </w:r>
      <w:bookmarkEnd w:id="124"/>
    </w:p>
    <w:p w14:paraId="4AD8D99C">
      <w:pPr>
        <w:pStyle w:val="16"/>
        <w:tabs>
          <w:tab w:val="left" w:pos="2160"/>
        </w:tabs>
        <w:spacing w:line="560" w:lineRule="exact"/>
        <w:ind w:firstLine="640" w:firstLineChars="200"/>
        <w:rPr>
          <w:rFonts w:ascii="Times New Roman" w:hAnsi="Times New Roman"/>
          <w:color w:val="000000"/>
          <w:szCs w:val="32"/>
        </w:rPr>
      </w:pPr>
      <w:r>
        <w:rPr>
          <w:rFonts w:hint="eastAsia" w:ascii="仿宋" w:hAnsi="仿宋" w:eastAsia="仿宋" w:cs="仿宋"/>
          <w:color w:val="000000"/>
          <w:szCs w:val="32"/>
          <w:lang w:bidi="ar"/>
        </w:rPr>
        <w:t>采购社区矫正服务</w:t>
      </w:r>
      <w:r>
        <w:rPr>
          <w:rFonts w:hint="eastAsia" w:ascii="仿宋" w:hAnsi="仿宋" w:eastAsia="仿宋" w:cs="仿宋"/>
          <w:iCs/>
          <w:color w:val="000000"/>
          <w:szCs w:val="32"/>
          <w:lang w:bidi="ar"/>
        </w:rPr>
        <w:t>项目绩效总体评价良好,</w:t>
      </w:r>
      <w:r>
        <w:rPr>
          <w:rFonts w:hint="eastAsia" w:ascii="仿宋" w:hAnsi="仿宋" w:eastAsia="仿宋" w:cs="仿宋"/>
          <w:iCs/>
          <w:color w:val="000000"/>
          <w:szCs w:val="32"/>
        </w:rPr>
        <w:t>自</w:t>
      </w:r>
      <w:r>
        <w:rPr>
          <w:rFonts w:hint="eastAsia" w:ascii="仿宋_GB2312" w:hAnsi="宋体"/>
          <w:color w:val="000000"/>
          <w:szCs w:val="32"/>
        </w:rPr>
        <w:t>评得分</w:t>
      </w:r>
      <w:r>
        <w:rPr>
          <w:rFonts w:hint="eastAsia" w:hAnsi="宋体"/>
          <w:color w:val="000000"/>
          <w:szCs w:val="32"/>
        </w:rPr>
        <w:t>98</w:t>
      </w:r>
      <w:r>
        <w:rPr>
          <w:rFonts w:hint="eastAsia" w:ascii="仿宋_GB2312" w:hAnsi="宋体"/>
          <w:color w:val="000000"/>
          <w:szCs w:val="32"/>
        </w:rPr>
        <w:t>分。</w:t>
      </w:r>
    </w:p>
    <w:p w14:paraId="02652EE2">
      <w:pPr>
        <w:pStyle w:val="16"/>
        <w:tabs>
          <w:tab w:val="left" w:pos="2160"/>
        </w:tabs>
        <w:spacing w:line="560" w:lineRule="exact"/>
        <w:ind w:firstLine="640" w:firstLineChars="200"/>
        <w:outlineLvl w:val="1"/>
        <w:rPr>
          <w:rFonts w:ascii="Times New Roman" w:hAnsi="Times New Roman" w:eastAsia="黑体"/>
          <w:color w:val="000000"/>
          <w:szCs w:val="32"/>
        </w:rPr>
      </w:pPr>
      <w:bookmarkStart w:id="125" w:name="_Toc31259"/>
      <w:r>
        <w:rPr>
          <w:rFonts w:hint="eastAsia" w:ascii="Times New Roman" w:hAnsi="Times New Roman" w:eastAsia="黑体"/>
          <w:color w:val="000000"/>
          <w:szCs w:val="32"/>
        </w:rPr>
        <w:t>五、</w:t>
      </w:r>
      <w:r>
        <w:rPr>
          <w:rFonts w:ascii="Times New Roman" w:hAnsi="Times New Roman" w:eastAsia="黑体"/>
          <w:color w:val="000000"/>
          <w:szCs w:val="32"/>
        </w:rPr>
        <w:t>存在主要问题</w:t>
      </w:r>
      <w:bookmarkEnd w:id="125"/>
    </w:p>
    <w:p w14:paraId="31A01EED">
      <w:pPr>
        <w:pStyle w:val="16"/>
        <w:tabs>
          <w:tab w:val="left" w:pos="2160"/>
        </w:tabs>
        <w:spacing w:line="560" w:lineRule="exact"/>
        <w:ind w:firstLine="640" w:firstLineChars="200"/>
        <w:rPr>
          <w:rFonts w:ascii="仿宋" w:hAnsi="仿宋" w:eastAsia="仿宋" w:cs="仿宋"/>
          <w:color w:val="000000"/>
          <w:position w:val="3"/>
          <w:szCs w:val="32"/>
          <w:lang w:val="zh-CN"/>
        </w:rPr>
      </w:pPr>
      <w:r>
        <w:rPr>
          <w:rFonts w:hint="eastAsia" w:ascii="仿宋" w:hAnsi="仿宋" w:eastAsia="仿宋" w:cs="仿宋"/>
          <w:color w:val="000000"/>
          <w:position w:val="3"/>
          <w:szCs w:val="32"/>
          <w:lang w:val="zh-CN"/>
        </w:rPr>
        <w:t>无</w:t>
      </w:r>
    </w:p>
    <w:p w14:paraId="50B85466">
      <w:pPr>
        <w:pStyle w:val="16"/>
        <w:tabs>
          <w:tab w:val="left" w:pos="2160"/>
        </w:tabs>
        <w:spacing w:line="560" w:lineRule="exact"/>
        <w:ind w:firstLine="640" w:firstLineChars="200"/>
        <w:outlineLvl w:val="1"/>
        <w:rPr>
          <w:rFonts w:ascii="Times New Roman" w:hAnsi="Times New Roman" w:eastAsia="黑体"/>
          <w:color w:val="000000"/>
          <w:position w:val="3"/>
          <w:szCs w:val="32"/>
          <w:lang w:val="zh-CN"/>
        </w:rPr>
      </w:pPr>
      <w:bookmarkStart w:id="126" w:name="_Toc13648"/>
      <w:r>
        <w:rPr>
          <w:rFonts w:ascii="Times New Roman" w:hAnsi="Times New Roman" w:eastAsia="黑体"/>
          <w:color w:val="000000"/>
          <w:position w:val="3"/>
          <w:szCs w:val="32"/>
          <w:lang w:val="zh-CN"/>
        </w:rPr>
        <w:t>六、改进建议</w:t>
      </w:r>
      <w:bookmarkEnd w:id="126"/>
    </w:p>
    <w:p w14:paraId="45E292E2">
      <w:pPr>
        <w:spacing w:line="560" w:lineRule="exact"/>
        <w:ind w:firstLine="640" w:firstLineChars="200"/>
        <w:rPr>
          <w:rFonts w:hint="eastAsia" w:ascii="仿宋" w:hAnsi="仿宋" w:eastAsia="仿宋" w:cs="仿宋"/>
          <w:color w:val="000000"/>
          <w:szCs w:val="32"/>
          <w:lang w:val="zh-CN"/>
        </w:rPr>
      </w:pPr>
      <w:r>
        <w:rPr>
          <w:rFonts w:hint="eastAsia" w:ascii="仿宋" w:hAnsi="仿宋" w:eastAsia="仿宋" w:cs="仿宋"/>
          <w:color w:val="000000"/>
          <w:szCs w:val="32"/>
          <w:lang w:val="zh-CN"/>
        </w:rPr>
        <w:t>无</w:t>
      </w:r>
    </w:p>
    <w:p w14:paraId="559A8190">
      <w:pPr>
        <w:pStyle w:val="2"/>
        <w:numPr>
          <w:ilvl w:val="0"/>
          <w:numId w:val="0"/>
        </w:numPr>
        <w:ind w:leftChars="0"/>
        <w:rPr>
          <w:rFonts w:hint="eastAsia" w:ascii="仿宋" w:hAnsi="仿宋" w:eastAsia="仿宋" w:cs="仿宋"/>
          <w:color w:val="000000"/>
          <w:szCs w:val="32"/>
          <w:lang w:val="zh-CN"/>
        </w:rPr>
      </w:pPr>
    </w:p>
    <w:p w14:paraId="72CAC88E">
      <w:pPr>
        <w:pStyle w:val="2"/>
        <w:numPr>
          <w:ilvl w:val="0"/>
          <w:numId w:val="0"/>
        </w:numPr>
        <w:ind w:leftChars="0"/>
        <w:rPr>
          <w:rFonts w:hint="eastAsia" w:ascii="仿宋" w:hAnsi="仿宋" w:eastAsia="仿宋" w:cs="仿宋"/>
          <w:color w:val="000000"/>
          <w:szCs w:val="32"/>
          <w:lang w:val="zh-CN"/>
        </w:rPr>
      </w:pPr>
    </w:p>
    <w:p w14:paraId="35211090">
      <w:pPr>
        <w:pStyle w:val="2"/>
        <w:numPr>
          <w:ilvl w:val="0"/>
          <w:numId w:val="0"/>
        </w:numPr>
        <w:ind w:leftChars="0"/>
        <w:rPr>
          <w:rFonts w:hint="eastAsia" w:ascii="仿宋" w:hAnsi="仿宋" w:eastAsia="仿宋" w:cs="仿宋"/>
          <w:color w:val="000000"/>
          <w:szCs w:val="32"/>
          <w:lang w:val="zh-CN"/>
        </w:rPr>
      </w:pPr>
    </w:p>
    <w:p w14:paraId="28E302B1">
      <w:pPr>
        <w:pStyle w:val="2"/>
        <w:numPr>
          <w:ilvl w:val="0"/>
          <w:numId w:val="0"/>
        </w:numPr>
        <w:ind w:leftChars="0"/>
        <w:rPr>
          <w:rFonts w:hint="eastAsia" w:ascii="仿宋" w:hAnsi="仿宋" w:eastAsia="仿宋" w:cs="仿宋"/>
          <w:color w:val="000000"/>
          <w:szCs w:val="32"/>
          <w:lang w:val="zh-CN"/>
        </w:rPr>
      </w:pPr>
    </w:p>
    <w:p w14:paraId="2526811D">
      <w:pPr>
        <w:pStyle w:val="2"/>
        <w:numPr>
          <w:ilvl w:val="0"/>
          <w:numId w:val="0"/>
        </w:numPr>
        <w:ind w:leftChars="0"/>
        <w:rPr>
          <w:rFonts w:hint="eastAsia" w:ascii="仿宋" w:hAnsi="仿宋" w:eastAsia="仿宋" w:cs="仿宋"/>
          <w:color w:val="000000"/>
          <w:szCs w:val="32"/>
          <w:lang w:val="zh-CN"/>
        </w:rPr>
      </w:pPr>
    </w:p>
    <w:p w14:paraId="4166E46E">
      <w:pPr>
        <w:pStyle w:val="2"/>
        <w:numPr>
          <w:ilvl w:val="0"/>
          <w:numId w:val="0"/>
        </w:numPr>
        <w:ind w:leftChars="0"/>
        <w:rPr>
          <w:rFonts w:hint="eastAsia" w:ascii="仿宋" w:hAnsi="仿宋" w:eastAsia="仿宋" w:cs="仿宋"/>
          <w:color w:val="000000"/>
          <w:szCs w:val="32"/>
          <w:lang w:val="zh-CN"/>
        </w:rPr>
      </w:pPr>
    </w:p>
    <w:p w14:paraId="5E160AAB">
      <w:pPr>
        <w:pStyle w:val="2"/>
        <w:numPr>
          <w:ilvl w:val="0"/>
          <w:numId w:val="0"/>
        </w:numPr>
        <w:ind w:leftChars="0"/>
        <w:rPr>
          <w:rFonts w:hint="eastAsia" w:ascii="仿宋" w:hAnsi="仿宋" w:eastAsia="仿宋" w:cs="仿宋"/>
          <w:color w:val="000000"/>
          <w:szCs w:val="32"/>
          <w:lang w:val="zh-CN"/>
        </w:rPr>
      </w:pPr>
    </w:p>
    <w:p w14:paraId="5C9E7F9D">
      <w:pPr>
        <w:pStyle w:val="2"/>
        <w:numPr>
          <w:ilvl w:val="0"/>
          <w:numId w:val="0"/>
        </w:numPr>
        <w:ind w:leftChars="0"/>
        <w:rPr>
          <w:rFonts w:hint="eastAsia" w:ascii="仿宋" w:hAnsi="仿宋" w:eastAsia="仿宋" w:cs="仿宋"/>
          <w:color w:val="000000"/>
          <w:szCs w:val="32"/>
          <w:lang w:val="zh-CN"/>
        </w:rPr>
      </w:pPr>
    </w:p>
    <w:p w14:paraId="0632B093">
      <w:pPr>
        <w:pStyle w:val="2"/>
        <w:numPr>
          <w:ilvl w:val="0"/>
          <w:numId w:val="0"/>
        </w:numPr>
        <w:ind w:leftChars="0"/>
        <w:rPr>
          <w:rFonts w:hint="eastAsia" w:ascii="仿宋" w:hAnsi="仿宋" w:eastAsia="仿宋" w:cs="仿宋"/>
          <w:color w:val="000000"/>
          <w:szCs w:val="32"/>
          <w:lang w:val="zh-CN"/>
        </w:rPr>
      </w:pPr>
    </w:p>
    <w:p w14:paraId="4B457ACF">
      <w:pPr>
        <w:pStyle w:val="2"/>
        <w:numPr>
          <w:ilvl w:val="0"/>
          <w:numId w:val="0"/>
        </w:numPr>
        <w:ind w:leftChars="0"/>
        <w:rPr>
          <w:rFonts w:hint="eastAsia" w:ascii="仿宋" w:hAnsi="仿宋" w:eastAsia="仿宋" w:cs="仿宋"/>
          <w:color w:val="000000"/>
          <w:szCs w:val="32"/>
          <w:lang w:val="zh-CN"/>
        </w:rPr>
      </w:pPr>
    </w:p>
    <w:p w14:paraId="204F7AF7">
      <w:pPr>
        <w:pStyle w:val="2"/>
        <w:numPr>
          <w:ilvl w:val="0"/>
          <w:numId w:val="0"/>
        </w:numPr>
        <w:ind w:leftChars="0"/>
        <w:rPr>
          <w:rFonts w:hint="eastAsia" w:ascii="仿宋" w:hAnsi="仿宋" w:eastAsia="仿宋" w:cs="仿宋"/>
          <w:color w:val="000000"/>
          <w:szCs w:val="32"/>
          <w:lang w:val="zh-CN"/>
        </w:rPr>
      </w:pPr>
    </w:p>
    <w:p w14:paraId="65E6FAED">
      <w:pPr>
        <w:pStyle w:val="2"/>
        <w:numPr>
          <w:ilvl w:val="0"/>
          <w:numId w:val="0"/>
        </w:numPr>
        <w:ind w:leftChars="0"/>
        <w:rPr>
          <w:rFonts w:hint="eastAsia" w:ascii="仿宋" w:hAnsi="仿宋" w:eastAsia="仿宋" w:cs="仿宋"/>
          <w:color w:val="000000"/>
          <w:szCs w:val="32"/>
          <w:lang w:val="zh-CN"/>
        </w:rPr>
      </w:pPr>
    </w:p>
    <w:p w14:paraId="2679E6F1">
      <w:pPr>
        <w:pStyle w:val="2"/>
        <w:numPr>
          <w:ilvl w:val="0"/>
          <w:numId w:val="0"/>
        </w:numPr>
        <w:ind w:leftChars="0"/>
        <w:rPr>
          <w:rFonts w:hint="eastAsia" w:ascii="仿宋" w:hAnsi="仿宋" w:eastAsia="仿宋" w:cs="仿宋"/>
          <w:color w:val="000000"/>
          <w:szCs w:val="32"/>
          <w:lang w:val="zh-CN"/>
        </w:rPr>
      </w:pPr>
    </w:p>
    <w:p w14:paraId="7BE5FBD7">
      <w:pPr>
        <w:pStyle w:val="2"/>
        <w:numPr>
          <w:ilvl w:val="0"/>
          <w:numId w:val="0"/>
        </w:numPr>
        <w:ind w:leftChars="0"/>
        <w:rPr>
          <w:rFonts w:hint="eastAsia" w:ascii="仿宋" w:hAnsi="仿宋" w:eastAsia="仿宋" w:cs="仿宋"/>
          <w:color w:val="000000"/>
          <w:szCs w:val="32"/>
          <w:lang w:val="zh-CN"/>
        </w:rPr>
      </w:pPr>
    </w:p>
    <w:p w14:paraId="0704776D">
      <w:pPr>
        <w:pStyle w:val="2"/>
        <w:numPr>
          <w:ilvl w:val="0"/>
          <w:numId w:val="0"/>
        </w:numPr>
        <w:ind w:leftChars="0"/>
        <w:rPr>
          <w:rFonts w:hint="eastAsia" w:ascii="仿宋" w:hAnsi="仿宋" w:eastAsia="仿宋" w:cs="仿宋"/>
          <w:color w:val="000000"/>
          <w:szCs w:val="32"/>
          <w:lang w:val="zh-CN"/>
        </w:rPr>
      </w:pPr>
    </w:p>
    <w:p w14:paraId="4966FB84">
      <w:pPr>
        <w:pStyle w:val="2"/>
        <w:numPr>
          <w:ilvl w:val="0"/>
          <w:numId w:val="0"/>
        </w:numPr>
        <w:ind w:leftChars="0"/>
        <w:rPr>
          <w:rFonts w:hint="eastAsia" w:ascii="仿宋" w:hAnsi="仿宋" w:eastAsia="仿宋" w:cs="仿宋"/>
          <w:color w:val="000000"/>
          <w:szCs w:val="32"/>
          <w:lang w:val="zh-CN"/>
        </w:rPr>
      </w:pPr>
    </w:p>
    <w:p w14:paraId="3139A314">
      <w:pPr>
        <w:pStyle w:val="2"/>
        <w:numPr>
          <w:ilvl w:val="0"/>
          <w:numId w:val="0"/>
        </w:numPr>
        <w:ind w:leftChars="0"/>
        <w:rPr>
          <w:rFonts w:hint="eastAsia" w:ascii="仿宋" w:hAnsi="仿宋" w:eastAsia="仿宋" w:cs="仿宋"/>
          <w:color w:val="000000"/>
          <w:szCs w:val="32"/>
          <w:lang w:val="zh-CN"/>
        </w:rPr>
      </w:pPr>
    </w:p>
    <w:tbl>
      <w:tblPr>
        <w:tblStyle w:val="36"/>
        <w:tblW w:w="5000" w:type="pct"/>
        <w:tblInd w:w="0" w:type="dxa"/>
        <w:tblLayout w:type="autofit"/>
        <w:tblCellMar>
          <w:top w:w="0" w:type="dxa"/>
          <w:left w:w="108" w:type="dxa"/>
          <w:bottom w:w="0" w:type="dxa"/>
          <w:right w:w="108" w:type="dxa"/>
        </w:tblCellMar>
      </w:tblPr>
      <w:tblGrid>
        <w:gridCol w:w="576"/>
        <w:gridCol w:w="1034"/>
        <w:gridCol w:w="899"/>
        <w:gridCol w:w="1317"/>
        <w:gridCol w:w="396"/>
        <w:gridCol w:w="1047"/>
        <w:gridCol w:w="396"/>
        <w:gridCol w:w="846"/>
        <w:gridCol w:w="486"/>
        <w:gridCol w:w="397"/>
        <w:gridCol w:w="1848"/>
      </w:tblGrid>
      <w:tr w14:paraId="31D33572">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9A479CA">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6D18533C">
        <w:tblPrEx>
          <w:tblCellMar>
            <w:top w:w="0" w:type="dxa"/>
            <w:left w:w="108" w:type="dxa"/>
            <w:bottom w:w="0" w:type="dxa"/>
            <w:right w:w="108" w:type="dxa"/>
          </w:tblCellMar>
        </w:tblPrEx>
        <w:trPr>
          <w:trHeight w:val="559" w:hRule="atLeast"/>
        </w:trPr>
        <w:tc>
          <w:tcPr>
            <w:tcW w:w="816" w:type="pct"/>
            <w:gridSpan w:val="2"/>
            <w:tcBorders>
              <w:top w:val="nil"/>
              <w:left w:val="single" w:color="auto" w:sz="4" w:space="0"/>
              <w:bottom w:val="single" w:color="000000" w:sz="4" w:space="0"/>
              <w:right w:val="single" w:color="auto" w:sz="4" w:space="0"/>
            </w:tcBorders>
            <w:shd w:val="clear" w:color="auto" w:fill="auto"/>
            <w:vAlign w:val="center"/>
          </w:tcPr>
          <w:p w14:paraId="62F5A893">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184" w:type="pct"/>
            <w:gridSpan w:val="9"/>
            <w:tcBorders>
              <w:top w:val="nil"/>
              <w:left w:val="nil"/>
              <w:bottom w:val="single" w:color="000000" w:sz="4" w:space="0"/>
              <w:right w:val="single" w:color="auto" w:sz="4" w:space="0"/>
            </w:tcBorders>
            <w:shd w:val="clear" w:color="auto" w:fill="auto"/>
            <w:vAlign w:val="center"/>
          </w:tcPr>
          <w:p w14:paraId="282F4328">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51090422T000000378634-采购社区矫正服务</w:t>
            </w:r>
          </w:p>
        </w:tc>
      </w:tr>
      <w:tr w14:paraId="30404778">
        <w:tblPrEx>
          <w:tblCellMar>
            <w:top w:w="0" w:type="dxa"/>
            <w:left w:w="108" w:type="dxa"/>
            <w:bottom w:w="0" w:type="dxa"/>
            <w:right w:w="108" w:type="dxa"/>
          </w:tblCellMar>
        </w:tblPrEx>
        <w:trPr>
          <w:trHeight w:val="514" w:hRule="atLeast"/>
        </w:trPr>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2400B">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281" w:type="pct"/>
            <w:gridSpan w:val="5"/>
            <w:tcBorders>
              <w:top w:val="single" w:color="000000" w:sz="4" w:space="0"/>
              <w:left w:val="nil"/>
              <w:bottom w:val="single" w:color="000000" w:sz="4" w:space="0"/>
              <w:right w:val="single" w:color="000000" w:sz="4" w:space="0"/>
            </w:tcBorders>
            <w:shd w:val="clear" w:color="auto" w:fill="auto"/>
            <w:vAlign w:val="center"/>
          </w:tcPr>
          <w:p w14:paraId="7145C97F">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408" w:type="pct"/>
            <w:tcBorders>
              <w:top w:val="nil"/>
              <w:left w:val="nil"/>
              <w:bottom w:val="nil"/>
              <w:right w:val="nil"/>
            </w:tcBorders>
            <w:shd w:val="clear" w:color="auto" w:fill="auto"/>
            <w:vAlign w:val="center"/>
          </w:tcPr>
          <w:p w14:paraId="5006187E">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9CB4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25DC14E6">
        <w:tblPrEx>
          <w:tblCellMar>
            <w:top w:w="0" w:type="dxa"/>
            <w:left w:w="108" w:type="dxa"/>
            <w:bottom w:w="0" w:type="dxa"/>
            <w:right w:w="108" w:type="dxa"/>
          </w:tblCellMar>
        </w:tblPrEx>
        <w:trPr>
          <w:trHeight w:val="360"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6A1A574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605" w:type="pct"/>
            <w:vMerge w:val="restart"/>
            <w:tcBorders>
              <w:top w:val="nil"/>
              <w:left w:val="single" w:color="000000" w:sz="4" w:space="0"/>
              <w:bottom w:val="single" w:color="000000" w:sz="4" w:space="0"/>
              <w:right w:val="single" w:color="000000" w:sz="4" w:space="0"/>
            </w:tcBorders>
            <w:shd w:val="clear" w:color="auto" w:fill="auto"/>
            <w:vAlign w:val="center"/>
          </w:tcPr>
          <w:p w14:paraId="53939A46">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281" w:type="pct"/>
            <w:gridSpan w:val="5"/>
            <w:tcBorders>
              <w:top w:val="single" w:color="000000" w:sz="4" w:space="0"/>
              <w:left w:val="nil"/>
              <w:bottom w:val="single" w:color="000000" w:sz="4" w:space="0"/>
              <w:right w:val="single" w:color="000000" w:sz="4" w:space="0"/>
            </w:tcBorders>
            <w:shd w:val="clear" w:color="auto" w:fill="auto"/>
            <w:vAlign w:val="center"/>
          </w:tcPr>
          <w:p w14:paraId="20209F5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902" w:type="pct"/>
            <w:gridSpan w:val="4"/>
            <w:tcBorders>
              <w:top w:val="single" w:color="000000" w:sz="4" w:space="0"/>
              <w:left w:val="nil"/>
              <w:bottom w:val="single" w:color="000000" w:sz="4" w:space="0"/>
              <w:right w:val="single" w:color="000000" w:sz="4" w:space="0"/>
            </w:tcBorders>
            <w:shd w:val="clear" w:color="auto" w:fill="auto"/>
            <w:vAlign w:val="center"/>
          </w:tcPr>
          <w:p w14:paraId="64A6C3C1">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1086CC95">
        <w:tblPrEx>
          <w:tblCellMar>
            <w:top w:w="0" w:type="dxa"/>
            <w:left w:w="108" w:type="dxa"/>
            <w:bottom w:w="0" w:type="dxa"/>
            <w:right w:w="108" w:type="dxa"/>
          </w:tblCellMar>
        </w:tblPrEx>
        <w:trPr>
          <w:trHeight w:val="2682" w:hRule="atLeast"/>
        </w:trPr>
        <w:tc>
          <w:tcPr>
            <w:tcW w:w="211" w:type="pct"/>
            <w:vMerge w:val="continue"/>
            <w:tcBorders>
              <w:top w:val="nil"/>
              <w:left w:val="single" w:color="000000" w:sz="4" w:space="0"/>
              <w:bottom w:val="single" w:color="000000" w:sz="4" w:space="0"/>
              <w:right w:val="single" w:color="000000" w:sz="4" w:space="0"/>
            </w:tcBorders>
            <w:vAlign w:val="center"/>
          </w:tcPr>
          <w:p w14:paraId="02725E8D">
            <w:pPr>
              <w:widowControl/>
              <w:jc w:val="left"/>
              <w:rPr>
                <w:rFonts w:ascii="宋体" w:hAnsi="宋体" w:eastAsia="宋体" w:cs="宋体"/>
                <w:color w:val="000000"/>
                <w:sz w:val="18"/>
                <w:szCs w:val="18"/>
              </w:rPr>
            </w:pPr>
          </w:p>
        </w:tc>
        <w:tc>
          <w:tcPr>
            <w:tcW w:w="605" w:type="pct"/>
            <w:vMerge w:val="continue"/>
            <w:tcBorders>
              <w:top w:val="nil"/>
              <w:left w:val="single" w:color="000000" w:sz="4" w:space="0"/>
              <w:bottom w:val="single" w:color="000000" w:sz="4" w:space="0"/>
              <w:right w:val="single" w:color="000000" w:sz="4" w:space="0"/>
            </w:tcBorders>
            <w:vAlign w:val="center"/>
          </w:tcPr>
          <w:p w14:paraId="5F633108">
            <w:pPr>
              <w:widowControl/>
              <w:jc w:val="left"/>
              <w:rPr>
                <w:rFonts w:ascii="宋体" w:hAnsi="宋体" w:eastAsia="宋体" w:cs="宋体"/>
                <w:color w:val="000000"/>
                <w:sz w:val="18"/>
                <w:szCs w:val="18"/>
              </w:rPr>
            </w:pPr>
          </w:p>
        </w:tc>
        <w:tc>
          <w:tcPr>
            <w:tcW w:w="2281" w:type="pct"/>
            <w:gridSpan w:val="5"/>
            <w:tcBorders>
              <w:top w:val="single" w:color="000000" w:sz="4" w:space="0"/>
              <w:left w:val="nil"/>
              <w:bottom w:val="single" w:color="000000" w:sz="4" w:space="0"/>
              <w:right w:val="single" w:color="000000" w:sz="4" w:space="0"/>
            </w:tcBorders>
            <w:shd w:val="clear" w:color="auto" w:fill="auto"/>
            <w:vAlign w:val="center"/>
          </w:tcPr>
          <w:p w14:paraId="51057C4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保障社区矫正对象实时监控机监管。</w:t>
            </w:r>
          </w:p>
        </w:tc>
        <w:tc>
          <w:tcPr>
            <w:tcW w:w="1902" w:type="pct"/>
            <w:gridSpan w:val="4"/>
            <w:tcBorders>
              <w:top w:val="single" w:color="000000" w:sz="4" w:space="0"/>
              <w:left w:val="nil"/>
              <w:bottom w:val="single" w:color="000000" w:sz="4" w:space="0"/>
              <w:right w:val="single" w:color="000000" w:sz="4" w:space="0"/>
            </w:tcBorders>
            <w:shd w:val="clear" w:color="auto" w:fill="auto"/>
            <w:vAlign w:val="center"/>
          </w:tcPr>
          <w:p w14:paraId="52C3DC6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规范社区矫正对象教育管理。常态化开展执法检查、“三新”教育活动，定期召开风险研判分析会议与工作例会，联合民盟安居总支启动“黄丝带”帮教活动，全年共办理调查评估166件，列管社区矫正对象446人。</w:t>
            </w:r>
          </w:p>
        </w:tc>
      </w:tr>
      <w:tr w14:paraId="743315E8">
        <w:tblPrEx>
          <w:tblCellMar>
            <w:top w:w="0" w:type="dxa"/>
            <w:left w:w="108" w:type="dxa"/>
            <w:bottom w:w="0" w:type="dxa"/>
            <w:right w:w="108" w:type="dxa"/>
          </w:tblCellMar>
        </w:tblPrEx>
        <w:trPr>
          <w:trHeight w:val="1140" w:hRule="atLeast"/>
        </w:trPr>
        <w:tc>
          <w:tcPr>
            <w:tcW w:w="211" w:type="pct"/>
            <w:vMerge w:val="continue"/>
            <w:tcBorders>
              <w:top w:val="nil"/>
              <w:left w:val="single" w:color="000000" w:sz="4" w:space="0"/>
              <w:bottom w:val="single" w:color="000000" w:sz="4" w:space="0"/>
              <w:right w:val="single" w:color="000000" w:sz="4" w:space="0"/>
            </w:tcBorders>
            <w:vAlign w:val="center"/>
          </w:tcPr>
          <w:p w14:paraId="5B1FD770">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431FA52E">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184" w:type="pct"/>
            <w:gridSpan w:val="9"/>
            <w:tcBorders>
              <w:top w:val="single" w:color="000000" w:sz="4" w:space="0"/>
              <w:left w:val="nil"/>
              <w:bottom w:val="single" w:color="000000" w:sz="4" w:space="0"/>
              <w:right w:val="single" w:color="000000" w:sz="4" w:space="0"/>
            </w:tcBorders>
            <w:shd w:val="clear" w:color="auto" w:fill="auto"/>
            <w:vAlign w:val="center"/>
          </w:tcPr>
          <w:p w14:paraId="26AE7BD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规范社区矫正对象教育管理。常态化开展执法检查、“三新”教育活动，定期召开风险研判分析会议与工作例会，联合民盟安居总支启动“黄丝带”帮教活动，全年共办理调查评估166件，列管社区矫正对象446人。</w:t>
            </w:r>
          </w:p>
        </w:tc>
      </w:tr>
      <w:tr w14:paraId="42E1019A">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0E7ABC6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605" w:type="pct"/>
            <w:tcBorders>
              <w:top w:val="nil"/>
              <w:left w:val="nil"/>
              <w:bottom w:val="single" w:color="000000" w:sz="4" w:space="0"/>
              <w:right w:val="single" w:color="000000" w:sz="4" w:space="0"/>
            </w:tcBorders>
            <w:shd w:val="clear" w:color="auto" w:fill="auto"/>
            <w:vAlign w:val="center"/>
          </w:tcPr>
          <w:p w14:paraId="0EE8049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532" w:type="pct"/>
            <w:tcBorders>
              <w:top w:val="nil"/>
              <w:left w:val="nil"/>
              <w:bottom w:val="single" w:color="000000" w:sz="4" w:space="0"/>
              <w:right w:val="single" w:color="000000" w:sz="4" w:space="0"/>
            </w:tcBorders>
            <w:shd w:val="clear" w:color="auto" w:fill="auto"/>
            <w:vAlign w:val="center"/>
          </w:tcPr>
          <w:p w14:paraId="47795DB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758" w:type="pct"/>
            <w:tcBorders>
              <w:top w:val="nil"/>
              <w:left w:val="nil"/>
              <w:bottom w:val="single" w:color="000000" w:sz="4" w:space="0"/>
              <w:right w:val="single" w:color="000000" w:sz="4" w:space="0"/>
            </w:tcBorders>
            <w:shd w:val="clear" w:color="auto" w:fill="auto"/>
            <w:vAlign w:val="center"/>
          </w:tcPr>
          <w:p w14:paraId="15C0D83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6E747BC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408" w:type="pct"/>
            <w:tcBorders>
              <w:top w:val="nil"/>
              <w:left w:val="nil"/>
              <w:bottom w:val="single" w:color="000000" w:sz="4" w:space="0"/>
              <w:right w:val="single" w:color="000000" w:sz="4" w:space="0"/>
            </w:tcBorders>
            <w:shd w:val="clear" w:color="auto" w:fill="auto"/>
            <w:vAlign w:val="center"/>
          </w:tcPr>
          <w:p w14:paraId="65D96A8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90" w:type="pct"/>
            <w:tcBorders>
              <w:top w:val="nil"/>
              <w:left w:val="nil"/>
              <w:bottom w:val="single" w:color="000000" w:sz="4" w:space="0"/>
              <w:right w:val="single" w:color="000000" w:sz="4" w:space="0"/>
            </w:tcBorders>
            <w:shd w:val="clear" w:color="auto" w:fill="auto"/>
            <w:vAlign w:val="center"/>
          </w:tcPr>
          <w:p w14:paraId="3961594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26" w:type="pct"/>
            <w:tcBorders>
              <w:top w:val="nil"/>
              <w:left w:val="nil"/>
              <w:bottom w:val="single" w:color="000000" w:sz="4" w:space="0"/>
              <w:right w:val="single" w:color="000000" w:sz="4" w:space="0"/>
            </w:tcBorders>
            <w:shd w:val="clear" w:color="auto" w:fill="auto"/>
            <w:vAlign w:val="center"/>
          </w:tcPr>
          <w:p w14:paraId="5E4809A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79" w:type="pct"/>
            <w:tcBorders>
              <w:top w:val="nil"/>
              <w:left w:val="nil"/>
              <w:bottom w:val="single" w:color="000000" w:sz="4" w:space="0"/>
              <w:right w:val="single" w:color="000000" w:sz="4" w:space="0"/>
            </w:tcBorders>
            <w:shd w:val="clear" w:color="auto" w:fill="auto"/>
            <w:vAlign w:val="center"/>
          </w:tcPr>
          <w:p w14:paraId="084CAC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5655C398">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66201E13">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3F79F01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532" w:type="pct"/>
            <w:tcBorders>
              <w:top w:val="nil"/>
              <w:left w:val="nil"/>
              <w:bottom w:val="single" w:color="000000" w:sz="4" w:space="0"/>
              <w:right w:val="single" w:color="000000" w:sz="4" w:space="0"/>
            </w:tcBorders>
            <w:shd w:val="clear" w:color="auto" w:fill="auto"/>
            <w:vAlign w:val="center"/>
          </w:tcPr>
          <w:p w14:paraId="0E1BB75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758" w:type="pct"/>
            <w:tcBorders>
              <w:top w:val="nil"/>
              <w:left w:val="nil"/>
              <w:bottom w:val="single" w:color="000000" w:sz="4" w:space="0"/>
              <w:right w:val="single" w:color="000000" w:sz="4" w:space="0"/>
            </w:tcBorders>
            <w:shd w:val="clear" w:color="auto" w:fill="auto"/>
            <w:vAlign w:val="center"/>
          </w:tcPr>
          <w:p w14:paraId="37EFC77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34.96</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5809D2F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34.96</w:t>
            </w:r>
          </w:p>
        </w:tc>
        <w:tc>
          <w:tcPr>
            <w:tcW w:w="408" w:type="pct"/>
            <w:tcBorders>
              <w:top w:val="nil"/>
              <w:left w:val="nil"/>
              <w:bottom w:val="single" w:color="000000" w:sz="4" w:space="0"/>
              <w:right w:val="single" w:color="000000" w:sz="4" w:space="0"/>
            </w:tcBorders>
            <w:shd w:val="clear" w:color="auto" w:fill="auto"/>
            <w:vAlign w:val="center"/>
          </w:tcPr>
          <w:p w14:paraId="0C54604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90" w:type="pct"/>
            <w:tcBorders>
              <w:top w:val="nil"/>
              <w:left w:val="nil"/>
              <w:bottom w:val="single" w:color="000000" w:sz="4" w:space="0"/>
              <w:right w:val="single" w:color="000000" w:sz="4" w:space="0"/>
            </w:tcBorders>
            <w:shd w:val="clear" w:color="auto" w:fill="auto"/>
            <w:vAlign w:val="center"/>
          </w:tcPr>
          <w:p w14:paraId="505099C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57F748F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vMerge w:val="restart"/>
            <w:tcBorders>
              <w:top w:val="nil"/>
              <w:left w:val="single" w:color="000000" w:sz="4" w:space="0"/>
              <w:bottom w:val="single" w:color="000000" w:sz="4" w:space="0"/>
              <w:right w:val="single" w:color="000000" w:sz="4" w:space="0"/>
            </w:tcBorders>
            <w:shd w:val="clear" w:color="auto" w:fill="auto"/>
            <w:vAlign w:val="center"/>
          </w:tcPr>
          <w:p w14:paraId="060E656A">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该项目预算执行率为100%。</w:t>
            </w:r>
          </w:p>
        </w:tc>
      </w:tr>
      <w:tr w14:paraId="58185C15">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6F04F90C">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6BE72FF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532" w:type="pct"/>
            <w:tcBorders>
              <w:top w:val="nil"/>
              <w:left w:val="nil"/>
              <w:bottom w:val="single" w:color="000000" w:sz="4" w:space="0"/>
              <w:right w:val="single" w:color="000000" w:sz="4" w:space="0"/>
            </w:tcBorders>
            <w:shd w:val="clear" w:color="auto" w:fill="auto"/>
            <w:vAlign w:val="center"/>
          </w:tcPr>
          <w:p w14:paraId="00C277D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758" w:type="pct"/>
            <w:tcBorders>
              <w:top w:val="nil"/>
              <w:left w:val="nil"/>
              <w:bottom w:val="single" w:color="000000" w:sz="4" w:space="0"/>
              <w:right w:val="single" w:color="000000" w:sz="4" w:space="0"/>
            </w:tcBorders>
            <w:shd w:val="clear" w:color="auto" w:fill="auto"/>
            <w:vAlign w:val="center"/>
          </w:tcPr>
          <w:p w14:paraId="646E641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34.96</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21F88D9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34.96</w:t>
            </w:r>
          </w:p>
        </w:tc>
        <w:tc>
          <w:tcPr>
            <w:tcW w:w="408" w:type="pct"/>
            <w:tcBorders>
              <w:top w:val="nil"/>
              <w:left w:val="nil"/>
              <w:bottom w:val="single" w:color="000000" w:sz="4" w:space="0"/>
              <w:right w:val="single" w:color="000000" w:sz="4" w:space="0"/>
            </w:tcBorders>
            <w:shd w:val="clear" w:color="auto" w:fill="auto"/>
            <w:vAlign w:val="center"/>
          </w:tcPr>
          <w:p w14:paraId="11E865D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90" w:type="pct"/>
            <w:tcBorders>
              <w:top w:val="nil"/>
              <w:left w:val="nil"/>
              <w:bottom w:val="single" w:color="000000" w:sz="4" w:space="0"/>
              <w:right w:val="single" w:color="000000" w:sz="4" w:space="0"/>
            </w:tcBorders>
            <w:shd w:val="clear" w:color="auto" w:fill="auto"/>
            <w:vAlign w:val="center"/>
          </w:tcPr>
          <w:p w14:paraId="33CAE42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195D21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9" w:type="pct"/>
            <w:vMerge w:val="continue"/>
            <w:tcBorders>
              <w:top w:val="nil"/>
              <w:left w:val="single" w:color="000000" w:sz="4" w:space="0"/>
              <w:bottom w:val="single" w:color="000000" w:sz="4" w:space="0"/>
              <w:right w:val="single" w:color="000000" w:sz="4" w:space="0"/>
            </w:tcBorders>
            <w:vAlign w:val="center"/>
          </w:tcPr>
          <w:p w14:paraId="37F87B8D">
            <w:pPr>
              <w:widowControl/>
              <w:jc w:val="left"/>
              <w:rPr>
                <w:rFonts w:ascii="Courier New" w:hAnsi="Courier New" w:eastAsia="宋体" w:cs="Courier New"/>
                <w:color w:val="000000"/>
                <w:sz w:val="16"/>
                <w:szCs w:val="16"/>
              </w:rPr>
            </w:pPr>
          </w:p>
        </w:tc>
      </w:tr>
      <w:tr w14:paraId="4AF84F04">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111893E3">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11B12410">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532" w:type="pct"/>
            <w:tcBorders>
              <w:top w:val="nil"/>
              <w:left w:val="nil"/>
              <w:bottom w:val="single" w:color="000000" w:sz="4" w:space="0"/>
              <w:right w:val="single" w:color="000000" w:sz="4" w:space="0"/>
            </w:tcBorders>
            <w:shd w:val="clear" w:color="auto" w:fill="auto"/>
            <w:vAlign w:val="center"/>
          </w:tcPr>
          <w:p w14:paraId="626190C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8" w:type="pct"/>
            <w:tcBorders>
              <w:top w:val="nil"/>
              <w:left w:val="nil"/>
              <w:bottom w:val="single" w:color="000000" w:sz="4" w:space="0"/>
              <w:right w:val="single" w:color="000000" w:sz="4" w:space="0"/>
            </w:tcBorders>
            <w:shd w:val="clear" w:color="auto" w:fill="auto"/>
            <w:vAlign w:val="center"/>
          </w:tcPr>
          <w:p w14:paraId="12EB007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76D8D51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8" w:type="pct"/>
            <w:tcBorders>
              <w:top w:val="nil"/>
              <w:left w:val="nil"/>
              <w:bottom w:val="single" w:color="000000" w:sz="4" w:space="0"/>
              <w:right w:val="single" w:color="000000" w:sz="4" w:space="0"/>
            </w:tcBorders>
            <w:shd w:val="clear" w:color="auto" w:fill="auto"/>
            <w:vAlign w:val="center"/>
          </w:tcPr>
          <w:p w14:paraId="505D00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1C3241D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6F835FA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9" w:type="pct"/>
            <w:vMerge w:val="continue"/>
            <w:tcBorders>
              <w:top w:val="nil"/>
              <w:left w:val="single" w:color="000000" w:sz="4" w:space="0"/>
              <w:bottom w:val="single" w:color="000000" w:sz="4" w:space="0"/>
              <w:right w:val="single" w:color="000000" w:sz="4" w:space="0"/>
            </w:tcBorders>
            <w:vAlign w:val="center"/>
          </w:tcPr>
          <w:p w14:paraId="576DA0F5">
            <w:pPr>
              <w:widowControl/>
              <w:jc w:val="left"/>
              <w:rPr>
                <w:rFonts w:ascii="Courier New" w:hAnsi="Courier New" w:eastAsia="宋体" w:cs="Courier New"/>
                <w:color w:val="000000"/>
                <w:sz w:val="16"/>
                <w:szCs w:val="16"/>
              </w:rPr>
            </w:pPr>
          </w:p>
        </w:tc>
      </w:tr>
      <w:tr w14:paraId="484E1D16">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449339A1">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73186D6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532" w:type="pct"/>
            <w:tcBorders>
              <w:top w:val="nil"/>
              <w:left w:val="nil"/>
              <w:bottom w:val="single" w:color="000000" w:sz="4" w:space="0"/>
              <w:right w:val="single" w:color="000000" w:sz="4" w:space="0"/>
            </w:tcBorders>
            <w:shd w:val="clear" w:color="auto" w:fill="auto"/>
            <w:vAlign w:val="center"/>
          </w:tcPr>
          <w:p w14:paraId="0B0DE0A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8" w:type="pct"/>
            <w:tcBorders>
              <w:top w:val="nil"/>
              <w:left w:val="nil"/>
              <w:bottom w:val="single" w:color="000000" w:sz="4" w:space="0"/>
              <w:right w:val="single" w:color="000000" w:sz="4" w:space="0"/>
            </w:tcBorders>
            <w:shd w:val="clear" w:color="auto" w:fill="auto"/>
            <w:vAlign w:val="center"/>
          </w:tcPr>
          <w:p w14:paraId="105F18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68FB15B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8" w:type="pct"/>
            <w:tcBorders>
              <w:top w:val="nil"/>
              <w:left w:val="nil"/>
              <w:bottom w:val="single" w:color="000000" w:sz="4" w:space="0"/>
              <w:right w:val="single" w:color="000000" w:sz="4" w:space="0"/>
            </w:tcBorders>
            <w:shd w:val="clear" w:color="auto" w:fill="auto"/>
            <w:vAlign w:val="center"/>
          </w:tcPr>
          <w:p w14:paraId="5774E5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7DE3CBE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3D19DEF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9" w:type="pct"/>
            <w:vMerge w:val="continue"/>
            <w:tcBorders>
              <w:top w:val="nil"/>
              <w:left w:val="single" w:color="000000" w:sz="4" w:space="0"/>
              <w:bottom w:val="single" w:color="000000" w:sz="4" w:space="0"/>
              <w:right w:val="single" w:color="000000" w:sz="4" w:space="0"/>
            </w:tcBorders>
            <w:vAlign w:val="center"/>
          </w:tcPr>
          <w:p w14:paraId="4FB01515">
            <w:pPr>
              <w:widowControl/>
              <w:jc w:val="left"/>
              <w:rPr>
                <w:rFonts w:ascii="Courier New" w:hAnsi="Courier New" w:eastAsia="宋体" w:cs="Courier New"/>
                <w:color w:val="000000"/>
                <w:sz w:val="16"/>
                <w:szCs w:val="16"/>
              </w:rPr>
            </w:pPr>
          </w:p>
        </w:tc>
      </w:tr>
      <w:tr w14:paraId="0F420985">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5C6EAD90">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2D63E26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532" w:type="pct"/>
            <w:tcBorders>
              <w:top w:val="nil"/>
              <w:left w:val="nil"/>
              <w:bottom w:val="single" w:color="000000" w:sz="4" w:space="0"/>
              <w:right w:val="single" w:color="000000" w:sz="4" w:space="0"/>
            </w:tcBorders>
            <w:shd w:val="clear" w:color="auto" w:fill="auto"/>
            <w:vAlign w:val="center"/>
          </w:tcPr>
          <w:p w14:paraId="1D06574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758" w:type="pct"/>
            <w:tcBorders>
              <w:top w:val="nil"/>
              <w:left w:val="nil"/>
              <w:bottom w:val="single" w:color="000000" w:sz="4" w:space="0"/>
              <w:right w:val="single" w:color="000000" w:sz="4" w:space="0"/>
            </w:tcBorders>
            <w:shd w:val="clear" w:color="auto" w:fill="auto"/>
            <w:vAlign w:val="center"/>
          </w:tcPr>
          <w:p w14:paraId="7A24AC8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91" w:type="pct"/>
            <w:gridSpan w:val="3"/>
            <w:tcBorders>
              <w:top w:val="single" w:color="000000" w:sz="4" w:space="0"/>
              <w:left w:val="nil"/>
              <w:bottom w:val="single" w:color="000000" w:sz="4" w:space="0"/>
              <w:right w:val="single" w:color="000000" w:sz="4" w:space="0"/>
            </w:tcBorders>
            <w:shd w:val="clear" w:color="auto" w:fill="auto"/>
            <w:vAlign w:val="center"/>
          </w:tcPr>
          <w:p w14:paraId="18CF371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08" w:type="pct"/>
            <w:tcBorders>
              <w:top w:val="nil"/>
              <w:left w:val="nil"/>
              <w:bottom w:val="single" w:color="000000" w:sz="4" w:space="0"/>
              <w:right w:val="single" w:color="000000" w:sz="4" w:space="0"/>
            </w:tcBorders>
            <w:shd w:val="clear" w:color="auto" w:fill="auto"/>
            <w:vAlign w:val="center"/>
          </w:tcPr>
          <w:p w14:paraId="1155EBBB">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90" w:type="pct"/>
            <w:tcBorders>
              <w:top w:val="nil"/>
              <w:left w:val="nil"/>
              <w:bottom w:val="single" w:color="000000" w:sz="4" w:space="0"/>
              <w:right w:val="single" w:color="000000" w:sz="4" w:space="0"/>
            </w:tcBorders>
            <w:shd w:val="clear" w:color="auto" w:fill="auto"/>
            <w:vAlign w:val="center"/>
          </w:tcPr>
          <w:p w14:paraId="3BB558E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2C09180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9" w:type="pct"/>
            <w:vMerge w:val="continue"/>
            <w:tcBorders>
              <w:top w:val="nil"/>
              <w:left w:val="single" w:color="000000" w:sz="4" w:space="0"/>
              <w:bottom w:val="single" w:color="000000" w:sz="4" w:space="0"/>
              <w:right w:val="single" w:color="000000" w:sz="4" w:space="0"/>
            </w:tcBorders>
            <w:vAlign w:val="center"/>
          </w:tcPr>
          <w:p w14:paraId="5DB75600">
            <w:pPr>
              <w:widowControl/>
              <w:jc w:val="left"/>
              <w:rPr>
                <w:rFonts w:ascii="Courier New" w:hAnsi="Courier New" w:eastAsia="宋体" w:cs="Courier New"/>
                <w:color w:val="000000"/>
                <w:sz w:val="16"/>
                <w:szCs w:val="16"/>
              </w:rPr>
            </w:pPr>
          </w:p>
        </w:tc>
      </w:tr>
      <w:tr w14:paraId="1190E9F5">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nil"/>
              <w:right w:val="single" w:color="000000" w:sz="4" w:space="0"/>
            </w:tcBorders>
            <w:shd w:val="clear" w:color="auto" w:fill="auto"/>
            <w:vAlign w:val="center"/>
          </w:tcPr>
          <w:p w14:paraId="0E90151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605" w:type="pct"/>
            <w:tcBorders>
              <w:top w:val="nil"/>
              <w:left w:val="nil"/>
              <w:bottom w:val="single" w:color="000000" w:sz="4" w:space="0"/>
              <w:right w:val="single" w:color="000000" w:sz="4" w:space="0"/>
            </w:tcBorders>
            <w:shd w:val="clear" w:color="auto" w:fill="auto"/>
            <w:vAlign w:val="center"/>
          </w:tcPr>
          <w:p w14:paraId="4439329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532" w:type="pct"/>
            <w:tcBorders>
              <w:top w:val="nil"/>
              <w:left w:val="nil"/>
              <w:bottom w:val="single" w:color="000000" w:sz="4" w:space="0"/>
              <w:right w:val="single" w:color="000000" w:sz="4" w:space="0"/>
            </w:tcBorders>
            <w:shd w:val="clear" w:color="auto" w:fill="auto"/>
            <w:vAlign w:val="center"/>
          </w:tcPr>
          <w:p w14:paraId="4433898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758" w:type="pct"/>
            <w:tcBorders>
              <w:top w:val="nil"/>
              <w:left w:val="nil"/>
              <w:bottom w:val="single" w:color="000000" w:sz="4" w:space="0"/>
              <w:right w:val="single" w:color="000000" w:sz="4" w:space="0"/>
            </w:tcBorders>
            <w:shd w:val="clear" w:color="auto" w:fill="auto"/>
            <w:vAlign w:val="center"/>
          </w:tcPr>
          <w:p w14:paraId="46B5343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90" w:type="pct"/>
            <w:tcBorders>
              <w:top w:val="nil"/>
              <w:left w:val="nil"/>
              <w:bottom w:val="single" w:color="000000" w:sz="4" w:space="0"/>
              <w:right w:val="single" w:color="000000" w:sz="4" w:space="0"/>
            </w:tcBorders>
            <w:shd w:val="clear" w:color="auto" w:fill="auto"/>
            <w:vAlign w:val="center"/>
          </w:tcPr>
          <w:p w14:paraId="363F9DF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612" w:type="pct"/>
            <w:tcBorders>
              <w:top w:val="nil"/>
              <w:left w:val="nil"/>
              <w:bottom w:val="single" w:color="000000" w:sz="4" w:space="0"/>
              <w:right w:val="single" w:color="000000" w:sz="4" w:space="0"/>
            </w:tcBorders>
            <w:shd w:val="clear" w:color="auto" w:fill="auto"/>
            <w:vAlign w:val="center"/>
          </w:tcPr>
          <w:p w14:paraId="3AFF805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190" w:type="pct"/>
            <w:tcBorders>
              <w:top w:val="nil"/>
              <w:left w:val="nil"/>
              <w:bottom w:val="single" w:color="000000" w:sz="4" w:space="0"/>
              <w:right w:val="single" w:color="000000" w:sz="4" w:space="0"/>
            </w:tcBorders>
            <w:shd w:val="clear" w:color="auto" w:fill="auto"/>
            <w:vAlign w:val="center"/>
          </w:tcPr>
          <w:p w14:paraId="4DE9EDC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408" w:type="pct"/>
            <w:tcBorders>
              <w:top w:val="nil"/>
              <w:left w:val="nil"/>
              <w:bottom w:val="single" w:color="000000" w:sz="4" w:space="0"/>
              <w:right w:val="single" w:color="000000" w:sz="4" w:space="0"/>
            </w:tcBorders>
            <w:shd w:val="clear" w:color="auto" w:fill="auto"/>
            <w:vAlign w:val="center"/>
          </w:tcPr>
          <w:p w14:paraId="150C6A6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90" w:type="pct"/>
            <w:tcBorders>
              <w:top w:val="nil"/>
              <w:left w:val="nil"/>
              <w:bottom w:val="single" w:color="000000" w:sz="4" w:space="0"/>
              <w:right w:val="single" w:color="000000" w:sz="4" w:space="0"/>
            </w:tcBorders>
            <w:shd w:val="clear" w:color="auto" w:fill="auto"/>
            <w:vAlign w:val="center"/>
          </w:tcPr>
          <w:p w14:paraId="7D2AC9C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26" w:type="pct"/>
            <w:tcBorders>
              <w:top w:val="nil"/>
              <w:left w:val="nil"/>
              <w:bottom w:val="single" w:color="000000" w:sz="4" w:space="0"/>
              <w:right w:val="single" w:color="000000" w:sz="4" w:space="0"/>
            </w:tcBorders>
            <w:shd w:val="clear" w:color="auto" w:fill="auto"/>
            <w:vAlign w:val="center"/>
          </w:tcPr>
          <w:p w14:paraId="3A1F3B7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79" w:type="pct"/>
            <w:tcBorders>
              <w:top w:val="nil"/>
              <w:left w:val="nil"/>
              <w:bottom w:val="single" w:color="000000" w:sz="4" w:space="0"/>
              <w:right w:val="single" w:color="000000" w:sz="4" w:space="0"/>
            </w:tcBorders>
            <w:shd w:val="clear" w:color="auto" w:fill="auto"/>
            <w:vAlign w:val="center"/>
          </w:tcPr>
          <w:p w14:paraId="43AC58A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5EDDBF3F">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5759D566">
            <w:pPr>
              <w:widowControl/>
              <w:jc w:val="left"/>
              <w:rPr>
                <w:rFonts w:ascii="宋体" w:hAnsi="宋体" w:eastAsia="宋体" w:cs="宋体"/>
                <w:color w:val="000000"/>
                <w:sz w:val="18"/>
                <w:szCs w:val="18"/>
              </w:rPr>
            </w:pPr>
          </w:p>
        </w:tc>
        <w:tc>
          <w:tcPr>
            <w:tcW w:w="605" w:type="pct"/>
            <w:vMerge w:val="restart"/>
            <w:tcBorders>
              <w:top w:val="nil"/>
              <w:left w:val="single" w:color="000000" w:sz="4" w:space="0"/>
              <w:bottom w:val="single" w:color="000000" w:sz="4" w:space="0"/>
              <w:right w:val="single" w:color="000000" w:sz="4" w:space="0"/>
            </w:tcBorders>
            <w:shd w:val="clear" w:color="auto" w:fill="auto"/>
            <w:vAlign w:val="center"/>
          </w:tcPr>
          <w:p w14:paraId="569A40E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532" w:type="pct"/>
            <w:tcBorders>
              <w:top w:val="nil"/>
              <w:left w:val="nil"/>
              <w:bottom w:val="single" w:color="000000" w:sz="4" w:space="0"/>
              <w:right w:val="single" w:color="000000" w:sz="4" w:space="0"/>
            </w:tcBorders>
            <w:shd w:val="clear" w:color="auto" w:fill="auto"/>
            <w:vAlign w:val="center"/>
          </w:tcPr>
          <w:p w14:paraId="3A3568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758" w:type="pct"/>
            <w:tcBorders>
              <w:top w:val="nil"/>
              <w:left w:val="nil"/>
              <w:bottom w:val="single" w:color="000000" w:sz="4" w:space="0"/>
              <w:right w:val="single" w:color="000000" w:sz="4" w:space="0"/>
            </w:tcBorders>
            <w:shd w:val="clear" w:color="auto" w:fill="auto"/>
            <w:vAlign w:val="center"/>
          </w:tcPr>
          <w:p w14:paraId="10EF44A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接受社区矫正人数</w:t>
            </w:r>
          </w:p>
        </w:tc>
        <w:tc>
          <w:tcPr>
            <w:tcW w:w="190" w:type="pct"/>
            <w:tcBorders>
              <w:top w:val="nil"/>
              <w:left w:val="nil"/>
              <w:bottom w:val="single" w:color="000000" w:sz="4" w:space="0"/>
              <w:right w:val="single" w:color="000000" w:sz="4" w:space="0"/>
            </w:tcBorders>
            <w:shd w:val="clear" w:color="auto" w:fill="auto"/>
            <w:vAlign w:val="center"/>
          </w:tcPr>
          <w:p w14:paraId="6B2B894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6800B32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w:t>
            </w:r>
          </w:p>
        </w:tc>
        <w:tc>
          <w:tcPr>
            <w:tcW w:w="190" w:type="pct"/>
            <w:tcBorders>
              <w:top w:val="nil"/>
              <w:left w:val="nil"/>
              <w:bottom w:val="single" w:color="000000" w:sz="4" w:space="0"/>
              <w:right w:val="single" w:color="000000" w:sz="4" w:space="0"/>
            </w:tcBorders>
            <w:shd w:val="clear" w:color="auto" w:fill="auto"/>
            <w:vAlign w:val="center"/>
          </w:tcPr>
          <w:p w14:paraId="65B801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份</w:t>
            </w:r>
          </w:p>
        </w:tc>
        <w:tc>
          <w:tcPr>
            <w:tcW w:w="408" w:type="pct"/>
            <w:tcBorders>
              <w:top w:val="nil"/>
              <w:left w:val="nil"/>
              <w:bottom w:val="single" w:color="000000" w:sz="4" w:space="0"/>
              <w:right w:val="single" w:color="000000" w:sz="4" w:space="0"/>
            </w:tcBorders>
            <w:shd w:val="clear" w:color="auto" w:fill="auto"/>
            <w:vAlign w:val="center"/>
          </w:tcPr>
          <w:p w14:paraId="2116AC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446</w:t>
            </w:r>
          </w:p>
        </w:tc>
        <w:tc>
          <w:tcPr>
            <w:tcW w:w="190" w:type="pct"/>
            <w:tcBorders>
              <w:top w:val="nil"/>
              <w:left w:val="nil"/>
              <w:bottom w:val="single" w:color="000000" w:sz="4" w:space="0"/>
              <w:right w:val="single" w:color="000000" w:sz="4" w:space="0"/>
            </w:tcBorders>
            <w:shd w:val="clear" w:color="auto" w:fill="auto"/>
            <w:vAlign w:val="center"/>
          </w:tcPr>
          <w:p w14:paraId="25A6E9F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w:t>
            </w:r>
          </w:p>
        </w:tc>
        <w:tc>
          <w:tcPr>
            <w:tcW w:w="226" w:type="pct"/>
            <w:tcBorders>
              <w:top w:val="nil"/>
              <w:left w:val="nil"/>
              <w:bottom w:val="single" w:color="000000" w:sz="4" w:space="0"/>
              <w:right w:val="single" w:color="000000" w:sz="4" w:space="0"/>
            </w:tcBorders>
            <w:shd w:val="clear" w:color="auto" w:fill="auto"/>
            <w:vAlign w:val="center"/>
          </w:tcPr>
          <w:p w14:paraId="5ED93D3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w:t>
            </w:r>
          </w:p>
        </w:tc>
        <w:tc>
          <w:tcPr>
            <w:tcW w:w="1079" w:type="pct"/>
            <w:tcBorders>
              <w:top w:val="nil"/>
              <w:left w:val="nil"/>
              <w:bottom w:val="single" w:color="000000" w:sz="4" w:space="0"/>
              <w:right w:val="single" w:color="000000" w:sz="4" w:space="0"/>
            </w:tcBorders>
            <w:shd w:val="clear" w:color="auto" w:fill="auto"/>
            <w:vAlign w:val="center"/>
          </w:tcPr>
          <w:p w14:paraId="5FE7EED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318E262">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162A6026">
            <w:pPr>
              <w:widowControl/>
              <w:jc w:val="left"/>
              <w:rPr>
                <w:rFonts w:ascii="宋体" w:hAnsi="宋体" w:eastAsia="宋体" w:cs="宋体"/>
                <w:color w:val="000000"/>
                <w:sz w:val="18"/>
                <w:szCs w:val="18"/>
              </w:rPr>
            </w:pPr>
          </w:p>
        </w:tc>
        <w:tc>
          <w:tcPr>
            <w:tcW w:w="605" w:type="pct"/>
            <w:vMerge w:val="continue"/>
            <w:tcBorders>
              <w:top w:val="nil"/>
              <w:left w:val="single" w:color="000000" w:sz="4" w:space="0"/>
              <w:bottom w:val="single" w:color="000000" w:sz="4" w:space="0"/>
              <w:right w:val="single" w:color="000000" w:sz="4" w:space="0"/>
            </w:tcBorders>
            <w:vAlign w:val="center"/>
          </w:tcPr>
          <w:p w14:paraId="1F7F7843">
            <w:pPr>
              <w:widowControl/>
              <w:jc w:val="left"/>
              <w:rPr>
                <w:rFonts w:ascii="宋体" w:hAnsi="宋体" w:eastAsia="宋体" w:cs="宋体"/>
                <w:color w:val="000000"/>
                <w:sz w:val="18"/>
                <w:szCs w:val="18"/>
              </w:rPr>
            </w:pPr>
          </w:p>
        </w:tc>
        <w:tc>
          <w:tcPr>
            <w:tcW w:w="532" w:type="pct"/>
            <w:tcBorders>
              <w:top w:val="nil"/>
              <w:left w:val="nil"/>
              <w:bottom w:val="single" w:color="000000" w:sz="4" w:space="0"/>
              <w:right w:val="single" w:color="000000" w:sz="4" w:space="0"/>
            </w:tcBorders>
            <w:shd w:val="clear" w:color="auto" w:fill="auto"/>
            <w:vAlign w:val="center"/>
          </w:tcPr>
          <w:p w14:paraId="10A682F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758" w:type="pct"/>
            <w:tcBorders>
              <w:top w:val="nil"/>
              <w:left w:val="nil"/>
              <w:bottom w:val="single" w:color="000000" w:sz="4" w:space="0"/>
              <w:right w:val="single" w:color="000000" w:sz="4" w:space="0"/>
            </w:tcBorders>
            <w:shd w:val="clear" w:color="auto" w:fill="auto"/>
            <w:vAlign w:val="center"/>
          </w:tcPr>
          <w:p w14:paraId="7B7B25F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矫正人员核查回执率</w:t>
            </w:r>
          </w:p>
        </w:tc>
        <w:tc>
          <w:tcPr>
            <w:tcW w:w="190" w:type="pct"/>
            <w:tcBorders>
              <w:top w:val="nil"/>
              <w:left w:val="nil"/>
              <w:bottom w:val="single" w:color="000000" w:sz="4" w:space="0"/>
              <w:right w:val="single" w:color="000000" w:sz="4" w:space="0"/>
            </w:tcBorders>
            <w:shd w:val="clear" w:color="auto" w:fill="auto"/>
            <w:vAlign w:val="center"/>
          </w:tcPr>
          <w:p w14:paraId="53BA16B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56459E9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190" w:type="pct"/>
            <w:tcBorders>
              <w:top w:val="nil"/>
              <w:left w:val="nil"/>
              <w:bottom w:val="single" w:color="000000" w:sz="4" w:space="0"/>
              <w:right w:val="single" w:color="000000" w:sz="4" w:space="0"/>
            </w:tcBorders>
            <w:shd w:val="clear" w:color="auto" w:fill="auto"/>
            <w:vAlign w:val="center"/>
          </w:tcPr>
          <w:p w14:paraId="7A838FC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8" w:type="pct"/>
            <w:tcBorders>
              <w:top w:val="nil"/>
              <w:left w:val="nil"/>
              <w:bottom w:val="single" w:color="000000" w:sz="4" w:space="0"/>
              <w:right w:val="single" w:color="000000" w:sz="4" w:space="0"/>
            </w:tcBorders>
            <w:shd w:val="clear" w:color="auto" w:fill="auto"/>
            <w:vAlign w:val="center"/>
          </w:tcPr>
          <w:p w14:paraId="22E3CEF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190" w:type="pct"/>
            <w:tcBorders>
              <w:top w:val="nil"/>
              <w:left w:val="nil"/>
              <w:bottom w:val="single" w:color="000000" w:sz="4" w:space="0"/>
              <w:right w:val="single" w:color="000000" w:sz="4" w:space="0"/>
            </w:tcBorders>
            <w:shd w:val="clear" w:color="auto" w:fill="auto"/>
            <w:vAlign w:val="center"/>
          </w:tcPr>
          <w:p w14:paraId="0105077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257BF99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tcBorders>
              <w:top w:val="nil"/>
              <w:left w:val="nil"/>
              <w:bottom w:val="single" w:color="000000" w:sz="4" w:space="0"/>
              <w:right w:val="single" w:color="000000" w:sz="4" w:space="0"/>
            </w:tcBorders>
            <w:shd w:val="clear" w:color="auto" w:fill="auto"/>
            <w:vAlign w:val="center"/>
          </w:tcPr>
          <w:p w14:paraId="291180B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7312BA2">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723A8295">
            <w:pPr>
              <w:widowControl/>
              <w:jc w:val="left"/>
              <w:rPr>
                <w:rFonts w:ascii="宋体" w:hAnsi="宋体" w:eastAsia="宋体" w:cs="宋体"/>
                <w:color w:val="000000"/>
                <w:sz w:val="18"/>
                <w:szCs w:val="18"/>
              </w:rPr>
            </w:pPr>
          </w:p>
        </w:tc>
        <w:tc>
          <w:tcPr>
            <w:tcW w:w="605" w:type="pct"/>
            <w:vMerge w:val="continue"/>
            <w:tcBorders>
              <w:top w:val="nil"/>
              <w:left w:val="single" w:color="000000" w:sz="4" w:space="0"/>
              <w:bottom w:val="single" w:color="000000" w:sz="4" w:space="0"/>
              <w:right w:val="single" w:color="000000" w:sz="4" w:space="0"/>
            </w:tcBorders>
            <w:vAlign w:val="center"/>
          </w:tcPr>
          <w:p w14:paraId="734C5019">
            <w:pPr>
              <w:widowControl/>
              <w:jc w:val="left"/>
              <w:rPr>
                <w:rFonts w:ascii="宋体" w:hAnsi="宋体" w:eastAsia="宋体" w:cs="宋体"/>
                <w:color w:val="000000"/>
                <w:sz w:val="18"/>
                <w:szCs w:val="18"/>
              </w:rPr>
            </w:pPr>
          </w:p>
        </w:tc>
        <w:tc>
          <w:tcPr>
            <w:tcW w:w="532" w:type="pct"/>
            <w:tcBorders>
              <w:top w:val="nil"/>
              <w:left w:val="nil"/>
              <w:bottom w:val="single" w:color="000000" w:sz="4" w:space="0"/>
              <w:right w:val="single" w:color="000000" w:sz="4" w:space="0"/>
            </w:tcBorders>
            <w:shd w:val="clear" w:color="auto" w:fill="auto"/>
            <w:vAlign w:val="center"/>
          </w:tcPr>
          <w:p w14:paraId="53741EC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758" w:type="pct"/>
            <w:tcBorders>
              <w:top w:val="nil"/>
              <w:left w:val="nil"/>
              <w:bottom w:val="single" w:color="000000" w:sz="4" w:space="0"/>
              <w:right w:val="single" w:color="000000" w:sz="4" w:space="0"/>
            </w:tcBorders>
            <w:shd w:val="clear" w:color="auto" w:fill="auto"/>
            <w:vAlign w:val="center"/>
          </w:tcPr>
          <w:p w14:paraId="4941F1C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项目完成时间</w:t>
            </w:r>
          </w:p>
        </w:tc>
        <w:tc>
          <w:tcPr>
            <w:tcW w:w="190" w:type="pct"/>
            <w:tcBorders>
              <w:top w:val="nil"/>
              <w:left w:val="nil"/>
              <w:bottom w:val="single" w:color="000000" w:sz="4" w:space="0"/>
              <w:right w:val="single" w:color="000000" w:sz="4" w:space="0"/>
            </w:tcBorders>
            <w:shd w:val="clear" w:color="auto" w:fill="auto"/>
            <w:vAlign w:val="center"/>
          </w:tcPr>
          <w:p w14:paraId="5EE28EF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4256D60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190" w:type="pct"/>
            <w:tcBorders>
              <w:top w:val="nil"/>
              <w:left w:val="nil"/>
              <w:bottom w:val="single" w:color="000000" w:sz="4" w:space="0"/>
              <w:right w:val="single" w:color="000000" w:sz="4" w:space="0"/>
            </w:tcBorders>
            <w:shd w:val="clear" w:color="auto" w:fill="auto"/>
            <w:vAlign w:val="center"/>
          </w:tcPr>
          <w:p w14:paraId="6AB6F13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w:t>
            </w:r>
          </w:p>
        </w:tc>
        <w:tc>
          <w:tcPr>
            <w:tcW w:w="408" w:type="pct"/>
            <w:tcBorders>
              <w:top w:val="nil"/>
              <w:left w:val="nil"/>
              <w:bottom w:val="single" w:color="000000" w:sz="4" w:space="0"/>
              <w:right w:val="single" w:color="000000" w:sz="4" w:space="0"/>
            </w:tcBorders>
            <w:shd w:val="clear" w:color="auto" w:fill="auto"/>
            <w:vAlign w:val="center"/>
          </w:tcPr>
          <w:p w14:paraId="209278B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190" w:type="pct"/>
            <w:tcBorders>
              <w:top w:val="nil"/>
              <w:left w:val="nil"/>
              <w:bottom w:val="single" w:color="000000" w:sz="4" w:space="0"/>
              <w:right w:val="single" w:color="000000" w:sz="4" w:space="0"/>
            </w:tcBorders>
            <w:shd w:val="clear" w:color="auto" w:fill="auto"/>
            <w:vAlign w:val="center"/>
          </w:tcPr>
          <w:p w14:paraId="776F002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1840BCD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tcBorders>
              <w:top w:val="nil"/>
              <w:left w:val="nil"/>
              <w:bottom w:val="single" w:color="000000" w:sz="4" w:space="0"/>
              <w:right w:val="single" w:color="000000" w:sz="4" w:space="0"/>
            </w:tcBorders>
            <w:shd w:val="clear" w:color="auto" w:fill="auto"/>
            <w:vAlign w:val="center"/>
          </w:tcPr>
          <w:p w14:paraId="5F44FA0A">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75B34CF">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3EFB49BD">
            <w:pPr>
              <w:widowControl/>
              <w:jc w:val="left"/>
              <w:rPr>
                <w:rFonts w:ascii="宋体" w:hAnsi="宋体" w:eastAsia="宋体" w:cs="宋体"/>
                <w:color w:val="00000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3C0723D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532" w:type="pct"/>
            <w:tcBorders>
              <w:top w:val="nil"/>
              <w:left w:val="nil"/>
              <w:bottom w:val="single" w:color="000000" w:sz="4" w:space="0"/>
              <w:right w:val="single" w:color="000000" w:sz="4" w:space="0"/>
            </w:tcBorders>
            <w:shd w:val="clear" w:color="auto" w:fill="auto"/>
            <w:vAlign w:val="center"/>
          </w:tcPr>
          <w:p w14:paraId="6DB1F65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758" w:type="pct"/>
            <w:tcBorders>
              <w:top w:val="nil"/>
              <w:left w:val="nil"/>
              <w:bottom w:val="single" w:color="000000" w:sz="4" w:space="0"/>
              <w:right w:val="single" w:color="000000" w:sz="4" w:space="0"/>
            </w:tcBorders>
            <w:shd w:val="clear" w:color="auto" w:fill="auto"/>
            <w:vAlign w:val="center"/>
          </w:tcPr>
          <w:p w14:paraId="23851A7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项目控制成本</w:t>
            </w:r>
          </w:p>
        </w:tc>
        <w:tc>
          <w:tcPr>
            <w:tcW w:w="190" w:type="pct"/>
            <w:tcBorders>
              <w:top w:val="nil"/>
              <w:left w:val="nil"/>
              <w:bottom w:val="single" w:color="000000" w:sz="4" w:space="0"/>
              <w:right w:val="single" w:color="000000" w:sz="4" w:space="0"/>
            </w:tcBorders>
            <w:shd w:val="clear" w:color="auto" w:fill="auto"/>
            <w:vAlign w:val="center"/>
          </w:tcPr>
          <w:p w14:paraId="79D3A85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476CC9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35</w:t>
            </w:r>
          </w:p>
        </w:tc>
        <w:tc>
          <w:tcPr>
            <w:tcW w:w="190" w:type="pct"/>
            <w:tcBorders>
              <w:top w:val="nil"/>
              <w:left w:val="nil"/>
              <w:bottom w:val="single" w:color="000000" w:sz="4" w:space="0"/>
              <w:right w:val="single" w:color="000000" w:sz="4" w:space="0"/>
            </w:tcBorders>
            <w:shd w:val="clear" w:color="auto" w:fill="auto"/>
            <w:vAlign w:val="center"/>
          </w:tcPr>
          <w:p w14:paraId="305AC5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万元</w:t>
            </w:r>
          </w:p>
        </w:tc>
        <w:tc>
          <w:tcPr>
            <w:tcW w:w="408" w:type="pct"/>
            <w:tcBorders>
              <w:top w:val="nil"/>
              <w:left w:val="nil"/>
              <w:bottom w:val="single" w:color="000000" w:sz="4" w:space="0"/>
              <w:right w:val="single" w:color="000000" w:sz="4" w:space="0"/>
            </w:tcBorders>
            <w:shd w:val="clear" w:color="auto" w:fill="auto"/>
            <w:vAlign w:val="center"/>
          </w:tcPr>
          <w:p w14:paraId="3955952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34.96</w:t>
            </w:r>
          </w:p>
        </w:tc>
        <w:tc>
          <w:tcPr>
            <w:tcW w:w="190" w:type="pct"/>
            <w:tcBorders>
              <w:top w:val="nil"/>
              <w:left w:val="nil"/>
              <w:bottom w:val="single" w:color="000000" w:sz="4" w:space="0"/>
              <w:right w:val="single" w:color="000000" w:sz="4" w:space="0"/>
            </w:tcBorders>
            <w:shd w:val="clear" w:color="auto" w:fill="auto"/>
            <w:vAlign w:val="center"/>
          </w:tcPr>
          <w:p w14:paraId="46AC779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5BBDF32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tcBorders>
              <w:top w:val="nil"/>
              <w:left w:val="nil"/>
              <w:bottom w:val="single" w:color="000000" w:sz="4" w:space="0"/>
              <w:right w:val="single" w:color="000000" w:sz="4" w:space="0"/>
            </w:tcBorders>
            <w:shd w:val="clear" w:color="auto" w:fill="auto"/>
            <w:vAlign w:val="center"/>
          </w:tcPr>
          <w:p w14:paraId="6E42943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E1F7F77">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36432E24">
            <w:pPr>
              <w:widowControl/>
              <w:jc w:val="left"/>
              <w:rPr>
                <w:rFonts w:ascii="宋体" w:hAnsi="宋体" w:eastAsia="宋体" w:cs="宋体"/>
                <w:color w:val="000000"/>
                <w:sz w:val="18"/>
                <w:szCs w:val="18"/>
              </w:rPr>
            </w:pPr>
          </w:p>
        </w:tc>
        <w:tc>
          <w:tcPr>
            <w:tcW w:w="605" w:type="pct"/>
            <w:vMerge w:val="restart"/>
            <w:tcBorders>
              <w:top w:val="nil"/>
              <w:left w:val="single" w:color="000000" w:sz="4" w:space="0"/>
              <w:bottom w:val="nil"/>
              <w:right w:val="single" w:color="000000" w:sz="4" w:space="0"/>
            </w:tcBorders>
            <w:shd w:val="clear" w:color="auto" w:fill="auto"/>
            <w:vAlign w:val="center"/>
          </w:tcPr>
          <w:p w14:paraId="00D30FD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532" w:type="pct"/>
            <w:tcBorders>
              <w:top w:val="nil"/>
              <w:left w:val="nil"/>
              <w:bottom w:val="single" w:color="000000" w:sz="4" w:space="0"/>
              <w:right w:val="single" w:color="000000" w:sz="4" w:space="0"/>
            </w:tcBorders>
            <w:shd w:val="clear" w:color="auto" w:fill="auto"/>
            <w:vAlign w:val="center"/>
          </w:tcPr>
          <w:p w14:paraId="113B612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758" w:type="pct"/>
            <w:tcBorders>
              <w:top w:val="nil"/>
              <w:left w:val="nil"/>
              <w:bottom w:val="single" w:color="000000" w:sz="4" w:space="0"/>
              <w:right w:val="single" w:color="000000" w:sz="4" w:space="0"/>
            </w:tcBorders>
            <w:shd w:val="clear" w:color="auto" w:fill="auto"/>
            <w:vAlign w:val="center"/>
          </w:tcPr>
          <w:p w14:paraId="527C32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社区服刑人员管控率</w:t>
            </w:r>
          </w:p>
        </w:tc>
        <w:tc>
          <w:tcPr>
            <w:tcW w:w="190" w:type="pct"/>
            <w:tcBorders>
              <w:top w:val="nil"/>
              <w:left w:val="nil"/>
              <w:bottom w:val="single" w:color="000000" w:sz="4" w:space="0"/>
              <w:right w:val="single" w:color="000000" w:sz="4" w:space="0"/>
            </w:tcBorders>
            <w:shd w:val="clear" w:color="auto" w:fill="auto"/>
            <w:vAlign w:val="center"/>
          </w:tcPr>
          <w:p w14:paraId="200CA4E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11F3FFC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190" w:type="pct"/>
            <w:tcBorders>
              <w:top w:val="nil"/>
              <w:left w:val="nil"/>
              <w:bottom w:val="single" w:color="000000" w:sz="4" w:space="0"/>
              <w:right w:val="single" w:color="000000" w:sz="4" w:space="0"/>
            </w:tcBorders>
            <w:shd w:val="clear" w:color="auto" w:fill="auto"/>
            <w:vAlign w:val="center"/>
          </w:tcPr>
          <w:p w14:paraId="50449DB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8" w:type="pct"/>
            <w:tcBorders>
              <w:top w:val="nil"/>
              <w:left w:val="nil"/>
              <w:bottom w:val="single" w:color="000000" w:sz="4" w:space="0"/>
              <w:right w:val="single" w:color="000000" w:sz="4" w:space="0"/>
            </w:tcBorders>
            <w:shd w:val="clear" w:color="auto" w:fill="auto"/>
            <w:vAlign w:val="center"/>
          </w:tcPr>
          <w:p w14:paraId="5003710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100</w:t>
            </w:r>
          </w:p>
        </w:tc>
        <w:tc>
          <w:tcPr>
            <w:tcW w:w="190" w:type="pct"/>
            <w:tcBorders>
              <w:top w:val="nil"/>
              <w:left w:val="nil"/>
              <w:bottom w:val="single" w:color="000000" w:sz="4" w:space="0"/>
              <w:right w:val="single" w:color="000000" w:sz="4" w:space="0"/>
            </w:tcBorders>
            <w:shd w:val="clear" w:color="auto" w:fill="auto"/>
            <w:vAlign w:val="center"/>
          </w:tcPr>
          <w:p w14:paraId="3885DF7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70CDBE6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tcBorders>
              <w:top w:val="nil"/>
              <w:left w:val="nil"/>
              <w:bottom w:val="single" w:color="000000" w:sz="4" w:space="0"/>
              <w:right w:val="single" w:color="000000" w:sz="4" w:space="0"/>
            </w:tcBorders>
            <w:shd w:val="clear" w:color="auto" w:fill="auto"/>
            <w:vAlign w:val="center"/>
          </w:tcPr>
          <w:p w14:paraId="105565FA">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0973771">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4A2FA3C9">
            <w:pPr>
              <w:widowControl/>
              <w:jc w:val="left"/>
              <w:rPr>
                <w:rFonts w:ascii="宋体" w:hAnsi="宋体" w:eastAsia="宋体" w:cs="宋体"/>
                <w:color w:val="000000"/>
                <w:sz w:val="18"/>
                <w:szCs w:val="18"/>
              </w:rPr>
            </w:pPr>
          </w:p>
        </w:tc>
        <w:tc>
          <w:tcPr>
            <w:tcW w:w="605" w:type="pct"/>
            <w:vMerge w:val="continue"/>
            <w:tcBorders>
              <w:top w:val="nil"/>
              <w:left w:val="single" w:color="000000" w:sz="4" w:space="0"/>
              <w:bottom w:val="nil"/>
              <w:right w:val="single" w:color="000000" w:sz="4" w:space="0"/>
            </w:tcBorders>
            <w:vAlign w:val="center"/>
          </w:tcPr>
          <w:p w14:paraId="099DE042">
            <w:pPr>
              <w:widowControl/>
              <w:jc w:val="left"/>
              <w:rPr>
                <w:rFonts w:ascii="宋体" w:hAnsi="宋体" w:eastAsia="宋体" w:cs="宋体"/>
                <w:color w:val="000000"/>
                <w:sz w:val="18"/>
                <w:szCs w:val="18"/>
              </w:rPr>
            </w:pPr>
          </w:p>
        </w:tc>
        <w:tc>
          <w:tcPr>
            <w:tcW w:w="532" w:type="pct"/>
            <w:tcBorders>
              <w:top w:val="nil"/>
              <w:left w:val="nil"/>
              <w:bottom w:val="single" w:color="000000" w:sz="4" w:space="0"/>
              <w:right w:val="single" w:color="000000" w:sz="4" w:space="0"/>
            </w:tcBorders>
            <w:shd w:val="clear" w:color="auto" w:fill="auto"/>
            <w:vAlign w:val="center"/>
          </w:tcPr>
          <w:p w14:paraId="6280A80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可持续影响指标</w:t>
            </w:r>
          </w:p>
        </w:tc>
        <w:tc>
          <w:tcPr>
            <w:tcW w:w="758" w:type="pct"/>
            <w:tcBorders>
              <w:top w:val="nil"/>
              <w:left w:val="nil"/>
              <w:bottom w:val="single" w:color="000000" w:sz="4" w:space="0"/>
              <w:right w:val="single" w:color="000000" w:sz="4" w:space="0"/>
            </w:tcBorders>
            <w:shd w:val="clear" w:color="auto" w:fill="auto"/>
            <w:vAlign w:val="center"/>
          </w:tcPr>
          <w:p w14:paraId="0E34AC0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内控管理机制健性</w:t>
            </w:r>
          </w:p>
        </w:tc>
        <w:tc>
          <w:tcPr>
            <w:tcW w:w="190" w:type="pct"/>
            <w:tcBorders>
              <w:top w:val="nil"/>
              <w:left w:val="nil"/>
              <w:bottom w:val="single" w:color="000000" w:sz="4" w:space="0"/>
              <w:right w:val="single" w:color="000000" w:sz="4" w:space="0"/>
            </w:tcBorders>
            <w:shd w:val="clear" w:color="auto" w:fill="auto"/>
            <w:vAlign w:val="center"/>
          </w:tcPr>
          <w:p w14:paraId="4E20DD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12" w:type="pct"/>
            <w:tcBorders>
              <w:top w:val="nil"/>
              <w:left w:val="nil"/>
              <w:bottom w:val="single" w:color="000000" w:sz="4" w:space="0"/>
              <w:right w:val="single" w:color="000000" w:sz="4" w:space="0"/>
            </w:tcBorders>
            <w:shd w:val="clear" w:color="auto" w:fill="auto"/>
            <w:vAlign w:val="center"/>
          </w:tcPr>
          <w:p w14:paraId="2921C6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好坏</w:t>
            </w:r>
          </w:p>
        </w:tc>
        <w:tc>
          <w:tcPr>
            <w:tcW w:w="190" w:type="pct"/>
            <w:tcBorders>
              <w:top w:val="nil"/>
              <w:left w:val="nil"/>
              <w:bottom w:val="single" w:color="000000" w:sz="4" w:space="0"/>
              <w:right w:val="single" w:color="000000" w:sz="4" w:space="0"/>
            </w:tcBorders>
            <w:shd w:val="clear" w:color="auto" w:fill="auto"/>
            <w:vAlign w:val="center"/>
          </w:tcPr>
          <w:p w14:paraId="6E52158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8" w:type="pct"/>
            <w:tcBorders>
              <w:top w:val="nil"/>
              <w:left w:val="nil"/>
              <w:bottom w:val="single" w:color="000000" w:sz="4" w:space="0"/>
              <w:right w:val="single" w:color="000000" w:sz="4" w:space="0"/>
            </w:tcBorders>
            <w:shd w:val="clear" w:color="auto" w:fill="auto"/>
            <w:vAlign w:val="center"/>
          </w:tcPr>
          <w:p w14:paraId="4131589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好</w:t>
            </w:r>
          </w:p>
        </w:tc>
        <w:tc>
          <w:tcPr>
            <w:tcW w:w="190" w:type="pct"/>
            <w:tcBorders>
              <w:top w:val="nil"/>
              <w:left w:val="nil"/>
              <w:bottom w:val="single" w:color="000000" w:sz="4" w:space="0"/>
              <w:right w:val="single" w:color="000000" w:sz="4" w:space="0"/>
            </w:tcBorders>
            <w:shd w:val="clear" w:color="auto" w:fill="auto"/>
            <w:vAlign w:val="center"/>
          </w:tcPr>
          <w:p w14:paraId="6BC082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05E94F7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79" w:type="pct"/>
            <w:tcBorders>
              <w:top w:val="nil"/>
              <w:left w:val="nil"/>
              <w:bottom w:val="single" w:color="000000" w:sz="4" w:space="0"/>
              <w:right w:val="single" w:color="000000" w:sz="4" w:space="0"/>
            </w:tcBorders>
            <w:shd w:val="clear" w:color="auto" w:fill="auto"/>
            <w:vAlign w:val="center"/>
          </w:tcPr>
          <w:p w14:paraId="742EC7D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173FEB6">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5F95B375">
            <w:pPr>
              <w:widowControl/>
              <w:jc w:val="left"/>
              <w:rPr>
                <w:rFonts w:ascii="宋体" w:hAnsi="宋体" w:eastAsia="宋体" w:cs="宋体"/>
                <w:color w:val="000000"/>
                <w:sz w:val="18"/>
                <w:szCs w:val="18"/>
              </w:rPr>
            </w:pPr>
          </w:p>
        </w:tc>
        <w:tc>
          <w:tcPr>
            <w:tcW w:w="605" w:type="pct"/>
            <w:tcBorders>
              <w:top w:val="single" w:color="000000" w:sz="4" w:space="0"/>
              <w:left w:val="nil"/>
              <w:bottom w:val="single" w:color="000000" w:sz="4" w:space="0"/>
              <w:right w:val="single" w:color="000000" w:sz="4" w:space="0"/>
            </w:tcBorders>
            <w:shd w:val="clear" w:color="auto" w:fill="auto"/>
            <w:vAlign w:val="center"/>
          </w:tcPr>
          <w:p w14:paraId="50F6BA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532" w:type="pct"/>
            <w:tcBorders>
              <w:top w:val="nil"/>
              <w:left w:val="nil"/>
              <w:bottom w:val="single" w:color="000000" w:sz="4" w:space="0"/>
              <w:right w:val="single" w:color="000000" w:sz="4" w:space="0"/>
            </w:tcBorders>
            <w:shd w:val="clear" w:color="auto" w:fill="auto"/>
            <w:vAlign w:val="center"/>
          </w:tcPr>
          <w:p w14:paraId="2A230BF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758" w:type="pct"/>
            <w:tcBorders>
              <w:top w:val="nil"/>
              <w:left w:val="nil"/>
              <w:bottom w:val="single" w:color="000000" w:sz="4" w:space="0"/>
              <w:right w:val="single" w:color="000000" w:sz="4" w:space="0"/>
            </w:tcBorders>
            <w:shd w:val="clear" w:color="auto" w:fill="auto"/>
            <w:vAlign w:val="center"/>
          </w:tcPr>
          <w:p w14:paraId="57A643C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190" w:type="pct"/>
            <w:tcBorders>
              <w:top w:val="nil"/>
              <w:left w:val="nil"/>
              <w:bottom w:val="single" w:color="000000" w:sz="4" w:space="0"/>
              <w:right w:val="single" w:color="000000" w:sz="4" w:space="0"/>
            </w:tcBorders>
            <w:shd w:val="clear" w:color="auto" w:fill="auto"/>
            <w:vAlign w:val="center"/>
          </w:tcPr>
          <w:p w14:paraId="4282BC8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12" w:type="pct"/>
            <w:tcBorders>
              <w:top w:val="nil"/>
              <w:left w:val="nil"/>
              <w:bottom w:val="single" w:color="000000" w:sz="4" w:space="0"/>
              <w:right w:val="single" w:color="000000" w:sz="4" w:space="0"/>
            </w:tcBorders>
            <w:shd w:val="clear" w:color="auto" w:fill="auto"/>
            <w:vAlign w:val="center"/>
          </w:tcPr>
          <w:p w14:paraId="2D49D6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90</w:t>
            </w:r>
          </w:p>
        </w:tc>
        <w:tc>
          <w:tcPr>
            <w:tcW w:w="190" w:type="pct"/>
            <w:tcBorders>
              <w:top w:val="nil"/>
              <w:left w:val="nil"/>
              <w:bottom w:val="single" w:color="000000" w:sz="4" w:space="0"/>
              <w:right w:val="single" w:color="000000" w:sz="4" w:space="0"/>
            </w:tcBorders>
            <w:shd w:val="clear" w:color="auto" w:fill="auto"/>
            <w:vAlign w:val="center"/>
          </w:tcPr>
          <w:p w14:paraId="7D3ED64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8" w:type="pct"/>
            <w:tcBorders>
              <w:top w:val="nil"/>
              <w:left w:val="nil"/>
              <w:bottom w:val="single" w:color="000000" w:sz="4" w:space="0"/>
              <w:right w:val="single" w:color="000000" w:sz="4" w:space="0"/>
            </w:tcBorders>
            <w:shd w:val="clear" w:color="auto" w:fill="auto"/>
            <w:vAlign w:val="center"/>
          </w:tcPr>
          <w:p w14:paraId="549DFFC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90</w:t>
            </w:r>
          </w:p>
        </w:tc>
        <w:tc>
          <w:tcPr>
            <w:tcW w:w="190" w:type="pct"/>
            <w:tcBorders>
              <w:top w:val="nil"/>
              <w:left w:val="nil"/>
              <w:bottom w:val="single" w:color="000000" w:sz="4" w:space="0"/>
              <w:right w:val="single" w:color="000000" w:sz="4" w:space="0"/>
            </w:tcBorders>
            <w:shd w:val="clear" w:color="auto" w:fill="auto"/>
            <w:vAlign w:val="center"/>
          </w:tcPr>
          <w:p w14:paraId="770377F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60F194E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79" w:type="pct"/>
            <w:tcBorders>
              <w:top w:val="nil"/>
              <w:left w:val="nil"/>
              <w:bottom w:val="single" w:color="000000" w:sz="4" w:space="0"/>
              <w:right w:val="single" w:color="000000" w:sz="4" w:space="0"/>
            </w:tcBorders>
            <w:shd w:val="clear" w:color="auto" w:fill="auto"/>
            <w:vAlign w:val="center"/>
          </w:tcPr>
          <w:p w14:paraId="03D24FF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191E2CB">
        <w:tblPrEx>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91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605" w:type="pct"/>
            <w:tcBorders>
              <w:top w:val="nil"/>
              <w:left w:val="nil"/>
              <w:bottom w:val="single" w:color="000000" w:sz="4" w:space="0"/>
              <w:right w:val="single" w:color="000000" w:sz="4" w:space="0"/>
            </w:tcBorders>
            <w:shd w:val="clear" w:color="auto" w:fill="auto"/>
            <w:vAlign w:val="center"/>
          </w:tcPr>
          <w:p w14:paraId="41ECAA3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32" w:type="pct"/>
            <w:tcBorders>
              <w:top w:val="nil"/>
              <w:left w:val="nil"/>
              <w:bottom w:val="single" w:color="000000" w:sz="4" w:space="0"/>
              <w:right w:val="single" w:color="000000" w:sz="4" w:space="0"/>
            </w:tcBorders>
            <w:shd w:val="clear" w:color="auto" w:fill="auto"/>
            <w:vAlign w:val="center"/>
          </w:tcPr>
          <w:p w14:paraId="7DDCB2E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8" w:type="pct"/>
            <w:tcBorders>
              <w:top w:val="nil"/>
              <w:left w:val="nil"/>
              <w:bottom w:val="single" w:color="000000" w:sz="4" w:space="0"/>
              <w:right w:val="single" w:color="000000" w:sz="4" w:space="0"/>
            </w:tcBorders>
            <w:shd w:val="clear" w:color="auto" w:fill="auto"/>
            <w:vAlign w:val="center"/>
          </w:tcPr>
          <w:p w14:paraId="73270C2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30527B6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612" w:type="pct"/>
            <w:tcBorders>
              <w:top w:val="nil"/>
              <w:left w:val="nil"/>
              <w:bottom w:val="single" w:color="000000" w:sz="4" w:space="0"/>
              <w:right w:val="single" w:color="000000" w:sz="4" w:space="0"/>
            </w:tcBorders>
            <w:shd w:val="clear" w:color="auto" w:fill="auto"/>
            <w:vAlign w:val="center"/>
          </w:tcPr>
          <w:p w14:paraId="5967D31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5669E41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8" w:type="pct"/>
            <w:tcBorders>
              <w:top w:val="nil"/>
              <w:left w:val="nil"/>
              <w:bottom w:val="single" w:color="000000" w:sz="4" w:space="0"/>
              <w:right w:val="single" w:color="000000" w:sz="4" w:space="0"/>
            </w:tcBorders>
            <w:shd w:val="clear" w:color="auto" w:fill="auto"/>
            <w:vAlign w:val="center"/>
          </w:tcPr>
          <w:p w14:paraId="771C774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03C4BEA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26" w:type="pct"/>
            <w:tcBorders>
              <w:top w:val="nil"/>
              <w:left w:val="nil"/>
              <w:bottom w:val="single" w:color="000000" w:sz="4" w:space="0"/>
              <w:right w:val="single" w:color="000000" w:sz="4" w:space="0"/>
            </w:tcBorders>
            <w:shd w:val="clear" w:color="auto" w:fill="auto"/>
            <w:vAlign w:val="center"/>
          </w:tcPr>
          <w:p w14:paraId="11397AA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w:t>
            </w:r>
          </w:p>
        </w:tc>
        <w:tc>
          <w:tcPr>
            <w:tcW w:w="1079" w:type="pct"/>
            <w:tcBorders>
              <w:top w:val="nil"/>
              <w:left w:val="nil"/>
              <w:bottom w:val="single" w:color="000000" w:sz="4" w:space="0"/>
              <w:right w:val="single" w:color="000000" w:sz="4" w:space="0"/>
            </w:tcBorders>
            <w:shd w:val="clear" w:color="auto" w:fill="auto"/>
            <w:vAlign w:val="center"/>
          </w:tcPr>
          <w:p w14:paraId="55945D6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5ED5704D">
        <w:tblPrEx>
          <w:tblCellMar>
            <w:top w:w="0" w:type="dxa"/>
            <w:left w:w="108" w:type="dxa"/>
            <w:bottom w:w="0" w:type="dxa"/>
            <w:right w:w="108" w:type="dxa"/>
          </w:tblCellMar>
        </w:tblPrEx>
        <w:trPr>
          <w:trHeight w:val="60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1970CCA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1883F8B3">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存在部分工作人员对绩效评价认识不足的情况，绩效评价得分“98”，评价等级为“优”。</w:t>
            </w:r>
          </w:p>
        </w:tc>
      </w:tr>
      <w:tr w14:paraId="02D1CA5B">
        <w:tblPrEx>
          <w:tblCellMar>
            <w:top w:w="0" w:type="dxa"/>
            <w:left w:w="108" w:type="dxa"/>
            <w:bottom w:w="0" w:type="dxa"/>
            <w:right w:w="108" w:type="dxa"/>
          </w:tblCellMar>
        </w:tblPrEx>
        <w:trPr>
          <w:trHeight w:val="57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321C1C4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197B9C17">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部分工作人员对绩效评价认识不足。绩效评价过程中需要相关工作人员具有专业的绩效评价知识与能力，绩效评价需要做到各部门共同参与，但部分工作人员对绩效评价认识不足，对绩效评价知识的掌握不全面，制约了绩效评价工作的开展。</w:t>
            </w:r>
          </w:p>
        </w:tc>
      </w:tr>
      <w:tr w14:paraId="380F6990">
        <w:tblPrEx>
          <w:tblCellMar>
            <w:top w:w="0" w:type="dxa"/>
            <w:left w:w="108" w:type="dxa"/>
            <w:bottom w:w="0" w:type="dxa"/>
            <w:right w:w="108" w:type="dxa"/>
          </w:tblCellMar>
        </w:tblPrEx>
        <w:trPr>
          <w:trHeight w:val="63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66C357F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164875ED">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应定期组织绩效评价专题培训，邀请专家或专业机构讲解绩效评价的理论知识、操作流程和评价方法，提升工作人员的专业能力。针对不同部门的工作特点，开展定制化培训，确保培训内容与实际工作紧密结合，提高培训的实用性和针对性。</w:t>
            </w:r>
          </w:p>
        </w:tc>
      </w:tr>
      <w:tr w14:paraId="7DCF2FDF">
        <w:tblPrEx>
          <w:tblCellMar>
            <w:top w:w="0" w:type="dxa"/>
            <w:left w:w="108" w:type="dxa"/>
            <w:bottom w:w="0" w:type="dxa"/>
            <w:right w:w="108" w:type="dxa"/>
          </w:tblCellMar>
        </w:tblPrEx>
        <w:trPr>
          <w:trHeight w:val="619" w:hRule="atLeast"/>
        </w:trPr>
        <w:tc>
          <w:tcPr>
            <w:tcW w:w="22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B8E7B">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项目负责人：顾震</w:t>
            </w:r>
          </w:p>
        </w:tc>
        <w:tc>
          <w:tcPr>
            <w:tcW w:w="2704" w:type="pct"/>
            <w:gridSpan w:val="6"/>
            <w:tcBorders>
              <w:top w:val="single" w:color="000000" w:sz="4" w:space="0"/>
              <w:left w:val="nil"/>
              <w:bottom w:val="single" w:color="000000" w:sz="4" w:space="0"/>
              <w:right w:val="single" w:color="000000" w:sz="4" w:space="0"/>
            </w:tcBorders>
            <w:shd w:val="clear" w:color="auto" w:fill="auto"/>
            <w:vAlign w:val="center"/>
          </w:tcPr>
          <w:p w14:paraId="2E9CDBC6">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1800BA9A">
      <w:pPr>
        <w:spacing w:line="560" w:lineRule="exact"/>
        <w:jc w:val="center"/>
        <w:outlineLvl w:val="0"/>
        <w:rPr>
          <w:rFonts w:eastAsia="方正小标宋简体"/>
          <w:sz w:val="44"/>
          <w:szCs w:val="44"/>
        </w:rPr>
      </w:pPr>
    </w:p>
    <w:p w14:paraId="645F49A3">
      <w:pPr>
        <w:spacing w:line="560" w:lineRule="exact"/>
        <w:jc w:val="center"/>
        <w:outlineLvl w:val="0"/>
        <w:rPr>
          <w:rFonts w:eastAsia="方正小标宋简体"/>
          <w:sz w:val="44"/>
          <w:szCs w:val="44"/>
        </w:rPr>
      </w:pPr>
    </w:p>
    <w:p w14:paraId="71166224">
      <w:pPr>
        <w:pStyle w:val="2"/>
        <w:widowControl w:val="0"/>
        <w:numPr>
          <w:ilvl w:val="0"/>
          <w:numId w:val="0"/>
        </w:numPr>
        <w:jc w:val="both"/>
        <w:rPr>
          <w:rFonts w:eastAsia="方正小标宋简体"/>
          <w:sz w:val="44"/>
          <w:szCs w:val="44"/>
        </w:rPr>
      </w:pPr>
    </w:p>
    <w:p w14:paraId="5F1084AC">
      <w:pPr>
        <w:pStyle w:val="2"/>
        <w:widowControl w:val="0"/>
        <w:numPr>
          <w:ilvl w:val="0"/>
          <w:numId w:val="0"/>
        </w:numPr>
        <w:jc w:val="both"/>
        <w:rPr>
          <w:rFonts w:eastAsia="方正小标宋简体"/>
          <w:sz w:val="44"/>
          <w:szCs w:val="44"/>
        </w:rPr>
      </w:pPr>
    </w:p>
    <w:p w14:paraId="53EB92E4">
      <w:pPr>
        <w:pStyle w:val="2"/>
        <w:widowControl w:val="0"/>
        <w:numPr>
          <w:ilvl w:val="0"/>
          <w:numId w:val="0"/>
        </w:numPr>
        <w:jc w:val="both"/>
        <w:rPr>
          <w:rFonts w:eastAsia="方正小标宋简体"/>
          <w:sz w:val="44"/>
          <w:szCs w:val="44"/>
        </w:rPr>
      </w:pPr>
    </w:p>
    <w:p w14:paraId="39C3B3BA">
      <w:pPr>
        <w:pStyle w:val="2"/>
        <w:widowControl w:val="0"/>
        <w:numPr>
          <w:ilvl w:val="0"/>
          <w:numId w:val="0"/>
        </w:numPr>
        <w:jc w:val="both"/>
        <w:rPr>
          <w:rFonts w:eastAsia="方正小标宋简体"/>
          <w:sz w:val="44"/>
          <w:szCs w:val="44"/>
        </w:rPr>
      </w:pPr>
    </w:p>
    <w:p w14:paraId="6A9F7CCF">
      <w:pPr>
        <w:pStyle w:val="2"/>
        <w:widowControl w:val="0"/>
        <w:numPr>
          <w:ilvl w:val="0"/>
          <w:numId w:val="0"/>
        </w:numPr>
        <w:jc w:val="both"/>
        <w:rPr>
          <w:rFonts w:eastAsia="方正小标宋简体"/>
          <w:sz w:val="44"/>
          <w:szCs w:val="44"/>
        </w:rPr>
      </w:pPr>
    </w:p>
    <w:p w14:paraId="615860B1">
      <w:pPr>
        <w:pStyle w:val="2"/>
        <w:widowControl w:val="0"/>
        <w:numPr>
          <w:ilvl w:val="0"/>
          <w:numId w:val="0"/>
        </w:numPr>
        <w:jc w:val="both"/>
        <w:rPr>
          <w:rFonts w:eastAsia="方正小标宋简体"/>
          <w:sz w:val="44"/>
          <w:szCs w:val="44"/>
        </w:rPr>
      </w:pPr>
    </w:p>
    <w:p w14:paraId="6F945B90">
      <w:pPr>
        <w:pStyle w:val="2"/>
        <w:widowControl w:val="0"/>
        <w:numPr>
          <w:ilvl w:val="0"/>
          <w:numId w:val="0"/>
        </w:numPr>
        <w:jc w:val="both"/>
        <w:rPr>
          <w:rFonts w:eastAsia="方正小标宋简体"/>
          <w:sz w:val="44"/>
          <w:szCs w:val="44"/>
        </w:rPr>
      </w:pPr>
    </w:p>
    <w:p w14:paraId="6CDE8938">
      <w:pPr>
        <w:pStyle w:val="2"/>
        <w:widowControl w:val="0"/>
        <w:numPr>
          <w:ilvl w:val="0"/>
          <w:numId w:val="0"/>
        </w:numPr>
        <w:jc w:val="both"/>
        <w:rPr>
          <w:rFonts w:eastAsia="方正小标宋简体"/>
          <w:sz w:val="44"/>
          <w:szCs w:val="44"/>
        </w:rPr>
      </w:pPr>
    </w:p>
    <w:p w14:paraId="290DEA08">
      <w:pPr>
        <w:pStyle w:val="2"/>
        <w:widowControl w:val="0"/>
        <w:numPr>
          <w:ilvl w:val="0"/>
          <w:numId w:val="0"/>
        </w:numPr>
        <w:jc w:val="both"/>
        <w:rPr>
          <w:rFonts w:eastAsia="方正小标宋简体"/>
          <w:sz w:val="44"/>
          <w:szCs w:val="44"/>
        </w:rPr>
      </w:pPr>
    </w:p>
    <w:p w14:paraId="502AF524">
      <w:pPr>
        <w:pStyle w:val="2"/>
        <w:widowControl w:val="0"/>
        <w:numPr>
          <w:ilvl w:val="0"/>
          <w:numId w:val="0"/>
        </w:numPr>
        <w:jc w:val="both"/>
        <w:rPr>
          <w:rFonts w:eastAsia="方正小标宋简体"/>
          <w:sz w:val="44"/>
          <w:szCs w:val="44"/>
        </w:rPr>
      </w:pPr>
    </w:p>
    <w:p w14:paraId="7AD299F8">
      <w:pPr>
        <w:spacing w:line="560" w:lineRule="exact"/>
        <w:jc w:val="center"/>
        <w:outlineLvl w:val="0"/>
        <w:rPr>
          <w:rFonts w:eastAsia="方正小标宋简体"/>
          <w:sz w:val="44"/>
          <w:szCs w:val="44"/>
        </w:rPr>
      </w:pPr>
    </w:p>
    <w:tbl>
      <w:tblPr>
        <w:tblStyle w:val="36"/>
        <w:tblW w:w="5000" w:type="pct"/>
        <w:tblInd w:w="0" w:type="dxa"/>
        <w:tblLayout w:type="autofit"/>
        <w:tblCellMar>
          <w:top w:w="0" w:type="dxa"/>
          <w:left w:w="108" w:type="dxa"/>
          <w:bottom w:w="0" w:type="dxa"/>
          <w:right w:w="108" w:type="dxa"/>
        </w:tblCellMar>
      </w:tblPr>
      <w:tblGrid>
        <w:gridCol w:w="576"/>
        <w:gridCol w:w="991"/>
        <w:gridCol w:w="863"/>
        <w:gridCol w:w="1268"/>
        <w:gridCol w:w="396"/>
        <w:gridCol w:w="1005"/>
        <w:gridCol w:w="756"/>
        <w:gridCol w:w="846"/>
        <w:gridCol w:w="396"/>
        <w:gridCol w:w="396"/>
        <w:gridCol w:w="1749"/>
      </w:tblGrid>
      <w:tr w14:paraId="41B86947">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EFF1152">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1AA41B49">
        <w:tblPrEx>
          <w:tblCellMar>
            <w:top w:w="0" w:type="dxa"/>
            <w:left w:w="108" w:type="dxa"/>
            <w:bottom w:w="0" w:type="dxa"/>
            <w:right w:w="108" w:type="dxa"/>
          </w:tblCellMar>
        </w:tblPrEx>
        <w:trPr>
          <w:trHeight w:val="559" w:hRule="atLeast"/>
        </w:trPr>
        <w:tc>
          <w:tcPr>
            <w:tcW w:w="804" w:type="pct"/>
            <w:gridSpan w:val="2"/>
            <w:tcBorders>
              <w:top w:val="nil"/>
              <w:left w:val="single" w:color="auto" w:sz="4" w:space="0"/>
              <w:bottom w:val="single" w:color="000000" w:sz="4" w:space="0"/>
              <w:right w:val="single" w:color="auto" w:sz="4" w:space="0"/>
            </w:tcBorders>
            <w:shd w:val="clear" w:color="auto" w:fill="auto"/>
            <w:vAlign w:val="center"/>
          </w:tcPr>
          <w:p w14:paraId="48B4F83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196" w:type="pct"/>
            <w:gridSpan w:val="9"/>
            <w:tcBorders>
              <w:top w:val="nil"/>
              <w:left w:val="nil"/>
              <w:bottom w:val="single" w:color="000000" w:sz="4" w:space="0"/>
              <w:right w:val="single" w:color="auto" w:sz="4" w:space="0"/>
            </w:tcBorders>
            <w:shd w:val="clear" w:color="auto" w:fill="auto"/>
            <w:vAlign w:val="center"/>
          </w:tcPr>
          <w:p w14:paraId="26DCBADF">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51090422T000000280560-法律援助</w:t>
            </w:r>
          </w:p>
        </w:tc>
      </w:tr>
      <w:tr w14:paraId="59A19F42">
        <w:tblPrEx>
          <w:tblCellMar>
            <w:top w:w="0" w:type="dxa"/>
            <w:left w:w="108" w:type="dxa"/>
            <w:bottom w:w="0" w:type="dxa"/>
            <w:right w:w="108" w:type="dxa"/>
          </w:tblCellMar>
        </w:tblPrEx>
        <w:trPr>
          <w:trHeight w:val="514" w:hRule="atLeast"/>
        </w:trPr>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6B73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328" w:type="pct"/>
            <w:gridSpan w:val="5"/>
            <w:tcBorders>
              <w:top w:val="single" w:color="000000" w:sz="4" w:space="0"/>
              <w:left w:val="nil"/>
              <w:bottom w:val="single" w:color="000000" w:sz="4" w:space="0"/>
              <w:right w:val="single" w:color="000000" w:sz="4" w:space="0"/>
            </w:tcBorders>
            <w:shd w:val="clear" w:color="auto" w:fill="auto"/>
            <w:vAlign w:val="center"/>
          </w:tcPr>
          <w:p w14:paraId="00751773">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405" w:type="pct"/>
            <w:tcBorders>
              <w:top w:val="nil"/>
              <w:left w:val="nil"/>
              <w:bottom w:val="nil"/>
              <w:right w:val="nil"/>
            </w:tcBorders>
            <w:shd w:val="clear" w:color="auto" w:fill="auto"/>
            <w:vAlign w:val="center"/>
          </w:tcPr>
          <w:p w14:paraId="18858BB4">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4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B145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7E4DCCEC">
        <w:tblPrEx>
          <w:tblCellMar>
            <w:top w:w="0" w:type="dxa"/>
            <w:left w:w="108" w:type="dxa"/>
            <w:bottom w:w="0" w:type="dxa"/>
            <w:right w:w="108" w:type="dxa"/>
          </w:tblCellMar>
        </w:tblPrEx>
        <w:trPr>
          <w:trHeight w:val="360" w:hRule="atLeast"/>
        </w:trPr>
        <w:tc>
          <w:tcPr>
            <w:tcW w:w="212" w:type="pct"/>
            <w:vMerge w:val="restart"/>
            <w:tcBorders>
              <w:top w:val="nil"/>
              <w:left w:val="single" w:color="000000" w:sz="4" w:space="0"/>
              <w:bottom w:val="single" w:color="000000" w:sz="4" w:space="0"/>
              <w:right w:val="single" w:color="000000" w:sz="4" w:space="0"/>
            </w:tcBorders>
            <w:shd w:val="clear" w:color="auto" w:fill="auto"/>
            <w:vAlign w:val="center"/>
          </w:tcPr>
          <w:p w14:paraId="4A690FCA">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593" w:type="pct"/>
            <w:vMerge w:val="restart"/>
            <w:tcBorders>
              <w:top w:val="nil"/>
              <w:left w:val="single" w:color="000000" w:sz="4" w:space="0"/>
              <w:bottom w:val="single" w:color="000000" w:sz="4" w:space="0"/>
              <w:right w:val="single" w:color="000000" w:sz="4" w:space="0"/>
            </w:tcBorders>
            <w:shd w:val="clear" w:color="auto" w:fill="auto"/>
            <w:vAlign w:val="center"/>
          </w:tcPr>
          <w:p w14:paraId="2C59C1D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328" w:type="pct"/>
            <w:gridSpan w:val="5"/>
            <w:tcBorders>
              <w:top w:val="single" w:color="000000" w:sz="4" w:space="0"/>
              <w:left w:val="nil"/>
              <w:bottom w:val="single" w:color="000000" w:sz="4" w:space="0"/>
              <w:right w:val="single" w:color="000000" w:sz="4" w:space="0"/>
            </w:tcBorders>
            <w:shd w:val="clear" w:color="auto" w:fill="auto"/>
            <w:vAlign w:val="center"/>
          </w:tcPr>
          <w:p w14:paraId="7258EAF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868" w:type="pct"/>
            <w:gridSpan w:val="4"/>
            <w:tcBorders>
              <w:top w:val="single" w:color="000000" w:sz="4" w:space="0"/>
              <w:left w:val="nil"/>
              <w:bottom w:val="single" w:color="000000" w:sz="4" w:space="0"/>
              <w:right w:val="single" w:color="000000" w:sz="4" w:space="0"/>
            </w:tcBorders>
            <w:shd w:val="clear" w:color="auto" w:fill="auto"/>
            <w:vAlign w:val="center"/>
          </w:tcPr>
          <w:p w14:paraId="6A858496">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504B3B0F">
        <w:tblPrEx>
          <w:tblCellMar>
            <w:top w:w="0" w:type="dxa"/>
            <w:left w:w="108" w:type="dxa"/>
            <w:bottom w:w="0" w:type="dxa"/>
            <w:right w:w="108" w:type="dxa"/>
          </w:tblCellMar>
        </w:tblPrEx>
        <w:trPr>
          <w:trHeight w:val="2682" w:hRule="atLeast"/>
        </w:trPr>
        <w:tc>
          <w:tcPr>
            <w:tcW w:w="212" w:type="pct"/>
            <w:vMerge w:val="continue"/>
            <w:tcBorders>
              <w:top w:val="nil"/>
              <w:left w:val="single" w:color="000000" w:sz="4" w:space="0"/>
              <w:bottom w:val="single" w:color="000000" w:sz="4" w:space="0"/>
              <w:right w:val="single" w:color="000000" w:sz="4" w:space="0"/>
            </w:tcBorders>
            <w:vAlign w:val="center"/>
          </w:tcPr>
          <w:p w14:paraId="551EB2B7">
            <w:pPr>
              <w:widowControl/>
              <w:jc w:val="left"/>
              <w:rPr>
                <w:rFonts w:ascii="宋体" w:hAnsi="宋体" w:eastAsia="宋体" w:cs="宋体"/>
                <w:color w:val="000000"/>
                <w:sz w:val="18"/>
                <w:szCs w:val="18"/>
              </w:rPr>
            </w:pPr>
          </w:p>
        </w:tc>
        <w:tc>
          <w:tcPr>
            <w:tcW w:w="593" w:type="pct"/>
            <w:vMerge w:val="continue"/>
            <w:tcBorders>
              <w:top w:val="nil"/>
              <w:left w:val="single" w:color="000000" w:sz="4" w:space="0"/>
              <w:bottom w:val="single" w:color="000000" w:sz="4" w:space="0"/>
              <w:right w:val="single" w:color="000000" w:sz="4" w:space="0"/>
            </w:tcBorders>
            <w:vAlign w:val="center"/>
          </w:tcPr>
          <w:p w14:paraId="2DAB6150">
            <w:pPr>
              <w:widowControl/>
              <w:jc w:val="left"/>
              <w:rPr>
                <w:rFonts w:ascii="宋体" w:hAnsi="宋体" w:eastAsia="宋体" w:cs="宋体"/>
                <w:color w:val="000000"/>
                <w:sz w:val="18"/>
                <w:szCs w:val="18"/>
              </w:rPr>
            </w:pPr>
          </w:p>
        </w:tc>
        <w:tc>
          <w:tcPr>
            <w:tcW w:w="2328" w:type="pct"/>
            <w:gridSpan w:val="5"/>
            <w:tcBorders>
              <w:top w:val="single" w:color="000000" w:sz="4" w:space="0"/>
              <w:left w:val="nil"/>
              <w:bottom w:val="single" w:color="000000" w:sz="4" w:space="0"/>
              <w:right w:val="single" w:color="000000" w:sz="4" w:space="0"/>
            </w:tcBorders>
            <w:shd w:val="clear" w:color="auto" w:fill="auto"/>
            <w:vAlign w:val="center"/>
          </w:tcPr>
          <w:p w14:paraId="10A7F732">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积极推广“枫桥式司法所” 建设。根据《遂宁市2021年人民调解、司法所工作要点的通知》，要坚持重心下移、关口前置，以“枫桥式司法所”创建为契机，严格按照2020-2022年“枫桥式司法所”创建三年目标任务，结合本地实际创新开展各项业务工作，打造“一所一特色”工作品牌，各县(市、区)2021年力争创建1-2个省级“枫桥式司法所”，推动司法所提档升级，努力为群众提供“面对面”法律服务。进一步加强司法所基础建设。要以做好乡镇行政区划调整改革“后半篇文章”为契机，认真贯彻《关于推进乡镇行政区划调整改革进一步加强司法所建设的意见》,严格对照司法部《司法所外观标识规范》和全省司法所建设地方标准，进一步加强司法所基础建设，力争三年内实现司法所外观标识全面更换。</w:t>
            </w:r>
          </w:p>
        </w:tc>
        <w:tc>
          <w:tcPr>
            <w:tcW w:w="1868" w:type="pct"/>
            <w:gridSpan w:val="4"/>
            <w:tcBorders>
              <w:top w:val="single" w:color="000000" w:sz="4" w:space="0"/>
              <w:left w:val="nil"/>
              <w:bottom w:val="single" w:color="000000" w:sz="4" w:space="0"/>
              <w:right w:val="single" w:color="000000" w:sz="4" w:space="0"/>
            </w:tcBorders>
            <w:shd w:val="clear" w:color="auto" w:fill="auto"/>
            <w:vAlign w:val="center"/>
          </w:tcPr>
          <w:p w14:paraId="1212915A">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全年办理援助案件347件，其中受理农民工援助案件252件，讨回欠薪、挽回经济损失149.08万元。</w:t>
            </w:r>
          </w:p>
        </w:tc>
      </w:tr>
      <w:tr w14:paraId="7454CF6B">
        <w:tblPrEx>
          <w:tblCellMar>
            <w:top w:w="0" w:type="dxa"/>
            <w:left w:w="108" w:type="dxa"/>
            <w:bottom w:w="0" w:type="dxa"/>
            <w:right w:w="108" w:type="dxa"/>
          </w:tblCellMar>
        </w:tblPrEx>
        <w:trPr>
          <w:trHeight w:val="1140" w:hRule="atLeast"/>
        </w:trPr>
        <w:tc>
          <w:tcPr>
            <w:tcW w:w="212" w:type="pct"/>
            <w:vMerge w:val="continue"/>
            <w:tcBorders>
              <w:top w:val="nil"/>
              <w:left w:val="single" w:color="000000" w:sz="4" w:space="0"/>
              <w:bottom w:val="single" w:color="000000" w:sz="4" w:space="0"/>
              <w:right w:val="single" w:color="000000" w:sz="4" w:space="0"/>
            </w:tcBorders>
            <w:vAlign w:val="center"/>
          </w:tcPr>
          <w:p w14:paraId="0C2ED72D">
            <w:pPr>
              <w:widowControl/>
              <w:jc w:val="left"/>
              <w:rPr>
                <w:rFonts w:ascii="宋体" w:hAnsi="宋体" w:eastAsia="宋体" w:cs="宋体"/>
                <w:color w:val="000000"/>
                <w:sz w:val="18"/>
                <w:szCs w:val="18"/>
              </w:rPr>
            </w:pPr>
          </w:p>
        </w:tc>
        <w:tc>
          <w:tcPr>
            <w:tcW w:w="593" w:type="pct"/>
            <w:tcBorders>
              <w:top w:val="nil"/>
              <w:left w:val="nil"/>
              <w:bottom w:val="single" w:color="000000" w:sz="4" w:space="0"/>
              <w:right w:val="single" w:color="000000" w:sz="4" w:space="0"/>
            </w:tcBorders>
            <w:shd w:val="clear" w:color="auto" w:fill="auto"/>
            <w:vAlign w:val="center"/>
          </w:tcPr>
          <w:p w14:paraId="4590E7E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196" w:type="pct"/>
            <w:gridSpan w:val="9"/>
            <w:tcBorders>
              <w:top w:val="single" w:color="000000" w:sz="4" w:space="0"/>
              <w:left w:val="nil"/>
              <w:bottom w:val="single" w:color="000000" w:sz="4" w:space="0"/>
              <w:right w:val="single" w:color="000000" w:sz="4" w:space="0"/>
            </w:tcBorders>
            <w:shd w:val="clear" w:color="auto" w:fill="auto"/>
            <w:vAlign w:val="center"/>
          </w:tcPr>
          <w:p w14:paraId="39861CB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着力提升法律援助质效。深入抓好“法援惠民生、助力农民工”“乡村振兴、法治同行”等品牌建设活动，切实做到法律援助“应援尽援”。全年办理援助案件347件，其中受理农民工援助案件252件，讨回欠薪、挽回经济损失149.08万元。</w:t>
            </w:r>
          </w:p>
        </w:tc>
      </w:tr>
      <w:tr w14:paraId="03A78BC9">
        <w:tblPrEx>
          <w:tblCellMar>
            <w:top w:w="0" w:type="dxa"/>
            <w:left w:w="108" w:type="dxa"/>
            <w:bottom w:w="0" w:type="dxa"/>
            <w:right w:w="108" w:type="dxa"/>
          </w:tblCellMar>
        </w:tblPrEx>
        <w:trPr>
          <w:trHeight w:val="619" w:hRule="atLeast"/>
        </w:trPr>
        <w:tc>
          <w:tcPr>
            <w:tcW w:w="212" w:type="pct"/>
            <w:vMerge w:val="restart"/>
            <w:tcBorders>
              <w:top w:val="nil"/>
              <w:left w:val="single" w:color="000000" w:sz="4" w:space="0"/>
              <w:bottom w:val="single" w:color="000000" w:sz="4" w:space="0"/>
              <w:right w:val="single" w:color="000000" w:sz="4" w:space="0"/>
            </w:tcBorders>
            <w:shd w:val="clear" w:color="auto" w:fill="auto"/>
            <w:vAlign w:val="center"/>
          </w:tcPr>
          <w:p w14:paraId="584A826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593" w:type="pct"/>
            <w:tcBorders>
              <w:top w:val="nil"/>
              <w:left w:val="nil"/>
              <w:bottom w:val="single" w:color="000000" w:sz="4" w:space="0"/>
              <w:right w:val="single" w:color="000000" w:sz="4" w:space="0"/>
            </w:tcBorders>
            <w:shd w:val="clear" w:color="auto" w:fill="auto"/>
            <w:vAlign w:val="center"/>
          </w:tcPr>
          <w:p w14:paraId="5836751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523" w:type="pct"/>
            <w:tcBorders>
              <w:top w:val="nil"/>
              <w:left w:val="nil"/>
              <w:bottom w:val="single" w:color="000000" w:sz="4" w:space="0"/>
              <w:right w:val="single" w:color="000000" w:sz="4" w:space="0"/>
            </w:tcBorders>
            <w:shd w:val="clear" w:color="auto" w:fill="auto"/>
            <w:vAlign w:val="center"/>
          </w:tcPr>
          <w:p w14:paraId="594B72A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742" w:type="pct"/>
            <w:tcBorders>
              <w:top w:val="nil"/>
              <w:left w:val="nil"/>
              <w:bottom w:val="single" w:color="000000" w:sz="4" w:space="0"/>
              <w:right w:val="single" w:color="000000" w:sz="4" w:space="0"/>
            </w:tcBorders>
            <w:shd w:val="clear" w:color="auto" w:fill="auto"/>
            <w:vAlign w:val="center"/>
          </w:tcPr>
          <w:p w14:paraId="796221F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0A2C34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405" w:type="pct"/>
            <w:tcBorders>
              <w:top w:val="nil"/>
              <w:left w:val="nil"/>
              <w:bottom w:val="single" w:color="000000" w:sz="4" w:space="0"/>
              <w:right w:val="single" w:color="000000" w:sz="4" w:space="0"/>
            </w:tcBorders>
            <w:shd w:val="clear" w:color="auto" w:fill="auto"/>
            <w:vAlign w:val="center"/>
          </w:tcPr>
          <w:p w14:paraId="4BBC6D5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88" w:type="pct"/>
            <w:tcBorders>
              <w:top w:val="nil"/>
              <w:left w:val="nil"/>
              <w:bottom w:val="single" w:color="000000" w:sz="4" w:space="0"/>
              <w:right w:val="single" w:color="000000" w:sz="4" w:space="0"/>
            </w:tcBorders>
            <w:shd w:val="clear" w:color="auto" w:fill="auto"/>
            <w:vAlign w:val="center"/>
          </w:tcPr>
          <w:p w14:paraId="1B910C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23" w:type="pct"/>
            <w:tcBorders>
              <w:top w:val="nil"/>
              <w:left w:val="nil"/>
              <w:bottom w:val="single" w:color="000000" w:sz="4" w:space="0"/>
              <w:right w:val="single" w:color="000000" w:sz="4" w:space="0"/>
            </w:tcBorders>
            <w:shd w:val="clear" w:color="auto" w:fill="auto"/>
            <w:vAlign w:val="center"/>
          </w:tcPr>
          <w:p w14:paraId="690AE6E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52" w:type="pct"/>
            <w:tcBorders>
              <w:top w:val="nil"/>
              <w:left w:val="nil"/>
              <w:bottom w:val="single" w:color="000000" w:sz="4" w:space="0"/>
              <w:right w:val="single" w:color="000000" w:sz="4" w:space="0"/>
            </w:tcBorders>
            <w:shd w:val="clear" w:color="auto" w:fill="auto"/>
            <w:vAlign w:val="center"/>
          </w:tcPr>
          <w:p w14:paraId="6D4CC1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02787D7F">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2D999813">
            <w:pPr>
              <w:widowControl/>
              <w:jc w:val="left"/>
              <w:rPr>
                <w:rFonts w:ascii="宋体" w:hAnsi="宋体" w:eastAsia="宋体" w:cs="宋体"/>
                <w:color w:val="000000"/>
                <w:sz w:val="18"/>
                <w:szCs w:val="18"/>
              </w:rPr>
            </w:pPr>
          </w:p>
        </w:tc>
        <w:tc>
          <w:tcPr>
            <w:tcW w:w="593" w:type="pct"/>
            <w:tcBorders>
              <w:top w:val="nil"/>
              <w:left w:val="nil"/>
              <w:bottom w:val="single" w:color="000000" w:sz="4" w:space="0"/>
              <w:right w:val="single" w:color="000000" w:sz="4" w:space="0"/>
            </w:tcBorders>
            <w:shd w:val="clear" w:color="auto" w:fill="auto"/>
            <w:vAlign w:val="center"/>
          </w:tcPr>
          <w:p w14:paraId="091F1DC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523" w:type="pct"/>
            <w:tcBorders>
              <w:top w:val="nil"/>
              <w:left w:val="nil"/>
              <w:bottom w:val="single" w:color="000000" w:sz="4" w:space="0"/>
              <w:right w:val="single" w:color="000000" w:sz="4" w:space="0"/>
            </w:tcBorders>
            <w:shd w:val="clear" w:color="auto" w:fill="auto"/>
            <w:vAlign w:val="center"/>
          </w:tcPr>
          <w:p w14:paraId="24BB944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20.00</w:t>
            </w:r>
          </w:p>
        </w:tc>
        <w:tc>
          <w:tcPr>
            <w:tcW w:w="742" w:type="pct"/>
            <w:tcBorders>
              <w:top w:val="nil"/>
              <w:left w:val="nil"/>
              <w:bottom w:val="single" w:color="000000" w:sz="4" w:space="0"/>
              <w:right w:val="single" w:color="000000" w:sz="4" w:space="0"/>
            </w:tcBorders>
            <w:shd w:val="clear" w:color="auto" w:fill="auto"/>
            <w:vAlign w:val="center"/>
          </w:tcPr>
          <w:p w14:paraId="3E7B05E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20.00</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024F11C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20.00</w:t>
            </w:r>
          </w:p>
        </w:tc>
        <w:tc>
          <w:tcPr>
            <w:tcW w:w="405" w:type="pct"/>
            <w:tcBorders>
              <w:top w:val="nil"/>
              <w:left w:val="nil"/>
              <w:bottom w:val="single" w:color="000000" w:sz="4" w:space="0"/>
              <w:right w:val="single" w:color="000000" w:sz="4" w:space="0"/>
            </w:tcBorders>
            <w:shd w:val="clear" w:color="auto" w:fill="auto"/>
            <w:vAlign w:val="center"/>
          </w:tcPr>
          <w:p w14:paraId="2A0F7F4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88" w:type="pct"/>
            <w:tcBorders>
              <w:top w:val="nil"/>
              <w:left w:val="nil"/>
              <w:bottom w:val="single" w:color="000000" w:sz="4" w:space="0"/>
              <w:right w:val="single" w:color="000000" w:sz="4" w:space="0"/>
            </w:tcBorders>
            <w:shd w:val="clear" w:color="auto" w:fill="auto"/>
            <w:vAlign w:val="center"/>
          </w:tcPr>
          <w:p w14:paraId="44EFDBA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3" w:type="pct"/>
            <w:tcBorders>
              <w:top w:val="nil"/>
              <w:left w:val="nil"/>
              <w:bottom w:val="single" w:color="000000" w:sz="4" w:space="0"/>
              <w:right w:val="single" w:color="000000" w:sz="4" w:space="0"/>
            </w:tcBorders>
            <w:shd w:val="clear" w:color="auto" w:fill="auto"/>
            <w:vAlign w:val="center"/>
          </w:tcPr>
          <w:p w14:paraId="05ACB11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52" w:type="pct"/>
            <w:vMerge w:val="restart"/>
            <w:tcBorders>
              <w:top w:val="nil"/>
              <w:left w:val="single" w:color="000000" w:sz="4" w:space="0"/>
              <w:bottom w:val="single" w:color="000000" w:sz="4" w:space="0"/>
              <w:right w:val="single" w:color="000000" w:sz="4" w:space="0"/>
            </w:tcBorders>
            <w:shd w:val="clear" w:color="auto" w:fill="auto"/>
            <w:vAlign w:val="center"/>
          </w:tcPr>
          <w:p w14:paraId="1338625A">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此项目预算执行率为100%</w:t>
            </w:r>
          </w:p>
        </w:tc>
      </w:tr>
      <w:tr w14:paraId="7C9B7D13">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52237D53">
            <w:pPr>
              <w:widowControl/>
              <w:jc w:val="left"/>
              <w:rPr>
                <w:rFonts w:ascii="宋体" w:hAnsi="宋体" w:eastAsia="宋体" w:cs="宋体"/>
                <w:color w:val="000000"/>
                <w:sz w:val="18"/>
                <w:szCs w:val="18"/>
              </w:rPr>
            </w:pPr>
          </w:p>
        </w:tc>
        <w:tc>
          <w:tcPr>
            <w:tcW w:w="593" w:type="pct"/>
            <w:tcBorders>
              <w:top w:val="nil"/>
              <w:left w:val="nil"/>
              <w:bottom w:val="single" w:color="000000" w:sz="4" w:space="0"/>
              <w:right w:val="single" w:color="000000" w:sz="4" w:space="0"/>
            </w:tcBorders>
            <w:shd w:val="clear" w:color="auto" w:fill="auto"/>
            <w:vAlign w:val="center"/>
          </w:tcPr>
          <w:p w14:paraId="18ED083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523" w:type="pct"/>
            <w:tcBorders>
              <w:top w:val="nil"/>
              <w:left w:val="nil"/>
              <w:bottom w:val="single" w:color="000000" w:sz="4" w:space="0"/>
              <w:right w:val="single" w:color="000000" w:sz="4" w:space="0"/>
            </w:tcBorders>
            <w:shd w:val="clear" w:color="auto" w:fill="auto"/>
            <w:vAlign w:val="center"/>
          </w:tcPr>
          <w:p w14:paraId="4C29B4A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20.00</w:t>
            </w:r>
          </w:p>
        </w:tc>
        <w:tc>
          <w:tcPr>
            <w:tcW w:w="742" w:type="pct"/>
            <w:tcBorders>
              <w:top w:val="nil"/>
              <w:left w:val="nil"/>
              <w:bottom w:val="single" w:color="000000" w:sz="4" w:space="0"/>
              <w:right w:val="single" w:color="000000" w:sz="4" w:space="0"/>
            </w:tcBorders>
            <w:shd w:val="clear" w:color="auto" w:fill="auto"/>
            <w:vAlign w:val="center"/>
          </w:tcPr>
          <w:p w14:paraId="3996481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20.00</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6CA325A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20.00</w:t>
            </w:r>
          </w:p>
        </w:tc>
        <w:tc>
          <w:tcPr>
            <w:tcW w:w="405" w:type="pct"/>
            <w:tcBorders>
              <w:top w:val="nil"/>
              <w:left w:val="nil"/>
              <w:bottom w:val="single" w:color="000000" w:sz="4" w:space="0"/>
              <w:right w:val="single" w:color="000000" w:sz="4" w:space="0"/>
            </w:tcBorders>
            <w:shd w:val="clear" w:color="auto" w:fill="auto"/>
            <w:vAlign w:val="center"/>
          </w:tcPr>
          <w:p w14:paraId="09F20AE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88" w:type="pct"/>
            <w:tcBorders>
              <w:top w:val="nil"/>
              <w:left w:val="nil"/>
              <w:bottom w:val="single" w:color="000000" w:sz="4" w:space="0"/>
              <w:right w:val="single" w:color="000000" w:sz="4" w:space="0"/>
            </w:tcBorders>
            <w:shd w:val="clear" w:color="auto" w:fill="auto"/>
            <w:vAlign w:val="center"/>
          </w:tcPr>
          <w:p w14:paraId="6D9BBF0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3" w:type="pct"/>
            <w:tcBorders>
              <w:top w:val="nil"/>
              <w:left w:val="nil"/>
              <w:bottom w:val="single" w:color="000000" w:sz="4" w:space="0"/>
              <w:right w:val="single" w:color="000000" w:sz="4" w:space="0"/>
            </w:tcBorders>
            <w:shd w:val="clear" w:color="auto" w:fill="auto"/>
            <w:vAlign w:val="center"/>
          </w:tcPr>
          <w:p w14:paraId="1BBE6D6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52" w:type="pct"/>
            <w:vMerge w:val="continue"/>
            <w:tcBorders>
              <w:top w:val="nil"/>
              <w:left w:val="single" w:color="000000" w:sz="4" w:space="0"/>
              <w:bottom w:val="single" w:color="000000" w:sz="4" w:space="0"/>
              <w:right w:val="single" w:color="000000" w:sz="4" w:space="0"/>
            </w:tcBorders>
            <w:vAlign w:val="center"/>
          </w:tcPr>
          <w:p w14:paraId="5572A9DA">
            <w:pPr>
              <w:widowControl/>
              <w:jc w:val="left"/>
              <w:rPr>
                <w:rFonts w:ascii="Courier New" w:hAnsi="Courier New" w:eastAsia="宋体" w:cs="Courier New"/>
                <w:color w:val="000000"/>
                <w:sz w:val="16"/>
                <w:szCs w:val="16"/>
              </w:rPr>
            </w:pPr>
          </w:p>
        </w:tc>
      </w:tr>
      <w:tr w14:paraId="69DB6DF7">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06518DBF">
            <w:pPr>
              <w:widowControl/>
              <w:jc w:val="left"/>
              <w:rPr>
                <w:rFonts w:ascii="宋体" w:hAnsi="宋体" w:eastAsia="宋体" w:cs="宋体"/>
                <w:color w:val="000000"/>
                <w:sz w:val="18"/>
                <w:szCs w:val="18"/>
              </w:rPr>
            </w:pPr>
          </w:p>
        </w:tc>
        <w:tc>
          <w:tcPr>
            <w:tcW w:w="593" w:type="pct"/>
            <w:tcBorders>
              <w:top w:val="nil"/>
              <w:left w:val="nil"/>
              <w:bottom w:val="single" w:color="000000" w:sz="4" w:space="0"/>
              <w:right w:val="single" w:color="000000" w:sz="4" w:space="0"/>
            </w:tcBorders>
            <w:shd w:val="clear" w:color="auto" w:fill="auto"/>
            <w:vAlign w:val="center"/>
          </w:tcPr>
          <w:p w14:paraId="522F3576">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523" w:type="pct"/>
            <w:tcBorders>
              <w:top w:val="nil"/>
              <w:left w:val="nil"/>
              <w:bottom w:val="single" w:color="000000" w:sz="4" w:space="0"/>
              <w:right w:val="single" w:color="000000" w:sz="4" w:space="0"/>
            </w:tcBorders>
            <w:shd w:val="clear" w:color="auto" w:fill="auto"/>
            <w:vAlign w:val="center"/>
          </w:tcPr>
          <w:p w14:paraId="2DDAE0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42" w:type="pct"/>
            <w:tcBorders>
              <w:top w:val="nil"/>
              <w:left w:val="nil"/>
              <w:bottom w:val="single" w:color="000000" w:sz="4" w:space="0"/>
              <w:right w:val="single" w:color="000000" w:sz="4" w:space="0"/>
            </w:tcBorders>
            <w:shd w:val="clear" w:color="auto" w:fill="auto"/>
            <w:vAlign w:val="center"/>
          </w:tcPr>
          <w:p w14:paraId="5E553CD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6B0938A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5" w:type="pct"/>
            <w:tcBorders>
              <w:top w:val="nil"/>
              <w:left w:val="nil"/>
              <w:bottom w:val="single" w:color="000000" w:sz="4" w:space="0"/>
              <w:right w:val="single" w:color="000000" w:sz="4" w:space="0"/>
            </w:tcBorders>
            <w:shd w:val="clear" w:color="auto" w:fill="auto"/>
            <w:vAlign w:val="center"/>
          </w:tcPr>
          <w:p w14:paraId="469B4BD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8" w:type="pct"/>
            <w:tcBorders>
              <w:top w:val="nil"/>
              <w:left w:val="nil"/>
              <w:bottom w:val="single" w:color="000000" w:sz="4" w:space="0"/>
              <w:right w:val="single" w:color="000000" w:sz="4" w:space="0"/>
            </w:tcBorders>
            <w:shd w:val="clear" w:color="auto" w:fill="auto"/>
            <w:vAlign w:val="center"/>
          </w:tcPr>
          <w:p w14:paraId="5EEA5E0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3" w:type="pct"/>
            <w:tcBorders>
              <w:top w:val="nil"/>
              <w:left w:val="nil"/>
              <w:bottom w:val="single" w:color="000000" w:sz="4" w:space="0"/>
              <w:right w:val="single" w:color="000000" w:sz="4" w:space="0"/>
            </w:tcBorders>
            <w:shd w:val="clear" w:color="auto" w:fill="auto"/>
            <w:vAlign w:val="center"/>
          </w:tcPr>
          <w:p w14:paraId="717878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52" w:type="pct"/>
            <w:vMerge w:val="continue"/>
            <w:tcBorders>
              <w:top w:val="nil"/>
              <w:left w:val="single" w:color="000000" w:sz="4" w:space="0"/>
              <w:bottom w:val="single" w:color="000000" w:sz="4" w:space="0"/>
              <w:right w:val="single" w:color="000000" w:sz="4" w:space="0"/>
            </w:tcBorders>
            <w:vAlign w:val="center"/>
          </w:tcPr>
          <w:p w14:paraId="6BEFAD27">
            <w:pPr>
              <w:widowControl/>
              <w:jc w:val="left"/>
              <w:rPr>
                <w:rFonts w:ascii="Courier New" w:hAnsi="Courier New" w:eastAsia="宋体" w:cs="Courier New"/>
                <w:color w:val="000000"/>
                <w:sz w:val="16"/>
                <w:szCs w:val="16"/>
              </w:rPr>
            </w:pPr>
          </w:p>
        </w:tc>
      </w:tr>
      <w:tr w14:paraId="24C38EA6">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71AAE43C">
            <w:pPr>
              <w:widowControl/>
              <w:jc w:val="left"/>
              <w:rPr>
                <w:rFonts w:ascii="宋体" w:hAnsi="宋体" w:eastAsia="宋体" w:cs="宋体"/>
                <w:color w:val="000000"/>
                <w:sz w:val="18"/>
                <w:szCs w:val="18"/>
              </w:rPr>
            </w:pPr>
          </w:p>
        </w:tc>
        <w:tc>
          <w:tcPr>
            <w:tcW w:w="593" w:type="pct"/>
            <w:tcBorders>
              <w:top w:val="nil"/>
              <w:left w:val="nil"/>
              <w:bottom w:val="single" w:color="000000" w:sz="4" w:space="0"/>
              <w:right w:val="single" w:color="000000" w:sz="4" w:space="0"/>
            </w:tcBorders>
            <w:shd w:val="clear" w:color="auto" w:fill="auto"/>
            <w:vAlign w:val="center"/>
          </w:tcPr>
          <w:p w14:paraId="1366F14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523" w:type="pct"/>
            <w:tcBorders>
              <w:top w:val="nil"/>
              <w:left w:val="nil"/>
              <w:bottom w:val="single" w:color="000000" w:sz="4" w:space="0"/>
              <w:right w:val="single" w:color="000000" w:sz="4" w:space="0"/>
            </w:tcBorders>
            <w:shd w:val="clear" w:color="auto" w:fill="auto"/>
            <w:vAlign w:val="center"/>
          </w:tcPr>
          <w:p w14:paraId="3BC4EC0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42" w:type="pct"/>
            <w:tcBorders>
              <w:top w:val="nil"/>
              <w:left w:val="nil"/>
              <w:bottom w:val="single" w:color="000000" w:sz="4" w:space="0"/>
              <w:right w:val="single" w:color="000000" w:sz="4" w:space="0"/>
            </w:tcBorders>
            <w:shd w:val="clear" w:color="auto" w:fill="auto"/>
            <w:vAlign w:val="center"/>
          </w:tcPr>
          <w:p w14:paraId="4FF4D6F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5E4F3F9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5" w:type="pct"/>
            <w:tcBorders>
              <w:top w:val="nil"/>
              <w:left w:val="nil"/>
              <w:bottom w:val="single" w:color="000000" w:sz="4" w:space="0"/>
              <w:right w:val="single" w:color="000000" w:sz="4" w:space="0"/>
            </w:tcBorders>
            <w:shd w:val="clear" w:color="auto" w:fill="auto"/>
            <w:vAlign w:val="center"/>
          </w:tcPr>
          <w:p w14:paraId="2BB70F7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8" w:type="pct"/>
            <w:tcBorders>
              <w:top w:val="nil"/>
              <w:left w:val="nil"/>
              <w:bottom w:val="single" w:color="000000" w:sz="4" w:space="0"/>
              <w:right w:val="single" w:color="000000" w:sz="4" w:space="0"/>
            </w:tcBorders>
            <w:shd w:val="clear" w:color="auto" w:fill="auto"/>
            <w:vAlign w:val="center"/>
          </w:tcPr>
          <w:p w14:paraId="22E03C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3" w:type="pct"/>
            <w:tcBorders>
              <w:top w:val="nil"/>
              <w:left w:val="nil"/>
              <w:bottom w:val="single" w:color="000000" w:sz="4" w:space="0"/>
              <w:right w:val="single" w:color="000000" w:sz="4" w:space="0"/>
            </w:tcBorders>
            <w:shd w:val="clear" w:color="auto" w:fill="auto"/>
            <w:vAlign w:val="center"/>
          </w:tcPr>
          <w:p w14:paraId="1B1190C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52" w:type="pct"/>
            <w:vMerge w:val="continue"/>
            <w:tcBorders>
              <w:top w:val="nil"/>
              <w:left w:val="single" w:color="000000" w:sz="4" w:space="0"/>
              <w:bottom w:val="single" w:color="000000" w:sz="4" w:space="0"/>
              <w:right w:val="single" w:color="000000" w:sz="4" w:space="0"/>
            </w:tcBorders>
            <w:vAlign w:val="center"/>
          </w:tcPr>
          <w:p w14:paraId="7AC07F5C">
            <w:pPr>
              <w:widowControl/>
              <w:jc w:val="left"/>
              <w:rPr>
                <w:rFonts w:ascii="Courier New" w:hAnsi="Courier New" w:eastAsia="宋体" w:cs="Courier New"/>
                <w:color w:val="000000"/>
                <w:sz w:val="16"/>
                <w:szCs w:val="16"/>
              </w:rPr>
            </w:pPr>
          </w:p>
        </w:tc>
      </w:tr>
      <w:tr w14:paraId="19135E41">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1C4AED64">
            <w:pPr>
              <w:widowControl/>
              <w:jc w:val="left"/>
              <w:rPr>
                <w:rFonts w:ascii="宋体" w:hAnsi="宋体" w:eastAsia="宋体" w:cs="宋体"/>
                <w:color w:val="000000"/>
                <w:sz w:val="18"/>
                <w:szCs w:val="18"/>
              </w:rPr>
            </w:pPr>
          </w:p>
        </w:tc>
        <w:tc>
          <w:tcPr>
            <w:tcW w:w="593" w:type="pct"/>
            <w:tcBorders>
              <w:top w:val="nil"/>
              <w:left w:val="nil"/>
              <w:bottom w:val="single" w:color="000000" w:sz="4" w:space="0"/>
              <w:right w:val="single" w:color="000000" w:sz="4" w:space="0"/>
            </w:tcBorders>
            <w:shd w:val="clear" w:color="auto" w:fill="auto"/>
            <w:vAlign w:val="center"/>
          </w:tcPr>
          <w:p w14:paraId="6CD6C03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523" w:type="pct"/>
            <w:tcBorders>
              <w:top w:val="nil"/>
              <w:left w:val="nil"/>
              <w:bottom w:val="single" w:color="000000" w:sz="4" w:space="0"/>
              <w:right w:val="single" w:color="000000" w:sz="4" w:space="0"/>
            </w:tcBorders>
            <w:shd w:val="clear" w:color="auto" w:fill="auto"/>
            <w:vAlign w:val="center"/>
          </w:tcPr>
          <w:p w14:paraId="1A8D2C7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742" w:type="pct"/>
            <w:tcBorders>
              <w:top w:val="nil"/>
              <w:left w:val="nil"/>
              <w:bottom w:val="single" w:color="000000" w:sz="4" w:space="0"/>
              <w:right w:val="single" w:color="000000" w:sz="4" w:space="0"/>
            </w:tcBorders>
            <w:shd w:val="clear" w:color="auto" w:fill="auto"/>
            <w:vAlign w:val="center"/>
          </w:tcPr>
          <w:p w14:paraId="61CCD79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34D195C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05" w:type="pct"/>
            <w:tcBorders>
              <w:top w:val="nil"/>
              <w:left w:val="nil"/>
              <w:bottom w:val="single" w:color="000000" w:sz="4" w:space="0"/>
              <w:right w:val="single" w:color="000000" w:sz="4" w:space="0"/>
            </w:tcBorders>
            <w:shd w:val="clear" w:color="auto" w:fill="auto"/>
            <w:vAlign w:val="center"/>
          </w:tcPr>
          <w:p w14:paraId="4366CF6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88" w:type="pct"/>
            <w:tcBorders>
              <w:top w:val="nil"/>
              <w:left w:val="nil"/>
              <w:bottom w:val="single" w:color="000000" w:sz="4" w:space="0"/>
              <w:right w:val="single" w:color="000000" w:sz="4" w:space="0"/>
            </w:tcBorders>
            <w:shd w:val="clear" w:color="auto" w:fill="auto"/>
            <w:vAlign w:val="center"/>
          </w:tcPr>
          <w:p w14:paraId="7C48032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3" w:type="pct"/>
            <w:tcBorders>
              <w:top w:val="nil"/>
              <w:left w:val="nil"/>
              <w:bottom w:val="single" w:color="000000" w:sz="4" w:space="0"/>
              <w:right w:val="single" w:color="000000" w:sz="4" w:space="0"/>
            </w:tcBorders>
            <w:shd w:val="clear" w:color="auto" w:fill="auto"/>
            <w:vAlign w:val="center"/>
          </w:tcPr>
          <w:p w14:paraId="1A2F8A9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52" w:type="pct"/>
            <w:vMerge w:val="continue"/>
            <w:tcBorders>
              <w:top w:val="nil"/>
              <w:left w:val="single" w:color="000000" w:sz="4" w:space="0"/>
              <w:bottom w:val="single" w:color="000000" w:sz="4" w:space="0"/>
              <w:right w:val="single" w:color="000000" w:sz="4" w:space="0"/>
            </w:tcBorders>
            <w:vAlign w:val="center"/>
          </w:tcPr>
          <w:p w14:paraId="18D3A0F5">
            <w:pPr>
              <w:widowControl/>
              <w:jc w:val="left"/>
              <w:rPr>
                <w:rFonts w:ascii="Courier New" w:hAnsi="Courier New" w:eastAsia="宋体" w:cs="Courier New"/>
                <w:color w:val="000000"/>
                <w:sz w:val="16"/>
                <w:szCs w:val="16"/>
              </w:rPr>
            </w:pPr>
          </w:p>
        </w:tc>
      </w:tr>
      <w:tr w14:paraId="484FAC92">
        <w:tblPrEx>
          <w:tblCellMar>
            <w:top w:w="0" w:type="dxa"/>
            <w:left w:w="108" w:type="dxa"/>
            <w:bottom w:w="0" w:type="dxa"/>
            <w:right w:w="108" w:type="dxa"/>
          </w:tblCellMar>
        </w:tblPrEx>
        <w:trPr>
          <w:trHeight w:val="619" w:hRule="atLeast"/>
        </w:trPr>
        <w:tc>
          <w:tcPr>
            <w:tcW w:w="212" w:type="pct"/>
            <w:vMerge w:val="restart"/>
            <w:tcBorders>
              <w:top w:val="nil"/>
              <w:left w:val="single" w:color="000000" w:sz="4" w:space="0"/>
              <w:bottom w:val="single" w:color="000000" w:sz="4" w:space="0"/>
              <w:right w:val="single" w:color="000000" w:sz="4" w:space="0"/>
            </w:tcBorders>
            <w:shd w:val="clear" w:color="auto" w:fill="auto"/>
            <w:vAlign w:val="center"/>
          </w:tcPr>
          <w:p w14:paraId="01F55D2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593" w:type="pct"/>
            <w:tcBorders>
              <w:top w:val="nil"/>
              <w:left w:val="nil"/>
              <w:bottom w:val="single" w:color="000000" w:sz="4" w:space="0"/>
              <w:right w:val="single" w:color="000000" w:sz="4" w:space="0"/>
            </w:tcBorders>
            <w:shd w:val="clear" w:color="auto" w:fill="auto"/>
            <w:vAlign w:val="center"/>
          </w:tcPr>
          <w:p w14:paraId="414ED29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523" w:type="pct"/>
            <w:tcBorders>
              <w:top w:val="nil"/>
              <w:left w:val="nil"/>
              <w:bottom w:val="single" w:color="000000" w:sz="4" w:space="0"/>
              <w:right w:val="single" w:color="000000" w:sz="4" w:space="0"/>
            </w:tcBorders>
            <w:shd w:val="clear" w:color="auto" w:fill="auto"/>
            <w:vAlign w:val="center"/>
          </w:tcPr>
          <w:p w14:paraId="087A395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742" w:type="pct"/>
            <w:tcBorders>
              <w:top w:val="nil"/>
              <w:left w:val="nil"/>
              <w:bottom w:val="single" w:color="000000" w:sz="4" w:space="0"/>
              <w:right w:val="single" w:color="000000" w:sz="4" w:space="0"/>
            </w:tcBorders>
            <w:shd w:val="clear" w:color="auto" w:fill="auto"/>
            <w:vAlign w:val="center"/>
          </w:tcPr>
          <w:p w14:paraId="48E3E0B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88" w:type="pct"/>
            <w:tcBorders>
              <w:top w:val="nil"/>
              <w:left w:val="nil"/>
              <w:bottom w:val="single" w:color="000000" w:sz="4" w:space="0"/>
              <w:right w:val="single" w:color="000000" w:sz="4" w:space="0"/>
            </w:tcBorders>
            <w:shd w:val="clear" w:color="auto" w:fill="auto"/>
            <w:vAlign w:val="center"/>
          </w:tcPr>
          <w:p w14:paraId="1EE3616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600" w:type="pct"/>
            <w:tcBorders>
              <w:top w:val="nil"/>
              <w:left w:val="nil"/>
              <w:bottom w:val="single" w:color="000000" w:sz="4" w:space="0"/>
              <w:right w:val="single" w:color="000000" w:sz="4" w:space="0"/>
            </w:tcBorders>
            <w:shd w:val="clear" w:color="auto" w:fill="auto"/>
            <w:vAlign w:val="center"/>
          </w:tcPr>
          <w:p w14:paraId="060B5C3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276" w:type="pct"/>
            <w:tcBorders>
              <w:top w:val="nil"/>
              <w:left w:val="nil"/>
              <w:bottom w:val="single" w:color="000000" w:sz="4" w:space="0"/>
              <w:right w:val="single" w:color="000000" w:sz="4" w:space="0"/>
            </w:tcBorders>
            <w:shd w:val="clear" w:color="auto" w:fill="auto"/>
            <w:vAlign w:val="center"/>
          </w:tcPr>
          <w:p w14:paraId="6213DE7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405" w:type="pct"/>
            <w:tcBorders>
              <w:top w:val="nil"/>
              <w:left w:val="nil"/>
              <w:bottom w:val="single" w:color="000000" w:sz="4" w:space="0"/>
              <w:right w:val="single" w:color="000000" w:sz="4" w:space="0"/>
            </w:tcBorders>
            <w:shd w:val="clear" w:color="auto" w:fill="auto"/>
            <w:vAlign w:val="center"/>
          </w:tcPr>
          <w:p w14:paraId="1B2928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88" w:type="pct"/>
            <w:tcBorders>
              <w:top w:val="nil"/>
              <w:left w:val="nil"/>
              <w:bottom w:val="single" w:color="000000" w:sz="4" w:space="0"/>
              <w:right w:val="single" w:color="000000" w:sz="4" w:space="0"/>
            </w:tcBorders>
            <w:shd w:val="clear" w:color="auto" w:fill="auto"/>
            <w:vAlign w:val="center"/>
          </w:tcPr>
          <w:p w14:paraId="622B749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23" w:type="pct"/>
            <w:tcBorders>
              <w:top w:val="nil"/>
              <w:left w:val="nil"/>
              <w:bottom w:val="single" w:color="000000" w:sz="4" w:space="0"/>
              <w:right w:val="single" w:color="000000" w:sz="4" w:space="0"/>
            </w:tcBorders>
            <w:shd w:val="clear" w:color="auto" w:fill="auto"/>
            <w:vAlign w:val="center"/>
          </w:tcPr>
          <w:p w14:paraId="5EFF0E7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52" w:type="pct"/>
            <w:tcBorders>
              <w:top w:val="nil"/>
              <w:left w:val="nil"/>
              <w:bottom w:val="single" w:color="000000" w:sz="4" w:space="0"/>
              <w:right w:val="single" w:color="000000" w:sz="4" w:space="0"/>
            </w:tcBorders>
            <w:shd w:val="clear" w:color="auto" w:fill="auto"/>
            <w:vAlign w:val="center"/>
          </w:tcPr>
          <w:p w14:paraId="4721F9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3BE2CE80">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5668A743">
            <w:pPr>
              <w:widowControl/>
              <w:jc w:val="left"/>
              <w:rPr>
                <w:rFonts w:ascii="宋体" w:hAnsi="宋体" w:eastAsia="宋体" w:cs="宋体"/>
                <w:color w:val="000000"/>
                <w:sz w:val="18"/>
                <w:szCs w:val="18"/>
              </w:rPr>
            </w:pPr>
          </w:p>
        </w:tc>
        <w:tc>
          <w:tcPr>
            <w:tcW w:w="593" w:type="pct"/>
            <w:vMerge w:val="restart"/>
            <w:tcBorders>
              <w:top w:val="nil"/>
              <w:left w:val="single" w:color="000000" w:sz="4" w:space="0"/>
              <w:bottom w:val="single" w:color="000000" w:sz="4" w:space="0"/>
              <w:right w:val="single" w:color="000000" w:sz="4" w:space="0"/>
            </w:tcBorders>
            <w:shd w:val="clear" w:color="auto" w:fill="auto"/>
            <w:vAlign w:val="center"/>
          </w:tcPr>
          <w:p w14:paraId="07A253A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523" w:type="pct"/>
            <w:vMerge w:val="restart"/>
            <w:tcBorders>
              <w:top w:val="nil"/>
              <w:left w:val="single" w:color="000000" w:sz="4" w:space="0"/>
              <w:bottom w:val="single" w:color="000000" w:sz="4" w:space="0"/>
              <w:right w:val="single" w:color="000000" w:sz="4" w:space="0"/>
            </w:tcBorders>
            <w:shd w:val="clear" w:color="auto" w:fill="auto"/>
            <w:vAlign w:val="center"/>
          </w:tcPr>
          <w:p w14:paraId="7137DE4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742" w:type="pct"/>
            <w:tcBorders>
              <w:top w:val="nil"/>
              <w:left w:val="nil"/>
              <w:bottom w:val="single" w:color="000000" w:sz="4" w:space="0"/>
              <w:right w:val="single" w:color="000000" w:sz="4" w:space="0"/>
            </w:tcBorders>
            <w:shd w:val="clear" w:color="auto" w:fill="auto"/>
            <w:vAlign w:val="center"/>
          </w:tcPr>
          <w:p w14:paraId="7580D0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法律援助案件</w:t>
            </w:r>
          </w:p>
        </w:tc>
        <w:tc>
          <w:tcPr>
            <w:tcW w:w="188" w:type="pct"/>
            <w:tcBorders>
              <w:top w:val="nil"/>
              <w:left w:val="nil"/>
              <w:bottom w:val="single" w:color="000000" w:sz="4" w:space="0"/>
              <w:right w:val="single" w:color="000000" w:sz="4" w:space="0"/>
            </w:tcBorders>
            <w:shd w:val="clear" w:color="auto" w:fill="auto"/>
            <w:vAlign w:val="center"/>
          </w:tcPr>
          <w:p w14:paraId="40C07D3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0" w:type="pct"/>
            <w:tcBorders>
              <w:top w:val="nil"/>
              <w:left w:val="nil"/>
              <w:bottom w:val="single" w:color="000000" w:sz="4" w:space="0"/>
              <w:right w:val="single" w:color="000000" w:sz="4" w:space="0"/>
            </w:tcBorders>
            <w:shd w:val="clear" w:color="auto" w:fill="auto"/>
            <w:vAlign w:val="center"/>
          </w:tcPr>
          <w:p w14:paraId="3D46959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w:t>
            </w:r>
          </w:p>
        </w:tc>
        <w:tc>
          <w:tcPr>
            <w:tcW w:w="276" w:type="pct"/>
            <w:tcBorders>
              <w:top w:val="nil"/>
              <w:left w:val="nil"/>
              <w:bottom w:val="single" w:color="000000" w:sz="4" w:space="0"/>
              <w:right w:val="single" w:color="000000" w:sz="4" w:space="0"/>
            </w:tcBorders>
            <w:shd w:val="clear" w:color="auto" w:fill="auto"/>
            <w:vAlign w:val="center"/>
          </w:tcPr>
          <w:p w14:paraId="112E28B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件</w:t>
            </w:r>
          </w:p>
        </w:tc>
        <w:tc>
          <w:tcPr>
            <w:tcW w:w="405" w:type="pct"/>
            <w:tcBorders>
              <w:top w:val="nil"/>
              <w:left w:val="nil"/>
              <w:bottom w:val="single" w:color="000000" w:sz="4" w:space="0"/>
              <w:right w:val="single" w:color="000000" w:sz="4" w:space="0"/>
            </w:tcBorders>
            <w:shd w:val="clear" w:color="auto" w:fill="auto"/>
            <w:vAlign w:val="center"/>
          </w:tcPr>
          <w:p w14:paraId="0974F84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252</w:t>
            </w:r>
          </w:p>
        </w:tc>
        <w:tc>
          <w:tcPr>
            <w:tcW w:w="188" w:type="pct"/>
            <w:tcBorders>
              <w:top w:val="nil"/>
              <w:left w:val="nil"/>
              <w:bottom w:val="single" w:color="000000" w:sz="4" w:space="0"/>
              <w:right w:val="single" w:color="000000" w:sz="4" w:space="0"/>
            </w:tcBorders>
            <w:shd w:val="clear" w:color="auto" w:fill="auto"/>
            <w:vAlign w:val="center"/>
          </w:tcPr>
          <w:p w14:paraId="04E27E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23" w:type="pct"/>
            <w:tcBorders>
              <w:top w:val="nil"/>
              <w:left w:val="nil"/>
              <w:bottom w:val="single" w:color="000000" w:sz="4" w:space="0"/>
              <w:right w:val="single" w:color="000000" w:sz="4" w:space="0"/>
            </w:tcBorders>
            <w:shd w:val="clear" w:color="auto" w:fill="auto"/>
            <w:vAlign w:val="center"/>
          </w:tcPr>
          <w:p w14:paraId="381056A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052" w:type="pct"/>
            <w:tcBorders>
              <w:top w:val="nil"/>
              <w:left w:val="nil"/>
              <w:bottom w:val="single" w:color="000000" w:sz="4" w:space="0"/>
              <w:right w:val="single" w:color="000000" w:sz="4" w:space="0"/>
            </w:tcBorders>
            <w:shd w:val="clear" w:color="auto" w:fill="auto"/>
            <w:vAlign w:val="center"/>
          </w:tcPr>
          <w:p w14:paraId="57A2424A">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52B5841">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1CA3552A">
            <w:pPr>
              <w:widowControl/>
              <w:jc w:val="left"/>
              <w:rPr>
                <w:rFonts w:ascii="宋体" w:hAnsi="宋体" w:eastAsia="宋体" w:cs="宋体"/>
                <w:color w:val="000000"/>
                <w:sz w:val="18"/>
                <w:szCs w:val="18"/>
              </w:rPr>
            </w:pPr>
          </w:p>
        </w:tc>
        <w:tc>
          <w:tcPr>
            <w:tcW w:w="593" w:type="pct"/>
            <w:vMerge w:val="continue"/>
            <w:tcBorders>
              <w:top w:val="nil"/>
              <w:left w:val="single" w:color="000000" w:sz="4" w:space="0"/>
              <w:bottom w:val="single" w:color="000000" w:sz="4" w:space="0"/>
              <w:right w:val="single" w:color="000000" w:sz="4" w:space="0"/>
            </w:tcBorders>
            <w:vAlign w:val="center"/>
          </w:tcPr>
          <w:p w14:paraId="219DFC85">
            <w:pPr>
              <w:widowControl/>
              <w:jc w:val="left"/>
              <w:rPr>
                <w:rFonts w:ascii="宋体" w:hAnsi="宋体" w:eastAsia="宋体" w:cs="宋体"/>
                <w:color w:val="00000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7B3D42E4">
            <w:pPr>
              <w:widowControl/>
              <w:jc w:val="left"/>
              <w:rPr>
                <w:rFonts w:ascii="宋体" w:hAnsi="宋体" w:eastAsia="宋体" w:cs="宋体"/>
                <w:color w:val="000000"/>
                <w:sz w:val="18"/>
                <w:szCs w:val="18"/>
              </w:rPr>
            </w:pPr>
          </w:p>
        </w:tc>
        <w:tc>
          <w:tcPr>
            <w:tcW w:w="742" w:type="pct"/>
            <w:tcBorders>
              <w:top w:val="nil"/>
              <w:left w:val="nil"/>
              <w:bottom w:val="single" w:color="000000" w:sz="4" w:space="0"/>
              <w:right w:val="single" w:color="000000" w:sz="4" w:space="0"/>
            </w:tcBorders>
            <w:shd w:val="clear" w:color="auto" w:fill="auto"/>
            <w:vAlign w:val="center"/>
          </w:tcPr>
          <w:p w14:paraId="7CDE2CC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法律援助人次</w:t>
            </w:r>
          </w:p>
        </w:tc>
        <w:tc>
          <w:tcPr>
            <w:tcW w:w="188" w:type="pct"/>
            <w:tcBorders>
              <w:top w:val="nil"/>
              <w:left w:val="nil"/>
              <w:bottom w:val="single" w:color="000000" w:sz="4" w:space="0"/>
              <w:right w:val="single" w:color="000000" w:sz="4" w:space="0"/>
            </w:tcBorders>
            <w:shd w:val="clear" w:color="auto" w:fill="auto"/>
            <w:vAlign w:val="center"/>
          </w:tcPr>
          <w:p w14:paraId="3928EB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0" w:type="pct"/>
            <w:tcBorders>
              <w:top w:val="nil"/>
              <w:left w:val="nil"/>
              <w:bottom w:val="single" w:color="000000" w:sz="4" w:space="0"/>
              <w:right w:val="single" w:color="000000" w:sz="4" w:space="0"/>
            </w:tcBorders>
            <w:shd w:val="clear" w:color="auto" w:fill="auto"/>
            <w:vAlign w:val="center"/>
          </w:tcPr>
          <w:p w14:paraId="2CE63BA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1700</w:t>
            </w:r>
          </w:p>
        </w:tc>
        <w:tc>
          <w:tcPr>
            <w:tcW w:w="276" w:type="pct"/>
            <w:tcBorders>
              <w:top w:val="nil"/>
              <w:left w:val="nil"/>
              <w:bottom w:val="single" w:color="000000" w:sz="4" w:space="0"/>
              <w:right w:val="single" w:color="000000" w:sz="4" w:space="0"/>
            </w:tcBorders>
            <w:shd w:val="clear" w:color="auto" w:fill="auto"/>
            <w:vAlign w:val="center"/>
          </w:tcPr>
          <w:p w14:paraId="67BDF5E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人次</w:t>
            </w:r>
          </w:p>
        </w:tc>
        <w:tc>
          <w:tcPr>
            <w:tcW w:w="405" w:type="pct"/>
            <w:tcBorders>
              <w:top w:val="nil"/>
              <w:left w:val="nil"/>
              <w:bottom w:val="single" w:color="000000" w:sz="4" w:space="0"/>
              <w:right w:val="single" w:color="000000" w:sz="4" w:space="0"/>
            </w:tcBorders>
            <w:shd w:val="clear" w:color="auto" w:fill="auto"/>
            <w:vAlign w:val="center"/>
          </w:tcPr>
          <w:p w14:paraId="3864160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1700</w:t>
            </w:r>
          </w:p>
        </w:tc>
        <w:tc>
          <w:tcPr>
            <w:tcW w:w="188" w:type="pct"/>
            <w:tcBorders>
              <w:top w:val="nil"/>
              <w:left w:val="nil"/>
              <w:bottom w:val="single" w:color="000000" w:sz="4" w:space="0"/>
              <w:right w:val="single" w:color="000000" w:sz="4" w:space="0"/>
            </w:tcBorders>
            <w:shd w:val="clear" w:color="auto" w:fill="auto"/>
            <w:vAlign w:val="center"/>
          </w:tcPr>
          <w:p w14:paraId="561C4A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23" w:type="pct"/>
            <w:tcBorders>
              <w:top w:val="nil"/>
              <w:left w:val="nil"/>
              <w:bottom w:val="single" w:color="000000" w:sz="4" w:space="0"/>
              <w:right w:val="single" w:color="000000" w:sz="4" w:space="0"/>
            </w:tcBorders>
            <w:shd w:val="clear" w:color="auto" w:fill="auto"/>
            <w:vAlign w:val="center"/>
          </w:tcPr>
          <w:p w14:paraId="7C0DF67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052" w:type="pct"/>
            <w:tcBorders>
              <w:top w:val="nil"/>
              <w:left w:val="nil"/>
              <w:bottom w:val="single" w:color="000000" w:sz="4" w:space="0"/>
              <w:right w:val="single" w:color="000000" w:sz="4" w:space="0"/>
            </w:tcBorders>
            <w:shd w:val="clear" w:color="auto" w:fill="auto"/>
            <w:vAlign w:val="center"/>
          </w:tcPr>
          <w:p w14:paraId="5756DA7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9FA2CCB">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2CEFBCB8">
            <w:pPr>
              <w:widowControl/>
              <w:jc w:val="left"/>
              <w:rPr>
                <w:rFonts w:ascii="宋体" w:hAnsi="宋体" w:eastAsia="宋体" w:cs="宋体"/>
                <w:color w:val="000000"/>
                <w:sz w:val="18"/>
                <w:szCs w:val="18"/>
              </w:rPr>
            </w:pPr>
          </w:p>
        </w:tc>
        <w:tc>
          <w:tcPr>
            <w:tcW w:w="593" w:type="pct"/>
            <w:vMerge w:val="continue"/>
            <w:tcBorders>
              <w:top w:val="nil"/>
              <w:left w:val="single" w:color="000000" w:sz="4" w:space="0"/>
              <w:bottom w:val="single" w:color="000000" w:sz="4" w:space="0"/>
              <w:right w:val="single" w:color="000000" w:sz="4" w:space="0"/>
            </w:tcBorders>
            <w:vAlign w:val="center"/>
          </w:tcPr>
          <w:p w14:paraId="0987F46F">
            <w:pPr>
              <w:widowControl/>
              <w:jc w:val="left"/>
              <w:rPr>
                <w:rFonts w:ascii="宋体" w:hAnsi="宋体" w:eastAsia="宋体" w:cs="宋体"/>
                <w:color w:val="000000"/>
                <w:sz w:val="18"/>
                <w:szCs w:val="18"/>
              </w:rPr>
            </w:pPr>
          </w:p>
        </w:tc>
        <w:tc>
          <w:tcPr>
            <w:tcW w:w="523" w:type="pct"/>
            <w:vMerge w:val="restart"/>
            <w:tcBorders>
              <w:top w:val="nil"/>
              <w:left w:val="single" w:color="000000" w:sz="4" w:space="0"/>
              <w:bottom w:val="single" w:color="000000" w:sz="4" w:space="0"/>
              <w:right w:val="single" w:color="000000" w:sz="4" w:space="0"/>
            </w:tcBorders>
            <w:shd w:val="clear" w:color="auto" w:fill="auto"/>
            <w:vAlign w:val="center"/>
          </w:tcPr>
          <w:p w14:paraId="7767703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742" w:type="pct"/>
            <w:tcBorders>
              <w:top w:val="nil"/>
              <w:left w:val="nil"/>
              <w:bottom w:val="single" w:color="000000" w:sz="4" w:space="0"/>
              <w:right w:val="single" w:color="000000" w:sz="4" w:space="0"/>
            </w:tcBorders>
            <w:shd w:val="clear" w:color="auto" w:fill="auto"/>
            <w:vAlign w:val="center"/>
          </w:tcPr>
          <w:p w14:paraId="0F50692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援助案件质量投诉</w:t>
            </w:r>
          </w:p>
        </w:tc>
        <w:tc>
          <w:tcPr>
            <w:tcW w:w="188" w:type="pct"/>
            <w:tcBorders>
              <w:top w:val="nil"/>
              <w:left w:val="nil"/>
              <w:bottom w:val="single" w:color="000000" w:sz="4" w:space="0"/>
              <w:right w:val="single" w:color="000000" w:sz="4" w:space="0"/>
            </w:tcBorders>
            <w:shd w:val="clear" w:color="auto" w:fill="auto"/>
            <w:vAlign w:val="center"/>
          </w:tcPr>
          <w:p w14:paraId="13AA641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0" w:type="pct"/>
            <w:tcBorders>
              <w:top w:val="nil"/>
              <w:left w:val="nil"/>
              <w:bottom w:val="single" w:color="000000" w:sz="4" w:space="0"/>
              <w:right w:val="single" w:color="000000" w:sz="4" w:space="0"/>
            </w:tcBorders>
            <w:shd w:val="clear" w:color="auto" w:fill="auto"/>
            <w:vAlign w:val="center"/>
          </w:tcPr>
          <w:p w14:paraId="72BDFA8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76" w:type="pct"/>
            <w:tcBorders>
              <w:top w:val="nil"/>
              <w:left w:val="nil"/>
              <w:bottom w:val="single" w:color="000000" w:sz="4" w:space="0"/>
              <w:right w:val="single" w:color="000000" w:sz="4" w:space="0"/>
            </w:tcBorders>
            <w:shd w:val="clear" w:color="auto" w:fill="auto"/>
            <w:vAlign w:val="center"/>
          </w:tcPr>
          <w:p w14:paraId="453B797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5" w:type="pct"/>
            <w:tcBorders>
              <w:top w:val="nil"/>
              <w:left w:val="nil"/>
              <w:bottom w:val="single" w:color="000000" w:sz="4" w:space="0"/>
              <w:right w:val="single" w:color="000000" w:sz="4" w:space="0"/>
            </w:tcBorders>
            <w:shd w:val="clear" w:color="auto" w:fill="auto"/>
            <w:vAlign w:val="center"/>
          </w:tcPr>
          <w:p w14:paraId="4370CF3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w:t>
            </w:r>
          </w:p>
        </w:tc>
        <w:tc>
          <w:tcPr>
            <w:tcW w:w="188" w:type="pct"/>
            <w:tcBorders>
              <w:top w:val="nil"/>
              <w:left w:val="nil"/>
              <w:bottom w:val="single" w:color="000000" w:sz="4" w:space="0"/>
              <w:right w:val="single" w:color="000000" w:sz="4" w:space="0"/>
            </w:tcBorders>
            <w:shd w:val="clear" w:color="auto" w:fill="auto"/>
            <w:vAlign w:val="center"/>
          </w:tcPr>
          <w:p w14:paraId="0A5F8D5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23" w:type="pct"/>
            <w:tcBorders>
              <w:top w:val="nil"/>
              <w:left w:val="nil"/>
              <w:bottom w:val="single" w:color="000000" w:sz="4" w:space="0"/>
              <w:right w:val="single" w:color="000000" w:sz="4" w:space="0"/>
            </w:tcBorders>
            <w:shd w:val="clear" w:color="auto" w:fill="auto"/>
            <w:vAlign w:val="center"/>
          </w:tcPr>
          <w:p w14:paraId="40AA934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1052" w:type="pct"/>
            <w:tcBorders>
              <w:top w:val="nil"/>
              <w:left w:val="nil"/>
              <w:bottom w:val="single" w:color="000000" w:sz="4" w:space="0"/>
              <w:right w:val="single" w:color="000000" w:sz="4" w:space="0"/>
            </w:tcBorders>
            <w:shd w:val="clear" w:color="auto" w:fill="auto"/>
            <w:vAlign w:val="center"/>
          </w:tcPr>
          <w:p w14:paraId="5F7D7E1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C2A91B9">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3A77C589">
            <w:pPr>
              <w:widowControl/>
              <w:jc w:val="left"/>
              <w:rPr>
                <w:rFonts w:ascii="宋体" w:hAnsi="宋体" w:eastAsia="宋体" w:cs="宋体"/>
                <w:color w:val="000000"/>
                <w:sz w:val="18"/>
                <w:szCs w:val="18"/>
              </w:rPr>
            </w:pPr>
          </w:p>
        </w:tc>
        <w:tc>
          <w:tcPr>
            <w:tcW w:w="593" w:type="pct"/>
            <w:vMerge w:val="continue"/>
            <w:tcBorders>
              <w:top w:val="nil"/>
              <w:left w:val="single" w:color="000000" w:sz="4" w:space="0"/>
              <w:bottom w:val="single" w:color="000000" w:sz="4" w:space="0"/>
              <w:right w:val="single" w:color="000000" w:sz="4" w:space="0"/>
            </w:tcBorders>
            <w:vAlign w:val="center"/>
          </w:tcPr>
          <w:p w14:paraId="79D65A68">
            <w:pPr>
              <w:widowControl/>
              <w:jc w:val="left"/>
              <w:rPr>
                <w:rFonts w:ascii="宋体" w:hAnsi="宋体" w:eastAsia="宋体" w:cs="宋体"/>
                <w:color w:val="00000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08F8959C">
            <w:pPr>
              <w:widowControl/>
              <w:jc w:val="left"/>
              <w:rPr>
                <w:rFonts w:ascii="宋体" w:hAnsi="宋体" w:eastAsia="宋体" w:cs="宋体"/>
                <w:color w:val="000000"/>
                <w:sz w:val="18"/>
                <w:szCs w:val="18"/>
              </w:rPr>
            </w:pPr>
          </w:p>
        </w:tc>
        <w:tc>
          <w:tcPr>
            <w:tcW w:w="742" w:type="pct"/>
            <w:tcBorders>
              <w:top w:val="nil"/>
              <w:left w:val="nil"/>
              <w:bottom w:val="single" w:color="000000" w:sz="4" w:space="0"/>
              <w:right w:val="single" w:color="000000" w:sz="4" w:space="0"/>
            </w:tcBorders>
            <w:shd w:val="clear" w:color="auto" w:fill="auto"/>
            <w:vAlign w:val="center"/>
          </w:tcPr>
          <w:p w14:paraId="5848FCD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法律援助败诉率</w:t>
            </w:r>
          </w:p>
        </w:tc>
        <w:tc>
          <w:tcPr>
            <w:tcW w:w="188" w:type="pct"/>
            <w:tcBorders>
              <w:top w:val="nil"/>
              <w:left w:val="nil"/>
              <w:bottom w:val="single" w:color="000000" w:sz="4" w:space="0"/>
              <w:right w:val="single" w:color="000000" w:sz="4" w:space="0"/>
            </w:tcBorders>
            <w:shd w:val="clear" w:color="auto" w:fill="auto"/>
            <w:vAlign w:val="center"/>
          </w:tcPr>
          <w:p w14:paraId="0DF8EFE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0" w:type="pct"/>
            <w:tcBorders>
              <w:top w:val="nil"/>
              <w:left w:val="nil"/>
              <w:bottom w:val="single" w:color="000000" w:sz="4" w:space="0"/>
              <w:right w:val="single" w:color="000000" w:sz="4" w:space="0"/>
            </w:tcBorders>
            <w:shd w:val="clear" w:color="auto" w:fill="auto"/>
            <w:vAlign w:val="center"/>
          </w:tcPr>
          <w:p w14:paraId="510528E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76" w:type="pct"/>
            <w:tcBorders>
              <w:top w:val="nil"/>
              <w:left w:val="nil"/>
              <w:bottom w:val="single" w:color="000000" w:sz="4" w:space="0"/>
              <w:right w:val="single" w:color="000000" w:sz="4" w:space="0"/>
            </w:tcBorders>
            <w:shd w:val="clear" w:color="auto" w:fill="auto"/>
            <w:vAlign w:val="center"/>
          </w:tcPr>
          <w:p w14:paraId="35439C1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5" w:type="pct"/>
            <w:tcBorders>
              <w:top w:val="nil"/>
              <w:left w:val="nil"/>
              <w:bottom w:val="single" w:color="000000" w:sz="4" w:space="0"/>
              <w:right w:val="single" w:color="000000" w:sz="4" w:space="0"/>
            </w:tcBorders>
            <w:shd w:val="clear" w:color="auto" w:fill="auto"/>
            <w:vAlign w:val="center"/>
          </w:tcPr>
          <w:p w14:paraId="6BB8B07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w:t>
            </w:r>
          </w:p>
        </w:tc>
        <w:tc>
          <w:tcPr>
            <w:tcW w:w="188" w:type="pct"/>
            <w:tcBorders>
              <w:top w:val="nil"/>
              <w:left w:val="nil"/>
              <w:bottom w:val="single" w:color="000000" w:sz="4" w:space="0"/>
              <w:right w:val="single" w:color="000000" w:sz="4" w:space="0"/>
            </w:tcBorders>
            <w:shd w:val="clear" w:color="auto" w:fill="auto"/>
            <w:vAlign w:val="center"/>
          </w:tcPr>
          <w:p w14:paraId="2806788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23" w:type="pct"/>
            <w:tcBorders>
              <w:top w:val="nil"/>
              <w:left w:val="nil"/>
              <w:bottom w:val="single" w:color="000000" w:sz="4" w:space="0"/>
              <w:right w:val="single" w:color="000000" w:sz="4" w:space="0"/>
            </w:tcBorders>
            <w:shd w:val="clear" w:color="auto" w:fill="auto"/>
            <w:vAlign w:val="center"/>
          </w:tcPr>
          <w:p w14:paraId="4531BDE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1052" w:type="pct"/>
            <w:tcBorders>
              <w:top w:val="nil"/>
              <w:left w:val="nil"/>
              <w:bottom w:val="single" w:color="000000" w:sz="4" w:space="0"/>
              <w:right w:val="single" w:color="000000" w:sz="4" w:space="0"/>
            </w:tcBorders>
            <w:shd w:val="clear" w:color="auto" w:fill="auto"/>
            <w:vAlign w:val="center"/>
          </w:tcPr>
          <w:p w14:paraId="7CBFB59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BA0579B">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39552ABA">
            <w:pPr>
              <w:widowControl/>
              <w:jc w:val="left"/>
              <w:rPr>
                <w:rFonts w:ascii="宋体" w:hAnsi="宋体" w:eastAsia="宋体" w:cs="宋体"/>
                <w:color w:val="000000"/>
                <w:sz w:val="18"/>
                <w:szCs w:val="18"/>
              </w:rPr>
            </w:pPr>
          </w:p>
        </w:tc>
        <w:tc>
          <w:tcPr>
            <w:tcW w:w="593" w:type="pct"/>
            <w:vMerge w:val="continue"/>
            <w:tcBorders>
              <w:top w:val="nil"/>
              <w:left w:val="single" w:color="000000" w:sz="4" w:space="0"/>
              <w:bottom w:val="single" w:color="000000" w:sz="4" w:space="0"/>
              <w:right w:val="single" w:color="000000" w:sz="4" w:space="0"/>
            </w:tcBorders>
            <w:vAlign w:val="center"/>
          </w:tcPr>
          <w:p w14:paraId="12CFDE4D">
            <w:pPr>
              <w:widowControl/>
              <w:jc w:val="left"/>
              <w:rPr>
                <w:rFonts w:ascii="宋体" w:hAnsi="宋体" w:eastAsia="宋体" w:cs="宋体"/>
                <w:color w:val="000000"/>
                <w:sz w:val="18"/>
                <w:szCs w:val="18"/>
              </w:rPr>
            </w:pPr>
          </w:p>
        </w:tc>
        <w:tc>
          <w:tcPr>
            <w:tcW w:w="523" w:type="pct"/>
            <w:vMerge w:val="restart"/>
            <w:tcBorders>
              <w:top w:val="nil"/>
              <w:left w:val="single" w:color="000000" w:sz="4" w:space="0"/>
              <w:bottom w:val="single" w:color="000000" w:sz="4" w:space="0"/>
              <w:right w:val="single" w:color="000000" w:sz="4" w:space="0"/>
            </w:tcBorders>
            <w:shd w:val="clear" w:color="auto" w:fill="auto"/>
            <w:vAlign w:val="center"/>
          </w:tcPr>
          <w:p w14:paraId="053B71A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742" w:type="pct"/>
            <w:tcBorders>
              <w:top w:val="nil"/>
              <w:left w:val="nil"/>
              <w:bottom w:val="single" w:color="000000" w:sz="4" w:space="0"/>
              <w:right w:val="single" w:color="000000" w:sz="4" w:space="0"/>
            </w:tcBorders>
            <w:shd w:val="clear" w:color="auto" w:fill="auto"/>
            <w:vAlign w:val="center"/>
          </w:tcPr>
          <w:p w14:paraId="2C0552F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办案补贴发放及时率</w:t>
            </w:r>
          </w:p>
        </w:tc>
        <w:tc>
          <w:tcPr>
            <w:tcW w:w="188" w:type="pct"/>
            <w:tcBorders>
              <w:top w:val="nil"/>
              <w:left w:val="nil"/>
              <w:bottom w:val="single" w:color="000000" w:sz="4" w:space="0"/>
              <w:right w:val="single" w:color="000000" w:sz="4" w:space="0"/>
            </w:tcBorders>
            <w:shd w:val="clear" w:color="auto" w:fill="auto"/>
            <w:vAlign w:val="center"/>
          </w:tcPr>
          <w:p w14:paraId="3D1C44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0" w:type="pct"/>
            <w:tcBorders>
              <w:top w:val="nil"/>
              <w:left w:val="nil"/>
              <w:bottom w:val="single" w:color="000000" w:sz="4" w:space="0"/>
              <w:right w:val="single" w:color="000000" w:sz="4" w:space="0"/>
            </w:tcBorders>
            <w:shd w:val="clear" w:color="auto" w:fill="auto"/>
            <w:vAlign w:val="center"/>
          </w:tcPr>
          <w:p w14:paraId="52A4831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76" w:type="pct"/>
            <w:tcBorders>
              <w:top w:val="nil"/>
              <w:left w:val="nil"/>
              <w:bottom w:val="single" w:color="000000" w:sz="4" w:space="0"/>
              <w:right w:val="single" w:color="000000" w:sz="4" w:space="0"/>
            </w:tcBorders>
            <w:shd w:val="clear" w:color="auto" w:fill="auto"/>
            <w:vAlign w:val="center"/>
          </w:tcPr>
          <w:p w14:paraId="3F8C10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5" w:type="pct"/>
            <w:tcBorders>
              <w:top w:val="nil"/>
              <w:left w:val="nil"/>
              <w:bottom w:val="single" w:color="000000" w:sz="4" w:space="0"/>
              <w:right w:val="single" w:color="000000" w:sz="4" w:space="0"/>
            </w:tcBorders>
            <w:shd w:val="clear" w:color="auto" w:fill="auto"/>
            <w:vAlign w:val="center"/>
          </w:tcPr>
          <w:p w14:paraId="58DD561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100</w:t>
            </w:r>
          </w:p>
        </w:tc>
        <w:tc>
          <w:tcPr>
            <w:tcW w:w="188" w:type="pct"/>
            <w:tcBorders>
              <w:top w:val="nil"/>
              <w:left w:val="nil"/>
              <w:bottom w:val="single" w:color="000000" w:sz="4" w:space="0"/>
              <w:right w:val="single" w:color="000000" w:sz="4" w:space="0"/>
            </w:tcBorders>
            <w:shd w:val="clear" w:color="auto" w:fill="auto"/>
            <w:vAlign w:val="center"/>
          </w:tcPr>
          <w:p w14:paraId="3A7B41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23" w:type="pct"/>
            <w:tcBorders>
              <w:top w:val="nil"/>
              <w:left w:val="nil"/>
              <w:bottom w:val="single" w:color="000000" w:sz="4" w:space="0"/>
              <w:right w:val="single" w:color="000000" w:sz="4" w:space="0"/>
            </w:tcBorders>
            <w:shd w:val="clear" w:color="auto" w:fill="auto"/>
            <w:vAlign w:val="center"/>
          </w:tcPr>
          <w:p w14:paraId="16C7947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1052" w:type="pct"/>
            <w:tcBorders>
              <w:top w:val="nil"/>
              <w:left w:val="nil"/>
              <w:bottom w:val="single" w:color="000000" w:sz="4" w:space="0"/>
              <w:right w:val="single" w:color="000000" w:sz="4" w:space="0"/>
            </w:tcBorders>
            <w:shd w:val="clear" w:color="auto" w:fill="auto"/>
            <w:vAlign w:val="center"/>
          </w:tcPr>
          <w:p w14:paraId="772646A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262C14C">
        <w:tblPrEx>
          <w:tblCellMar>
            <w:top w:w="0" w:type="dxa"/>
            <w:left w:w="108" w:type="dxa"/>
            <w:bottom w:w="0" w:type="dxa"/>
            <w:right w:w="108" w:type="dxa"/>
          </w:tblCellMar>
        </w:tblPrEx>
        <w:trPr>
          <w:trHeight w:val="402" w:hRule="atLeast"/>
        </w:trPr>
        <w:tc>
          <w:tcPr>
            <w:tcW w:w="212" w:type="pct"/>
            <w:vMerge w:val="continue"/>
            <w:tcBorders>
              <w:top w:val="nil"/>
              <w:left w:val="single" w:color="000000" w:sz="4" w:space="0"/>
              <w:bottom w:val="single" w:color="000000" w:sz="4" w:space="0"/>
              <w:right w:val="single" w:color="000000" w:sz="4" w:space="0"/>
            </w:tcBorders>
            <w:vAlign w:val="center"/>
          </w:tcPr>
          <w:p w14:paraId="2CD29FA1">
            <w:pPr>
              <w:widowControl/>
              <w:jc w:val="left"/>
              <w:rPr>
                <w:rFonts w:ascii="宋体" w:hAnsi="宋体" w:eastAsia="宋体" w:cs="宋体"/>
                <w:color w:val="000000"/>
                <w:sz w:val="18"/>
                <w:szCs w:val="18"/>
              </w:rPr>
            </w:pPr>
          </w:p>
        </w:tc>
        <w:tc>
          <w:tcPr>
            <w:tcW w:w="593" w:type="pct"/>
            <w:vMerge w:val="continue"/>
            <w:tcBorders>
              <w:top w:val="nil"/>
              <w:left w:val="single" w:color="000000" w:sz="4" w:space="0"/>
              <w:bottom w:val="single" w:color="000000" w:sz="4" w:space="0"/>
              <w:right w:val="single" w:color="000000" w:sz="4" w:space="0"/>
            </w:tcBorders>
            <w:vAlign w:val="center"/>
          </w:tcPr>
          <w:p w14:paraId="22F46166">
            <w:pPr>
              <w:widowControl/>
              <w:jc w:val="left"/>
              <w:rPr>
                <w:rFonts w:ascii="宋体" w:hAnsi="宋体" w:eastAsia="宋体" w:cs="宋体"/>
                <w:color w:val="00000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47640088">
            <w:pPr>
              <w:widowControl/>
              <w:jc w:val="left"/>
              <w:rPr>
                <w:rFonts w:ascii="宋体" w:hAnsi="宋体" w:eastAsia="宋体" w:cs="宋体"/>
                <w:color w:val="000000"/>
                <w:sz w:val="18"/>
                <w:szCs w:val="18"/>
              </w:rPr>
            </w:pPr>
          </w:p>
        </w:tc>
        <w:tc>
          <w:tcPr>
            <w:tcW w:w="742" w:type="pct"/>
            <w:tcBorders>
              <w:top w:val="nil"/>
              <w:left w:val="nil"/>
              <w:bottom w:val="single" w:color="000000" w:sz="4" w:space="0"/>
              <w:right w:val="single" w:color="000000" w:sz="4" w:space="0"/>
            </w:tcBorders>
            <w:shd w:val="clear" w:color="auto" w:fill="auto"/>
            <w:vAlign w:val="center"/>
          </w:tcPr>
          <w:p w14:paraId="072550E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受理法律援助案件审查率</w:t>
            </w:r>
          </w:p>
        </w:tc>
        <w:tc>
          <w:tcPr>
            <w:tcW w:w="188" w:type="pct"/>
            <w:tcBorders>
              <w:top w:val="nil"/>
              <w:left w:val="nil"/>
              <w:bottom w:val="single" w:color="000000" w:sz="4" w:space="0"/>
              <w:right w:val="single" w:color="000000" w:sz="4" w:space="0"/>
            </w:tcBorders>
            <w:shd w:val="clear" w:color="auto" w:fill="auto"/>
            <w:vAlign w:val="center"/>
          </w:tcPr>
          <w:p w14:paraId="4B8DEF4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0" w:type="pct"/>
            <w:tcBorders>
              <w:top w:val="nil"/>
              <w:left w:val="nil"/>
              <w:bottom w:val="single" w:color="000000" w:sz="4" w:space="0"/>
              <w:right w:val="single" w:color="000000" w:sz="4" w:space="0"/>
            </w:tcBorders>
            <w:shd w:val="clear" w:color="auto" w:fill="auto"/>
            <w:vAlign w:val="center"/>
          </w:tcPr>
          <w:p w14:paraId="1B513E4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76" w:type="pct"/>
            <w:tcBorders>
              <w:top w:val="nil"/>
              <w:left w:val="nil"/>
              <w:bottom w:val="single" w:color="000000" w:sz="4" w:space="0"/>
              <w:right w:val="single" w:color="000000" w:sz="4" w:space="0"/>
            </w:tcBorders>
            <w:shd w:val="clear" w:color="auto" w:fill="auto"/>
            <w:vAlign w:val="center"/>
          </w:tcPr>
          <w:p w14:paraId="60208AA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5" w:type="pct"/>
            <w:tcBorders>
              <w:top w:val="nil"/>
              <w:left w:val="nil"/>
              <w:bottom w:val="single" w:color="000000" w:sz="4" w:space="0"/>
              <w:right w:val="single" w:color="000000" w:sz="4" w:space="0"/>
            </w:tcBorders>
            <w:shd w:val="clear" w:color="auto" w:fill="auto"/>
            <w:vAlign w:val="center"/>
          </w:tcPr>
          <w:p w14:paraId="033AA58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100</w:t>
            </w:r>
          </w:p>
        </w:tc>
        <w:tc>
          <w:tcPr>
            <w:tcW w:w="188" w:type="pct"/>
            <w:tcBorders>
              <w:top w:val="nil"/>
              <w:left w:val="nil"/>
              <w:bottom w:val="single" w:color="000000" w:sz="4" w:space="0"/>
              <w:right w:val="single" w:color="000000" w:sz="4" w:space="0"/>
            </w:tcBorders>
            <w:shd w:val="clear" w:color="auto" w:fill="auto"/>
            <w:vAlign w:val="center"/>
          </w:tcPr>
          <w:p w14:paraId="0F284DD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23" w:type="pct"/>
            <w:tcBorders>
              <w:top w:val="nil"/>
              <w:left w:val="nil"/>
              <w:bottom w:val="single" w:color="000000" w:sz="4" w:space="0"/>
              <w:right w:val="single" w:color="000000" w:sz="4" w:space="0"/>
            </w:tcBorders>
            <w:shd w:val="clear" w:color="auto" w:fill="auto"/>
            <w:vAlign w:val="center"/>
          </w:tcPr>
          <w:p w14:paraId="30198EE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1052" w:type="pct"/>
            <w:tcBorders>
              <w:top w:val="nil"/>
              <w:left w:val="nil"/>
              <w:bottom w:val="single" w:color="000000" w:sz="4" w:space="0"/>
              <w:right w:val="single" w:color="000000" w:sz="4" w:space="0"/>
            </w:tcBorders>
            <w:shd w:val="clear" w:color="auto" w:fill="auto"/>
            <w:vAlign w:val="center"/>
          </w:tcPr>
          <w:p w14:paraId="28D53C6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3CB5C5F">
        <w:tblPrEx>
          <w:tblCellMar>
            <w:top w:w="0" w:type="dxa"/>
            <w:left w:w="108" w:type="dxa"/>
            <w:bottom w:w="0" w:type="dxa"/>
            <w:right w:w="108" w:type="dxa"/>
          </w:tblCellMar>
        </w:tblPrEx>
        <w:trPr>
          <w:trHeight w:val="499" w:hRule="atLeast"/>
        </w:trPr>
        <w:tc>
          <w:tcPr>
            <w:tcW w:w="212" w:type="pct"/>
            <w:vMerge w:val="continue"/>
            <w:tcBorders>
              <w:top w:val="nil"/>
              <w:left w:val="single" w:color="000000" w:sz="4" w:space="0"/>
              <w:bottom w:val="single" w:color="000000" w:sz="4" w:space="0"/>
              <w:right w:val="single" w:color="000000" w:sz="4" w:space="0"/>
            </w:tcBorders>
            <w:vAlign w:val="center"/>
          </w:tcPr>
          <w:p w14:paraId="28838C3B">
            <w:pPr>
              <w:widowControl/>
              <w:jc w:val="left"/>
              <w:rPr>
                <w:rFonts w:ascii="宋体" w:hAnsi="宋体" w:eastAsia="宋体" w:cs="宋体"/>
                <w:color w:val="000000"/>
                <w:sz w:val="18"/>
                <w:szCs w:val="18"/>
              </w:rPr>
            </w:pPr>
          </w:p>
        </w:tc>
        <w:tc>
          <w:tcPr>
            <w:tcW w:w="593" w:type="pct"/>
            <w:vMerge w:val="restart"/>
            <w:tcBorders>
              <w:top w:val="nil"/>
              <w:left w:val="single" w:color="000000" w:sz="4" w:space="0"/>
              <w:bottom w:val="single" w:color="000000" w:sz="4" w:space="0"/>
              <w:right w:val="single" w:color="000000" w:sz="4" w:space="0"/>
            </w:tcBorders>
            <w:shd w:val="clear" w:color="auto" w:fill="auto"/>
            <w:vAlign w:val="center"/>
          </w:tcPr>
          <w:p w14:paraId="44AE5E7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523" w:type="pct"/>
            <w:tcBorders>
              <w:top w:val="nil"/>
              <w:left w:val="nil"/>
              <w:bottom w:val="single" w:color="000000" w:sz="4" w:space="0"/>
              <w:right w:val="single" w:color="000000" w:sz="4" w:space="0"/>
            </w:tcBorders>
            <w:shd w:val="clear" w:color="auto" w:fill="auto"/>
            <w:vAlign w:val="center"/>
          </w:tcPr>
          <w:p w14:paraId="2732075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经济效益指标</w:t>
            </w:r>
          </w:p>
        </w:tc>
        <w:tc>
          <w:tcPr>
            <w:tcW w:w="742" w:type="pct"/>
            <w:tcBorders>
              <w:top w:val="nil"/>
              <w:left w:val="nil"/>
              <w:bottom w:val="single" w:color="000000" w:sz="4" w:space="0"/>
              <w:right w:val="single" w:color="000000" w:sz="4" w:space="0"/>
            </w:tcBorders>
            <w:shd w:val="clear" w:color="auto" w:fill="auto"/>
            <w:vAlign w:val="center"/>
          </w:tcPr>
          <w:p w14:paraId="6823895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为群众挽回经济损失</w:t>
            </w:r>
          </w:p>
        </w:tc>
        <w:tc>
          <w:tcPr>
            <w:tcW w:w="188" w:type="pct"/>
            <w:tcBorders>
              <w:top w:val="nil"/>
              <w:left w:val="nil"/>
              <w:bottom w:val="single" w:color="000000" w:sz="4" w:space="0"/>
              <w:right w:val="single" w:color="000000" w:sz="4" w:space="0"/>
            </w:tcBorders>
            <w:shd w:val="clear" w:color="auto" w:fill="auto"/>
            <w:vAlign w:val="center"/>
          </w:tcPr>
          <w:p w14:paraId="43E0EFE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00" w:type="pct"/>
            <w:tcBorders>
              <w:top w:val="nil"/>
              <w:left w:val="nil"/>
              <w:bottom w:val="single" w:color="000000" w:sz="4" w:space="0"/>
              <w:right w:val="single" w:color="000000" w:sz="4" w:space="0"/>
            </w:tcBorders>
            <w:shd w:val="clear" w:color="auto" w:fill="auto"/>
            <w:vAlign w:val="center"/>
          </w:tcPr>
          <w:p w14:paraId="5857DB7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高中低</w:t>
            </w:r>
          </w:p>
        </w:tc>
        <w:tc>
          <w:tcPr>
            <w:tcW w:w="276" w:type="pct"/>
            <w:tcBorders>
              <w:top w:val="nil"/>
              <w:left w:val="nil"/>
              <w:bottom w:val="single" w:color="000000" w:sz="4" w:space="0"/>
              <w:right w:val="single" w:color="000000" w:sz="4" w:space="0"/>
            </w:tcBorders>
            <w:shd w:val="clear" w:color="auto" w:fill="auto"/>
            <w:vAlign w:val="center"/>
          </w:tcPr>
          <w:p w14:paraId="151FFE5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5" w:type="pct"/>
            <w:tcBorders>
              <w:top w:val="nil"/>
              <w:left w:val="nil"/>
              <w:bottom w:val="single" w:color="000000" w:sz="4" w:space="0"/>
              <w:right w:val="single" w:color="000000" w:sz="4" w:space="0"/>
            </w:tcBorders>
            <w:shd w:val="clear" w:color="auto" w:fill="auto"/>
            <w:vAlign w:val="center"/>
          </w:tcPr>
          <w:p w14:paraId="19EE792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高</w:t>
            </w:r>
          </w:p>
        </w:tc>
        <w:tc>
          <w:tcPr>
            <w:tcW w:w="188" w:type="pct"/>
            <w:tcBorders>
              <w:top w:val="nil"/>
              <w:left w:val="nil"/>
              <w:bottom w:val="single" w:color="000000" w:sz="4" w:space="0"/>
              <w:right w:val="single" w:color="000000" w:sz="4" w:space="0"/>
            </w:tcBorders>
            <w:shd w:val="clear" w:color="auto" w:fill="auto"/>
            <w:vAlign w:val="center"/>
          </w:tcPr>
          <w:p w14:paraId="5BAD377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22</w:t>
            </w:r>
          </w:p>
        </w:tc>
        <w:tc>
          <w:tcPr>
            <w:tcW w:w="223" w:type="pct"/>
            <w:tcBorders>
              <w:top w:val="nil"/>
              <w:left w:val="nil"/>
              <w:bottom w:val="single" w:color="000000" w:sz="4" w:space="0"/>
              <w:right w:val="single" w:color="000000" w:sz="4" w:space="0"/>
            </w:tcBorders>
            <w:shd w:val="clear" w:color="auto" w:fill="auto"/>
            <w:vAlign w:val="center"/>
          </w:tcPr>
          <w:p w14:paraId="3455C33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w:t>
            </w:r>
          </w:p>
        </w:tc>
        <w:tc>
          <w:tcPr>
            <w:tcW w:w="1052" w:type="pct"/>
            <w:tcBorders>
              <w:top w:val="nil"/>
              <w:left w:val="nil"/>
              <w:bottom w:val="single" w:color="000000" w:sz="4" w:space="0"/>
              <w:right w:val="single" w:color="000000" w:sz="4" w:space="0"/>
            </w:tcBorders>
            <w:shd w:val="clear" w:color="auto" w:fill="auto"/>
            <w:vAlign w:val="center"/>
          </w:tcPr>
          <w:p w14:paraId="1530308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2843563">
        <w:tblPrEx>
          <w:tblCellMar>
            <w:top w:w="0" w:type="dxa"/>
            <w:left w:w="108" w:type="dxa"/>
            <w:bottom w:w="0" w:type="dxa"/>
            <w:right w:w="108" w:type="dxa"/>
          </w:tblCellMar>
        </w:tblPrEx>
        <w:trPr>
          <w:trHeight w:val="499" w:hRule="atLeast"/>
        </w:trPr>
        <w:tc>
          <w:tcPr>
            <w:tcW w:w="212" w:type="pct"/>
            <w:vMerge w:val="continue"/>
            <w:tcBorders>
              <w:top w:val="nil"/>
              <w:left w:val="single" w:color="000000" w:sz="4" w:space="0"/>
              <w:bottom w:val="single" w:color="000000" w:sz="4" w:space="0"/>
              <w:right w:val="single" w:color="000000" w:sz="4" w:space="0"/>
            </w:tcBorders>
            <w:vAlign w:val="center"/>
          </w:tcPr>
          <w:p w14:paraId="4B0CC5CF">
            <w:pPr>
              <w:widowControl/>
              <w:jc w:val="left"/>
              <w:rPr>
                <w:rFonts w:ascii="宋体" w:hAnsi="宋体" w:eastAsia="宋体" w:cs="宋体"/>
                <w:color w:val="000000"/>
                <w:sz w:val="18"/>
                <w:szCs w:val="18"/>
              </w:rPr>
            </w:pPr>
          </w:p>
        </w:tc>
        <w:tc>
          <w:tcPr>
            <w:tcW w:w="593" w:type="pct"/>
            <w:vMerge w:val="continue"/>
            <w:tcBorders>
              <w:top w:val="nil"/>
              <w:left w:val="single" w:color="000000" w:sz="4" w:space="0"/>
              <w:bottom w:val="single" w:color="000000" w:sz="4" w:space="0"/>
              <w:right w:val="single" w:color="000000" w:sz="4" w:space="0"/>
            </w:tcBorders>
            <w:vAlign w:val="center"/>
          </w:tcPr>
          <w:p w14:paraId="2B38A01B">
            <w:pPr>
              <w:widowControl/>
              <w:jc w:val="left"/>
              <w:rPr>
                <w:rFonts w:ascii="宋体" w:hAnsi="宋体" w:eastAsia="宋体" w:cs="宋体"/>
                <w:color w:val="00000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1122175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可持续影响指标</w:t>
            </w:r>
          </w:p>
        </w:tc>
        <w:tc>
          <w:tcPr>
            <w:tcW w:w="742" w:type="pct"/>
            <w:tcBorders>
              <w:top w:val="nil"/>
              <w:left w:val="nil"/>
              <w:bottom w:val="single" w:color="000000" w:sz="4" w:space="0"/>
              <w:right w:val="single" w:color="000000" w:sz="4" w:space="0"/>
            </w:tcBorders>
            <w:shd w:val="clear" w:color="auto" w:fill="auto"/>
            <w:vAlign w:val="center"/>
          </w:tcPr>
          <w:p w14:paraId="575B05E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保障和改善民生服务</w:t>
            </w:r>
          </w:p>
        </w:tc>
        <w:tc>
          <w:tcPr>
            <w:tcW w:w="188" w:type="pct"/>
            <w:tcBorders>
              <w:top w:val="nil"/>
              <w:left w:val="nil"/>
              <w:bottom w:val="single" w:color="000000" w:sz="4" w:space="0"/>
              <w:right w:val="single" w:color="000000" w:sz="4" w:space="0"/>
            </w:tcBorders>
            <w:shd w:val="clear" w:color="auto" w:fill="auto"/>
            <w:vAlign w:val="center"/>
          </w:tcPr>
          <w:p w14:paraId="5A6E4CD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00" w:type="pct"/>
            <w:tcBorders>
              <w:top w:val="nil"/>
              <w:left w:val="nil"/>
              <w:bottom w:val="single" w:color="000000" w:sz="4" w:space="0"/>
              <w:right w:val="single" w:color="000000" w:sz="4" w:space="0"/>
            </w:tcBorders>
            <w:shd w:val="clear" w:color="auto" w:fill="auto"/>
            <w:vAlign w:val="center"/>
          </w:tcPr>
          <w:p w14:paraId="43E49BA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276" w:type="pct"/>
            <w:tcBorders>
              <w:top w:val="nil"/>
              <w:left w:val="nil"/>
              <w:bottom w:val="single" w:color="000000" w:sz="4" w:space="0"/>
              <w:right w:val="single" w:color="000000" w:sz="4" w:space="0"/>
            </w:tcBorders>
            <w:shd w:val="clear" w:color="auto" w:fill="auto"/>
            <w:vAlign w:val="center"/>
          </w:tcPr>
          <w:p w14:paraId="265C0A7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5" w:type="pct"/>
            <w:tcBorders>
              <w:top w:val="nil"/>
              <w:left w:val="nil"/>
              <w:bottom w:val="single" w:color="000000" w:sz="4" w:space="0"/>
              <w:right w:val="single" w:color="000000" w:sz="4" w:space="0"/>
            </w:tcBorders>
            <w:shd w:val="clear" w:color="auto" w:fill="auto"/>
            <w:vAlign w:val="center"/>
          </w:tcPr>
          <w:p w14:paraId="1C5620C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88" w:type="pct"/>
            <w:tcBorders>
              <w:top w:val="nil"/>
              <w:left w:val="nil"/>
              <w:bottom w:val="single" w:color="000000" w:sz="4" w:space="0"/>
              <w:right w:val="single" w:color="000000" w:sz="4" w:space="0"/>
            </w:tcBorders>
            <w:shd w:val="clear" w:color="auto" w:fill="auto"/>
            <w:vAlign w:val="center"/>
          </w:tcPr>
          <w:p w14:paraId="0595312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23" w:type="pct"/>
            <w:tcBorders>
              <w:top w:val="nil"/>
              <w:left w:val="nil"/>
              <w:bottom w:val="single" w:color="000000" w:sz="4" w:space="0"/>
              <w:right w:val="single" w:color="000000" w:sz="4" w:space="0"/>
            </w:tcBorders>
            <w:shd w:val="clear" w:color="auto" w:fill="auto"/>
            <w:vAlign w:val="center"/>
          </w:tcPr>
          <w:p w14:paraId="293C921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52" w:type="pct"/>
            <w:tcBorders>
              <w:top w:val="nil"/>
              <w:left w:val="nil"/>
              <w:bottom w:val="single" w:color="000000" w:sz="4" w:space="0"/>
              <w:right w:val="single" w:color="000000" w:sz="4" w:space="0"/>
            </w:tcBorders>
            <w:shd w:val="clear" w:color="auto" w:fill="auto"/>
            <w:vAlign w:val="center"/>
          </w:tcPr>
          <w:p w14:paraId="0391503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2D41439">
        <w:tblPrEx>
          <w:tblCellMar>
            <w:top w:w="0" w:type="dxa"/>
            <w:left w:w="108" w:type="dxa"/>
            <w:bottom w:w="0" w:type="dxa"/>
            <w:right w:w="108" w:type="dxa"/>
          </w:tblCellMar>
        </w:tblPrEx>
        <w:trPr>
          <w:trHeight w:val="499" w:hRule="atLeast"/>
        </w:trPr>
        <w:tc>
          <w:tcPr>
            <w:tcW w:w="212" w:type="pct"/>
            <w:vMerge w:val="continue"/>
            <w:tcBorders>
              <w:top w:val="nil"/>
              <w:left w:val="single" w:color="000000" w:sz="4" w:space="0"/>
              <w:bottom w:val="single" w:color="000000" w:sz="4" w:space="0"/>
              <w:right w:val="single" w:color="000000" w:sz="4" w:space="0"/>
            </w:tcBorders>
            <w:vAlign w:val="center"/>
          </w:tcPr>
          <w:p w14:paraId="542098A9">
            <w:pPr>
              <w:widowControl/>
              <w:jc w:val="left"/>
              <w:rPr>
                <w:rFonts w:ascii="宋体" w:hAnsi="宋体" w:eastAsia="宋体" w:cs="宋体"/>
                <w:color w:val="000000"/>
                <w:sz w:val="18"/>
                <w:szCs w:val="18"/>
              </w:rPr>
            </w:pPr>
          </w:p>
        </w:tc>
        <w:tc>
          <w:tcPr>
            <w:tcW w:w="593" w:type="pct"/>
            <w:tcBorders>
              <w:top w:val="nil"/>
              <w:left w:val="nil"/>
              <w:bottom w:val="single" w:color="000000" w:sz="4" w:space="0"/>
              <w:right w:val="single" w:color="000000" w:sz="4" w:space="0"/>
            </w:tcBorders>
            <w:shd w:val="clear" w:color="auto" w:fill="auto"/>
            <w:vAlign w:val="center"/>
          </w:tcPr>
          <w:p w14:paraId="4D4A207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523" w:type="pct"/>
            <w:tcBorders>
              <w:top w:val="nil"/>
              <w:left w:val="nil"/>
              <w:bottom w:val="single" w:color="000000" w:sz="4" w:space="0"/>
              <w:right w:val="single" w:color="000000" w:sz="4" w:space="0"/>
            </w:tcBorders>
            <w:shd w:val="clear" w:color="auto" w:fill="auto"/>
            <w:vAlign w:val="center"/>
          </w:tcPr>
          <w:p w14:paraId="71131B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742" w:type="pct"/>
            <w:tcBorders>
              <w:top w:val="nil"/>
              <w:left w:val="nil"/>
              <w:bottom w:val="single" w:color="000000" w:sz="4" w:space="0"/>
              <w:right w:val="single" w:color="000000" w:sz="4" w:space="0"/>
            </w:tcBorders>
            <w:shd w:val="clear" w:color="auto" w:fill="auto"/>
            <w:vAlign w:val="center"/>
          </w:tcPr>
          <w:p w14:paraId="799D11A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188" w:type="pct"/>
            <w:tcBorders>
              <w:top w:val="nil"/>
              <w:left w:val="nil"/>
              <w:bottom w:val="single" w:color="000000" w:sz="4" w:space="0"/>
              <w:right w:val="single" w:color="000000" w:sz="4" w:space="0"/>
            </w:tcBorders>
            <w:shd w:val="clear" w:color="auto" w:fill="auto"/>
            <w:vAlign w:val="center"/>
          </w:tcPr>
          <w:p w14:paraId="6B88712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0" w:type="pct"/>
            <w:tcBorders>
              <w:top w:val="nil"/>
              <w:left w:val="nil"/>
              <w:bottom w:val="single" w:color="000000" w:sz="4" w:space="0"/>
              <w:right w:val="single" w:color="000000" w:sz="4" w:space="0"/>
            </w:tcBorders>
            <w:shd w:val="clear" w:color="auto" w:fill="auto"/>
            <w:vAlign w:val="center"/>
          </w:tcPr>
          <w:p w14:paraId="32DC76A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276" w:type="pct"/>
            <w:tcBorders>
              <w:top w:val="nil"/>
              <w:left w:val="nil"/>
              <w:bottom w:val="single" w:color="000000" w:sz="4" w:space="0"/>
              <w:right w:val="single" w:color="000000" w:sz="4" w:space="0"/>
            </w:tcBorders>
            <w:shd w:val="clear" w:color="auto" w:fill="auto"/>
            <w:vAlign w:val="center"/>
          </w:tcPr>
          <w:p w14:paraId="3D49023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5" w:type="pct"/>
            <w:tcBorders>
              <w:top w:val="nil"/>
              <w:left w:val="nil"/>
              <w:bottom w:val="single" w:color="000000" w:sz="4" w:space="0"/>
              <w:right w:val="single" w:color="000000" w:sz="4" w:space="0"/>
            </w:tcBorders>
            <w:shd w:val="clear" w:color="auto" w:fill="auto"/>
            <w:vAlign w:val="center"/>
          </w:tcPr>
          <w:p w14:paraId="257BD00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95</w:t>
            </w:r>
          </w:p>
        </w:tc>
        <w:tc>
          <w:tcPr>
            <w:tcW w:w="188" w:type="pct"/>
            <w:tcBorders>
              <w:top w:val="nil"/>
              <w:left w:val="nil"/>
              <w:bottom w:val="single" w:color="000000" w:sz="4" w:space="0"/>
              <w:right w:val="single" w:color="000000" w:sz="4" w:space="0"/>
            </w:tcBorders>
            <w:shd w:val="clear" w:color="auto" w:fill="auto"/>
            <w:vAlign w:val="center"/>
          </w:tcPr>
          <w:p w14:paraId="51A0EA3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23" w:type="pct"/>
            <w:tcBorders>
              <w:top w:val="nil"/>
              <w:left w:val="nil"/>
              <w:bottom w:val="single" w:color="000000" w:sz="4" w:space="0"/>
              <w:right w:val="single" w:color="000000" w:sz="4" w:space="0"/>
            </w:tcBorders>
            <w:shd w:val="clear" w:color="auto" w:fill="auto"/>
            <w:vAlign w:val="center"/>
          </w:tcPr>
          <w:p w14:paraId="621573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52" w:type="pct"/>
            <w:tcBorders>
              <w:top w:val="nil"/>
              <w:left w:val="nil"/>
              <w:bottom w:val="single" w:color="000000" w:sz="4" w:space="0"/>
              <w:right w:val="single" w:color="000000" w:sz="4" w:space="0"/>
            </w:tcBorders>
            <w:shd w:val="clear" w:color="auto" w:fill="auto"/>
            <w:vAlign w:val="center"/>
          </w:tcPr>
          <w:p w14:paraId="3E3D73C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A67CFB9">
        <w:tblPrEx>
          <w:tblCellMar>
            <w:top w:w="0" w:type="dxa"/>
            <w:left w:w="108" w:type="dxa"/>
            <w:bottom w:w="0" w:type="dxa"/>
            <w:right w:w="108" w:type="dxa"/>
          </w:tblCellMar>
        </w:tblPrEx>
        <w:trPr>
          <w:trHeight w:val="499" w:hRule="atLeast"/>
        </w:trPr>
        <w:tc>
          <w:tcPr>
            <w:tcW w:w="212" w:type="pct"/>
            <w:vMerge w:val="continue"/>
            <w:tcBorders>
              <w:top w:val="nil"/>
              <w:left w:val="single" w:color="000000" w:sz="4" w:space="0"/>
              <w:bottom w:val="single" w:color="000000" w:sz="4" w:space="0"/>
              <w:right w:val="single" w:color="000000" w:sz="4" w:space="0"/>
            </w:tcBorders>
            <w:vAlign w:val="center"/>
          </w:tcPr>
          <w:p w14:paraId="58933C41">
            <w:pPr>
              <w:widowControl/>
              <w:jc w:val="left"/>
              <w:rPr>
                <w:rFonts w:ascii="宋体" w:hAnsi="宋体" w:eastAsia="宋体" w:cs="宋体"/>
                <w:color w:val="000000"/>
                <w:sz w:val="18"/>
                <w:szCs w:val="18"/>
              </w:rPr>
            </w:pPr>
          </w:p>
        </w:tc>
        <w:tc>
          <w:tcPr>
            <w:tcW w:w="593" w:type="pct"/>
            <w:tcBorders>
              <w:top w:val="nil"/>
              <w:left w:val="nil"/>
              <w:bottom w:val="single" w:color="000000" w:sz="4" w:space="0"/>
              <w:right w:val="single" w:color="000000" w:sz="4" w:space="0"/>
            </w:tcBorders>
            <w:shd w:val="clear" w:color="auto" w:fill="auto"/>
            <w:vAlign w:val="center"/>
          </w:tcPr>
          <w:p w14:paraId="16F6DE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523" w:type="pct"/>
            <w:tcBorders>
              <w:top w:val="nil"/>
              <w:left w:val="nil"/>
              <w:bottom w:val="single" w:color="000000" w:sz="4" w:space="0"/>
              <w:right w:val="single" w:color="000000" w:sz="4" w:space="0"/>
            </w:tcBorders>
            <w:shd w:val="clear" w:color="auto" w:fill="auto"/>
            <w:vAlign w:val="center"/>
          </w:tcPr>
          <w:p w14:paraId="70A76B4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742" w:type="pct"/>
            <w:tcBorders>
              <w:top w:val="nil"/>
              <w:left w:val="nil"/>
              <w:bottom w:val="single" w:color="000000" w:sz="4" w:space="0"/>
              <w:right w:val="single" w:color="000000" w:sz="4" w:space="0"/>
            </w:tcBorders>
            <w:shd w:val="clear" w:color="auto" w:fill="auto"/>
            <w:vAlign w:val="center"/>
          </w:tcPr>
          <w:p w14:paraId="66B9942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援助案件补贴</w:t>
            </w:r>
          </w:p>
        </w:tc>
        <w:tc>
          <w:tcPr>
            <w:tcW w:w="188" w:type="pct"/>
            <w:tcBorders>
              <w:top w:val="nil"/>
              <w:left w:val="nil"/>
              <w:bottom w:val="single" w:color="000000" w:sz="4" w:space="0"/>
              <w:right w:val="single" w:color="000000" w:sz="4" w:space="0"/>
            </w:tcBorders>
            <w:shd w:val="clear" w:color="auto" w:fill="auto"/>
            <w:vAlign w:val="center"/>
          </w:tcPr>
          <w:p w14:paraId="4912D9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0" w:type="pct"/>
            <w:tcBorders>
              <w:top w:val="nil"/>
              <w:left w:val="nil"/>
              <w:bottom w:val="single" w:color="000000" w:sz="4" w:space="0"/>
              <w:right w:val="single" w:color="000000" w:sz="4" w:space="0"/>
            </w:tcBorders>
            <w:shd w:val="clear" w:color="auto" w:fill="auto"/>
            <w:vAlign w:val="center"/>
          </w:tcPr>
          <w:p w14:paraId="79A9F07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800</w:t>
            </w:r>
          </w:p>
        </w:tc>
        <w:tc>
          <w:tcPr>
            <w:tcW w:w="276" w:type="pct"/>
            <w:tcBorders>
              <w:top w:val="nil"/>
              <w:left w:val="nil"/>
              <w:bottom w:val="single" w:color="000000" w:sz="4" w:space="0"/>
              <w:right w:val="single" w:color="000000" w:sz="4" w:space="0"/>
            </w:tcBorders>
            <w:shd w:val="clear" w:color="auto" w:fill="auto"/>
            <w:vAlign w:val="center"/>
          </w:tcPr>
          <w:p w14:paraId="3D59602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元/人·次</w:t>
            </w:r>
          </w:p>
        </w:tc>
        <w:tc>
          <w:tcPr>
            <w:tcW w:w="405" w:type="pct"/>
            <w:tcBorders>
              <w:top w:val="nil"/>
              <w:left w:val="nil"/>
              <w:bottom w:val="single" w:color="000000" w:sz="4" w:space="0"/>
              <w:right w:val="single" w:color="000000" w:sz="4" w:space="0"/>
            </w:tcBorders>
            <w:shd w:val="clear" w:color="auto" w:fill="auto"/>
            <w:vAlign w:val="center"/>
          </w:tcPr>
          <w:p w14:paraId="4448B70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800</w:t>
            </w:r>
          </w:p>
        </w:tc>
        <w:tc>
          <w:tcPr>
            <w:tcW w:w="188" w:type="pct"/>
            <w:tcBorders>
              <w:top w:val="nil"/>
              <w:left w:val="nil"/>
              <w:bottom w:val="single" w:color="000000" w:sz="4" w:space="0"/>
              <w:right w:val="single" w:color="000000" w:sz="4" w:space="0"/>
            </w:tcBorders>
            <w:shd w:val="clear" w:color="auto" w:fill="auto"/>
            <w:vAlign w:val="center"/>
          </w:tcPr>
          <w:p w14:paraId="5302DF8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23" w:type="pct"/>
            <w:tcBorders>
              <w:top w:val="nil"/>
              <w:left w:val="nil"/>
              <w:bottom w:val="single" w:color="000000" w:sz="4" w:space="0"/>
              <w:right w:val="single" w:color="000000" w:sz="4" w:space="0"/>
            </w:tcBorders>
            <w:shd w:val="clear" w:color="auto" w:fill="auto"/>
            <w:vAlign w:val="center"/>
          </w:tcPr>
          <w:p w14:paraId="57EBD09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52" w:type="pct"/>
            <w:tcBorders>
              <w:top w:val="nil"/>
              <w:left w:val="nil"/>
              <w:bottom w:val="single" w:color="000000" w:sz="4" w:space="0"/>
              <w:right w:val="single" w:color="000000" w:sz="4" w:space="0"/>
            </w:tcBorders>
            <w:shd w:val="clear" w:color="auto" w:fill="auto"/>
            <w:vAlign w:val="center"/>
          </w:tcPr>
          <w:p w14:paraId="0D50C15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481CFBF8">
        <w:tblPrEx>
          <w:tblCellMar>
            <w:top w:w="0" w:type="dxa"/>
            <w:left w:w="108" w:type="dxa"/>
            <w:bottom w:w="0" w:type="dxa"/>
            <w:right w:w="108" w:type="dxa"/>
          </w:tblCellMar>
        </w:tblPrEx>
        <w:trPr>
          <w:trHeight w:val="285" w:hRule="atLeast"/>
        </w:trPr>
        <w:tc>
          <w:tcPr>
            <w:tcW w:w="212" w:type="pct"/>
            <w:tcBorders>
              <w:top w:val="nil"/>
              <w:left w:val="single" w:color="000000" w:sz="4" w:space="0"/>
              <w:bottom w:val="single" w:color="000000" w:sz="4" w:space="0"/>
              <w:right w:val="single" w:color="000000" w:sz="4" w:space="0"/>
            </w:tcBorders>
            <w:shd w:val="clear" w:color="auto" w:fill="auto"/>
            <w:vAlign w:val="center"/>
          </w:tcPr>
          <w:p w14:paraId="49FCE58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593" w:type="pct"/>
            <w:tcBorders>
              <w:top w:val="nil"/>
              <w:left w:val="nil"/>
              <w:bottom w:val="single" w:color="000000" w:sz="4" w:space="0"/>
              <w:right w:val="single" w:color="000000" w:sz="4" w:space="0"/>
            </w:tcBorders>
            <w:shd w:val="clear" w:color="auto" w:fill="auto"/>
            <w:vAlign w:val="center"/>
          </w:tcPr>
          <w:p w14:paraId="7311F2F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23" w:type="pct"/>
            <w:tcBorders>
              <w:top w:val="nil"/>
              <w:left w:val="nil"/>
              <w:bottom w:val="single" w:color="000000" w:sz="4" w:space="0"/>
              <w:right w:val="single" w:color="000000" w:sz="4" w:space="0"/>
            </w:tcBorders>
            <w:shd w:val="clear" w:color="auto" w:fill="auto"/>
            <w:vAlign w:val="center"/>
          </w:tcPr>
          <w:p w14:paraId="7BFBB1C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42" w:type="pct"/>
            <w:tcBorders>
              <w:top w:val="nil"/>
              <w:left w:val="nil"/>
              <w:bottom w:val="single" w:color="000000" w:sz="4" w:space="0"/>
              <w:right w:val="single" w:color="000000" w:sz="4" w:space="0"/>
            </w:tcBorders>
            <w:shd w:val="clear" w:color="auto" w:fill="auto"/>
            <w:vAlign w:val="center"/>
          </w:tcPr>
          <w:p w14:paraId="3D7E2F7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8" w:type="pct"/>
            <w:tcBorders>
              <w:top w:val="nil"/>
              <w:left w:val="nil"/>
              <w:bottom w:val="single" w:color="000000" w:sz="4" w:space="0"/>
              <w:right w:val="single" w:color="000000" w:sz="4" w:space="0"/>
            </w:tcBorders>
            <w:shd w:val="clear" w:color="auto" w:fill="auto"/>
            <w:vAlign w:val="center"/>
          </w:tcPr>
          <w:p w14:paraId="1EDD128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600" w:type="pct"/>
            <w:tcBorders>
              <w:top w:val="nil"/>
              <w:left w:val="nil"/>
              <w:bottom w:val="single" w:color="000000" w:sz="4" w:space="0"/>
              <w:right w:val="single" w:color="000000" w:sz="4" w:space="0"/>
            </w:tcBorders>
            <w:shd w:val="clear" w:color="auto" w:fill="auto"/>
            <w:vAlign w:val="center"/>
          </w:tcPr>
          <w:p w14:paraId="6D8943D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76" w:type="pct"/>
            <w:tcBorders>
              <w:top w:val="nil"/>
              <w:left w:val="nil"/>
              <w:bottom w:val="single" w:color="000000" w:sz="4" w:space="0"/>
              <w:right w:val="single" w:color="000000" w:sz="4" w:space="0"/>
            </w:tcBorders>
            <w:shd w:val="clear" w:color="auto" w:fill="auto"/>
            <w:vAlign w:val="center"/>
          </w:tcPr>
          <w:p w14:paraId="088BEAD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5" w:type="pct"/>
            <w:tcBorders>
              <w:top w:val="nil"/>
              <w:left w:val="nil"/>
              <w:bottom w:val="single" w:color="000000" w:sz="4" w:space="0"/>
              <w:right w:val="single" w:color="000000" w:sz="4" w:space="0"/>
            </w:tcBorders>
            <w:shd w:val="clear" w:color="auto" w:fill="auto"/>
            <w:vAlign w:val="center"/>
          </w:tcPr>
          <w:p w14:paraId="60D23D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8" w:type="pct"/>
            <w:tcBorders>
              <w:top w:val="nil"/>
              <w:left w:val="nil"/>
              <w:bottom w:val="single" w:color="000000" w:sz="4" w:space="0"/>
              <w:right w:val="single" w:color="000000" w:sz="4" w:space="0"/>
            </w:tcBorders>
            <w:shd w:val="clear" w:color="auto" w:fill="auto"/>
            <w:vAlign w:val="center"/>
          </w:tcPr>
          <w:p w14:paraId="74CFAA3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23" w:type="pct"/>
            <w:tcBorders>
              <w:top w:val="nil"/>
              <w:left w:val="nil"/>
              <w:bottom w:val="single" w:color="000000" w:sz="4" w:space="0"/>
              <w:right w:val="single" w:color="000000" w:sz="4" w:space="0"/>
            </w:tcBorders>
            <w:shd w:val="clear" w:color="auto" w:fill="auto"/>
            <w:vAlign w:val="center"/>
          </w:tcPr>
          <w:p w14:paraId="12A3CFE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52" w:type="pct"/>
            <w:tcBorders>
              <w:top w:val="nil"/>
              <w:left w:val="nil"/>
              <w:bottom w:val="single" w:color="000000" w:sz="4" w:space="0"/>
              <w:right w:val="single" w:color="000000" w:sz="4" w:space="0"/>
            </w:tcBorders>
            <w:shd w:val="clear" w:color="auto" w:fill="auto"/>
            <w:vAlign w:val="center"/>
          </w:tcPr>
          <w:p w14:paraId="17E57A24">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1D0C8CD3">
        <w:tblPrEx>
          <w:tblCellMar>
            <w:top w:w="0" w:type="dxa"/>
            <w:left w:w="108" w:type="dxa"/>
            <w:bottom w:w="0" w:type="dxa"/>
            <w:right w:w="108" w:type="dxa"/>
          </w:tblCellMar>
        </w:tblPrEx>
        <w:trPr>
          <w:trHeight w:val="604" w:hRule="atLeast"/>
        </w:trPr>
        <w:tc>
          <w:tcPr>
            <w:tcW w:w="212" w:type="pct"/>
            <w:tcBorders>
              <w:top w:val="nil"/>
              <w:left w:val="single" w:color="000000" w:sz="4" w:space="0"/>
              <w:bottom w:val="single" w:color="000000" w:sz="4" w:space="0"/>
              <w:right w:val="single" w:color="000000" w:sz="4" w:space="0"/>
            </w:tcBorders>
            <w:shd w:val="clear" w:color="auto" w:fill="auto"/>
            <w:vAlign w:val="center"/>
          </w:tcPr>
          <w:p w14:paraId="65FEC17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788" w:type="pct"/>
            <w:gridSpan w:val="10"/>
            <w:tcBorders>
              <w:top w:val="single" w:color="000000" w:sz="4" w:space="0"/>
              <w:left w:val="nil"/>
              <w:bottom w:val="single" w:color="000000" w:sz="4" w:space="0"/>
              <w:right w:val="single" w:color="000000" w:sz="4" w:space="0"/>
            </w:tcBorders>
            <w:shd w:val="clear" w:color="auto" w:fill="auto"/>
            <w:vAlign w:val="center"/>
          </w:tcPr>
          <w:p w14:paraId="37C636A3">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项目资金使用效率高，但存在等部分工作人员对绩效评价认识不足情况，绩效评价得分“98”，评价等级为“优”。</w:t>
            </w:r>
          </w:p>
        </w:tc>
      </w:tr>
      <w:tr w14:paraId="7A41EAE9">
        <w:tblPrEx>
          <w:tblCellMar>
            <w:top w:w="0" w:type="dxa"/>
            <w:left w:w="108" w:type="dxa"/>
            <w:bottom w:w="0" w:type="dxa"/>
            <w:right w:w="108" w:type="dxa"/>
          </w:tblCellMar>
        </w:tblPrEx>
        <w:trPr>
          <w:trHeight w:val="574" w:hRule="atLeast"/>
        </w:trPr>
        <w:tc>
          <w:tcPr>
            <w:tcW w:w="212" w:type="pct"/>
            <w:tcBorders>
              <w:top w:val="nil"/>
              <w:left w:val="single" w:color="000000" w:sz="4" w:space="0"/>
              <w:bottom w:val="single" w:color="000000" w:sz="4" w:space="0"/>
              <w:right w:val="single" w:color="000000" w:sz="4" w:space="0"/>
            </w:tcBorders>
            <w:shd w:val="clear" w:color="auto" w:fill="auto"/>
            <w:vAlign w:val="center"/>
          </w:tcPr>
          <w:p w14:paraId="54685EB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788" w:type="pct"/>
            <w:gridSpan w:val="10"/>
            <w:tcBorders>
              <w:top w:val="single" w:color="000000" w:sz="4" w:space="0"/>
              <w:left w:val="nil"/>
              <w:bottom w:val="single" w:color="000000" w:sz="4" w:space="0"/>
              <w:right w:val="single" w:color="000000" w:sz="4" w:space="0"/>
            </w:tcBorders>
            <w:shd w:val="clear" w:color="auto" w:fill="auto"/>
            <w:vAlign w:val="center"/>
          </w:tcPr>
          <w:p w14:paraId="3311906F">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部分工作人员对绩效评价认识不足。绩效评价过程中需要相关工作人员具有专业的绩效评价知识与能力，绩效评价需要做到各部门共同参与，但部分工作人员对绩效评价认识不足，对绩效评价知识的掌握不全面，制约了绩效评价工作的开展。</w:t>
            </w:r>
          </w:p>
        </w:tc>
      </w:tr>
      <w:tr w14:paraId="0E944A9F">
        <w:tblPrEx>
          <w:tblCellMar>
            <w:top w:w="0" w:type="dxa"/>
            <w:left w:w="108" w:type="dxa"/>
            <w:bottom w:w="0" w:type="dxa"/>
            <w:right w:w="108" w:type="dxa"/>
          </w:tblCellMar>
        </w:tblPrEx>
        <w:trPr>
          <w:trHeight w:val="634" w:hRule="atLeast"/>
        </w:trPr>
        <w:tc>
          <w:tcPr>
            <w:tcW w:w="212" w:type="pct"/>
            <w:tcBorders>
              <w:top w:val="nil"/>
              <w:left w:val="single" w:color="000000" w:sz="4" w:space="0"/>
              <w:bottom w:val="single" w:color="000000" w:sz="4" w:space="0"/>
              <w:right w:val="single" w:color="000000" w:sz="4" w:space="0"/>
            </w:tcBorders>
            <w:shd w:val="clear" w:color="auto" w:fill="auto"/>
            <w:vAlign w:val="center"/>
          </w:tcPr>
          <w:p w14:paraId="32C8CB5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788" w:type="pct"/>
            <w:gridSpan w:val="10"/>
            <w:tcBorders>
              <w:top w:val="single" w:color="000000" w:sz="4" w:space="0"/>
              <w:left w:val="nil"/>
              <w:bottom w:val="single" w:color="000000" w:sz="4" w:space="0"/>
              <w:right w:val="single" w:color="000000" w:sz="4" w:space="0"/>
            </w:tcBorders>
            <w:shd w:val="clear" w:color="auto" w:fill="auto"/>
            <w:vAlign w:val="center"/>
          </w:tcPr>
          <w:p w14:paraId="318E15C9">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应定期组织绩效评价专题培训，邀请专家或专业机构讲解绩效评价的理论知识、操作流程和评价方法，提升工作人员的专业能力。针对不同部门的工作特点，开展定制化培训，确保培训内容与实际工作紧密结合，提高培训的实用性和针对性。</w:t>
            </w:r>
          </w:p>
        </w:tc>
      </w:tr>
      <w:tr w14:paraId="57E96418">
        <w:tblPrEx>
          <w:tblCellMar>
            <w:top w:w="0" w:type="dxa"/>
            <w:left w:w="108" w:type="dxa"/>
            <w:bottom w:w="0" w:type="dxa"/>
            <w:right w:w="108" w:type="dxa"/>
          </w:tblCellMar>
        </w:tblPrEx>
        <w:trPr>
          <w:trHeight w:val="619" w:hRule="atLeast"/>
        </w:trPr>
        <w:tc>
          <w:tcPr>
            <w:tcW w:w="22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D8CA9">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项目负责人：顾震</w:t>
            </w:r>
          </w:p>
        </w:tc>
        <w:tc>
          <w:tcPr>
            <w:tcW w:w="2743" w:type="pct"/>
            <w:gridSpan w:val="6"/>
            <w:tcBorders>
              <w:top w:val="single" w:color="000000" w:sz="4" w:space="0"/>
              <w:left w:val="nil"/>
              <w:bottom w:val="single" w:color="000000" w:sz="4" w:space="0"/>
              <w:right w:val="single" w:color="000000" w:sz="4" w:space="0"/>
            </w:tcBorders>
            <w:shd w:val="clear" w:color="auto" w:fill="auto"/>
            <w:vAlign w:val="center"/>
          </w:tcPr>
          <w:p w14:paraId="010AA41E">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25380F74">
      <w:pPr>
        <w:spacing w:line="560" w:lineRule="exact"/>
        <w:jc w:val="center"/>
        <w:outlineLvl w:val="0"/>
        <w:rPr>
          <w:rFonts w:eastAsia="方正小标宋简体"/>
          <w:sz w:val="44"/>
          <w:szCs w:val="44"/>
        </w:rPr>
      </w:pPr>
    </w:p>
    <w:p w14:paraId="0FA3B0CB">
      <w:pPr>
        <w:pStyle w:val="2"/>
        <w:widowControl w:val="0"/>
        <w:numPr>
          <w:ilvl w:val="0"/>
          <w:numId w:val="0"/>
        </w:numPr>
        <w:jc w:val="both"/>
        <w:rPr>
          <w:rFonts w:eastAsia="方正小标宋简体"/>
          <w:sz w:val="44"/>
          <w:szCs w:val="44"/>
        </w:rPr>
      </w:pPr>
    </w:p>
    <w:p w14:paraId="06A6EB29">
      <w:pPr>
        <w:pStyle w:val="2"/>
        <w:widowControl w:val="0"/>
        <w:numPr>
          <w:ilvl w:val="0"/>
          <w:numId w:val="0"/>
        </w:numPr>
        <w:jc w:val="both"/>
        <w:rPr>
          <w:rFonts w:eastAsia="方正小标宋简体"/>
          <w:sz w:val="44"/>
          <w:szCs w:val="44"/>
        </w:rPr>
      </w:pPr>
    </w:p>
    <w:p w14:paraId="1D97FD6D">
      <w:pPr>
        <w:pStyle w:val="2"/>
        <w:widowControl w:val="0"/>
        <w:numPr>
          <w:ilvl w:val="0"/>
          <w:numId w:val="0"/>
        </w:numPr>
        <w:jc w:val="both"/>
        <w:rPr>
          <w:rFonts w:eastAsia="方正小标宋简体"/>
          <w:sz w:val="44"/>
          <w:szCs w:val="44"/>
        </w:rPr>
      </w:pPr>
    </w:p>
    <w:p w14:paraId="30D199A0">
      <w:pPr>
        <w:pStyle w:val="2"/>
        <w:widowControl w:val="0"/>
        <w:numPr>
          <w:ilvl w:val="0"/>
          <w:numId w:val="0"/>
        </w:numPr>
        <w:jc w:val="both"/>
        <w:rPr>
          <w:rFonts w:eastAsia="方正小标宋简体"/>
          <w:sz w:val="44"/>
          <w:szCs w:val="44"/>
        </w:rPr>
      </w:pPr>
    </w:p>
    <w:p w14:paraId="2EFE1731">
      <w:pPr>
        <w:pStyle w:val="2"/>
        <w:widowControl w:val="0"/>
        <w:numPr>
          <w:ilvl w:val="0"/>
          <w:numId w:val="0"/>
        </w:numPr>
        <w:jc w:val="both"/>
        <w:rPr>
          <w:rFonts w:eastAsia="方正小标宋简体"/>
          <w:sz w:val="44"/>
          <w:szCs w:val="44"/>
        </w:rPr>
      </w:pPr>
    </w:p>
    <w:p w14:paraId="0137A876">
      <w:pPr>
        <w:pStyle w:val="2"/>
        <w:widowControl w:val="0"/>
        <w:numPr>
          <w:ilvl w:val="0"/>
          <w:numId w:val="0"/>
        </w:numPr>
        <w:jc w:val="both"/>
        <w:rPr>
          <w:rFonts w:eastAsia="方正小标宋简体"/>
          <w:sz w:val="44"/>
          <w:szCs w:val="44"/>
        </w:rPr>
      </w:pPr>
    </w:p>
    <w:p w14:paraId="20C76EA8">
      <w:pPr>
        <w:spacing w:line="560" w:lineRule="exact"/>
        <w:jc w:val="center"/>
        <w:outlineLvl w:val="0"/>
        <w:rPr>
          <w:rFonts w:eastAsia="方正小标宋简体"/>
          <w:sz w:val="44"/>
          <w:szCs w:val="44"/>
        </w:rPr>
      </w:pPr>
    </w:p>
    <w:p w14:paraId="2875CAF3">
      <w:pPr>
        <w:spacing w:line="560" w:lineRule="exact"/>
        <w:jc w:val="center"/>
        <w:outlineLvl w:val="0"/>
        <w:rPr>
          <w:rFonts w:eastAsia="方正小标宋简体"/>
          <w:sz w:val="44"/>
          <w:szCs w:val="44"/>
        </w:rPr>
      </w:pPr>
    </w:p>
    <w:tbl>
      <w:tblPr>
        <w:tblStyle w:val="36"/>
        <w:tblW w:w="5000" w:type="pct"/>
        <w:tblInd w:w="0" w:type="dxa"/>
        <w:tblLayout w:type="autofit"/>
        <w:tblCellMar>
          <w:top w:w="0" w:type="dxa"/>
          <w:left w:w="108" w:type="dxa"/>
          <w:bottom w:w="0" w:type="dxa"/>
          <w:right w:w="108" w:type="dxa"/>
        </w:tblCellMar>
      </w:tblPr>
      <w:tblGrid>
        <w:gridCol w:w="576"/>
        <w:gridCol w:w="864"/>
        <w:gridCol w:w="740"/>
        <w:gridCol w:w="1729"/>
        <w:gridCol w:w="396"/>
        <w:gridCol w:w="877"/>
        <w:gridCol w:w="396"/>
        <w:gridCol w:w="756"/>
        <w:gridCol w:w="486"/>
        <w:gridCol w:w="756"/>
        <w:gridCol w:w="1666"/>
      </w:tblGrid>
      <w:tr w14:paraId="01D5F2C8">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2622CF7">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22C2FE7B">
        <w:tblPrEx>
          <w:tblCellMar>
            <w:top w:w="0" w:type="dxa"/>
            <w:left w:w="108" w:type="dxa"/>
            <w:bottom w:w="0" w:type="dxa"/>
            <w:right w:w="108" w:type="dxa"/>
          </w:tblCellMar>
        </w:tblPrEx>
        <w:trPr>
          <w:trHeight w:val="559" w:hRule="atLeast"/>
        </w:trPr>
        <w:tc>
          <w:tcPr>
            <w:tcW w:w="756" w:type="pct"/>
            <w:gridSpan w:val="2"/>
            <w:tcBorders>
              <w:top w:val="nil"/>
              <w:left w:val="single" w:color="auto" w:sz="4" w:space="0"/>
              <w:bottom w:val="single" w:color="000000" w:sz="4" w:space="0"/>
              <w:right w:val="single" w:color="auto" w:sz="4" w:space="0"/>
            </w:tcBorders>
            <w:shd w:val="clear" w:color="auto" w:fill="auto"/>
            <w:vAlign w:val="center"/>
          </w:tcPr>
          <w:p w14:paraId="3AD9245E">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244" w:type="pct"/>
            <w:gridSpan w:val="9"/>
            <w:tcBorders>
              <w:top w:val="nil"/>
              <w:left w:val="nil"/>
              <w:bottom w:val="single" w:color="000000" w:sz="4" w:space="0"/>
              <w:right w:val="single" w:color="auto" w:sz="4" w:space="0"/>
            </w:tcBorders>
            <w:shd w:val="clear" w:color="auto" w:fill="auto"/>
            <w:vAlign w:val="center"/>
          </w:tcPr>
          <w:p w14:paraId="70CCB76E">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51090424T000011118713-购买一村一法律顾问</w:t>
            </w:r>
          </w:p>
        </w:tc>
      </w:tr>
      <w:tr w14:paraId="74463735">
        <w:tblPrEx>
          <w:tblCellMar>
            <w:top w:w="0" w:type="dxa"/>
            <w:left w:w="108" w:type="dxa"/>
            <w:bottom w:w="0" w:type="dxa"/>
            <w:right w:w="108" w:type="dxa"/>
          </w:tblCellMar>
        </w:tblPrEx>
        <w:trPr>
          <w:trHeight w:val="514" w:hRule="atLeast"/>
        </w:trPr>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EA89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437" w:type="pct"/>
            <w:gridSpan w:val="5"/>
            <w:tcBorders>
              <w:top w:val="single" w:color="000000" w:sz="4" w:space="0"/>
              <w:left w:val="nil"/>
              <w:bottom w:val="single" w:color="000000" w:sz="4" w:space="0"/>
              <w:right w:val="single" w:color="000000" w:sz="4" w:space="0"/>
            </w:tcBorders>
            <w:shd w:val="clear" w:color="auto" w:fill="auto"/>
            <w:vAlign w:val="center"/>
          </w:tcPr>
          <w:p w14:paraId="6B6D4E68">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379" w:type="pct"/>
            <w:tcBorders>
              <w:top w:val="nil"/>
              <w:left w:val="nil"/>
              <w:bottom w:val="nil"/>
              <w:right w:val="nil"/>
            </w:tcBorders>
            <w:shd w:val="clear" w:color="auto" w:fill="auto"/>
            <w:vAlign w:val="center"/>
          </w:tcPr>
          <w:p w14:paraId="5BC63018">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4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9B23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0950FEC7">
        <w:tblPrEx>
          <w:tblCellMar>
            <w:top w:w="0" w:type="dxa"/>
            <w:left w:w="108" w:type="dxa"/>
            <w:bottom w:w="0" w:type="dxa"/>
            <w:right w:w="108" w:type="dxa"/>
          </w:tblCellMar>
        </w:tblPrEx>
        <w:trPr>
          <w:trHeight w:val="360" w:hRule="atLeast"/>
        </w:trPr>
        <w:tc>
          <w:tcPr>
            <w:tcW w:w="197" w:type="pct"/>
            <w:vMerge w:val="restart"/>
            <w:tcBorders>
              <w:top w:val="nil"/>
              <w:left w:val="single" w:color="000000" w:sz="4" w:space="0"/>
              <w:bottom w:val="single" w:color="000000" w:sz="4" w:space="0"/>
              <w:right w:val="single" w:color="000000" w:sz="4" w:space="0"/>
            </w:tcBorders>
            <w:shd w:val="clear" w:color="auto" w:fill="auto"/>
            <w:vAlign w:val="center"/>
          </w:tcPr>
          <w:p w14:paraId="0250D639">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559" w:type="pct"/>
            <w:vMerge w:val="restart"/>
            <w:tcBorders>
              <w:top w:val="nil"/>
              <w:left w:val="single" w:color="000000" w:sz="4" w:space="0"/>
              <w:bottom w:val="single" w:color="000000" w:sz="4" w:space="0"/>
              <w:right w:val="single" w:color="000000" w:sz="4" w:space="0"/>
            </w:tcBorders>
            <w:shd w:val="clear" w:color="auto" w:fill="auto"/>
            <w:vAlign w:val="center"/>
          </w:tcPr>
          <w:p w14:paraId="44CDB74C">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437" w:type="pct"/>
            <w:gridSpan w:val="5"/>
            <w:tcBorders>
              <w:top w:val="single" w:color="000000" w:sz="4" w:space="0"/>
              <w:left w:val="nil"/>
              <w:bottom w:val="single" w:color="000000" w:sz="4" w:space="0"/>
              <w:right w:val="single" w:color="000000" w:sz="4" w:space="0"/>
            </w:tcBorders>
            <w:shd w:val="clear" w:color="auto" w:fill="auto"/>
            <w:vAlign w:val="center"/>
          </w:tcPr>
          <w:p w14:paraId="5DB3E2E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807" w:type="pct"/>
            <w:gridSpan w:val="4"/>
            <w:tcBorders>
              <w:top w:val="single" w:color="000000" w:sz="4" w:space="0"/>
              <w:left w:val="nil"/>
              <w:bottom w:val="single" w:color="000000" w:sz="4" w:space="0"/>
              <w:right w:val="single" w:color="000000" w:sz="4" w:space="0"/>
            </w:tcBorders>
            <w:shd w:val="clear" w:color="auto" w:fill="auto"/>
            <w:vAlign w:val="center"/>
          </w:tcPr>
          <w:p w14:paraId="331CE941">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1C2EF44F">
        <w:tblPrEx>
          <w:tblCellMar>
            <w:top w:w="0" w:type="dxa"/>
            <w:left w:w="108" w:type="dxa"/>
            <w:bottom w:w="0" w:type="dxa"/>
            <w:right w:w="108" w:type="dxa"/>
          </w:tblCellMar>
        </w:tblPrEx>
        <w:trPr>
          <w:trHeight w:val="2682" w:hRule="atLeast"/>
        </w:trPr>
        <w:tc>
          <w:tcPr>
            <w:tcW w:w="197" w:type="pct"/>
            <w:vMerge w:val="continue"/>
            <w:tcBorders>
              <w:top w:val="nil"/>
              <w:left w:val="single" w:color="000000" w:sz="4" w:space="0"/>
              <w:bottom w:val="single" w:color="000000" w:sz="4" w:space="0"/>
              <w:right w:val="single" w:color="000000" w:sz="4" w:space="0"/>
            </w:tcBorders>
            <w:vAlign w:val="center"/>
          </w:tcPr>
          <w:p w14:paraId="341D725A">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0E784E3C">
            <w:pPr>
              <w:widowControl/>
              <w:jc w:val="left"/>
              <w:rPr>
                <w:rFonts w:ascii="宋体" w:hAnsi="宋体" w:eastAsia="宋体" w:cs="宋体"/>
                <w:color w:val="000000"/>
                <w:sz w:val="18"/>
                <w:szCs w:val="18"/>
              </w:rPr>
            </w:pPr>
          </w:p>
        </w:tc>
        <w:tc>
          <w:tcPr>
            <w:tcW w:w="2437" w:type="pct"/>
            <w:gridSpan w:val="5"/>
            <w:tcBorders>
              <w:top w:val="single" w:color="000000" w:sz="4" w:space="0"/>
              <w:left w:val="nil"/>
              <w:bottom w:val="single" w:color="000000" w:sz="4" w:space="0"/>
              <w:right w:val="single" w:color="000000" w:sz="4" w:space="0"/>
            </w:tcBorders>
            <w:shd w:val="clear" w:color="auto" w:fill="auto"/>
            <w:vAlign w:val="center"/>
          </w:tcPr>
          <w:p w14:paraId="0CD36818">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为保障和改善民生，促进基层依法治理，维护社会和谐稳定，委托律师、基层法律服务工作者等社会力量向公民、法人和其他组织提供的公共性、公益性、普惠性、兜底性的法律服务</w:t>
            </w:r>
          </w:p>
        </w:tc>
        <w:tc>
          <w:tcPr>
            <w:tcW w:w="1807" w:type="pct"/>
            <w:gridSpan w:val="4"/>
            <w:tcBorders>
              <w:top w:val="single" w:color="000000" w:sz="4" w:space="0"/>
              <w:left w:val="nil"/>
              <w:bottom w:val="single" w:color="000000" w:sz="4" w:space="0"/>
              <w:right w:val="single" w:color="000000" w:sz="4" w:space="0"/>
            </w:tcBorders>
            <w:shd w:val="clear" w:color="auto" w:fill="auto"/>
            <w:vAlign w:val="center"/>
          </w:tcPr>
          <w:p w14:paraId="3A56A75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将村居法律顾问服务纳入政府购买服务范畴，依托303名村（居）法律顾问坐诊“家门口”，深入基层提供全覆盖、零距离、无障碍的专项法律服务，协助调处因体制改革引发的矛盾纠纷。全年共为村(社区）提供土地交付、承包经营等方面的法律意见140余条。</w:t>
            </w:r>
          </w:p>
        </w:tc>
      </w:tr>
      <w:tr w14:paraId="44061F1F">
        <w:tblPrEx>
          <w:tblCellMar>
            <w:top w:w="0" w:type="dxa"/>
            <w:left w:w="108" w:type="dxa"/>
            <w:bottom w:w="0" w:type="dxa"/>
            <w:right w:w="108" w:type="dxa"/>
          </w:tblCellMar>
        </w:tblPrEx>
        <w:trPr>
          <w:trHeight w:val="2760" w:hRule="atLeast"/>
        </w:trPr>
        <w:tc>
          <w:tcPr>
            <w:tcW w:w="197" w:type="pct"/>
            <w:vMerge w:val="continue"/>
            <w:tcBorders>
              <w:top w:val="nil"/>
              <w:left w:val="single" w:color="000000" w:sz="4" w:space="0"/>
              <w:bottom w:val="single" w:color="000000" w:sz="4" w:space="0"/>
              <w:right w:val="single" w:color="000000" w:sz="4" w:space="0"/>
            </w:tcBorders>
            <w:vAlign w:val="center"/>
          </w:tcPr>
          <w:p w14:paraId="63ED4F03">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15D1D7E2">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244" w:type="pct"/>
            <w:gridSpan w:val="9"/>
            <w:tcBorders>
              <w:top w:val="single" w:color="000000" w:sz="4" w:space="0"/>
              <w:left w:val="nil"/>
              <w:bottom w:val="single" w:color="000000" w:sz="4" w:space="0"/>
              <w:right w:val="single" w:color="000000" w:sz="4" w:space="0"/>
            </w:tcBorders>
            <w:shd w:val="clear" w:color="auto" w:fill="auto"/>
            <w:vAlign w:val="center"/>
          </w:tcPr>
          <w:p w14:paraId="05D7339F">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为乡村振兴提供法治保障。将村居法律顾问服务纳入政府购买服务范畴，依托303名村（居）法律顾问坐诊“家门口”，深入基层提供全覆盖、零距离、无障碍的专项法律服务，协助调处因体制改革引发的矛盾纠纷。全年共为村(社区）提供土地交付、承包经营等方面的法律意见140余条。</w:t>
            </w:r>
          </w:p>
        </w:tc>
      </w:tr>
      <w:tr w14:paraId="625A0A30">
        <w:tblPrEx>
          <w:tblCellMar>
            <w:top w:w="0" w:type="dxa"/>
            <w:left w:w="108" w:type="dxa"/>
            <w:bottom w:w="0" w:type="dxa"/>
            <w:right w:w="108" w:type="dxa"/>
          </w:tblCellMar>
        </w:tblPrEx>
        <w:trPr>
          <w:trHeight w:val="619" w:hRule="atLeast"/>
        </w:trPr>
        <w:tc>
          <w:tcPr>
            <w:tcW w:w="197" w:type="pct"/>
            <w:vMerge w:val="restart"/>
            <w:tcBorders>
              <w:top w:val="nil"/>
              <w:left w:val="single" w:color="000000" w:sz="4" w:space="0"/>
              <w:bottom w:val="single" w:color="000000" w:sz="4" w:space="0"/>
              <w:right w:val="single" w:color="000000" w:sz="4" w:space="0"/>
            </w:tcBorders>
            <w:shd w:val="clear" w:color="auto" w:fill="auto"/>
            <w:vAlign w:val="center"/>
          </w:tcPr>
          <w:p w14:paraId="4BF4DBA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559" w:type="pct"/>
            <w:tcBorders>
              <w:top w:val="nil"/>
              <w:left w:val="nil"/>
              <w:bottom w:val="single" w:color="000000" w:sz="4" w:space="0"/>
              <w:right w:val="single" w:color="000000" w:sz="4" w:space="0"/>
            </w:tcBorders>
            <w:shd w:val="clear" w:color="auto" w:fill="auto"/>
            <w:vAlign w:val="center"/>
          </w:tcPr>
          <w:p w14:paraId="06EA0D0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492" w:type="pct"/>
            <w:tcBorders>
              <w:top w:val="nil"/>
              <w:left w:val="nil"/>
              <w:bottom w:val="single" w:color="000000" w:sz="4" w:space="0"/>
              <w:right w:val="single" w:color="000000" w:sz="4" w:space="0"/>
            </w:tcBorders>
            <w:shd w:val="clear" w:color="auto" w:fill="auto"/>
            <w:vAlign w:val="center"/>
          </w:tcPr>
          <w:p w14:paraId="6ADE86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1027" w:type="pct"/>
            <w:tcBorders>
              <w:top w:val="nil"/>
              <w:left w:val="nil"/>
              <w:bottom w:val="single" w:color="000000" w:sz="4" w:space="0"/>
              <w:right w:val="single" w:color="000000" w:sz="4" w:space="0"/>
            </w:tcBorders>
            <w:shd w:val="clear" w:color="auto" w:fill="auto"/>
            <w:vAlign w:val="center"/>
          </w:tcPr>
          <w:p w14:paraId="52A0443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919" w:type="pct"/>
            <w:gridSpan w:val="3"/>
            <w:tcBorders>
              <w:top w:val="single" w:color="000000" w:sz="4" w:space="0"/>
              <w:left w:val="nil"/>
              <w:bottom w:val="single" w:color="000000" w:sz="4" w:space="0"/>
              <w:right w:val="single" w:color="000000" w:sz="4" w:space="0"/>
            </w:tcBorders>
            <w:shd w:val="clear" w:color="auto" w:fill="auto"/>
            <w:vAlign w:val="center"/>
          </w:tcPr>
          <w:p w14:paraId="7AADD50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379" w:type="pct"/>
            <w:tcBorders>
              <w:top w:val="nil"/>
              <w:left w:val="nil"/>
              <w:bottom w:val="single" w:color="000000" w:sz="4" w:space="0"/>
              <w:right w:val="single" w:color="000000" w:sz="4" w:space="0"/>
            </w:tcBorders>
            <w:shd w:val="clear" w:color="auto" w:fill="auto"/>
            <w:vAlign w:val="center"/>
          </w:tcPr>
          <w:p w14:paraId="4D8C980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77" w:type="pct"/>
            <w:tcBorders>
              <w:top w:val="nil"/>
              <w:left w:val="nil"/>
              <w:bottom w:val="single" w:color="000000" w:sz="4" w:space="0"/>
              <w:right w:val="single" w:color="000000" w:sz="4" w:space="0"/>
            </w:tcBorders>
            <w:shd w:val="clear" w:color="auto" w:fill="auto"/>
            <w:vAlign w:val="center"/>
          </w:tcPr>
          <w:p w14:paraId="76222C4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5C42962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994" w:type="pct"/>
            <w:tcBorders>
              <w:top w:val="nil"/>
              <w:left w:val="nil"/>
              <w:bottom w:val="single" w:color="000000" w:sz="4" w:space="0"/>
              <w:right w:val="single" w:color="000000" w:sz="4" w:space="0"/>
            </w:tcBorders>
            <w:shd w:val="clear" w:color="auto" w:fill="auto"/>
            <w:vAlign w:val="center"/>
          </w:tcPr>
          <w:p w14:paraId="009A479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03DA7BD1">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0C935125">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5E20368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492" w:type="pct"/>
            <w:tcBorders>
              <w:top w:val="nil"/>
              <w:left w:val="nil"/>
              <w:bottom w:val="single" w:color="000000" w:sz="4" w:space="0"/>
              <w:right w:val="single" w:color="000000" w:sz="4" w:space="0"/>
            </w:tcBorders>
            <w:shd w:val="clear" w:color="auto" w:fill="auto"/>
            <w:vAlign w:val="center"/>
          </w:tcPr>
          <w:p w14:paraId="55CA2D8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w:t>
            </w:r>
          </w:p>
        </w:tc>
        <w:tc>
          <w:tcPr>
            <w:tcW w:w="1027" w:type="pct"/>
            <w:tcBorders>
              <w:top w:val="nil"/>
              <w:left w:val="nil"/>
              <w:bottom w:val="single" w:color="000000" w:sz="4" w:space="0"/>
              <w:right w:val="single" w:color="000000" w:sz="4" w:space="0"/>
            </w:tcBorders>
            <w:shd w:val="clear" w:color="auto" w:fill="auto"/>
            <w:vAlign w:val="center"/>
          </w:tcPr>
          <w:p w14:paraId="0716366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8.70</w:t>
            </w:r>
          </w:p>
        </w:tc>
        <w:tc>
          <w:tcPr>
            <w:tcW w:w="919" w:type="pct"/>
            <w:gridSpan w:val="3"/>
            <w:tcBorders>
              <w:top w:val="single" w:color="000000" w:sz="4" w:space="0"/>
              <w:left w:val="nil"/>
              <w:bottom w:val="single" w:color="000000" w:sz="4" w:space="0"/>
              <w:right w:val="single" w:color="000000" w:sz="4" w:space="0"/>
            </w:tcBorders>
            <w:shd w:val="clear" w:color="auto" w:fill="auto"/>
            <w:vAlign w:val="center"/>
          </w:tcPr>
          <w:p w14:paraId="10441D2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8.70</w:t>
            </w:r>
          </w:p>
        </w:tc>
        <w:tc>
          <w:tcPr>
            <w:tcW w:w="379" w:type="pct"/>
            <w:tcBorders>
              <w:top w:val="nil"/>
              <w:left w:val="nil"/>
              <w:bottom w:val="single" w:color="000000" w:sz="4" w:space="0"/>
              <w:right w:val="single" w:color="000000" w:sz="4" w:space="0"/>
            </w:tcBorders>
            <w:shd w:val="clear" w:color="auto" w:fill="auto"/>
            <w:vAlign w:val="center"/>
          </w:tcPr>
          <w:p w14:paraId="34957A4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86.96%</w:t>
            </w:r>
          </w:p>
        </w:tc>
        <w:tc>
          <w:tcPr>
            <w:tcW w:w="177" w:type="pct"/>
            <w:tcBorders>
              <w:top w:val="nil"/>
              <w:left w:val="nil"/>
              <w:bottom w:val="single" w:color="000000" w:sz="4" w:space="0"/>
              <w:right w:val="single" w:color="000000" w:sz="4" w:space="0"/>
            </w:tcBorders>
            <w:shd w:val="clear" w:color="auto" w:fill="auto"/>
            <w:vAlign w:val="center"/>
          </w:tcPr>
          <w:p w14:paraId="1334ABA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57" w:type="pct"/>
            <w:tcBorders>
              <w:top w:val="nil"/>
              <w:left w:val="nil"/>
              <w:bottom w:val="single" w:color="000000" w:sz="4" w:space="0"/>
              <w:right w:val="single" w:color="000000" w:sz="4" w:space="0"/>
            </w:tcBorders>
            <w:shd w:val="clear" w:color="auto" w:fill="auto"/>
            <w:vAlign w:val="center"/>
          </w:tcPr>
          <w:p w14:paraId="55F8C8E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8.696</w:t>
            </w:r>
          </w:p>
        </w:tc>
        <w:tc>
          <w:tcPr>
            <w:tcW w:w="994" w:type="pct"/>
            <w:vMerge w:val="restart"/>
            <w:tcBorders>
              <w:top w:val="nil"/>
              <w:left w:val="single" w:color="000000" w:sz="4" w:space="0"/>
              <w:bottom w:val="single" w:color="000000" w:sz="4" w:space="0"/>
              <w:right w:val="single" w:color="000000" w:sz="4" w:space="0"/>
            </w:tcBorders>
            <w:shd w:val="clear" w:color="auto" w:fill="auto"/>
            <w:vAlign w:val="center"/>
          </w:tcPr>
          <w:p w14:paraId="6827F059">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项目需经过多级审批，我区财政紧</w:t>
            </w:r>
            <w:r>
              <w:rPr>
                <w:rFonts w:ascii="Courier New" w:hAnsi="Courier New" w:eastAsia="宋体" w:cs="Courier New"/>
                <w:color w:val="000000"/>
                <w:sz w:val="16"/>
                <w:szCs w:val="16"/>
              </w:rPr>
              <w:br w:type="textWrapping"/>
            </w:r>
            <w:r>
              <w:rPr>
                <w:rFonts w:ascii="Courier New" w:hAnsi="Courier New" w:eastAsia="宋体" w:cs="Courier New"/>
                <w:color w:val="000000"/>
                <w:sz w:val="16"/>
                <w:szCs w:val="16"/>
              </w:rPr>
              <w:t>张，年底申请支付的财政未审批，导致执行率未达到100%。</w:t>
            </w:r>
          </w:p>
        </w:tc>
      </w:tr>
      <w:tr w14:paraId="66608232">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204AD3E8">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53CC076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492" w:type="pct"/>
            <w:tcBorders>
              <w:top w:val="nil"/>
              <w:left w:val="nil"/>
              <w:bottom w:val="single" w:color="000000" w:sz="4" w:space="0"/>
              <w:right w:val="single" w:color="000000" w:sz="4" w:space="0"/>
            </w:tcBorders>
            <w:shd w:val="clear" w:color="auto" w:fill="auto"/>
            <w:vAlign w:val="center"/>
          </w:tcPr>
          <w:p w14:paraId="5A5B990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w:t>
            </w:r>
          </w:p>
        </w:tc>
        <w:tc>
          <w:tcPr>
            <w:tcW w:w="1027" w:type="pct"/>
            <w:tcBorders>
              <w:top w:val="nil"/>
              <w:left w:val="nil"/>
              <w:bottom w:val="single" w:color="000000" w:sz="4" w:space="0"/>
              <w:right w:val="single" w:color="000000" w:sz="4" w:space="0"/>
            </w:tcBorders>
            <w:shd w:val="clear" w:color="auto" w:fill="auto"/>
            <w:vAlign w:val="center"/>
          </w:tcPr>
          <w:p w14:paraId="5A392E3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8.70</w:t>
            </w:r>
          </w:p>
        </w:tc>
        <w:tc>
          <w:tcPr>
            <w:tcW w:w="919" w:type="pct"/>
            <w:gridSpan w:val="3"/>
            <w:tcBorders>
              <w:top w:val="single" w:color="000000" w:sz="4" w:space="0"/>
              <w:left w:val="nil"/>
              <w:bottom w:val="single" w:color="000000" w:sz="4" w:space="0"/>
              <w:right w:val="single" w:color="000000" w:sz="4" w:space="0"/>
            </w:tcBorders>
            <w:shd w:val="clear" w:color="auto" w:fill="auto"/>
            <w:vAlign w:val="center"/>
          </w:tcPr>
          <w:p w14:paraId="3F5812E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8.70</w:t>
            </w:r>
          </w:p>
        </w:tc>
        <w:tc>
          <w:tcPr>
            <w:tcW w:w="379" w:type="pct"/>
            <w:tcBorders>
              <w:top w:val="nil"/>
              <w:left w:val="nil"/>
              <w:bottom w:val="single" w:color="000000" w:sz="4" w:space="0"/>
              <w:right w:val="single" w:color="000000" w:sz="4" w:space="0"/>
            </w:tcBorders>
            <w:shd w:val="clear" w:color="auto" w:fill="auto"/>
            <w:vAlign w:val="center"/>
          </w:tcPr>
          <w:p w14:paraId="4FB3CAA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86.96%</w:t>
            </w:r>
          </w:p>
        </w:tc>
        <w:tc>
          <w:tcPr>
            <w:tcW w:w="177" w:type="pct"/>
            <w:tcBorders>
              <w:top w:val="nil"/>
              <w:left w:val="nil"/>
              <w:bottom w:val="single" w:color="000000" w:sz="4" w:space="0"/>
              <w:right w:val="single" w:color="000000" w:sz="4" w:space="0"/>
            </w:tcBorders>
            <w:shd w:val="clear" w:color="auto" w:fill="auto"/>
            <w:vAlign w:val="center"/>
          </w:tcPr>
          <w:p w14:paraId="795C2F6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0C2517A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4" w:type="pct"/>
            <w:vMerge w:val="continue"/>
            <w:tcBorders>
              <w:top w:val="nil"/>
              <w:left w:val="single" w:color="000000" w:sz="4" w:space="0"/>
              <w:bottom w:val="single" w:color="000000" w:sz="4" w:space="0"/>
              <w:right w:val="single" w:color="000000" w:sz="4" w:space="0"/>
            </w:tcBorders>
            <w:vAlign w:val="center"/>
          </w:tcPr>
          <w:p w14:paraId="15E936AF">
            <w:pPr>
              <w:widowControl/>
              <w:jc w:val="left"/>
              <w:rPr>
                <w:rFonts w:ascii="Courier New" w:hAnsi="Courier New" w:eastAsia="宋体" w:cs="Courier New"/>
                <w:color w:val="000000"/>
                <w:sz w:val="16"/>
                <w:szCs w:val="16"/>
              </w:rPr>
            </w:pPr>
          </w:p>
        </w:tc>
      </w:tr>
      <w:tr w14:paraId="4FFEAA5A">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75F46002">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14141647">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492" w:type="pct"/>
            <w:tcBorders>
              <w:top w:val="nil"/>
              <w:left w:val="nil"/>
              <w:bottom w:val="single" w:color="000000" w:sz="4" w:space="0"/>
              <w:right w:val="single" w:color="000000" w:sz="4" w:space="0"/>
            </w:tcBorders>
            <w:shd w:val="clear" w:color="auto" w:fill="auto"/>
            <w:vAlign w:val="center"/>
          </w:tcPr>
          <w:p w14:paraId="6EB31AE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27" w:type="pct"/>
            <w:tcBorders>
              <w:top w:val="nil"/>
              <w:left w:val="nil"/>
              <w:bottom w:val="single" w:color="000000" w:sz="4" w:space="0"/>
              <w:right w:val="single" w:color="000000" w:sz="4" w:space="0"/>
            </w:tcBorders>
            <w:shd w:val="clear" w:color="auto" w:fill="auto"/>
            <w:vAlign w:val="center"/>
          </w:tcPr>
          <w:p w14:paraId="68F9589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19" w:type="pct"/>
            <w:gridSpan w:val="3"/>
            <w:tcBorders>
              <w:top w:val="single" w:color="000000" w:sz="4" w:space="0"/>
              <w:left w:val="nil"/>
              <w:bottom w:val="single" w:color="000000" w:sz="4" w:space="0"/>
              <w:right w:val="single" w:color="000000" w:sz="4" w:space="0"/>
            </w:tcBorders>
            <w:shd w:val="clear" w:color="auto" w:fill="auto"/>
            <w:vAlign w:val="center"/>
          </w:tcPr>
          <w:p w14:paraId="2A6B74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9" w:type="pct"/>
            <w:tcBorders>
              <w:top w:val="nil"/>
              <w:left w:val="nil"/>
              <w:bottom w:val="single" w:color="000000" w:sz="4" w:space="0"/>
              <w:right w:val="single" w:color="000000" w:sz="4" w:space="0"/>
            </w:tcBorders>
            <w:shd w:val="clear" w:color="auto" w:fill="auto"/>
            <w:vAlign w:val="center"/>
          </w:tcPr>
          <w:p w14:paraId="0665B5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16FDFE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0911C6E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4" w:type="pct"/>
            <w:vMerge w:val="continue"/>
            <w:tcBorders>
              <w:top w:val="nil"/>
              <w:left w:val="single" w:color="000000" w:sz="4" w:space="0"/>
              <w:bottom w:val="single" w:color="000000" w:sz="4" w:space="0"/>
              <w:right w:val="single" w:color="000000" w:sz="4" w:space="0"/>
            </w:tcBorders>
            <w:vAlign w:val="center"/>
          </w:tcPr>
          <w:p w14:paraId="420AB37B">
            <w:pPr>
              <w:widowControl/>
              <w:jc w:val="left"/>
              <w:rPr>
                <w:rFonts w:ascii="Courier New" w:hAnsi="Courier New" w:eastAsia="宋体" w:cs="Courier New"/>
                <w:color w:val="000000"/>
                <w:sz w:val="16"/>
                <w:szCs w:val="16"/>
              </w:rPr>
            </w:pPr>
          </w:p>
        </w:tc>
      </w:tr>
      <w:tr w14:paraId="2DF5949C">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2282BA37">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278998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492" w:type="pct"/>
            <w:tcBorders>
              <w:top w:val="nil"/>
              <w:left w:val="nil"/>
              <w:bottom w:val="single" w:color="000000" w:sz="4" w:space="0"/>
              <w:right w:val="single" w:color="000000" w:sz="4" w:space="0"/>
            </w:tcBorders>
            <w:shd w:val="clear" w:color="auto" w:fill="auto"/>
            <w:vAlign w:val="center"/>
          </w:tcPr>
          <w:p w14:paraId="2C15A68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27" w:type="pct"/>
            <w:tcBorders>
              <w:top w:val="nil"/>
              <w:left w:val="nil"/>
              <w:bottom w:val="single" w:color="000000" w:sz="4" w:space="0"/>
              <w:right w:val="single" w:color="000000" w:sz="4" w:space="0"/>
            </w:tcBorders>
            <w:shd w:val="clear" w:color="auto" w:fill="auto"/>
            <w:vAlign w:val="center"/>
          </w:tcPr>
          <w:p w14:paraId="40579DB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19" w:type="pct"/>
            <w:gridSpan w:val="3"/>
            <w:tcBorders>
              <w:top w:val="single" w:color="000000" w:sz="4" w:space="0"/>
              <w:left w:val="nil"/>
              <w:bottom w:val="single" w:color="000000" w:sz="4" w:space="0"/>
              <w:right w:val="single" w:color="000000" w:sz="4" w:space="0"/>
            </w:tcBorders>
            <w:shd w:val="clear" w:color="auto" w:fill="auto"/>
            <w:vAlign w:val="center"/>
          </w:tcPr>
          <w:p w14:paraId="1B2D581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9" w:type="pct"/>
            <w:tcBorders>
              <w:top w:val="nil"/>
              <w:left w:val="nil"/>
              <w:bottom w:val="single" w:color="000000" w:sz="4" w:space="0"/>
              <w:right w:val="single" w:color="000000" w:sz="4" w:space="0"/>
            </w:tcBorders>
            <w:shd w:val="clear" w:color="auto" w:fill="auto"/>
            <w:vAlign w:val="center"/>
          </w:tcPr>
          <w:p w14:paraId="6BC8CE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4E39BE7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15C1E55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4" w:type="pct"/>
            <w:vMerge w:val="continue"/>
            <w:tcBorders>
              <w:top w:val="nil"/>
              <w:left w:val="single" w:color="000000" w:sz="4" w:space="0"/>
              <w:bottom w:val="single" w:color="000000" w:sz="4" w:space="0"/>
              <w:right w:val="single" w:color="000000" w:sz="4" w:space="0"/>
            </w:tcBorders>
            <w:vAlign w:val="center"/>
          </w:tcPr>
          <w:p w14:paraId="62459A03">
            <w:pPr>
              <w:widowControl/>
              <w:jc w:val="left"/>
              <w:rPr>
                <w:rFonts w:ascii="Courier New" w:hAnsi="Courier New" w:eastAsia="宋体" w:cs="Courier New"/>
                <w:color w:val="000000"/>
                <w:sz w:val="16"/>
                <w:szCs w:val="16"/>
              </w:rPr>
            </w:pPr>
          </w:p>
        </w:tc>
      </w:tr>
      <w:tr w14:paraId="1EE0A90A">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12FB5849">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48442BB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492" w:type="pct"/>
            <w:tcBorders>
              <w:top w:val="nil"/>
              <w:left w:val="nil"/>
              <w:bottom w:val="single" w:color="000000" w:sz="4" w:space="0"/>
              <w:right w:val="single" w:color="000000" w:sz="4" w:space="0"/>
            </w:tcBorders>
            <w:shd w:val="clear" w:color="auto" w:fill="auto"/>
            <w:vAlign w:val="center"/>
          </w:tcPr>
          <w:p w14:paraId="55DC91C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027" w:type="pct"/>
            <w:tcBorders>
              <w:top w:val="nil"/>
              <w:left w:val="nil"/>
              <w:bottom w:val="single" w:color="000000" w:sz="4" w:space="0"/>
              <w:right w:val="single" w:color="000000" w:sz="4" w:space="0"/>
            </w:tcBorders>
            <w:shd w:val="clear" w:color="auto" w:fill="auto"/>
            <w:vAlign w:val="center"/>
          </w:tcPr>
          <w:p w14:paraId="668F849A">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19" w:type="pct"/>
            <w:gridSpan w:val="3"/>
            <w:tcBorders>
              <w:top w:val="single" w:color="000000" w:sz="4" w:space="0"/>
              <w:left w:val="nil"/>
              <w:bottom w:val="single" w:color="000000" w:sz="4" w:space="0"/>
              <w:right w:val="single" w:color="000000" w:sz="4" w:space="0"/>
            </w:tcBorders>
            <w:shd w:val="clear" w:color="auto" w:fill="auto"/>
            <w:vAlign w:val="center"/>
          </w:tcPr>
          <w:p w14:paraId="769DC1B6">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379" w:type="pct"/>
            <w:tcBorders>
              <w:top w:val="nil"/>
              <w:left w:val="nil"/>
              <w:bottom w:val="single" w:color="000000" w:sz="4" w:space="0"/>
              <w:right w:val="single" w:color="000000" w:sz="4" w:space="0"/>
            </w:tcBorders>
            <w:shd w:val="clear" w:color="auto" w:fill="auto"/>
            <w:vAlign w:val="center"/>
          </w:tcPr>
          <w:p w14:paraId="073A108A">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77" w:type="pct"/>
            <w:tcBorders>
              <w:top w:val="nil"/>
              <w:left w:val="nil"/>
              <w:bottom w:val="single" w:color="000000" w:sz="4" w:space="0"/>
              <w:right w:val="single" w:color="000000" w:sz="4" w:space="0"/>
            </w:tcBorders>
            <w:shd w:val="clear" w:color="auto" w:fill="auto"/>
            <w:vAlign w:val="center"/>
          </w:tcPr>
          <w:p w14:paraId="323A10C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1EF0225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4" w:type="pct"/>
            <w:vMerge w:val="continue"/>
            <w:tcBorders>
              <w:top w:val="nil"/>
              <w:left w:val="single" w:color="000000" w:sz="4" w:space="0"/>
              <w:bottom w:val="single" w:color="000000" w:sz="4" w:space="0"/>
              <w:right w:val="single" w:color="000000" w:sz="4" w:space="0"/>
            </w:tcBorders>
            <w:vAlign w:val="center"/>
          </w:tcPr>
          <w:p w14:paraId="6FAA8C19">
            <w:pPr>
              <w:widowControl/>
              <w:jc w:val="left"/>
              <w:rPr>
                <w:rFonts w:ascii="Courier New" w:hAnsi="Courier New" w:eastAsia="宋体" w:cs="Courier New"/>
                <w:color w:val="000000"/>
                <w:sz w:val="16"/>
                <w:szCs w:val="16"/>
              </w:rPr>
            </w:pPr>
          </w:p>
        </w:tc>
      </w:tr>
      <w:tr w14:paraId="517A0637">
        <w:tblPrEx>
          <w:tblCellMar>
            <w:top w:w="0" w:type="dxa"/>
            <w:left w:w="108" w:type="dxa"/>
            <w:bottom w:w="0" w:type="dxa"/>
            <w:right w:w="108" w:type="dxa"/>
          </w:tblCellMar>
        </w:tblPrEx>
        <w:trPr>
          <w:trHeight w:val="619" w:hRule="atLeast"/>
        </w:trPr>
        <w:tc>
          <w:tcPr>
            <w:tcW w:w="197" w:type="pct"/>
            <w:vMerge w:val="restart"/>
            <w:tcBorders>
              <w:top w:val="nil"/>
              <w:left w:val="single" w:color="000000" w:sz="4" w:space="0"/>
              <w:bottom w:val="nil"/>
              <w:right w:val="single" w:color="000000" w:sz="4" w:space="0"/>
            </w:tcBorders>
            <w:shd w:val="clear" w:color="auto" w:fill="auto"/>
            <w:vAlign w:val="center"/>
          </w:tcPr>
          <w:p w14:paraId="5CF175A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559" w:type="pct"/>
            <w:tcBorders>
              <w:top w:val="nil"/>
              <w:left w:val="nil"/>
              <w:bottom w:val="single" w:color="000000" w:sz="4" w:space="0"/>
              <w:right w:val="single" w:color="000000" w:sz="4" w:space="0"/>
            </w:tcBorders>
            <w:shd w:val="clear" w:color="auto" w:fill="auto"/>
            <w:vAlign w:val="center"/>
          </w:tcPr>
          <w:p w14:paraId="7C968A7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492" w:type="pct"/>
            <w:tcBorders>
              <w:top w:val="nil"/>
              <w:left w:val="nil"/>
              <w:bottom w:val="single" w:color="000000" w:sz="4" w:space="0"/>
              <w:right w:val="single" w:color="000000" w:sz="4" w:space="0"/>
            </w:tcBorders>
            <w:shd w:val="clear" w:color="auto" w:fill="auto"/>
            <w:vAlign w:val="center"/>
          </w:tcPr>
          <w:p w14:paraId="6FCF7F1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1027" w:type="pct"/>
            <w:tcBorders>
              <w:top w:val="nil"/>
              <w:left w:val="nil"/>
              <w:bottom w:val="single" w:color="000000" w:sz="4" w:space="0"/>
              <w:right w:val="single" w:color="000000" w:sz="4" w:space="0"/>
            </w:tcBorders>
            <w:shd w:val="clear" w:color="auto" w:fill="auto"/>
            <w:vAlign w:val="center"/>
          </w:tcPr>
          <w:p w14:paraId="4F31ABF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76" w:type="pct"/>
            <w:tcBorders>
              <w:top w:val="nil"/>
              <w:left w:val="nil"/>
              <w:bottom w:val="single" w:color="000000" w:sz="4" w:space="0"/>
              <w:right w:val="single" w:color="000000" w:sz="4" w:space="0"/>
            </w:tcBorders>
            <w:shd w:val="clear" w:color="auto" w:fill="auto"/>
            <w:vAlign w:val="center"/>
          </w:tcPr>
          <w:p w14:paraId="01B389F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566" w:type="pct"/>
            <w:tcBorders>
              <w:top w:val="nil"/>
              <w:left w:val="nil"/>
              <w:bottom w:val="single" w:color="000000" w:sz="4" w:space="0"/>
              <w:right w:val="single" w:color="000000" w:sz="4" w:space="0"/>
            </w:tcBorders>
            <w:shd w:val="clear" w:color="auto" w:fill="auto"/>
            <w:vAlign w:val="center"/>
          </w:tcPr>
          <w:p w14:paraId="447CFC1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176" w:type="pct"/>
            <w:tcBorders>
              <w:top w:val="nil"/>
              <w:left w:val="nil"/>
              <w:bottom w:val="single" w:color="000000" w:sz="4" w:space="0"/>
              <w:right w:val="single" w:color="000000" w:sz="4" w:space="0"/>
            </w:tcBorders>
            <w:shd w:val="clear" w:color="auto" w:fill="auto"/>
            <w:vAlign w:val="center"/>
          </w:tcPr>
          <w:p w14:paraId="02BCC9B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379" w:type="pct"/>
            <w:tcBorders>
              <w:top w:val="nil"/>
              <w:left w:val="nil"/>
              <w:bottom w:val="single" w:color="000000" w:sz="4" w:space="0"/>
              <w:right w:val="single" w:color="000000" w:sz="4" w:space="0"/>
            </w:tcBorders>
            <w:shd w:val="clear" w:color="auto" w:fill="auto"/>
            <w:vAlign w:val="center"/>
          </w:tcPr>
          <w:p w14:paraId="03F3D1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77" w:type="pct"/>
            <w:tcBorders>
              <w:top w:val="nil"/>
              <w:left w:val="nil"/>
              <w:bottom w:val="single" w:color="000000" w:sz="4" w:space="0"/>
              <w:right w:val="single" w:color="000000" w:sz="4" w:space="0"/>
            </w:tcBorders>
            <w:shd w:val="clear" w:color="auto" w:fill="auto"/>
            <w:vAlign w:val="center"/>
          </w:tcPr>
          <w:p w14:paraId="6FCCF7B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3B4DFCC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994" w:type="pct"/>
            <w:tcBorders>
              <w:top w:val="nil"/>
              <w:left w:val="nil"/>
              <w:bottom w:val="single" w:color="000000" w:sz="4" w:space="0"/>
              <w:right w:val="single" w:color="000000" w:sz="4" w:space="0"/>
            </w:tcBorders>
            <w:shd w:val="clear" w:color="auto" w:fill="auto"/>
            <w:vAlign w:val="center"/>
          </w:tcPr>
          <w:p w14:paraId="4D8CF66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395C95B5">
        <w:tblPrEx>
          <w:tblCellMar>
            <w:top w:w="0" w:type="dxa"/>
            <w:left w:w="108" w:type="dxa"/>
            <w:bottom w:w="0" w:type="dxa"/>
            <w:right w:w="108" w:type="dxa"/>
          </w:tblCellMar>
        </w:tblPrEx>
        <w:trPr>
          <w:trHeight w:val="619" w:hRule="atLeast"/>
        </w:trPr>
        <w:tc>
          <w:tcPr>
            <w:tcW w:w="197" w:type="pct"/>
            <w:vMerge w:val="continue"/>
            <w:tcBorders>
              <w:top w:val="nil"/>
              <w:left w:val="single" w:color="000000" w:sz="4" w:space="0"/>
              <w:bottom w:val="nil"/>
              <w:right w:val="single" w:color="000000" w:sz="4" w:space="0"/>
            </w:tcBorders>
            <w:vAlign w:val="center"/>
          </w:tcPr>
          <w:p w14:paraId="6EA83C9A">
            <w:pPr>
              <w:widowControl/>
              <w:jc w:val="left"/>
              <w:rPr>
                <w:rFonts w:ascii="宋体" w:hAnsi="宋体" w:eastAsia="宋体" w:cs="宋体"/>
                <w:color w:val="000000"/>
                <w:sz w:val="18"/>
                <w:szCs w:val="18"/>
              </w:rPr>
            </w:pPr>
          </w:p>
        </w:tc>
        <w:tc>
          <w:tcPr>
            <w:tcW w:w="559" w:type="pct"/>
            <w:vMerge w:val="restart"/>
            <w:tcBorders>
              <w:top w:val="nil"/>
              <w:left w:val="single" w:color="000000" w:sz="4" w:space="0"/>
              <w:bottom w:val="single" w:color="000000" w:sz="4" w:space="0"/>
              <w:right w:val="single" w:color="000000" w:sz="4" w:space="0"/>
            </w:tcBorders>
            <w:shd w:val="clear" w:color="auto" w:fill="auto"/>
            <w:vAlign w:val="center"/>
          </w:tcPr>
          <w:p w14:paraId="7331EFF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492" w:type="pct"/>
            <w:vMerge w:val="restart"/>
            <w:tcBorders>
              <w:top w:val="nil"/>
              <w:left w:val="single" w:color="000000" w:sz="4" w:space="0"/>
              <w:bottom w:val="single" w:color="000000" w:sz="4" w:space="0"/>
              <w:right w:val="single" w:color="000000" w:sz="4" w:space="0"/>
            </w:tcBorders>
            <w:shd w:val="clear" w:color="auto" w:fill="auto"/>
            <w:vAlign w:val="center"/>
          </w:tcPr>
          <w:p w14:paraId="1C1CD24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1027" w:type="pct"/>
            <w:tcBorders>
              <w:top w:val="nil"/>
              <w:left w:val="nil"/>
              <w:bottom w:val="single" w:color="000000" w:sz="4" w:space="0"/>
              <w:right w:val="single" w:color="000000" w:sz="4" w:space="0"/>
            </w:tcBorders>
            <w:shd w:val="clear" w:color="auto" w:fill="auto"/>
            <w:vAlign w:val="center"/>
          </w:tcPr>
          <w:p w14:paraId="4AE5363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法律顾问服务群众</w:t>
            </w:r>
          </w:p>
        </w:tc>
        <w:tc>
          <w:tcPr>
            <w:tcW w:w="176" w:type="pct"/>
            <w:tcBorders>
              <w:top w:val="nil"/>
              <w:left w:val="nil"/>
              <w:bottom w:val="single" w:color="000000" w:sz="4" w:space="0"/>
              <w:right w:val="single" w:color="000000" w:sz="4" w:space="0"/>
            </w:tcBorders>
            <w:shd w:val="clear" w:color="auto" w:fill="auto"/>
            <w:vAlign w:val="center"/>
          </w:tcPr>
          <w:p w14:paraId="11765B5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6" w:type="pct"/>
            <w:tcBorders>
              <w:top w:val="nil"/>
              <w:left w:val="nil"/>
              <w:bottom w:val="single" w:color="000000" w:sz="4" w:space="0"/>
              <w:right w:val="single" w:color="000000" w:sz="4" w:space="0"/>
            </w:tcBorders>
            <w:shd w:val="clear" w:color="auto" w:fill="auto"/>
            <w:vAlign w:val="center"/>
          </w:tcPr>
          <w:p w14:paraId="62B9ABA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w:t>
            </w:r>
          </w:p>
        </w:tc>
        <w:tc>
          <w:tcPr>
            <w:tcW w:w="176" w:type="pct"/>
            <w:tcBorders>
              <w:top w:val="nil"/>
              <w:left w:val="nil"/>
              <w:bottom w:val="single" w:color="000000" w:sz="4" w:space="0"/>
              <w:right w:val="single" w:color="000000" w:sz="4" w:space="0"/>
            </w:tcBorders>
            <w:shd w:val="clear" w:color="auto" w:fill="auto"/>
            <w:vAlign w:val="center"/>
          </w:tcPr>
          <w:p w14:paraId="0662440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人/年</w:t>
            </w:r>
          </w:p>
        </w:tc>
        <w:tc>
          <w:tcPr>
            <w:tcW w:w="379" w:type="pct"/>
            <w:tcBorders>
              <w:top w:val="nil"/>
              <w:left w:val="nil"/>
              <w:bottom w:val="single" w:color="000000" w:sz="4" w:space="0"/>
              <w:right w:val="single" w:color="000000" w:sz="4" w:space="0"/>
            </w:tcBorders>
            <w:shd w:val="clear" w:color="auto" w:fill="auto"/>
            <w:vAlign w:val="center"/>
          </w:tcPr>
          <w:p w14:paraId="4358FDC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1400</w:t>
            </w:r>
          </w:p>
        </w:tc>
        <w:tc>
          <w:tcPr>
            <w:tcW w:w="177" w:type="pct"/>
            <w:tcBorders>
              <w:top w:val="nil"/>
              <w:left w:val="nil"/>
              <w:bottom w:val="single" w:color="000000" w:sz="4" w:space="0"/>
              <w:right w:val="single" w:color="000000" w:sz="4" w:space="0"/>
            </w:tcBorders>
            <w:shd w:val="clear" w:color="auto" w:fill="auto"/>
            <w:vAlign w:val="center"/>
          </w:tcPr>
          <w:p w14:paraId="2F990A5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57" w:type="pct"/>
            <w:tcBorders>
              <w:top w:val="nil"/>
              <w:left w:val="nil"/>
              <w:bottom w:val="single" w:color="000000" w:sz="4" w:space="0"/>
              <w:right w:val="single" w:color="000000" w:sz="4" w:space="0"/>
            </w:tcBorders>
            <w:shd w:val="clear" w:color="auto" w:fill="auto"/>
            <w:vAlign w:val="center"/>
          </w:tcPr>
          <w:p w14:paraId="0F65B98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994" w:type="pct"/>
            <w:tcBorders>
              <w:top w:val="nil"/>
              <w:left w:val="nil"/>
              <w:bottom w:val="single" w:color="000000" w:sz="4" w:space="0"/>
              <w:right w:val="single" w:color="000000" w:sz="4" w:space="0"/>
            </w:tcBorders>
            <w:shd w:val="clear" w:color="auto" w:fill="auto"/>
            <w:vAlign w:val="center"/>
          </w:tcPr>
          <w:p w14:paraId="507E6E6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97A4D7C">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53225ABA">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09077A6C">
            <w:pPr>
              <w:widowControl/>
              <w:jc w:val="left"/>
              <w:rPr>
                <w:rFonts w:ascii="宋体" w:hAnsi="宋体" w:eastAsia="宋体" w:cs="宋体"/>
                <w:color w:val="000000"/>
                <w:sz w:val="18"/>
                <w:szCs w:val="18"/>
              </w:rPr>
            </w:pPr>
          </w:p>
        </w:tc>
        <w:tc>
          <w:tcPr>
            <w:tcW w:w="492" w:type="pct"/>
            <w:vMerge w:val="continue"/>
            <w:tcBorders>
              <w:top w:val="nil"/>
              <w:left w:val="single" w:color="000000" w:sz="4" w:space="0"/>
              <w:bottom w:val="single" w:color="000000" w:sz="4" w:space="0"/>
              <w:right w:val="single" w:color="000000" w:sz="4" w:space="0"/>
            </w:tcBorders>
            <w:vAlign w:val="center"/>
          </w:tcPr>
          <w:p w14:paraId="42F8E87C">
            <w:pPr>
              <w:widowControl/>
              <w:jc w:val="left"/>
              <w:rPr>
                <w:rFonts w:ascii="宋体" w:hAnsi="宋体" w:eastAsia="宋体" w:cs="宋体"/>
                <w:color w:val="000000"/>
                <w:sz w:val="18"/>
                <w:szCs w:val="18"/>
              </w:rPr>
            </w:pPr>
          </w:p>
        </w:tc>
        <w:tc>
          <w:tcPr>
            <w:tcW w:w="1027" w:type="pct"/>
            <w:tcBorders>
              <w:top w:val="nil"/>
              <w:left w:val="nil"/>
              <w:bottom w:val="single" w:color="000000" w:sz="4" w:space="0"/>
              <w:right w:val="single" w:color="000000" w:sz="4" w:space="0"/>
            </w:tcBorders>
            <w:shd w:val="clear" w:color="auto" w:fill="auto"/>
            <w:vAlign w:val="center"/>
          </w:tcPr>
          <w:p w14:paraId="0891498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服务覆盖村数</w:t>
            </w:r>
          </w:p>
        </w:tc>
        <w:tc>
          <w:tcPr>
            <w:tcW w:w="176" w:type="pct"/>
            <w:tcBorders>
              <w:top w:val="nil"/>
              <w:left w:val="nil"/>
              <w:bottom w:val="single" w:color="000000" w:sz="4" w:space="0"/>
              <w:right w:val="single" w:color="000000" w:sz="4" w:space="0"/>
            </w:tcBorders>
            <w:shd w:val="clear" w:color="auto" w:fill="auto"/>
            <w:vAlign w:val="center"/>
          </w:tcPr>
          <w:p w14:paraId="7B5C99B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6" w:type="pct"/>
            <w:tcBorders>
              <w:top w:val="nil"/>
              <w:left w:val="nil"/>
              <w:bottom w:val="single" w:color="000000" w:sz="4" w:space="0"/>
              <w:right w:val="single" w:color="000000" w:sz="4" w:space="0"/>
            </w:tcBorders>
            <w:shd w:val="clear" w:color="auto" w:fill="auto"/>
            <w:vAlign w:val="center"/>
          </w:tcPr>
          <w:p w14:paraId="6A47DDA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w:t>
            </w:r>
          </w:p>
        </w:tc>
        <w:tc>
          <w:tcPr>
            <w:tcW w:w="176" w:type="pct"/>
            <w:tcBorders>
              <w:top w:val="nil"/>
              <w:left w:val="nil"/>
              <w:bottom w:val="single" w:color="000000" w:sz="4" w:space="0"/>
              <w:right w:val="single" w:color="000000" w:sz="4" w:space="0"/>
            </w:tcBorders>
            <w:shd w:val="clear" w:color="auto" w:fill="auto"/>
            <w:vAlign w:val="center"/>
          </w:tcPr>
          <w:p w14:paraId="600BDAF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个</w:t>
            </w:r>
          </w:p>
        </w:tc>
        <w:tc>
          <w:tcPr>
            <w:tcW w:w="379" w:type="pct"/>
            <w:tcBorders>
              <w:top w:val="nil"/>
              <w:left w:val="nil"/>
              <w:bottom w:val="single" w:color="000000" w:sz="4" w:space="0"/>
              <w:right w:val="single" w:color="000000" w:sz="4" w:space="0"/>
            </w:tcBorders>
            <w:shd w:val="clear" w:color="auto" w:fill="auto"/>
            <w:vAlign w:val="center"/>
          </w:tcPr>
          <w:p w14:paraId="64E3208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303</w:t>
            </w:r>
          </w:p>
        </w:tc>
        <w:tc>
          <w:tcPr>
            <w:tcW w:w="177" w:type="pct"/>
            <w:tcBorders>
              <w:top w:val="nil"/>
              <w:left w:val="nil"/>
              <w:bottom w:val="single" w:color="000000" w:sz="4" w:space="0"/>
              <w:right w:val="single" w:color="000000" w:sz="4" w:space="0"/>
            </w:tcBorders>
            <w:shd w:val="clear" w:color="auto" w:fill="auto"/>
            <w:vAlign w:val="center"/>
          </w:tcPr>
          <w:p w14:paraId="1DE0FB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57" w:type="pct"/>
            <w:tcBorders>
              <w:top w:val="nil"/>
              <w:left w:val="nil"/>
              <w:bottom w:val="single" w:color="000000" w:sz="4" w:space="0"/>
              <w:right w:val="single" w:color="000000" w:sz="4" w:space="0"/>
            </w:tcBorders>
            <w:shd w:val="clear" w:color="auto" w:fill="auto"/>
            <w:vAlign w:val="center"/>
          </w:tcPr>
          <w:p w14:paraId="61C9296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994" w:type="pct"/>
            <w:tcBorders>
              <w:top w:val="nil"/>
              <w:left w:val="nil"/>
              <w:bottom w:val="single" w:color="000000" w:sz="4" w:space="0"/>
              <w:right w:val="single" w:color="000000" w:sz="4" w:space="0"/>
            </w:tcBorders>
            <w:shd w:val="clear" w:color="auto" w:fill="auto"/>
            <w:vAlign w:val="center"/>
          </w:tcPr>
          <w:p w14:paraId="2575277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52C2E75">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78091E7D">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3ECEA853">
            <w:pPr>
              <w:widowControl/>
              <w:jc w:val="left"/>
              <w:rPr>
                <w:rFonts w:ascii="宋体" w:hAnsi="宋体" w:eastAsia="宋体" w:cs="宋体"/>
                <w:color w:val="000000"/>
                <w:sz w:val="18"/>
                <w:szCs w:val="18"/>
              </w:rPr>
            </w:pPr>
          </w:p>
        </w:tc>
        <w:tc>
          <w:tcPr>
            <w:tcW w:w="492" w:type="pct"/>
            <w:vMerge w:val="continue"/>
            <w:tcBorders>
              <w:top w:val="nil"/>
              <w:left w:val="single" w:color="000000" w:sz="4" w:space="0"/>
              <w:bottom w:val="single" w:color="000000" w:sz="4" w:space="0"/>
              <w:right w:val="single" w:color="000000" w:sz="4" w:space="0"/>
            </w:tcBorders>
            <w:vAlign w:val="center"/>
          </w:tcPr>
          <w:p w14:paraId="14E5AEF6">
            <w:pPr>
              <w:widowControl/>
              <w:jc w:val="left"/>
              <w:rPr>
                <w:rFonts w:ascii="宋体" w:hAnsi="宋体" w:eastAsia="宋体" w:cs="宋体"/>
                <w:color w:val="000000"/>
                <w:sz w:val="18"/>
                <w:szCs w:val="18"/>
              </w:rPr>
            </w:pPr>
          </w:p>
        </w:tc>
        <w:tc>
          <w:tcPr>
            <w:tcW w:w="1027" w:type="pct"/>
            <w:tcBorders>
              <w:top w:val="nil"/>
              <w:left w:val="nil"/>
              <w:bottom w:val="single" w:color="000000" w:sz="4" w:space="0"/>
              <w:right w:val="single" w:color="000000" w:sz="4" w:space="0"/>
            </w:tcBorders>
            <w:shd w:val="clear" w:color="auto" w:fill="auto"/>
            <w:vAlign w:val="center"/>
          </w:tcPr>
          <w:p w14:paraId="6ED5BB3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参与基层法律服务数</w:t>
            </w:r>
          </w:p>
        </w:tc>
        <w:tc>
          <w:tcPr>
            <w:tcW w:w="176" w:type="pct"/>
            <w:tcBorders>
              <w:top w:val="nil"/>
              <w:left w:val="nil"/>
              <w:bottom w:val="single" w:color="000000" w:sz="4" w:space="0"/>
              <w:right w:val="single" w:color="000000" w:sz="4" w:space="0"/>
            </w:tcBorders>
            <w:shd w:val="clear" w:color="auto" w:fill="auto"/>
            <w:vAlign w:val="center"/>
          </w:tcPr>
          <w:p w14:paraId="7F4F1C4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6" w:type="pct"/>
            <w:tcBorders>
              <w:top w:val="nil"/>
              <w:left w:val="nil"/>
              <w:bottom w:val="single" w:color="000000" w:sz="4" w:space="0"/>
              <w:right w:val="single" w:color="000000" w:sz="4" w:space="0"/>
            </w:tcBorders>
            <w:shd w:val="clear" w:color="auto" w:fill="auto"/>
            <w:vAlign w:val="center"/>
          </w:tcPr>
          <w:p w14:paraId="76EF1E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176" w:type="pct"/>
            <w:tcBorders>
              <w:top w:val="nil"/>
              <w:left w:val="nil"/>
              <w:bottom w:val="single" w:color="000000" w:sz="4" w:space="0"/>
              <w:right w:val="single" w:color="000000" w:sz="4" w:space="0"/>
            </w:tcBorders>
            <w:shd w:val="clear" w:color="auto" w:fill="auto"/>
            <w:vAlign w:val="center"/>
          </w:tcPr>
          <w:p w14:paraId="5BA0476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件</w:t>
            </w:r>
          </w:p>
        </w:tc>
        <w:tc>
          <w:tcPr>
            <w:tcW w:w="379" w:type="pct"/>
            <w:tcBorders>
              <w:top w:val="nil"/>
              <w:left w:val="nil"/>
              <w:bottom w:val="single" w:color="000000" w:sz="4" w:space="0"/>
              <w:right w:val="single" w:color="000000" w:sz="4" w:space="0"/>
            </w:tcBorders>
            <w:shd w:val="clear" w:color="auto" w:fill="auto"/>
            <w:vAlign w:val="center"/>
          </w:tcPr>
          <w:p w14:paraId="763E67F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1400</w:t>
            </w:r>
          </w:p>
        </w:tc>
        <w:tc>
          <w:tcPr>
            <w:tcW w:w="177" w:type="pct"/>
            <w:tcBorders>
              <w:top w:val="nil"/>
              <w:left w:val="nil"/>
              <w:bottom w:val="single" w:color="000000" w:sz="4" w:space="0"/>
              <w:right w:val="single" w:color="000000" w:sz="4" w:space="0"/>
            </w:tcBorders>
            <w:shd w:val="clear" w:color="auto" w:fill="auto"/>
            <w:vAlign w:val="center"/>
          </w:tcPr>
          <w:p w14:paraId="0F014E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57" w:type="pct"/>
            <w:tcBorders>
              <w:top w:val="nil"/>
              <w:left w:val="nil"/>
              <w:bottom w:val="single" w:color="000000" w:sz="4" w:space="0"/>
              <w:right w:val="single" w:color="000000" w:sz="4" w:space="0"/>
            </w:tcBorders>
            <w:shd w:val="clear" w:color="auto" w:fill="auto"/>
            <w:vAlign w:val="center"/>
          </w:tcPr>
          <w:p w14:paraId="13752AD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994" w:type="pct"/>
            <w:tcBorders>
              <w:top w:val="nil"/>
              <w:left w:val="nil"/>
              <w:bottom w:val="single" w:color="000000" w:sz="4" w:space="0"/>
              <w:right w:val="single" w:color="000000" w:sz="4" w:space="0"/>
            </w:tcBorders>
            <w:shd w:val="clear" w:color="auto" w:fill="auto"/>
            <w:vAlign w:val="center"/>
          </w:tcPr>
          <w:p w14:paraId="473D946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3E5FE85">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3957592E">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371A8808">
            <w:pPr>
              <w:widowControl/>
              <w:jc w:val="left"/>
              <w:rPr>
                <w:rFonts w:ascii="宋体" w:hAnsi="宋体" w:eastAsia="宋体" w:cs="宋体"/>
                <w:color w:val="000000"/>
                <w:sz w:val="18"/>
                <w:szCs w:val="18"/>
              </w:rPr>
            </w:pPr>
          </w:p>
        </w:tc>
        <w:tc>
          <w:tcPr>
            <w:tcW w:w="492" w:type="pct"/>
            <w:tcBorders>
              <w:top w:val="nil"/>
              <w:left w:val="nil"/>
              <w:bottom w:val="single" w:color="000000" w:sz="4" w:space="0"/>
              <w:right w:val="single" w:color="000000" w:sz="4" w:space="0"/>
            </w:tcBorders>
            <w:shd w:val="clear" w:color="auto" w:fill="auto"/>
            <w:vAlign w:val="center"/>
          </w:tcPr>
          <w:p w14:paraId="4DDA7E7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1027" w:type="pct"/>
            <w:tcBorders>
              <w:top w:val="nil"/>
              <w:left w:val="nil"/>
              <w:bottom w:val="single" w:color="000000" w:sz="4" w:space="0"/>
              <w:right w:val="single" w:color="000000" w:sz="4" w:space="0"/>
            </w:tcBorders>
            <w:shd w:val="clear" w:color="auto" w:fill="auto"/>
            <w:vAlign w:val="center"/>
          </w:tcPr>
          <w:p w14:paraId="37021B2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法律服务更为便捷，村民法律咨询不出村</w:t>
            </w:r>
          </w:p>
        </w:tc>
        <w:tc>
          <w:tcPr>
            <w:tcW w:w="176" w:type="pct"/>
            <w:tcBorders>
              <w:top w:val="nil"/>
              <w:left w:val="nil"/>
              <w:bottom w:val="single" w:color="000000" w:sz="4" w:space="0"/>
              <w:right w:val="single" w:color="000000" w:sz="4" w:space="0"/>
            </w:tcBorders>
            <w:shd w:val="clear" w:color="auto" w:fill="auto"/>
            <w:vAlign w:val="center"/>
          </w:tcPr>
          <w:p w14:paraId="7BB672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66" w:type="pct"/>
            <w:tcBorders>
              <w:top w:val="nil"/>
              <w:left w:val="nil"/>
              <w:bottom w:val="single" w:color="000000" w:sz="4" w:space="0"/>
              <w:right w:val="single" w:color="000000" w:sz="4" w:space="0"/>
            </w:tcBorders>
            <w:shd w:val="clear" w:color="auto" w:fill="auto"/>
            <w:vAlign w:val="center"/>
          </w:tcPr>
          <w:p w14:paraId="187A6E1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76" w:type="pct"/>
            <w:tcBorders>
              <w:top w:val="nil"/>
              <w:left w:val="nil"/>
              <w:bottom w:val="single" w:color="000000" w:sz="4" w:space="0"/>
              <w:right w:val="single" w:color="000000" w:sz="4" w:space="0"/>
            </w:tcBorders>
            <w:shd w:val="clear" w:color="auto" w:fill="auto"/>
            <w:vAlign w:val="center"/>
          </w:tcPr>
          <w:p w14:paraId="13893A1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379" w:type="pct"/>
            <w:tcBorders>
              <w:top w:val="nil"/>
              <w:left w:val="nil"/>
              <w:bottom w:val="single" w:color="000000" w:sz="4" w:space="0"/>
              <w:right w:val="single" w:color="000000" w:sz="4" w:space="0"/>
            </w:tcBorders>
            <w:shd w:val="clear" w:color="auto" w:fill="auto"/>
            <w:vAlign w:val="center"/>
          </w:tcPr>
          <w:p w14:paraId="6A20B2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w:t>
            </w:r>
          </w:p>
        </w:tc>
        <w:tc>
          <w:tcPr>
            <w:tcW w:w="177" w:type="pct"/>
            <w:tcBorders>
              <w:top w:val="nil"/>
              <w:left w:val="nil"/>
              <w:bottom w:val="single" w:color="000000" w:sz="4" w:space="0"/>
              <w:right w:val="single" w:color="000000" w:sz="4" w:space="0"/>
            </w:tcBorders>
            <w:shd w:val="clear" w:color="auto" w:fill="auto"/>
            <w:vAlign w:val="center"/>
          </w:tcPr>
          <w:p w14:paraId="27AB73C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57" w:type="pct"/>
            <w:tcBorders>
              <w:top w:val="nil"/>
              <w:left w:val="nil"/>
              <w:bottom w:val="single" w:color="000000" w:sz="4" w:space="0"/>
              <w:right w:val="single" w:color="000000" w:sz="4" w:space="0"/>
            </w:tcBorders>
            <w:shd w:val="clear" w:color="auto" w:fill="auto"/>
            <w:vAlign w:val="center"/>
          </w:tcPr>
          <w:p w14:paraId="2638B51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994" w:type="pct"/>
            <w:tcBorders>
              <w:top w:val="nil"/>
              <w:left w:val="nil"/>
              <w:bottom w:val="single" w:color="000000" w:sz="4" w:space="0"/>
              <w:right w:val="single" w:color="000000" w:sz="4" w:space="0"/>
            </w:tcBorders>
            <w:shd w:val="clear" w:color="auto" w:fill="auto"/>
            <w:vAlign w:val="center"/>
          </w:tcPr>
          <w:p w14:paraId="6DE312F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4170853">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10546205">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494272AA">
            <w:pPr>
              <w:widowControl/>
              <w:jc w:val="left"/>
              <w:rPr>
                <w:rFonts w:ascii="宋体" w:hAnsi="宋体" w:eastAsia="宋体" w:cs="宋体"/>
                <w:color w:val="000000"/>
                <w:sz w:val="18"/>
                <w:szCs w:val="18"/>
              </w:rPr>
            </w:pPr>
          </w:p>
        </w:tc>
        <w:tc>
          <w:tcPr>
            <w:tcW w:w="492" w:type="pct"/>
            <w:tcBorders>
              <w:top w:val="nil"/>
              <w:left w:val="nil"/>
              <w:bottom w:val="single" w:color="000000" w:sz="4" w:space="0"/>
              <w:right w:val="single" w:color="000000" w:sz="4" w:space="0"/>
            </w:tcBorders>
            <w:shd w:val="clear" w:color="auto" w:fill="auto"/>
            <w:vAlign w:val="center"/>
          </w:tcPr>
          <w:p w14:paraId="1B6F7D9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1027" w:type="pct"/>
            <w:tcBorders>
              <w:top w:val="nil"/>
              <w:left w:val="nil"/>
              <w:bottom w:val="single" w:color="000000" w:sz="4" w:space="0"/>
              <w:right w:val="single" w:color="000000" w:sz="4" w:space="0"/>
            </w:tcBorders>
            <w:shd w:val="clear" w:color="auto" w:fill="auto"/>
            <w:vAlign w:val="center"/>
          </w:tcPr>
          <w:p w14:paraId="1717BCB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解答法律咨询</w:t>
            </w:r>
          </w:p>
        </w:tc>
        <w:tc>
          <w:tcPr>
            <w:tcW w:w="176" w:type="pct"/>
            <w:tcBorders>
              <w:top w:val="nil"/>
              <w:left w:val="nil"/>
              <w:bottom w:val="single" w:color="000000" w:sz="4" w:space="0"/>
              <w:right w:val="single" w:color="000000" w:sz="4" w:space="0"/>
            </w:tcBorders>
            <w:shd w:val="clear" w:color="auto" w:fill="auto"/>
            <w:vAlign w:val="center"/>
          </w:tcPr>
          <w:p w14:paraId="50A7296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6" w:type="pct"/>
            <w:tcBorders>
              <w:top w:val="nil"/>
              <w:left w:val="nil"/>
              <w:bottom w:val="single" w:color="000000" w:sz="4" w:space="0"/>
              <w:right w:val="single" w:color="000000" w:sz="4" w:space="0"/>
            </w:tcBorders>
            <w:shd w:val="clear" w:color="auto" w:fill="auto"/>
            <w:vAlign w:val="center"/>
          </w:tcPr>
          <w:p w14:paraId="276D3A0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176" w:type="pct"/>
            <w:tcBorders>
              <w:top w:val="nil"/>
              <w:left w:val="nil"/>
              <w:bottom w:val="single" w:color="000000" w:sz="4" w:space="0"/>
              <w:right w:val="single" w:color="000000" w:sz="4" w:space="0"/>
            </w:tcBorders>
            <w:shd w:val="clear" w:color="auto" w:fill="auto"/>
            <w:vAlign w:val="center"/>
          </w:tcPr>
          <w:p w14:paraId="75F96B7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天</w:t>
            </w:r>
          </w:p>
        </w:tc>
        <w:tc>
          <w:tcPr>
            <w:tcW w:w="379" w:type="pct"/>
            <w:tcBorders>
              <w:top w:val="nil"/>
              <w:left w:val="nil"/>
              <w:bottom w:val="single" w:color="000000" w:sz="4" w:space="0"/>
              <w:right w:val="single" w:color="000000" w:sz="4" w:space="0"/>
            </w:tcBorders>
            <w:shd w:val="clear" w:color="auto" w:fill="auto"/>
            <w:vAlign w:val="center"/>
          </w:tcPr>
          <w:p w14:paraId="44A4D78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7</w:t>
            </w:r>
          </w:p>
        </w:tc>
        <w:tc>
          <w:tcPr>
            <w:tcW w:w="177" w:type="pct"/>
            <w:tcBorders>
              <w:top w:val="nil"/>
              <w:left w:val="nil"/>
              <w:bottom w:val="single" w:color="000000" w:sz="4" w:space="0"/>
              <w:right w:val="single" w:color="000000" w:sz="4" w:space="0"/>
            </w:tcBorders>
            <w:shd w:val="clear" w:color="auto" w:fill="auto"/>
            <w:vAlign w:val="center"/>
          </w:tcPr>
          <w:p w14:paraId="7977C5D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57" w:type="pct"/>
            <w:tcBorders>
              <w:top w:val="nil"/>
              <w:left w:val="nil"/>
              <w:bottom w:val="single" w:color="000000" w:sz="4" w:space="0"/>
              <w:right w:val="single" w:color="000000" w:sz="4" w:space="0"/>
            </w:tcBorders>
            <w:shd w:val="clear" w:color="auto" w:fill="auto"/>
            <w:vAlign w:val="center"/>
          </w:tcPr>
          <w:p w14:paraId="4ADABC4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994" w:type="pct"/>
            <w:tcBorders>
              <w:top w:val="nil"/>
              <w:left w:val="nil"/>
              <w:bottom w:val="single" w:color="000000" w:sz="4" w:space="0"/>
              <w:right w:val="single" w:color="000000" w:sz="4" w:space="0"/>
            </w:tcBorders>
            <w:shd w:val="clear" w:color="auto" w:fill="auto"/>
            <w:vAlign w:val="center"/>
          </w:tcPr>
          <w:p w14:paraId="094EE76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2710A87">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574EA230">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77E8378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492" w:type="pct"/>
            <w:tcBorders>
              <w:top w:val="nil"/>
              <w:left w:val="nil"/>
              <w:bottom w:val="single" w:color="000000" w:sz="4" w:space="0"/>
              <w:right w:val="single" w:color="000000" w:sz="4" w:space="0"/>
            </w:tcBorders>
            <w:shd w:val="clear" w:color="auto" w:fill="auto"/>
            <w:vAlign w:val="center"/>
          </w:tcPr>
          <w:p w14:paraId="3677133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027" w:type="pct"/>
            <w:tcBorders>
              <w:top w:val="nil"/>
              <w:left w:val="nil"/>
              <w:bottom w:val="single" w:color="000000" w:sz="4" w:space="0"/>
              <w:right w:val="single" w:color="000000" w:sz="4" w:space="0"/>
            </w:tcBorders>
            <w:shd w:val="clear" w:color="auto" w:fill="auto"/>
            <w:vAlign w:val="center"/>
          </w:tcPr>
          <w:p w14:paraId="54B3852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提升政府公信力</w:t>
            </w:r>
          </w:p>
        </w:tc>
        <w:tc>
          <w:tcPr>
            <w:tcW w:w="176" w:type="pct"/>
            <w:tcBorders>
              <w:top w:val="nil"/>
              <w:left w:val="nil"/>
              <w:bottom w:val="single" w:color="000000" w:sz="4" w:space="0"/>
              <w:right w:val="single" w:color="000000" w:sz="4" w:space="0"/>
            </w:tcBorders>
            <w:shd w:val="clear" w:color="auto" w:fill="auto"/>
            <w:vAlign w:val="center"/>
          </w:tcPr>
          <w:p w14:paraId="3B6178C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66" w:type="pct"/>
            <w:tcBorders>
              <w:top w:val="nil"/>
              <w:left w:val="nil"/>
              <w:bottom w:val="single" w:color="000000" w:sz="4" w:space="0"/>
              <w:right w:val="single" w:color="000000" w:sz="4" w:space="0"/>
            </w:tcBorders>
            <w:shd w:val="clear" w:color="auto" w:fill="auto"/>
            <w:vAlign w:val="center"/>
          </w:tcPr>
          <w:p w14:paraId="2343228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76" w:type="pct"/>
            <w:tcBorders>
              <w:top w:val="nil"/>
              <w:left w:val="nil"/>
              <w:bottom w:val="single" w:color="000000" w:sz="4" w:space="0"/>
              <w:right w:val="single" w:color="000000" w:sz="4" w:space="0"/>
            </w:tcBorders>
            <w:shd w:val="clear" w:color="auto" w:fill="auto"/>
            <w:vAlign w:val="center"/>
          </w:tcPr>
          <w:p w14:paraId="29D93C1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379" w:type="pct"/>
            <w:tcBorders>
              <w:top w:val="nil"/>
              <w:left w:val="nil"/>
              <w:bottom w:val="single" w:color="000000" w:sz="4" w:space="0"/>
              <w:right w:val="single" w:color="000000" w:sz="4" w:space="0"/>
            </w:tcBorders>
            <w:shd w:val="clear" w:color="auto" w:fill="auto"/>
            <w:vAlign w:val="center"/>
          </w:tcPr>
          <w:p w14:paraId="6CFC90F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77" w:type="pct"/>
            <w:tcBorders>
              <w:top w:val="nil"/>
              <w:left w:val="nil"/>
              <w:bottom w:val="single" w:color="000000" w:sz="4" w:space="0"/>
              <w:right w:val="single" w:color="000000" w:sz="4" w:space="0"/>
            </w:tcBorders>
            <w:shd w:val="clear" w:color="auto" w:fill="auto"/>
            <w:vAlign w:val="center"/>
          </w:tcPr>
          <w:p w14:paraId="2371CFE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21</w:t>
            </w:r>
          </w:p>
        </w:tc>
        <w:tc>
          <w:tcPr>
            <w:tcW w:w="257" w:type="pct"/>
            <w:tcBorders>
              <w:top w:val="nil"/>
              <w:left w:val="nil"/>
              <w:bottom w:val="single" w:color="000000" w:sz="4" w:space="0"/>
              <w:right w:val="single" w:color="000000" w:sz="4" w:space="0"/>
            </w:tcBorders>
            <w:shd w:val="clear" w:color="auto" w:fill="auto"/>
            <w:vAlign w:val="center"/>
          </w:tcPr>
          <w:p w14:paraId="765C72A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21</w:t>
            </w:r>
          </w:p>
        </w:tc>
        <w:tc>
          <w:tcPr>
            <w:tcW w:w="994" w:type="pct"/>
            <w:tcBorders>
              <w:top w:val="nil"/>
              <w:left w:val="nil"/>
              <w:bottom w:val="single" w:color="000000" w:sz="4" w:space="0"/>
              <w:right w:val="single" w:color="000000" w:sz="4" w:space="0"/>
            </w:tcBorders>
            <w:shd w:val="clear" w:color="auto" w:fill="auto"/>
            <w:vAlign w:val="center"/>
          </w:tcPr>
          <w:p w14:paraId="489E2AB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654DCFD">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7D088DAE">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3873D9A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492" w:type="pct"/>
            <w:tcBorders>
              <w:top w:val="nil"/>
              <w:left w:val="nil"/>
              <w:bottom w:val="single" w:color="000000" w:sz="4" w:space="0"/>
              <w:right w:val="single" w:color="000000" w:sz="4" w:space="0"/>
            </w:tcBorders>
            <w:shd w:val="clear" w:color="auto" w:fill="auto"/>
            <w:vAlign w:val="center"/>
          </w:tcPr>
          <w:p w14:paraId="5E8D98C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1027" w:type="pct"/>
            <w:tcBorders>
              <w:top w:val="nil"/>
              <w:left w:val="nil"/>
              <w:bottom w:val="single" w:color="000000" w:sz="4" w:space="0"/>
              <w:right w:val="single" w:color="000000" w:sz="4" w:space="0"/>
            </w:tcBorders>
            <w:shd w:val="clear" w:color="auto" w:fill="auto"/>
            <w:vAlign w:val="center"/>
          </w:tcPr>
          <w:p w14:paraId="2DB0A01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一村一法律顾问服务对象满意度</w:t>
            </w:r>
          </w:p>
        </w:tc>
        <w:tc>
          <w:tcPr>
            <w:tcW w:w="176" w:type="pct"/>
            <w:tcBorders>
              <w:top w:val="nil"/>
              <w:left w:val="nil"/>
              <w:bottom w:val="single" w:color="000000" w:sz="4" w:space="0"/>
              <w:right w:val="single" w:color="000000" w:sz="4" w:space="0"/>
            </w:tcBorders>
            <w:shd w:val="clear" w:color="auto" w:fill="auto"/>
            <w:vAlign w:val="center"/>
          </w:tcPr>
          <w:p w14:paraId="56C3069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66" w:type="pct"/>
            <w:tcBorders>
              <w:top w:val="nil"/>
              <w:left w:val="nil"/>
              <w:bottom w:val="single" w:color="000000" w:sz="4" w:space="0"/>
              <w:right w:val="single" w:color="000000" w:sz="4" w:space="0"/>
            </w:tcBorders>
            <w:shd w:val="clear" w:color="auto" w:fill="auto"/>
            <w:vAlign w:val="center"/>
          </w:tcPr>
          <w:p w14:paraId="05A7EF3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w:t>
            </w:r>
          </w:p>
        </w:tc>
        <w:tc>
          <w:tcPr>
            <w:tcW w:w="176" w:type="pct"/>
            <w:tcBorders>
              <w:top w:val="nil"/>
              <w:left w:val="nil"/>
              <w:bottom w:val="single" w:color="000000" w:sz="4" w:space="0"/>
              <w:right w:val="single" w:color="000000" w:sz="4" w:space="0"/>
            </w:tcBorders>
            <w:shd w:val="clear" w:color="auto" w:fill="auto"/>
            <w:vAlign w:val="center"/>
          </w:tcPr>
          <w:p w14:paraId="668AA98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379" w:type="pct"/>
            <w:tcBorders>
              <w:top w:val="nil"/>
              <w:left w:val="nil"/>
              <w:bottom w:val="single" w:color="000000" w:sz="4" w:space="0"/>
              <w:right w:val="single" w:color="000000" w:sz="4" w:space="0"/>
            </w:tcBorders>
            <w:shd w:val="clear" w:color="auto" w:fill="auto"/>
            <w:vAlign w:val="center"/>
          </w:tcPr>
          <w:p w14:paraId="379F934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w:t>
            </w:r>
          </w:p>
        </w:tc>
        <w:tc>
          <w:tcPr>
            <w:tcW w:w="177" w:type="pct"/>
            <w:tcBorders>
              <w:top w:val="nil"/>
              <w:left w:val="nil"/>
              <w:bottom w:val="single" w:color="000000" w:sz="4" w:space="0"/>
              <w:right w:val="single" w:color="000000" w:sz="4" w:space="0"/>
            </w:tcBorders>
            <w:shd w:val="clear" w:color="auto" w:fill="auto"/>
            <w:vAlign w:val="center"/>
          </w:tcPr>
          <w:p w14:paraId="651A0FD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57" w:type="pct"/>
            <w:tcBorders>
              <w:top w:val="nil"/>
              <w:left w:val="nil"/>
              <w:bottom w:val="single" w:color="000000" w:sz="4" w:space="0"/>
              <w:right w:val="single" w:color="000000" w:sz="4" w:space="0"/>
            </w:tcBorders>
            <w:shd w:val="clear" w:color="auto" w:fill="auto"/>
            <w:vAlign w:val="center"/>
          </w:tcPr>
          <w:p w14:paraId="30F8415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994" w:type="pct"/>
            <w:tcBorders>
              <w:top w:val="nil"/>
              <w:left w:val="nil"/>
              <w:bottom w:val="single" w:color="000000" w:sz="4" w:space="0"/>
              <w:right w:val="single" w:color="000000" w:sz="4" w:space="0"/>
            </w:tcBorders>
            <w:shd w:val="clear" w:color="auto" w:fill="auto"/>
            <w:vAlign w:val="center"/>
          </w:tcPr>
          <w:p w14:paraId="152ED91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B3AC5C2">
        <w:tblPrEx>
          <w:tblCellMar>
            <w:top w:w="0" w:type="dxa"/>
            <w:left w:w="108" w:type="dxa"/>
            <w:bottom w:w="0" w:type="dxa"/>
            <w:right w:w="108" w:type="dxa"/>
          </w:tblCellMar>
        </w:tblPrEx>
        <w:trPr>
          <w:trHeight w:val="402" w:hRule="atLeast"/>
        </w:trPr>
        <w:tc>
          <w:tcPr>
            <w:tcW w:w="197" w:type="pct"/>
            <w:tcBorders>
              <w:top w:val="nil"/>
              <w:left w:val="single" w:color="000000" w:sz="4" w:space="0"/>
              <w:bottom w:val="nil"/>
              <w:right w:val="single" w:color="000000" w:sz="4" w:space="0"/>
            </w:tcBorders>
            <w:shd w:val="clear" w:color="auto" w:fill="auto"/>
            <w:vAlign w:val="center"/>
          </w:tcPr>
          <w:p w14:paraId="7F410F9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59" w:type="pct"/>
            <w:tcBorders>
              <w:top w:val="nil"/>
              <w:left w:val="nil"/>
              <w:bottom w:val="single" w:color="000000" w:sz="4" w:space="0"/>
              <w:right w:val="single" w:color="000000" w:sz="4" w:space="0"/>
            </w:tcBorders>
            <w:shd w:val="clear" w:color="auto" w:fill="auto"/>
            <w:vAlign w:val="center"/>
          </w:tcPr>
          <w:p w14:paraId="6673D58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492" w:type="pct"/>
            <w:tcBorders>
              <w:top w:val="nil"/>
              <w:left w:val="nil"/>
              <w:bottom w:val="single" w:color="000000" w:sz="4" w:space="0"/>
              <w:right w:val="single" w:color="000000" w:sz="4" w:space="0"/>
            </w:tcBorders>
            <w:shd w:val="clear" w:color="auto" w:fill="auto"/>
            <w:vAlign w:val="center"/>
          </w:tcPr>
          <w:p w14:paraId="6969141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027" w:type="pct"/>
            <w:tcBorders>
              <w:top w:val="nil"/>
              <w:left w:val="nil"/>
              <w:bottom w:val="single" w:color="000000" w:sz="4" w:space="0"/>
              <w:right w:val="single" w:color="000000" w:sz="4" w:space="0"/>
            </w:tcBorders>
            <w:shd w:val="clear" w:color="auto" w:fill="auto"/>
            <w:vAlign w:val="center"/>
          </w:tcPr>
          <w:p w14:paraId="04DE053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购买基层法律工作者支出</w:t>
            </w:r>
          </w:p>
        </w:tc>
        <w:tc>
          <w:tcPr>
            <w:tcW w:w="176" w:type="pct"/>
            <w:tcBorders>
              <w:top w:val="nil"/>
              <w:left w:val="nil"/>
              <w:bottom w:val="single" w:color="000000" w:sz="4" w:space="0"/>
              <w:right w:val="single" w:color="000000" w:sz="4" w:space="0"/>
            </w:tcBorders>
            <w:shd w:val="clear" w:color="auto" w:fill="auto"/>
            <w:vAlign w:val="center"/>
          </w:tcPr>
          <w:p w14:paraId="48958D8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6" w:type="pct"/>
            <w:tcBorders>
              <w:top w:val="nil"/>
              <w:left w:val="nil"/>
              <w:bottom w:val="single" w:color="000000" w:sz="4" w:space="0"/>
              <w:right w:val="single" w:color="000000" w:sz="4" w:space="0"/>
            </w:tcBorders>
            <w:shd w:val="clear" w:color="auto" w:fill="auto"/>
            <w:vAlign w:val="center"/>
          </w:tcPr>
          <w:p w14:paraId="10A276C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100000</w:t>
            </w:r>
          </w:p>
        </w:tc>
        <w:tc>
          <w:tcPr>
            <w:tcW w:w="176" w:type="pct"/>
            <w:tcBorders>
              <w:top w:val="nil"/>
              <w:left w:val="nil"/>
              <w:bottom w:val="single" w:color="000000" w:sz="4" w:space="0"/>
              <w:right w:val="single" w:color="000000" w:sz="4" w:space="0"/>
            </w:tcBorders>
            <w:shd w:val="clear" w:color="auto" w:fill="auto"/>
            <w:vAlign w:val="center"/>
          </w:tcPr>
          <w:p w14:paraId="1C20209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元/年</w:t>
            </w:r>
          </w:p>
        </w:tc>
        <w:tc>
          <w:tcPr>
            <w:tcW w:w="379" w:type="pct"/>
            <w:tcBorders>
              <w:top w:val="nil"/>
              <w:left w:val="nil"/>
              <w:bottom w:val="single" w:color="000000" w:sz="4" w:space="0"/>
              <w:right w:val="single" w:color="000000" w:sz="4" w:space="0"/>
            </w:tcBorders>
            <w:shd w:val="clear" w:color="auto" w:fill="auto"/>
            <w:vAlign w:val="center"/>
          </w:tcPr>
          <w:p w14:paraId="36EF8D9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86960</w:t>
            </w:r>
          </w:p>
        </w:tc>
        <w:tc>
          <w:tcPr>
            <w:tcW w:w="177" w:type="pct"/>
            <w:tcBorders>
              <w:top w:val="nil"/>
              <w:left w:val="nil"/>
              <w:bottom w:val="single" w:color="000000" w:sz="4" w:space="0"/>
              <w:right w:val="single" w:color="000000" w:sz="4" w:space="0"/>
            </w:tcBorders>
            <w:shd w:val="clear" w:color="auto" w:fill="auto"/>
            <w:vAlign w:val="center"/>
          </w:tcPr>
          <w:p w14:paraId="13CBE8F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17</w:t>
            </w:r>
          </w:p>
        </w:tc>
        <w:tc>
          <w:tcPr>
            <w:tcW w:w="257" w:type="pct"/>
            <w:tcBorders>
              <w:top w:val="nil"/>
              <w:left w:val="nil"/>
              <w:bottom w:val="single" w:color="000000" w:sz="4" w:space="0"/>
              <w:right w:val="single" w:color="000000" w:sz="4" w:space="0"/>
            </w:tcBorders>
            <w:shd w:val="clear" w:color="auto" w:fill="auto"/>
            <w:vAlign w:val="center"/>
          </w:tcPr>
          <w:p w14:paraId="3AA87BE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17</w:t>
            </w:r>
          </w:p>
        </w:tc>
        <w:tc>
          <w:tcPr>
            <w:tcW w:w="994" w:type="pct"/>
            <w:tcBorders>
              <w:top w:val="nil"/>
              <w:left w:val="nil"/>
              <w:bottom w:val="single" w:color="000000" w:sz="4" w:space="0"/>
              <w:right w:val="single" w:color="000000" w:sz="4" w:space="0"/>
            </w:tcBorders>
            <w:shd w:val="clear" w:color="auto" w:fill="auto"/>
            <w:vAlign w:val="center"/>
          </w:tcPr>
          <w:p w14:paraId="5DC8E65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6DB3839">
        <w:tblPrEx>
          <w:tblCellMar>
            <w:top w:w="0" w:type="dxa"/>
            <w:left w:w="108" w:type="dxa"/>
            <w:bottom w:w="0" w:type="dxa"/>
            <w:right w:w="108" w:type="dxa"/>
          </w:tblCellMar>
        </w:tblPrEx>
        <w:trPr>
          <w:trHeight w:val="28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479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559" w:type="pct"/>
            <w:tcBorders>
              <w:top w:val="nil"/>
              <w:left w:val="nil"/>
              <w:bottom w:val="single" w:color="000000" w:sz="4" w:space="0"/>
              <w:right w:val="single" w:color="000000" w:sz="4" w:space="0"/>
            </w:tcBorders>
            <w:shd w:val="clear" w:color="auto" w:fill="auto"/>
            <w:vAlign w:val="center"/>
          </w:tcPr>
          <w:p w14:paraId="710A427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92" w:type="pct"/>
            <w:tcBorders>
              <w:top w:val="nil"/>
              <w:left w:val="nil"/>
              <w:bottom w:val="single" w:color="000000" w:sz="4" w:space="0"/>
              <w:right w:val="single" w:color="000000" w:sz="4" w:space="0"/>
            </w:tcBorders>
            <w:shd w:val="clear" w:color="auto" w:fill="auto"/>
            <w:vAlign w:val="center"/>
          </w:tcPr>
          <w:p w14:paraId="248DDF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27" w:type="pct"/>
            <w:tcBorders>
              <w:top w:val="nil"/>
              <w:left w:val="nil"/>
              <w:bottom w:val="single" w:color="000000" w:sz="4" w:space="0"/>
              <w:right w:val="single" w:color="000000" w:sz="4" w:space="0"/>
            </w:tcBorders>
            <w:shd w:val="clear" w:color="auto" w:fill="auto"/>
            <w:vAlign w:val="center"/>
          </w:tcPr>
          <w:p w14:paraId="3C24D0F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10F45B0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66" w:type="pct"/>
            <w:tcBorders>
              <w:top w:val="nil"/>
              <w:left w:val="nil"/>
              <w:bottom w:val="single" w:color="000000" w:sz="4" w:space="0"/>
              <w:right w:val="single" w:color="000000" w:sz="4" w:space="0"/>
            </w:tcBorders>
            <w:shd w:val="clear" w:color="auto" w:fill="auto"/>
            <w:vAlign w:val="center"/>
          </w:tcPr>
          <w:p w14:paraId="7F9E5AE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6947376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9" w:type="pct"/>
            <w:tcBorders>
              <w:top w:val="nil"/>
              <w:left w:val="nil"/>
              <w:bottom w:val="single" w:color="000000" w:sz="4" w:space="0"/>
              <w:right w:val="single" w:color="000000" w:sz="4" w:space="0"/>
            </w:tcBorders>
            <w:shd w:val="clear" w:color="auto" w:fill="auto"/>
            <w:vAlign w:val="center"/>
          </w:tcPr>
          <w:p w14:paraId="19F0A77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50EFAEB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57" w:type="pct"/>
            <w:tcBorders>
              <w:top w:val="nil"/>
              <w:left w:val="nil"/>
              <w:bottom w:val="single" w:color="000000" w:sz="4" w:space="0"/>
              <w:right w:val="single" w:color="000000" w:sz="4" w:space="0"/>
            </w:tcBorders>
            <w:shd w:val="clear" w:color="auto" w:fill="auto"/>
            <w:vAlign w:val="center"/>
          </w:tcPr>
          <w:p w14:paraId="22FBE3B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98.696</w:t>
            </w:r>
          </w:p>
        </w:tc>
        <w:tc>
          <w:tcPr>
            <w:tcW w:w="994" w:type="pct"/>
            <w:tcBorders>
              <w:top w:val="nil"/>
              <w:left w:val="nil"/>
              <w:bottom w:val="single" w:color="000000" w:sz="4" w:space="0"/>
              <w:right w:val="single" w:color="000000" w:sz="4" w:space="0"/>
            </w:tcBorders>
            <w:shd w:val="clear" w:color="auto" w:fill="auto"/>
            <w:vAlign w:val="center"/>
          </w:tcPr>
          <w:p w14:paraId="396495D6">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13ADC003">
        <w:tblPrEx>
          <w:tblCellMar>
            <w:top w:w="0" w:type="dxa"/>
            <w:left w:w="108" w:type="dxa"/>
            <w:bottom w:w="0" w:type="dxa"/>
            <w:right w:w="108" w:type="dxa"/>
          </w:tblCellMar>
        </w:tblPrEx>
        <w:trPr>
          <w:trHeight w:val="1200"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4352C7E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60567611">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部分绩效指标量化程度不够，绩效评价得分“98.70”，评价等级为“优”。</w:t>
            </w:r>
          </w:p>
        </w:tc>
      </w:tr>
      <w:tr w14:paraId="7E9A854C">
        <w:tblPrEx>
          <w:tblCellMar>
            <w:top w:w="0" w:type="dxa"/>
            <w:left w:w="108" w:type="dxa"/>
            <w:bottom w:w="0" w:type="dxa"/>
            <w:right w:w="108" w:type="dxa"/>
          </w:tblCellMar>
        </w:tblPrEx>
        <w:trPr>
          <w:trHeight w:val="942"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5F4FFC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17A745F2">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部分绩效指标可能不够量化。我局项目目标制定完整，包含数量、质量、时效、成本、效益及满意度等要素，绩效目标编制要素齐全，但是部分指标如社会效益指标等可能不够量化。</w:t>
            </w:r>
          </w:p>
        </w:tc>
      </w:tr>
      <w:tr w14:paraId="7A17B524">
        <w:tblPrEx>
          <w:tblCellMar>
            <w:top w:w="0" w:type="dxa"/>
            <w:left w:w="108" w:type="dxa"/>
            <w:bottom w:w="0" w:type="dxa"/>
            <w:right w:w="108" w:type="dxa"/>
          </w:tblCellMar>
        </w:tblPrEx>
        <w:trPr>
          <w:trHeight w:val="1242"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3192968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5635CD3B">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我局应完善项目绩效目标，设定明确合理的绩效目标，绩效目标与部门的长期规划、年度工作目标相一致，设定与解决我局当下工作面临的问题相匹配、与区应急管理局现实需求相匹配的绩效目标。</w:t>
            </w:r>
          </w:p>
        </w:tc>
      </w:tr>
      <w:tr w14:paraId="2605554C">
        <w:tblPrEx>
          <w:tblCellMar>
            <w:top w:w="0" w:type="dxa"/>
            <w:left w:w="108" w:type="dxa"/>
            <w:bottom w:w="0" w:type="dxa"/>
            <w:right w:w="108" w:type="dxa"/>
          </w:tblCellMar>
        </w:tblPrEx>
        <w:trPr>
          <w:trHeight w:val="619" w:hRule="atLeast"/>
        </w:trPr>
        <w:tc>
          <w:tcPr>
            <w:tcW w:w="24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2C9FE">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w:t>
            </w:r>
            <w:bookmarkStart w:id="127" w:name="OLE_LINK56"/>
            <w:bookmarkStart w:id="128" w:name="OLE_LINK55"/>
            <w:r>
              <w:rPr>
                <w:rFonts w:ascii="Courier New" w:hAnsi="Courier New" w:eastAsia="宋体" w:cs="Courier New"/>
                <w:color w:val="auto"/>
                <w:sz w:val="18"/>
                <w:szCs w:val="18"/>
              </w:rPr>
              <w:t>顾震</w:t>
            </w:r>
            <w:bookmarkEnd w:id="127"/>
            <w:bookmarkEnd w:id="128"/>
          </w:p>
        </w:tc>
        <w:tc>
          <w:tcPr>
            <w:tcW w:w="2549" w:type="pct"/>
            <w:gridSpan w:val="6"/>
            <w:tcBorders>
              <w:top w:val="single" w:color="000000" w:sz="4" w:space="0"/>
              <w:left w:val="nil"/>
              <w:bottom w:val="single" w:color="000000" w:sz="4" w:space="0"/>
              <w:right w:val="single" w:color="000000" w:sz="4" w:space="0"/>
            </w:tcBorders>
            <w:shd w:val="clear" w:color="auto" w:fill="auto"/>
            <w:vAlign w:val="center"/>
          </w:tcPr>
          <w:p w14:paraId="4312BEFD">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075345B7">
      <w:pPr>
        <w:pStyle w:val="4"/>
        <w:rPr>
          <w:rFonts w:eastAsia="方正小标宋简体"/>
          <w:sz w:val="44"/>
          <w:szCs w:val="44"/>
        </w:rPr>
      </w:pPr>
    </w:p>
    <w:p w14:paraId="778C0EEB">
      <w:pPr>
        <w:rPr>
          <w:rFonts w:eastAsia="方正小标宋简体"/>
          <w:sz w:val="44"/>
          <w:szCs w:val="44"/>
        </w:rPr>
      </w:pPr>
    </w:p>
    <w:p w14:paraId="25043388">
      <w:pPr>
        <w:pStyle w:val="2"/>
        <w:widowControl w:val="0"/>
        <w:numPr>
          <w:ilvl w:val="0"/>
          <w:numId w:val="0"/>
        </w:numPr>
        <w:jc w:val="both"/>
      </w:pPr>
    </w:p>
    <w:tbl>
      <w:tblPr>
        <w:tblStyle w:val="36"/>
        <w:tblW w:w="5000" w:type="pct"/>
        <w:tblInd w:w="0" w:type="dxa"/>
        <w:tblLayout w:type="autofit"/>
        <w:tblCellMar>
          <w:top w:w="0" w:type="dxa"/>
          <w:left w:w="108" w:type="dxa"/>
          <w:bottom w:w="0" w:type="dxa"/>
          <w:right w:w="108" w:type="dxa"/>
        </w:tblCellMar>
      </w:tblPr>
      <w:tblGrid>
        <w:gridCol w:w="576"/>
        <w:gridCol w:w="913"/>
        <w:gridCol w:w="788"/>
        <w:gridCol w:w="1793"/>
        <w:gridCol w:w="396"/>
        <w:gridCol w:w="924"/>
        <w:gridCol w:w="396"/>
        <w:gridCol w:w="846"/>
        <w:gridCol w:w="486"/>
        <w:gridCol w:w="396"/>
        <w:gridCol w:w="1728"/>
      </w:tblGrid>
      <w:tr w14:paraId="328225BF">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AFDA5BF">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5EC61CC0">
        <w:tblPrEx>
          <w:tblCellMar>
            <w:top w:w="0" w:type="dxa"/>
            <w:left w:w="108" w:type="dxa"/>
            <w:bottom w:w="0" w:type="dxa"/>
            <w:right w:w="108" w:type="dxa"/>
          </w:tblCellMar>
        </w:tblPrEx>
        <w:trPr>
          <w:trHeight w:val="559" w:hRule="atLeast"/>
        </w:trPr>
        <w:tc>
          <w:tcPr>
            <w:tcW w:w="762" w:type="pct"/>
            <w:gridSpan w:val="2"/>
            <w:tcBorders>
              <w:top w:val="nil"/>
              <w:left w:val="single" w:color="auto" w:sz="4" w:space="0"/>
              <w:bottom w:val="single" w:color="000000" w:sz="4" w:space="0"/>
              <w:right w:val="single" w:color="auto" w:sz="4" w:space="0"/>
            </w:tcBorders>
            <w:shd w:val="clear" w:color="auto" w:fill="auto"/>
            <w:vAlign w:val="center"/>
          </w:tcPr>
          <w:p w14:paraId="517942DB">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238" w:type="pct"/>
            <w:gridSpan w:val="9"/>
            <w:tcBorders>
              <w:top w:val="nil"/>
              <w:left w:val="nil"/>
              <w:bottom w:val="single" w:color="000000" w:sz="4" w:space="0"/>
              <w:right w:val="single" w:color="auto" w:sz="4" w:space="0"/>
            </w:tcBorders>
            <w:shd w:val="clear" w:color="auto" w:fill="auto"/>
            <w:vAlign w:val="center"/>
          </w:tcPr>
          <w:p w14:paraId="20342A0A">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51090422T000000378663-购买政府法律顾问服务</w:t>
            </w:r>
          </w:p>
        </w:tc>
      </w:tr>
      <w:tr w14:paraId="0149A679">
        <w:tblPrEx>
          <w:tblCellMar>
            <w:top w:w="0" w:type="dxa"/>
            <w:left w:w="108" w:type="dxa"/>
            <w:bottom w:w="0" w:type="dxa"/>
            <w:right w:w="108" w:type="dxa"/>
          </w:tblCellMar>
        </w:tblPrEx>
        <w:trPr>
          <w:trHeight w:val="514" w:hRule="atLeast"/>
        </w:trPr>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D87D6">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463" w:type="pct"/>
            <w:gridSpan w:val="5"/>
            <w:tcBorders>
              <w:top w:val="single" w:color="000000" w:sz="4" w:space="0"/>
              <w:left w:val="nil"/>
              <w:bottom w:val="single" w:color="000000" w:sz="4" w:space="0"/>
              <w:right w:val="single" w:color="000000" w:sz="4" w:space="0"/>
            </w:tcBorders>
            <w:shd w:val="clear" w:color="auto" w:fill="auto"/>
            <w:vAlign w:val="center"/>
          </w:tcPr>
          <w:p w14:paraId="5E8B80C8">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381" w:type="pct"/>
            <w:tcBorders>
              <w:top w:val="nil"/>
              <w:left w:val="nil"/>
              <w:bottom w:val="nil"/>
              <w:right w:val="nil"/>
            </w:tcBorders>
            <w:shd w:val="clear" w:color="auto" w:fill="auto"/>
            <w:vAlign w:val="center"/>
          </w:tcPr>
          <w:p w14:paraId="02B02402">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3255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454F2DFA">
        <w:tblPrEx>
          <w:tblCellMar>
            <w:top w:w="0" w:type="dxa"/>
            <w:left w:w="108" w:type="dxa"/>
            <w:bottom w:w="0" w:type="dxa"/>
            <w:right w:w="108" w:type="dxa"/>
          </w:tblCellMar>
        </w:tblPrEx>
        <w:trPr>
          <w:trHeight w:val="360" w:hRule="atLeast"/>
        </w:trPr>
        <w:tc>
          <w:tcPr>
            <w:tcW w:w="197" w:type="pct"/>
            <w:vMerge w:val="restart"/>
            <w:tcBorders>
              <w:top w:val="nil"/>
              <w:left w:val="single" w:color="000000" w:sz="4" w:space="0"/>
              <w:bottom w:val="single" w:color="000000" w:sz="4" w:space="0"/>
              <w:right w:val="single" w:color="000000" w:sz="4" w:space="0"/>
            </w:tcBorders>
            <w:shd w:val="clear" w:color="auto" w:fill="auto"/>
            <w:vAlign w:val="center"/>
          </w:tcPr>
          <w:p w14:paraId="7760838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565" w:type="pct"/>
            <w:vMerge w:val="restart"/>
            <w:tcBorders>
              <w:top w:val="nil"/>
              <w:left w:val="single" w:color="000000" w:sz="4" w:space="0"/>
              <w:bottom w:val="single" w:color="000000" w:sz="4" w:space="0"/>
              <w:right w:val="single" w:color="000000" w:sz="4" w:space="0"/>
            </w:tcBorders>
            <w:shd w:val="clear" w:color="auto" w:fill="auto"/>
            <w:vAlign w:val="center"/>
          </w:tcPr>
          <w:p w14:paraId="2EB9143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463" w:type="pct"/>
            <w:gridSpan w:val="5"/>
            <w:tcBorders>
              <w:top w:val="single" w:color="000000" w:sz="4" w:space="0"/>
              <w:left w:val="nil"/>
              <w:bottom w:val="single" w:color="000000" w:sz="4" w:space="0"/>
              <w:right w:val="single" w:color="000000" w:sz="4" w:space="0"/>
            </w:tcBorders>
            <w:shd w:val="clear" w:color="auto" w:fill="auto"/>
            <w:vAlign w:val="center"/>
          </w:tcPr>
          <w:p w14:paraId="421BB06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776" w:type="pct"/>
            <w:gridSpan w:val="4"/>
            <w:tcBorders>
              <w:top w:val="single" w:color="000000" w:sz="4" w:space="0"/>
              <w:left w:val="nil"/>
              <w:bottom w:val="single" w:color="000000" w:sz="4" w:space="0"/>
              <w:right w:val="single" w:color="000000" w:sz="4" w:space="0"/>
            </w:tcBorders>
            <w:shd w:val="clear" w:color="auto" w:fill="auto"/>
            <w:vAlign w:val="center"/>
          </w:tcPr>
          <w:p w14:paraId="527A52E8">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3BAA350F">
        <w:tblPrEx>
          <w:tblCellMar>
            <w:top w:w="0" w:type="dxa"/>
            <w:left w:w="108" w:type="dxa"/>
            <w:bottom w:w="0" w:type="dxa"/>
            <w:right w:w="108" w:type="dxa"/>
          </w:tblCellMar>
        </w:tblPrEx>
        <w:trPr>
          <w:trHeight w:val="2682" w:hRule="atLeast"/>
        </w:trPr>
        <w:tc>
          <w:tcPr>
            <w:tcW w:w="197" w:type="pct"/>
            <w:vMerge w:val="continue"/>
            <w:tcBorders>
              <w:top w:val="nil"/>
              <w:left w:val="single" w:color="000000" w:sz="4" w:space="0"/>
              <w:bottom w:val="single" w:color="000000" w:sz="4" w:space="0"/>
              <w:right w:val="single" w:color="000000" w:sz="4" w:space="0"/>
            </w:tcBorders>
            <w:vAlign w:val="center"/>
          </w:tcPr>
          <w:p w14:paraId="76D502DD">
            <w:pPr>
              <w:widowControl/>
              <w:jc w:val="left"/>
              <w:rPr>
                <w:rFonts w:ascii="宋体" w:hAnsi="宋体" w:eastAsia="宋体" w:cs="宋体"/>
                <w:color w:val="000000"/>
                <w:sz w:val="18"/>
                <w:szCs w:val="18"/>
              </w:rPr>
            </w:pPr>
          </w:p>
        </w:tc>
        <w:tc>
          <w:tcPr>
            <w:tcW w:w="565" w:type="pct"/>
            <w:vMerge w:val="continue"/>
            <w:tcBorders>
              <w:top w:val="nil"/>
              <w:left w:val="single" w:color="000000" w:sz="4" w:space="0"/>
              <w:bottom w:val="single" w:color="000000" w:sz="4" w:space="0"/>
              <w:right w:val="single" w:color="000000" w:sz="4" w:space="0"/>
            </w:tcBorders>
            <w:vAlign w:val="center"/>
          </w:tcPr>
          <w:p w14:paraId="0BB1ED81">
            <w:pPr>
              <w:widowControl/>
              <w:jc w:val="left"/>
              <w:rPr>
                <w:rFonts w:ascii="宋体" w:hAnsi="宋体" w:eastAsia="宋体" w:cs="宋体"/>
                <w:color w:val="000000"/>
                <w:sz w:val="18"/>
                <w:szCs w:val="18"/>
              </w:rPr>
            </w:pPr>
          </w:p>
        </w:tc>
        <w:tc>
          <w:tcPr>
            <w:tcW w:w="2463" w:type="pct"/>
            <w:gridSpan w:val="5"/>
            <w:tcBorders>
              <w:top w:val="single" w:color="000000" w:sz="4" w:space="0"/>
              <w:left w:val="nil"/>
              <w:bottom w:val="single" w:color="000000" w:sz="4" w:space="0"/>
              <w:right w:val="single" w:color="000000" w:sz="4" w:space="0"/>
            </w:tcBorders>
            <w:shd w:val="clear" w:color="auto" w:fill="auto"/>
            <w:vAlign w:val="center"/>
          </w:tcPr>
          <w:p w14:paraId="6E94347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根据司法部、财政部关于建立健全政府购买法律服务机制的意见（司发通[2020]72号）文件，政府履职所需辅助性法律服务。主要是政府委托律师、基层法律服务工作者等社会力量提供的政府服务及其他辅助性法律服务。包括参与重大决策、重大执法决定定合法性审查，为重大决策、重大行政行为提供法律意见。</w:t>
            </w:r>
          </w:p>
        </w:tc>
        <w:tc>
          <w:tcPr>
            <w:tcW w:w="1776" w:type="pct"/>
            <w:gridSpan w:val="4"/>
            <w:tcBorders>
              <w:top w:val="single" w:color="000000" w:sz="4" w:space="0"/>
              <w:left w:val="nil"/>
              <w:bottom w:val="single" w:color="000000" w:sz="4" w:space="0"/>
              <w:right w:val="single" w:color="000000" w:sz="4" w:space="0"/>
            </w:tcBorders>
            <w:shd w:val="clear" w:color="auto" w:fill="auto"/>
            <w:vAlign w:val="center"/>
          </w:tcPr>
          <w:p w14:paraId="259B1A47">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将村居法律顾问服务纳入政府购买服务范畴，依托303名村（居）法律顾问坐诊“家门口”，深入基层提供全覆盖、零距离、无障碍的专项法律服务，协助调处因体制改革引发的矛盾纠纷。全年共为村(社区）提供土地交付、承包经营等方面的法律意见140余条。</w:t>
            </w:r>
          </w:p>
        </w:tc>
      </w:tr>
      <w:tr w14:paraId="02BA5D37">
        <w:tblPrEx>
          <w:tblCellMar>
            <w:top w:w="0" w:type="dxa"/>
            <w:left w:w="108" w:type="dxa"/>
            <w:bottom w:w="0" w:type="dxa"/>
            <w:right w:w="108" w:type="dxa"/>
          </w:tblCellMar>
        </w:tblPrEx>
        <w:trPr>
          <w:trHeight w:val="1140" w:hRule="atLeast"/>
        </w:trPr>
        <w:tc>
          <w:tcPr>
            <w:tcW w:w="197" w:type="pct"/>
            <w:vMerge w:val="continue"/>
            <w:tcBorders>
              <w:top w:val="nil"/>
              <w:left w:val="single" w:color="000000" w:sz="4" w:space="0"/>
              <w:bottom w:val="single" w:color="000000" w:sz="4" w:space="0"/>
              <w:right w:val="single" w:color="000000" w:sz="4" w:space="0"/>
            </w:tcBorders>
            <w:vAlign w:val="center"/>
          </w:tcPr>
          <w:p w14:paraId="15D6D518">
            <w:pPr>
              <w:widowControl/>
              <w:jc w:val="left"/>
              <w:rPr>
                <w:rFonts w:ascii="宋体" w:hAnsi="宋体" w:eastAsia="宋体" w:cs="宋体"/>
                <w:color w:val="000000"/>
                <w:sz w:val="18"/>
                <w:szCs w:val="18"/>
              </w:rPr>
            </w:pPr>
          </w:p>
        </w:tc>
        <w:tc>
          <w:tcPr>
            <w:tcW w:w="565" w:type="pct"/>
            <w:tcBorders>
              <w:top w:val="nil"/>
              <w:left w:val="nil"/>
              <w:bottom w:val="single" w:color="000000" w:sz="4" w:space="0"/>
              <w:right w:val="single" w:color="000000" w:sz="4" w:space="0"/>
            </w:tcBorders>
            <w:shd w:val="clear" w:color="auto" w:fill="auto"/>
            <w:vAlign w:val="center"/>
          </w:tcPr>
          <w:p w14:paraId="08537D16">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238" w:type="pct"/>
            <w:gridSpan w:val="9"/>
            <w:tcBorders>
              <w:top w:val="single" w:color="000000" w:sz="4" w:space="0"/>
              <w:left w:val="nil"/>
              <w:bottom w:val="single" w:color="000000" w:sz="4" w:space="0"/>
              <w:right w:val="single" w:color="000000" w:sz="4" w:space="0"/>
            </w:tcBorders>
            <w:shd w:val="clear" w:color="auto" w:fill="auto"/>
            <w:vAlign w:val="center"/>
          </w:tcPr>
          <w:p w14:paraId="06ED893A">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为乡村振兴提供法治保障。将村居法律顾问服务纳入政府购买服务范畴，依托303名村（居）法律顾问坐诊“家门口”，深入基层提供全覆盖、零距离、无障碍的专项法律服务，协助调处因体制改革引发的矛盾纠纷。全年共为村(社区）提供土地交付、承包经营等方面的法律意见140余条。</w:t>
            </w:r>
          </w:p>
        </w:tc>
      </w:tr>
      <w:tr w14:paraId="3F027E32">
        <w:tblPrEx>
          <w:tblCellMar>
            <w:top w:w="0" w:type="dxa"/>
            <w:left w:w="108" w:type="dxa"/>
            <w:bottom w:w="0" w:type="dxa"/>
            <w:right w:w="108" w:type="dxa"/>
          </w:tblCellMar>
        </w:tblPrEx>
        <w:trPr>
          <w:trHeight w:val="619" w:hRule="atLeast"/>
        </w:trPr>
        <w:tc>
          <w:tcPr>
            <w:tcW w:w="197" w:type="pct"/>
            <w:vMerge w:val="restart"/>
            <w:tcBorders>
              <w:top w:val="nil"/>
              <w:left w:val="single" w:color="000000" w:sz="4" w:space="0"/>
              <w:bottom w:val="single" w:color="000000" w:sz="4" w:space="0"/>
              <w:right w:val="single" w:color="000000" w:sz="4" w:space="0"/>
            </w:tcBorders>
            <w:shd w:val="clear" w:color="auto" w:fill="auto"/>
            <w:vAlign w:val="center"/>
          </w:tcPr>
          <w:p w14:paraId="6F745E1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565" w:type="pct"/>
            <w:tcBorders>
              <w:top w:val="nil"/>
              <w:left w:val="nil"/>
              <w:bottom w:val="single" w:color="000000" w:sz="4" w:space="0"/>
              <w:right w:val="single" w:color="000000" w:sz="4" w:space="0"/>
            </w:tcBorders>
            <w:shd w:val="clear" w:color="auto" w:fill="auto"/>
            <w:vAlign w:val="center"/>
          </w:tcPr>
          <w:p w14:paraId="49427C9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497" w:type="pct"/>
            <w:tcBorders>
              <w:top w:val="nil"/>
              <w:left w:val="nil"/>
              <w:bottom w:val="single" w:color="000000" w:sz="4" w:space="0"/>
              <w:right w:val="single" w:color="000000" w:sz="4" w:space="0"/>
            </w:tcBorders>
            <w:shd w:val="clear" w:color="auto" w:fill="auto"/>
            <w:vAlign w:val="center"/>
          </w:tcPr>
          <w:p w14:paraId="64891B2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1041" w:type="pct"/>
            <w:tcBorders>
              <w:top w:val="nil"/>
              <w:left w:val="nil"/>
              <w:bottom w:val="single" w:color="000000" w:sz="4" w:space="0"/>
              <w:right w:val="single" w:color="000000" w:sz="4" w:space="0"/>
            </w:tcBorders>
            <w:shd w:val="clear" w:color="auto" w:fill="auto"/>
            <w:vAlign w:val="center"/>
          </w:tcPr>
          <w:p w14:paraId="2B632F4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925" w:type="pct"/>
            <w:gridSpan w:val="3"/>
            <w:tcBorders>
              <w:top w:val="single" w:color="000000" w:sz="4" w:space="0"/>
              <w:left w:val="nil"/>
              <w:bottom w:val="single" w:color="000000" w:sz="4" w:space="0"/>
              <w:right w:val="single" w:color="000000" w:sz="4" w:space="0"/>
            </w:tcBorders>
            <w:shd w:val="clear" w:color="auto" w:fill="auto"/>
            <w:vAlign w:val="center"/>
          </w:tcPr>
          <w:p w14:paraId="584AB76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381" w:type="pct"/>
            <w:tcBorders>
              <w:top w:val="nil"/>
              <w:left w:val="nil"/>
              <w:bottom w:val="single" w:color="000000" w:sz="4" w:space="0"/>
              <w:right w:val="single" w:color="000000" w:sz="4" w:space="0"/>
            </w:tcBorders>
            <w:shd w:val="clear" w:color="auto" w:fill="auto"/>
            <w:vAlign w:val="center"/>
          </w:tcPr>
          <w:p w14:paraId="308E3D0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77" w:type="pct"/>
            <w:tcBorders>
              <w:top w:val="nil"/>
              <w:left w:val="nil"/>
              <w:bottom w:val="single" w:color="000000" w:sz="4" w:space="0"/>
              <w:right w:val="single" w:color="000000" w:sz="4" w:space="0"/>
            </w:tcBorders>
            <w:shd w:val="clear" w:color="auto" w:fill="auto"/>
            <w:vAlign w:val="center"/>
          </w:tcPr>
          <w:p w14:paraId="79B03D8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11" w:type="pct"/>
            <w:tcBorders>
              <w:top w:val="nil"/>
              <w:left w:val="nil"/>
              <w:bottom w:val="single" w:color="000000" w:sz="4" w:space="0"/>
              <w:right w:val="single" w:color="000000" w:sz="4" w:space="0"/>
            </w:tcBorders>
            <w:shd w:val="clear" w:color="auto" w:fill="auto"/>
            <w:vAlign w:val="center"/>
          </w:tcPr>
          <w:p w14:paraId="4C68835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07" w:type="pct"/>
            <w:tcBorders>
              <w:top w:val="nil"/>
              <w:left w:val="nil"/>
              <w:bottom w:val="single" w:color="000000" w:sz="4" w:space="0"/>
              <w:right w:val="single" w:color="000000" w:sz="4" w:space="0"/>
            </w:tcBorders>
            <w:shd w:val="clear" w:color="auto" w:fill="auto"/>
            <w:vAlign w:val="center"/>
          </w:tcPr>
          <w:p w14:paraId="439323B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313A31C4">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39BC87BB">
            <w:pPr>
              <w:widowControl/>
              <w:jc w:val="left"/>
              <w:rPr>
                <w:rFonts w:ascii="宋体" w:hAnsi="宋体" w:eastAsia="宋体" w:cs="宋体"/>
                <w:color w:val="000000"/>
                <w:sz w:val="18"/>
                <w:szCs w:val="18"/>
              </w:rPr>
            </w:pPr>
          </w:p>
        </w:tc>
        <w:tc>
          <w:tcPr>
            <w:tcW w:w="565" w:type="pct"/>
            <w:tcBorders>
              <w:top w:val="nil"/>
              <w:left w:val="nil"/>
              <w:bottom w:val="single" w:color="000000" w:sz="4" w:space="0"/>
              <w:right w:val="single" w:color="000000" w:sz="4" w:space="0"/>
            </w:tcBorders>
            <w:shd w:val="clear" w:color="auto" w:fill="auto"/>
            <w:vAlign w:val="center"/>
          </w:tcPr>
          <w:p w14:paraId="6703B37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497" w:type="pct"/>
            <w:tcBorders>
              <w:top w:val="nil"/>
              <w:left w:val="nil"/>
              <w:bottom w:val="single" w:color="000000" w:sz="4" w:space="0"/>
              <w:right w:val="single" w:color="000000" w:sz="4" w:space="0"/>
            </w:tcBorders>
            <w:shd w:val="clear" w:color="auto" w:fill="auto"/>
            <w:vAlign w:val="center"/>
          </w:tcPr>
          <w:p w14:paraId="6459D3E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30.00</w:t>
            </w:r>
          </w:p>
        </w:tc>
        <w:tc>
          <w:tcPr>
            <w:tcW w:w="1041" w:type="pct"/>
            <w:tcBorders>
              <w:top w:val="nil"/>
              <w:left w:val="nil"/>
              <w:bottom w:val="single" w:color="000000" w:sz="4" w:space="0"/>
              <w:right w:val="single" w:color="000000" w:sz="4" w:space="0"/>
            </w:tcBorders>
            <w:shd w:val="clear" w:color="auto" w:fill="auto"/>
            <w:vAlign w:val="center"/>
          </w:tcPr>
          <w:p w14:paraId="1FEA564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30.00</w:t>
            </w:r>
          </w:p>
        </w:tc>
        <w:tc>
          <w:tcPr>
            <w:tcW w:w="925" w:type="pct"/>
            <w:gridSpan w:val="3"/>
            <w:tcBorders>
              <w:top w:val="single" w:color="000000" w:sz="4" w:space="0"/>
              <w:left w:val="nil"/>
              <w:bottom w:val="single" w:color="000000" w:sz="4" w:space="0"/>
              <w:right w:val="single" w:color="000000" w:sz="4" w:space="0"/>
            </w:tcBorders>
            <w:shd w:val="clear" w:color="auto" w:fill="auto"/>
            <w:vAlign w:val="center"/>
          </w:tcPr>
          <w:p w14:paraId="6D92C96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30.00</w:t>
            </w:r>
          </w:p>
        </w:tc>
        <w:tc>
          <w:tcPr>
            <w:tcW w:w="381" w:type="pct"/>
            <w:tcBorders>
              <w:top w:val="nil"/>
              <w:left w:val="nil"/>
              <w:bottom w:val="single" w:color="000000" w:sz="4" w:space="0"/>
              <w:right w:val="single" w:color="000000" w:sz="4" w:space="0"/>
            </w:tcBorders>
            <w:shd w:val="clear" w:color="auto" w:fill="auto"/>
            <w:vAlign w:val="center"/>
          </w:tcPr>
          <w:p w14:paraId="1ECF08F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7" w:type="pct"/>
            <w:tcBorders>
              <w:top w:val="nil"/>
              <w:left w:val="nil"/>
              <w:bottom w:val="single" w:color="000000" w:sz="4" w:space="0"/>
              <w:right w:val="single" w:color="000000" w:sz="4" w:space="0"/>
            </w:tcBorders>
            <w:shd w:val="clear" w:color="auto" w:fill="auto"/>
            <w:vAlign w:val="center"/>
          </w:tcPr>
          <w:p w14:paraId="264E94E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11" w:type="pct"/>
            <w:tcBorders>
              <w:top w:val="nil"/>
              <w:left w:val="nil"/>
              <w:bottom w:val="single" w:color="000000" w:sz="4" w:space="0"/>
              <w:right w:val="single" w:color="000000" w:sz="4" w:space="0"/>
            </w:tcBorders>
            <w:shd w:val="clear" w:color="auto" w:fill="auto"/>
            <w:vAlign w:val="center"/>
          </w:tcPr>
          <w:p w14:paraId="61A77D0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007" w:type="pct"/>
            <w:vMerge w:val="restart"/>
            <w:tcBorders>
              <w:top w:val="nil"/>
              <w:left w:val="single" w:color="000000" w:sz="4" w:space="0"/>
              <w:bottom w:val="single" w:color="000000" w:sz="4" w:space="0"/>
              <w:right w:val="single" w:color="000000" w:sz="4" w:space="0"/>
            </w:tcBorders>
            <w:shd w:val="clear" w:color="auto" w:fill="auto"/>
            <w:vAlign w:val="center"/>
          </w:tcPr>
          <w:p w14:paraId="647B2078">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　</w:t>
            </w:r>
          </w:p>
        </w:tc>
      </w:tr>
      <w:tr w14:paraId="7CE7DE19">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38E4528D">
            <w:pPr>
              <w:widowControl/>
              <w:jc w:val="left"/>
              <w:rPr>
                <w:rFonts w:ascii="宋体" w:hAnsi="宋体" w:eastAsia="宋体" w:cs="宋体"/>
                <w:color w:val="000000"/>
                <w:sz w:val="18"/>
                <w:szCs w:val="18"/>
              </w:rPr>
            </w:pPr>
          </w:p>
        </w:tc>
        <w:tc>
          <w:tcPr>
            <w:tcW w:w="565" w:type="pct"/>
            <w:tcBorders>
              <w:top w:val="nil"/>
              <w:left w:val="nil"/>
              <w:bottom w:val="single" w:color="000000" w:sz="4" w:space="0"/>
              <w:right w:val="single" w:color="000000" w:sz="4" w:space="0"/>
            </w:tcBorders>
            <w:shd w:val="clear" w:color="auto" w:fill="auto"/>
            <w:vAlign w:val="center"/>
          </w:tcPr>
          <w:p w14:paraId="417C1C6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497" w:type="pct"/>
            <w:tcBorders>
              <w:top w:val="nil"/>
              <w:left w:val="nil"/>
              <w:bottom w:val="single" w:color="000000" w:sz="4" w:space="0"/>
              <w:right w:val="single" w:color="000000" w:sz="4" w:space="0"/>
            </w:tcBorders>
            <w:shd w:val="clear" w:color="auto" w:fill="auto"/>
            <w:vAlign w:val="center"/>
          </w:tcPr>
          <w:p w14:paraId="1EF24BD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30.00</w:t>
            </w:r>
          </w:p>
        </w:tc>
        <w:tc>
          <w:tcPr>
            <w:tcW w:w="1041" w:type="pct"/>
            <w:tcBorders>
              <w:top w:val="nil"/>
              <w:left w:val="nil"/>
              <w:bottom w:val="single" w:color="000000" w:sz="4" w:space="0"/>
              <w:right w:val="single" w:color="000000" w:sz="4" w:space="0"/>
            </w:tcBorders>
            <w:shd w:val="clear" w:color="auto" w:fill="auto"/>
            <w:vAlign w:val="center"/>
          </w:tcPr>
          <w:p w14:paraId="01CEE7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30.00</w:t>
            </w:r>
          </w:p>
        </w:tc>
        <w:tc>
          <w:tcPr>
            <w:tcW w:w="925" w:type="pct"/>
            <w:gridSpan w:val="3"/>
            <w:tcBorders>
              <w:top w:val="single" w:color="000000" w:sz="4" w:space="0"/>
              <w:left w:val="nil"/>
              <w:bottom w:val="single" w:color="000000" w:sz="4" w:space="0"/>
              <w:right w:val="single" w:color="000000" w:sz="4" w:space="0"/>
            </w:tcBorders>
            <w:shd w:val="clear" w:color="auto" w:fill="auto"/>
            <w:vAlign w:val="center"/>
          </w:tcPr>
          <w:p w14:paraId="4861626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30.00</w:t>
            </w:r>
          </w:p>
        </w:tc>
        <w:tc>
          <w:tcPr>
            <w:tcW w:w="381" w:type="pct"/>
            <w:tcBorders>
              <w:top w:val="nil"/>
              <w:left w:val="nil"/>
              <w:bottom w:val="single" w:color="000000" w:sz="4" w:space="0"/>
              <w:right w:val="single" w:color="000000" w:sz="4" w:space="0"/>
            </w:tcBorders>
            <w:shd w:val="clear" w:color="auto" w:fill="auto"/>
            <w:vAlign w:val="center"/>
          </w:tcPr>
          <w:p w14:paraId="069216D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7" w:type="pct"/>
            <w:tcBorders>
              <w:top w:val="nil"/>
              <w:left w:val="nil"/>
              <w:bottom w:val="single" w:color="000000" w:sz="4" w:space="0"/>
              <w:right w:val="single" w:color="000000" w:sz="4" w:space="0"/>
            </w:tcBorders>
            <w:shd w:val="clear" w:color="auto" w:fill="auto"/>
            <w:vAlign w:val="center"/>
          </w:tcPr>
          <w:p w14:paraId="40B3144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5C87AF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7" w:type="pct"/>
            <w:vMerge w:val="continue"/>
            <w:tcBorders>
              <w:top w:val="nil"/>
              <w:left w:val="single" w:color="000000" w:sz="4" w:space="0"/>
              <w:bottom w:val="single" w:color="000000" w:sz="4" w:space="0"/>
              <w:right w:val="single" w:color="000000" w:sz="4" w:space="0"/>
            </w:tcBorders>
            <w:vAlign w:val="center"/>
          </w:tcPr>
          <w:p w14:paraId="59F834D6">
            <w:pPr>
              <w:widowControl/>
              <w:jc w:val="left"/>
              <w:rPr>
                <w:rFonts w:ascii="Courier New" w:hAnsi="Courier New" w:eastAsia="宋体" w:cs="Courier New"/>
                <w:color w:val="000000"/>
                <w:sz w:val="16"/>
                <w:szCs w:val="16"/>
              </w:rPr>
            </w:pPr>
          </w:p>
        </w:tc>
      </w:tr>
      <w:tr w14:paraId="2A73CAB0">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71771F00">
            <w:pPr>
              <w:widowControl/>
              <w:jc w:val="left"/>
              <w:rPr>
                <w:rFonts w:ascii="宋体" w:hAnsi="宋体" w:eastAsia="宋体" w:cs="宋体"/>
                <w:color w:val="000000"/>
                <w:sz w:val="18"/>
                <w:szCs w:val="18"/>
              </w:rPr>
            </w:pPr>
          </w:p>
        </w:tc>
        <w:tc>
          <w:tcPr>
            <w:tcW w:w="565" w:type="pct"/>
            <w:tcBorders>
              <w:top w:val="nil"/>
              <w:left w:val="nil"/>
              <w:bottom w:val="single" w:color="000000" w:sz="4" w:space="0"/>
              <w:right w:val="single" w:color="000000" w:sz="4" w:space="0"/>
            </w:tcBorders>
            <w:shd w:val="clear" w:color="auto" w:fill="auto"/>
            <w:vAlign w:val="center"/>
          </w:tcPr>
          <w:p w14:paraId="7428DEA8">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497" w:type="pct"/>
            <w:tcBorders>
              <w:top w:val="nil"/>
              <w:left w:val="nil"/>
              <w:bottom w:val="single" w:color="000000" w:sz="4" w:space="0"/>
              <w:right w:val="single" w:color="000000" w:sz="4" w:space="0"/>
            </w:tcBorders>
            <w:shd w:val="clear" w:color="auto" w:fill="auto"/>
            <w:vAlign w:val="center"/>
          </w:tcPr>
          <w:p w14:paraId="71780BB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41" w:type="pct"/>
            <w:tcBorders>
              <w:top w:val="nil"/>
              <w:left w:val="nil"/>
              <w:bottom w:val="single" w:color="000000" w:sz="4" w:space="0"/>
              <w:right w:val="single" w:color="000000" w:sz="4" w:space="0"/>
            </w:tcBorders>
            <w:shd w:val="clear" w:color="auto" w:fill="auto"/>
            <w:vAlign w:val="center"/>
          </w:tcPr>
          <w:p w14:paraId="2913CCF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25" w:type="pct"/>
            <w:gridSpan w:val="3"/>
            <w:tcBorders>
              <w:top w:val="single" w:color="000000" w:sz="4" w:space="0"/>
              <w:left w:val="nil"/>
              <w:bottom w:val="single" w:color="000000" w:sz="4" w:space="0"/>
              <w:right w:val="single" w:color="000000" w:sz="4" w:space="0"/>
            </w:tcBorders>
            <w:shd w:val="clear" w:color="auto" w:fill="auto"/>
            <w:vAlign w:val="center"/>
          </w:tcPr>
          <w:p w14:paraId="021461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81" w:type="pct"/>
            <w:tcBorders>
              <w:top w:val="nil"/>
              <w:left w:val="nil"/>
              <w:bottom w:val="single" w:color="000000" w:sz="4" w:space="0"/>
              <w:right w:val="single" w:color="000000" w:sz="4" w:space="0"/>
            </w:tcBorders>
            <w:shd w:val="clear" w:color="auto" w:fill="auto"/>
            <w:vAlign w:val="center"/>
          </w:tcPr>
          <w:p w14:paraId="3E56837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287ACB2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6370E4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7" w:type="pct"/>
            <w:vMerge w:val="continue"/>
            <w:tcBorders>
              <w:top w:val="nil"/>
              <w:left w:val="single" w:color="000000" w:sz="4" w:space="0"/>
              <w:bottom w:val="single" w:color="000000" w:sz="4" w:space="0"/>
              <w:right w:val="single" w:color="000000" w:sz="4" w:space="0"/>
            </w:tcBorders>
            <w:vAlign w:val="center"/>
          </w:tcPr>
          <w:p w14:paraId="5B0DA76D">
            <w:pPr>
              <w:widowControl/>
              <w:jc w:val="left"/>
              <w:rPr>
                <w:rFonts w:ascii="Courier New" w:hAnsi="Courier New" w:eastAsia="宋体" w:cs="Courier New"/>
                <w:color w:val="000000"/>
                <w:sz w:val="16"/>
                <w:szCs w:val="16"/>
              </w:rPr>
            </w:pPr>
          </w:p>
        </w:tc>
      </w:tr>
      <w:tr w14:paraId="47A6F408">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7985806F">
            <w:pPr>
              <w:widowControl/>
              <w:jc w:val="left"/>
              <w:rPr>
                <w:rFonts w:ascii="宋体" w:hAnsi="宋体" w:eastAsia="宋体" w:cs="宋体"/>
                <w:color w:val="000000"/>
                <w:sz w:val="18"/>
                <w:szCs w:val="18"/>
              </w:rPr>
            </w:pPr>
          </w:p>
        </w:tc>
        <w:tc>
          <w:tcPr>
            <w:tcW w:w="565" w:type="pct"/>
            <w:tcBorders>
              <w:top w:val="nil"/>
              <w:left w:val="nil"/>
              <w:bottom w:val="single" w:color="000000" w:sz="4" w:space="0"/>
              <w:right w:val="single" w:color="000000" w:sz="4" w:space="0"/>
            </w:tcBorders>
            <w:shd w:val="clear" w:color="auto" w:fill="auto"/>
            <w:vAlign w:val="center"/>
          </w:tcPr>
          <w:p w14:paraId="22B8D5D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497" w:type="pct"/>
            <w:tcBorders>
              <w:top w:val="nil"/>
              <w:left w:val="nil"/>
              <w:bottom w:val="single" w:color="000000" w:sz="4" w:space="0"/>
              <w:right w:val="single" w:color="000000" w:sz="4" w:space="0"/>
            </w:tcBorders>
            <w:shd w:val="clear" w:color="auto" w:fill="auto"/>
            <w:vAlign w:val="center"/>
          </w:tcPr>
          <w:p w14:paraId="16CFBD5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41" w:type="pct"/>
            <w:tcBorders>
              <w:top w:val="nil"/>
              <w:left w:val="nil"/>
              <w:bottom w:val="single" w:color="000000" w:sz="4" w:space="0"/>
              <w:right w:val="single" w:color="000000" w:sz="4" w:space="0"/>
            </w:tcBorders>
            <w:shd w:val="clear" w:color="auto" w:fill="auto"/>
            <w:vAlign w:val="center"/>
          </w:tcPr>
          <w:p w14:paraId="2485794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25" w:type="pct"/>
            <w:gridSpan w:val="3"/>
            <w:tcBorders>
              <w:top w:val="single" w:color="000000" w:sz="4" w:space="0"/>
              <w:left w:val="nil"/>
              <w:bottom w:val="single" w:color="000000" w:sz="4" w:space="0"/>
              <w:right w:val="single" w:color="000000" w:sz="4" w:space="0"/>
            </w:tcBorders>
            <w:shd w:val="clear" w:color="auto" w:fill="auto"/>
            <w:vAlign w:val="center"/>
          </w:tcPr>
          <w:p w14:paraId="6FA29DF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81" w:type="pct"/>
            <w:tcBorders>
              <w:top w:val="nil"/>
              <w:left w:val="nil"/>
              <w:bottom w:val="single" w:color="000000" w:sz="4" w:space="0"/>
              <w:right w:val="single" w:color="000000" w:sz="4" w:space="0"/>
            </w:tcBorders>
            <w:shd w:val="clear" w:color="auto" w:fill="auto"/>
            <w:vAlign w:val="center"/>
          </w:tcPr>
          <w:p w14:paraId="2E8B884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10C819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7AC4E4B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7" w:type="pct"/>
            <w:vMerge w:val="continue"/>
            <w:tcBorders>
              <w:top w:val="nil"/>
              <w:left w:val="single" w:color="000000" w:sz="4" w:space="0"/>
              <w:bottom w:val="single" w:color="000000" w:sz="4" w:space="0"/>
              <w:right w:val="single" w:color="000000" w:sz="4" w:space="0"/>
            </w:tcBorders>
            <w:vAlign w:val="center"/>
          </w:tcPr>
          <w:p w14:paraId="104E0E15">
            <w:pPr>
              <w:widowControl/>
              <w:jc w:val="left"/>
              <w:rPr>
                <w:rFonts w:ascii="Courier New" w:hAnsi="Courier New" w:eastAsia="宋体" w:cs="Courier New"/>
                <w:color w:val="000000"/>
                <w:sz w:val="16"/>
                <w:szCs w:val="16"/>
              </w:rPr>
            </w:pPr>
          </w:p>
        </w:tc>
      </w:tr>
      <w:tr w14:paraId="07921928">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single" w:color="000000" w:sz="4" w:space="0"/>
              <w:right w:val="single" w:color="000000" w:sz="4" w:space="0"/>
            </w:tcBorders>
            <w:vAlign w:val="center"/>
          </w:tcPr>
          <w:p w14:paraId="1B23A99B">
            <w:pPr>
              <w:widowControl/>
              <w:jc w:val="left"/>
              <w:rPr>
                <w:rFonts w:ascii="宋体" w:hAnsi="宋体" w:eastAsia="宋体" w:cs="宋体"/>
                <w:color w:val="000000"/>
                <w:sz w:val="18"/>
                <w:szCs w:val="18"/>
              </w:rPr>
            </w:pPr>
          </w:p>
        </w:tc>
        <w:tc>
          <w:tcPr>
            <w:tcW w:w="565" w:type="pct"/>
            <w:tcBorders>
              <w:top w:val="nil"/>
              <w:left w:val="nil"/>
              <w:bottom w:val="single" w:color="000000" w:sz="4" w:space="0"/>
              <w:right w:val="single" w:color="000000" w:sz="4" w:space="0"/>
            </w:tcBorders>
            <w:shd w:val="clear" w:color="auto" w:fill="auto"/>
            <w:vAlign w:val="center"/>
          </w:tcPr>
          <w:p w14:paraId="3D4DA7D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497" w:type="pct"/>
            <w:tcBorders>
              <w:top w:val="nil"/>
              <w:left w:val="nil"/>
              <w:bottom w:val="single" w:color="000000" w:sz="4" w:space="0"/>
              <w:right w:val="single" w:color="000000" w:sz="4" w:space="0"/>
            </w:tcBorders>
            <w:shd w:val="clear" w:color="auto" w:fill="auto"/>
            <w:vAlign w:val="center"/>
          </w:tcPr>
          <w:p w14:paraId="7C31CF0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041" w:type="pct"/>
            <w:tcBorders>
              <w:top w:val="nil"/>
              <w:left w:val="nil"/>
              <w:bottom w:val="single" w:color="000000" w:sz="4" w:space="0"/>
              <w:right w:val="single" w:color="000000" w:sz="4" w:space="0"/>
            </w:tcBorders>
            <w:shd w:val="clear" w:color="auto" w:fill="auto"/>
            <w:vAlign w:val="center"/>
          </w:tcPr>
          <w:p w14:paraId="1F778D7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25" w:type="pct"/>
            <w:gridSpan w:val="3"/>
            <w:tcBorders>
              <w:top w:val="single" w:color="000000" w:sz="4" w:space="0"/>
              <w:left w:val="nil"/>
              <w:bottom w:val="single" w:color="000000" w:sz="4" w:space="0"/>
              <w:right w:val="single" w:color="000000" w:sz="4" w:space="0"/>
            </w:tcBorders>
            <w:shd w:val="clear" w:color="auto" w:fill="auto"/>
            <w:vAlign w:val="center"/>
          </w:tcPr>
          <w:p w14:paraId="181F595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381" w:type="pct"/>
            <w:tcBorders>
              <w:top w:val="nil"/>
              <w:left w:val="nil"/>
              <w:bottom w:val="single" w:color="000000" w:sz="4" w:space="0"/>
              <w:right w:val="single" w:color="000000" w:sz="4" w:space="0"/>
            </w:tcBorders>
            <w:shd w:val="clear" w:color="auto" w:fill="auto"/>
            <w:vAlign w:val="center"/>
          </w:tcPr>
          <w:p w14:paraId="75E2DA9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77" w:type="pct"/>
            <w:tcBorders>
              <w:top w:val="nil"/>
              <w:left w:val="nil"/>
              <w:bottom w:val="single" w:color="000000" w:sz="4" w:space="0"/>
              <w:right w:val="single" w:color="000000" w:sz="4" w:space="0"/>
            </w:tcBorders>
            <w:shd w:val="clear" w:color="auto" w:fill="auto"/>
            <w:vAlign w:val="center"/>
          </w:tcPr>
          <w:p w14:paraId="517315D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4D92B47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07" w:type="pct"/>
            <w:vMerge w:val="continue"/>
            <w:tcBorders>
              <w:top w:val="nil"/>
              <w:left w:val="single" w:color="000000" w:sz="4" w:space="0"/>
              <w:bottom w:val="single" w:color="000000" w:sz="4" w:space="0"/>
              <w:right w:val="single" w:color="000000" w:sz="4" w:space="0"/>
            </w:tcBorders>
            <w:vAlign w:val="center"/>
          </w:tcPr>
          <w:p w14:paraId="0DC246A9">
            <w:pPr>
              <w:widowControl/>
              <w:jc w:val="left"/>
              <w:rPr>
                <w:rFonts w:ascii="Courier New" w:hAnsi="Courier New" w:eastAsia="宋体" w:cs="Courier New"/>
                <w:color w:val="000000"/>
                <w:sz w:val="16"/>
                <w:szCs w:val="16"/>
              </w:rPr>
            </w:pPr>
          </w:p>
        </w:tc>
      </w:tr>
      <w:tr w14:paraId="4A7CA59A">
        <w:tblPrEx>
          <w:tblCellMar>
            <w:top w:w="0" w:type="dxa"/>
            <w:left w:w="108" w:type="dxa"/>
            <w:bottom w:w="0" w:type="dxa"/>
            <w:right w:w="108" w:type="dxa"/>
          </w:tblCellMar>
        </w:tblPrEx>
        <w:trPr>
          <w:trHeight w:val="619" w:hRule="atLeast"/>
        </w:trPr>
        <w:tc>
          <w:tcPr>
            <w:tcW w:w="197" w:type="pct"/>
            <w:vMerge w:val="restart"/>
            <w:tcBorders>
              <w:top w:val="nil"/>
              <w:left w:val="single" w:color="000000" w:sz="4" w:space="0"/>
              <w:bottom w:val="nil"/>
              <w:right w:val="single" w:color="000000" w:sz="4" w:space="0"/>
            </w:tcBorders>
            <w:shd w:val="clear" w:color="auto" w:fill="auto"/>
            <w:vAlign w:val="center"/>
          </w:tcPr>
          <w:p w14:paraId="75F7188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565" w:type="pct"/>
            <w:tcBorders>
              <w:top w:val="nil"/>
              <w:left w:val="nil"/>
              <w:bottom w:val="single" w:color="000000" w:sz="4" w:space="0"/>
              <w:right w:val="single" w:color="000000" w:sz="4" w:space="0"/>
            </w:tcBorders>
            <w:shd w:val="clear" w:color="auto" w:fill="auto"/>
            <w:vAlign w:val="center"/>
          </w:tcPr>
          <w:p w14:paraId="2979EB4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497" w:type="pct"/>
            <w:tcBorders>
              <w:top w:val="nil"/>
              <w:left w:val="nil"/>
              <w:bottom w:val="single" w:color="000000" w:sz="4" w:space="0"/>
              <w:right w:val="single" w:color="000000" w:sz="4" w:space="0"/>
            </w:tcBorders>
            <w:shd w:val="clear" w:color="auto" w:fill="auto"/>
            <w:vAlign w:val="center"/>
          </w:tcPr>
          <w:p w14:paraId="3DC38A9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1041" w:type="pct"/>
            <w:tcBorders>
              <w:top w:val="nil"/>
              <w:left w:val="nil"/>
              <w:bottom w:val="single" w:color="000000" w:sz="4" w:space="0"/>
              <w:right w:val="single" w:color="000000" w:sz="4" w:space="0"/>
            </w:tcBorders>
            <w:shd w:val="clear" w:color="auto" w:fill="auto"/>
            <w:vAlign w:val="center"/>
          </w:tcPr>
          <w:p w14:paraId="2AC65B4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77" w:type="pct"/>
            <w:tcBorders>
              <w:top w:val="nil"/>
              <w:left w:val="nil"/>
              <w:bottom w:val="single" w:color="000000" w:sz="4" w:space="0"/>
              <w:right w:val="single" w:color="000000" w:sz="4" w:space="0"/>
            </w:tcBorders>
            <w:shd w:val="clear" w:color="auto" w:fill="auto"/>
            <w:vAlign w:val="center"/>
          </w:tcPr>
          <w:p w14:paraId="33DD445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571" w:type="pct"/>
            <w:tcBorders>
              <w:top w:val="nil"/>
              <w:left w:val="nil"/>
              <w:bottom w:val="single" w:color="000000" w:sz="4" w:space="0"/>
              <w:right w:val="single" w:color="000000" w:sz="4" w:space="0"/>
            </w:tcBorders>
            <w:shd w:val="clear" w:color="auto" w:fill="auto"/>
            <w:vAlign w:val="center"/>
          </w:tcPr>
          <w:p w14:paraId="6BAD811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177" w:type="pct"/>
            <w:tcBorders>
              <w:top w:val="nil"/>
              <w:left w:val="nil"/>
              <w:bottom w:val="single" w:color="000000" w:sz="4" w:space="0"/>
              <w:right w:val="single" w:color="000000" w:sz="4" w:space="0"/>
            </w:tcBorders>
            <w:shd w:val="clear" w:color="auto" w:fill="auto"/>
            <w:vAlign w:val="center"/>
          </w:tcPr>
          <w:p w14:paraId="1149506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381" w:type="pct"/>
            <w:tcBorders>
              <w:top w:val="nil"/>
              <w:left w:val="nil"/>
              <w:bottom w:val="single" w:color="000000" w:sz="4" w:space="0"/>
              <w:right w:val="single" w:color="000000" w:sz="4" w:space="0"/>
            </w:tcBorders>
            <w:shd w:val="clear" w:color="auto" w:fill="auto"/>
            <w:vAlign w:val="center"/>
          </w:tcPr>
          <w:p w14:paraId="2D010ED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77" w:type="pct"/>
            <w:tcBorders>
              <w:top w:val="nil"/>
              <w:left w:val="nil"/>
              <w:bottom w:val="single" w:color="000000" w:sz="4" w:space="0"/>
              <w:right w:val="single" w:color="000000" w:sz="4" w:space="0"/>
            </w:tcBorders>
            <w:shd w:val="clear" w:color="auto" w:fill="auto"/>
            <w:vAlign w:val="center"/>
          </w:tcPr>
          <w:p w14:paraId="7F34808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11" w:type="pct"/>
            <w:tcBorders>
              <w:top w:val="nil"/>
              <w:left w:val="nil"/>
              <w:bottom w:val="single" w:color="000000" w:sz="4" w:space="0"/>
              <w:right w:val="single" w:color="000000" w:sz="4" w:space="0"/>
            </w:tcBorders>
            <w:shd w:val="clear" w:color="auto" w:fill="auto"/>
            <w:vAlign w:val="center"/>
          </w:tcPr>
          <w:p w14:paraId="48A032F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07" w:type="pct"/>
            <w:tcBorders>
              <w:top w:val="nil"/>
              <w:left w:val="nil"/>
              <w:bottom w:val="single" w:color="000000" w:sz="4" w:space="0"/>
              <w:right w:val="single" w:color="000000" w:sz="4" w:space="0"/>
            </w:tcBorders>
            <w:shd w:val="clear" w:color="auto" w:fill="auto"/>
            <w:vAlign w:val="center"/>
          </w:tcPr>
          <w:p w14:paraId="20E495D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5DFC92B7">
        <w:tblPrEx>
          <w:tblCellMar>
            <w:top w:w="0" w:type="dxa"/>
            <w:left w:w="108" w:type="dxa"/>
            <w:bottom w:w="0" w:type="dxa"/>
            <w:right w:w="108" w:type="dxa"/>
          </w:tblCellMar>
        </w:tblPrEx>
        <w:trPr>
          <w:trHeight w:val="619" w:hRule="atLeast"/>
        </w:trPr>
        <w:tc>
          <w:tcPr>
            <w:tcW w:w="197" w:type="pct"/>
            <w:vMerge w:val="continue"/>
            <w:tcBorders>
              <w:top w:val="nil"/>
              <w:left w:val="single" w:color="000000" w:sz="4" w:space="0"/>
              <w:bottom w:val="nil"/>
              <w:right w:val="single" w:color="000000" w:sz="4" w:space="0"/>
            </w:tcBorders>
            <w:vAlign w:val="center"/>
          </w:tcPr>
          <w:p w14:paraId="0E2D8FE0">
            <w:pPr>
              <w:widowControl/>
              <w:jc w:val="left"/>
              <w:rPr>
                <w:rFonts w:ascii="宋体" w:hAnsi="宋体" w:eastAsia="宋体" w:cs="宋体"/>
                <w:color w:val="000000"/>
                <w:sz w:val="18"/>
                <w:szCs w:val="18"/>
              </w:rPr>
            </w:pPr>
          </w:p>
        </w:tc>
        <w:tc>
          <w:tcPr>
            <w:tcW w:w="565" w:type="pct"/>
            <w:vMerge w:val="restart"/>
            <w:tcBorders>
              <w:top w:val="nil"/>
              <w:left w:val="single" w:color="000000" w:sz="4" w:space="0"/>
              <w:bottom w:val="single" w:color="000000" w:sz="4" w:space="0"/>
              <w:right w:val="single" w:color="000000" w:sz="4" w:space="0"/>
            </w:tcBorders>
            <w:shd w:val="clear" w:color="auto" w:fill="auto"/>
            <w:vAlign w:val="center"/>
          </w:tcPr>
          <w:p w14:paraId="5B3B482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497" w:type="pct"/>
            <w:vMerge w:val="restart"/>
            <w:tcBorders>
              <w:top w:val="nil"/>
              <w:left w:val="single" w:color="000000" w:sz="4" w:space="0"/>
              <w:bottom w:val="single" w:color="000000" w:sz="4" w:space="0"/>
              <w:right w:val="single" w:color="000000" w:sz="4" w:space="0"/>
            </w:tcBorders>
            <w:shd w:val="clear" w:color="auto" w:fill="auto"/>
            <w:vAlign w:val="center"/>
          </w:tcPr>
          <w:p w14:paraId="0B8FC3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1041" w:type="pct"/>
            <w:tcBorders>
              <w:top w:val="nil"/>
              <w:left w:val="nil"/>
              <w:bottom w:val="single" w:color="000000" w:sz="4" w:space="0"/>
              <w:right w:val="single" w:color="000000" w:sz="4" w:space="0"/>
            </w:tcBorders>
            <w:shd w:val="clear" w:color="auto" w:fill="auto"/>
            <w:vAlign w:val="center"/>
          </w:tcPr>
          <w:p w14:paraId="7A730CC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购买社会律师、专家学者提供政府法律顾问团服务</w:t>
            </w:r>
          </w:p>
        </w:tc>
        <w:tc>
          <w:tcPr>
            <w:tcW w:w="177" w:type="pct"/>
            <w:tcBorders>
              <w:top w:val="nil"/>
              <w:left w:val="nil"/>
              <w:bottom w:val="single" w:color="000000" w:sz="4" w:space="0"/>
              <w:right w:val="single" w:color="000000" w:sz="4" w:space="0"/>
            </w:tcBorders>
            <w:shd w:val="clear" w:color="auto" w:fill="auto"/>
            <w:vAlign w:val="center"/>
          </w:tcPr>
          <w:p w14:paraId="4DE91E7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71" w:type="pct"/>
            <w:tcBorders>
              <w:top w:val="nil"/>
              <w:left w:val="nil"/>
              <w:bottom w:val="single" w:color="000000" w:sz="4" w:space="0"/>
              <w:right w:val="single" w:color="000000" w:sz="4" w:space="0"/>
            </w:tcBorders>
            <w:shd w:val="clear" w:color="auto" w:fill="auto"/>
            <w:vAlign w:val="center"/>
          </w:tcPr>
          <w:p w14:paraId="1ABFD5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77" w:type="pct"/>
            <w:tcBorders>
              <w:top w:val="nil"/>
              <w:left w:val="nil"/>
              <w:bottom w:val="single" w:color="000000" w:sz="4" w:space="0"/>
              <w:right w:val="single" w:color="000000" w:sz="4" w:space="0"/>
            </w:tcBorders>
            <w:shd w:val="clear" w:color="auto" w:fill="auto"/>
            <w:vAlign w:val="center"/>
          </w:tcPr>
          <w:p w14:paraId="018C551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名</w:t>
            </w:r>
          </w:p>
        </w:tc>
        <w:tc>
          <w:tcPr>
            <w:tcW w:w="381" w:type="pct"/>
            <w:tcBorders>
              <w:top w:val="nil"/>
              <w:left w:val="nil"/>
              <w:bottom w:val="single" w:color="000000" w:sz="4" w:space="0"/>
              <w:right w:val="single" w:color="000000" w:sz="4" w:space="0"/>
            </w:tcBorders>
            <w:shd w:val="clear" w:color="auto" w:fill="auto"/>
            <w:vAlign w:val="center"/>
          </w:tcPr>
          <w:p w14:paraId="139D047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303</w:t>
            </w:r>
          </w:p>
        </w:tc>
        <w:tc>
          <w:tcPr>
            <w:tcW w:w="177" w:type="pct"/>
            <w:tcBorders>
              <w:top w:val="nil"/>
              <w:left w:val="nil"/>
              <w:bottom w:val="single" w:color="000000" w:sz="4" w:space="0"/>
              <w:right w:val="single" w:color="000000" w:sz="4" w:space="0"/>
            </w:tcBorders>
            <w:shd w:val="clear" w:color="auto" w:fill="auto"/>
            <w:vAlign w:val="center"/>
          </w:tcPr>
          <w:p w14:paraId="61850AC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11" w:type="pct"/>
            <w:tcBorders>
              <w:top w:val="nil"/>
              <w:left w:val="nil"/>
              <w:bottom w:val="single" w:color="000000" w:sz="4" w:space="0"/>
              <w:right w:val="single" w:color="000000" w:sz="4" w:space="0"/>
            </w:tcBorders>
            <w:shd w:val="clear" w:color="auto" w:fill="auto"/>
            <w:vAlign w:val="center"/>
          </w:tcPr>
          <w:p w14:paraId="0AA05AE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07" w:type="pct"/>
            <w:tcBorders>
              <w:top w:val="nil"/>
              <w:left w:val="nil"/>
              <w:bottom w:val="single" w:color="000000" w:sz="4" w:space="0"/>
              <w:right w:val="single" w:color="000000" w:sz="4" w:space="0"/>
            </w:tcBorders>
            <w:shd w:val="clear" w:color="auto" w:fill="auto"/>
            <w:vAlign w:val="center"/>
          </w:tcPr>
          <w:p w14:paraId="4E9352A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6AA1C69">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5E90E8C9">
            <w:pPr>
              <w:widowControl/>
              <w:jc w:val="left"/>
              <w:rPr>
                <w:rFonts w:ascii="宋体" w:hAnsi="宋体" w:eastAsia="宋体" w:cs="宋体"/>
                <w:color w:val="000000"/>
                <w:sz w:val="18"/>
                <w:szCs w:val="18"/>
              </w:rPr>
            </w:pPr>
          </w:p>
        </w:tc>
        <w:tc>
          <w:tcPr>
            <w:tcW w:w="565" w:type="pct"/>
            <w:vMerge w:val="continue"/>
            <w:tcBorders>
              <w:top w:val="nil"/>
              <w:left w:val="single" w:color="000000" w:sz="4" w:space="0"/>
              <w:bottom w:val="single" w:color="000000" w:sz="4" w:space="0"/>
              <w:right w:val="single" w:color="000000" w:sz="4" w:space="0"/>
            </w:tcBorders>
            <w:vAlign w:val="center"/>
          </w:tcPr>
          <w:p w14:paraId="3636FC7E">
            <w:pPr>
              <w:widowControl/>
              <w:jc w:val="left"/>
              <w:rPr>
                <w:rFonts w:ascii="宋体" w:hAnsi="宋体" w:eastAsia="宋体" w:cs="宋体"/>
                <w:color w:val="000000"/>
                <w:sz w:val="18"/>
                <w:szCs w:val="18"/>
              </w:rPr>
            </w:pPr>
          </w:p>
        </w:tc>
        <w:tc>
          <w:tcPr>
            <w:tcW w:w="497" w:type="pct"/>
            <w:vMerge w:val="continue"/>
            <w:tcBorders>
              <w:top w:val="nil"/>
              <w:left w:val="single" w:color="000000" w:sz="4" w:space="0"/>
              <w:bottom w:val="single" w:color="000000" w:sz="4" w:space="0"/>
              <w:right w:val="single" w:color="000000" w:sz="4" w:space="0"/>
            </w:tcBorders>
            <w:vAlign w:val="center"/>
          </w:tcPr>
          <w:p w14:paraId="3F1A36DF">
            <w:pPr>
              <w:widowControl/>
              <w:jc w:val="left"/>
              <w:rPr>
                <w:rFonts w:ascii="宋体" w:hAnsi="宋体" w:eastAsia="宋体" w:cs="宋体"/>
                <w:color w:val="000000"/>
                <w:sz w:val="18"/>
                <w:szCs w:val="18"/>
              </w:rPr>
            </w:pPr>
          </w:p>
        </w:tc>
        <w:tc>
          <w:tcPr>
            <w:tcW w:w="1041" w:type="pct"/>
            <w:tcBorders>
              <w:top w:val="nil"/>
              <w:left w:val="nil"/>
              <w:bottom w:val="single" w:color="000000" w:sz="4" w:space="0"/>
              <w:right w:val="single" w:color="000000" w:sz="4" w:space="0"/>
            </w:tcBorders>
            <w:shd w:val="clear" w:color="auto" w:fill="auto"/>
            <w:vAlign w:val="center"/>
          </w:tcPr>
          <w:p w14:paraId="23B1386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辅助参与政府合同、行政决策、规范性文件等合法性审查</w:t>
            </w:r>
          </w:p>
        </w:tc>
        <w:tc>
          <w:tcPr>
            <w:tcW w:w="177" w:type="pct"/>
            <w:tcBorders>
              <w:top w:val="nil"/>
              <w:left w:val="nil"/>
              <w:bottom w:val="single" w:color="000000" w:sz="4" w:space="0"/>
              <w:right w:val="single" w:color="000000" w:sz="4" w:space="0"/>
            </w:tcBorders>
            <w:shd w:val="clear" w:color="auto" w:fill="auto"/>
            <w:vAlign w:val="center"/>
          </w:tcPr>
          <w:p w14:paraId="77CED8A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71" w:type="pct"/>
            <w:tcBorders>
              <w:top w:val="nil"/>
              <w:left w:val="nil"/>
              <w:bottom w:val="single" w:color="000000" w:sz="4" w:space="0"/>
              <w:right w:val="single" w:color="000000" w:sz="4" w:space="0"/>
            </w:tcBorders>
            <w:shd w:val="clear" w:color="auto" w:fill="auto"/>
            <w:vAlign w:val="center"/>
          </w:tcPr>
          <w:p w14:paraId="03F0D9B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177" w:type="pct"/>
            <w:tcBorders>
              <w:top w:val="nil"/>
              <w:left w:val="nil"/>
              <w:bottom w:val="single" w:color="000000" w:sz="4" w:space="0"/>
              <w:right w:val="single" w:color="000000" w:sz="4" w:space="0"/>
            </w:tcBorders>
            <w:shd w:val="clear" w:color="auto" w:fill="auto"/>
            <w:vAlign w:val="center"/>
          </w:tcPr>
          <w:p w14:paraId="16E2929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件</w:t>
            </w:r>
          </w:p>
        </w:tc>
        <w:tc>
          <w:tcPr>
            <w:tcW w:w="381" w:type="pct"/>
            <w:tcBorders>
              <w:top w:val="nil"/>
              <w:left w:val="nil"/>
              <w:bottom w:val="single" w:color="000000" w:sz="4" w:space="0"/>
              <w:right w:val="single" w:color="000000" w:sz="4" w:space="0"/>
            </w:tcBorders>
            <w:shd w:val="clear" w:color="auto" w:fill="auto"/>
            <w:vAlign w:val="center"/>
          </w:tcPr>
          <w:p w14:paraId="2DAB4B2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140</w:t>
            </w:r>
          </w:p>
        </w:tc>
        <w:tc>
          <w:tcPr>
            <w:tcW w:w="177" w:type="pct"/>
            <w:tcBorders>
              <w:top w:val="nil"/>
              <w:left w:val="nil"/>
              <w:bottom w:val="single" w:color="000000" w:sz="4" w:space="0"/>
              <w:right w:val="single" w:color="000000" w:sz="4" w:space="0"/>
            </w:tcBorders>
            <w:shd w:val="clear" w:color="auto" w:fill="auto"/>
            <w:vAlign w:val="center"/>
          </w:tcPr>
          <w:p w14:paraId="3233BD1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11" w:type="pct"/>
            <w:tcBorders>
              <w:top w:val="nil"/>
              <w:left w:val="nil"/>
              <w:bottom w:val="single" w:color="000000" w:sz="4" w:space="0"/>
              <w:right w:val="single" w:color="000000" w:sz="4" w:space="0"/>
            </w:tcBorders>
            <w:shd w:val="clear" w:color="auto" w:fill="auto"/>
            <w:vAlign w:val="center"/>
          </w:tcPr>
          <w:p w14:paraId="49E4668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07" w:type="pct"/>
            <w:tcBorders>
              <w:top w:val="nil"/>
              <w:left w:val="nil"/>
              <w:bottom w:val="single" w:color="000000" w:sz="4" w:space="0"/>
              <w:right w:val="single" w:color="000000" w:sz="4" w:space="0"/>
            </w:tcBorders>
            <w:shd w:val="clear" w:color="auto" w:fill="auto"/>
            <w:vAlign w:val="center"/>
          </w:tcPr>
          <w:p w14:paraId="7F904C3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8FE0262">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5C7918AE">
            <w:pPr>
              <w:widowControl/>
              <w:jc w:val="left"/>
              <w:rPr>
                <w:rFonts w:ascii="宋体" w:hAnsi="宋体" w:eastAsia="宋体" w:cs="宋体"/>
                <w:color w:val="000000"/>
                <w:sz w:val="18"/>
                <w:szCs w:val="18"/>
              </w:rPr>
            </w:pPr>
          </w:p>
        </w:tc>
        <w:tc>
          <w:tcPr>
            <w:tcW w:w="565" w:type="pct"/>
            <w:vMerge w:val="continue"/>
            <w:tcBorders>
              <w:top w:val="nil"/>
              <w:left w:val="single" w:color="000000" w:sz="4" w:space="0"/>
              <w:bottom w:val="single" w:color="000000" w:sz="4" w:space="0"/>
              <w:right w:val="single" w:color="000000" w:sz="4" w:space="0"/>
            </w:tcBorders>
            <w:vAlign w:val="center"/>
          </w:tcPr>
          <w:p w14:paraId="6DBB6EB4">
            <w:pPr>
              <w:widowControl/>
              <w:jc w:val="left"/>
              <w:rPr>
                <w:rFonts w:ascii="宋体" w:hAnsi="宋体" w:eastAsia="宋体" w:cs="宋体"/>
                <w:color w:val="000000"/>
                <w:sz w:val="18"/>
                <w:szCs w:val="18"/>
              </w:rPr>
            </w:pPr>
          </w:p>
        </w:tc>
        <w:tc>
          <w:tcPr>
            <w:tcW w:w="497" w:type="pct"/>
            <w:tcBorders>
              <w:top w:val="nil"/>
              <w:left w:val="nil"/>
              <w:bottom w:val="single" w:color="000000" w:sz="4" w:space="0"/>
              <w:right w:val="single" w:color="000000" w:sz="4" w:space="0"/>
            </w:tcBorders>
            <w:shd w:val="clear" w:color="auto" w:fill="auto"/>
            <w:vAlign w:val="center"/>
          </w:tcPr>
          <w:p w14:paraId="0F99E49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1041" w:type="pct"/>
            <w:tcBorders>
              <w:top w:val="nil"/>
              <w:left w:val="nil"/>
              <w:bottom w:val="single" w:color="000000" w:sz="4" w:space="0"/>
              <w:right w:val="single" w:color="000000" w:sz="4" w:space="0"/>
            </w:tcBorders>
            <w:shd w:val="clear" w:color="auto" w:fill="auto"/>
            <w:vAlign w:val="center"/>
          </w:tcPr>
          <w:p w14:paraId="300CE4A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政府履职所需服务</w:t>
            </w:r>
          </w:p>
        </w:tc>
        <w:tc>
          <w:tcPr>
            <w:tcW w:w="177" w:type="pct"/>
            <w:tcBorders>
              <w:top w:val="nil"/>
              <w:left w:val="nil"/>
              <w:bottom w:val="single" w:color="000000" w:sz="4" w:space="0"/>
              <w:right w:val="single" w:color="000000" w:sz="4" w:space="0"/>
            </w:tcBorders>
            <w:shd w:val="clear" w:color="auto" w:fill="auto"/>
            <w:vAlign w:val="center"/>
          </w:tcPr>
          <w:p w14:paraId="05EA388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71" w:type="pct"/>
            <w:tcBorders>
              <w:top w:val="nil"/>
              <w:left w:val="nil"/>
              <w:bottom w:val="single" w:color="000000" w:sz="4" w:space="0"/>
              <w:right w:val="single" w:color="000000" w:sz="4" w:space="0"/>
            </w:tcBorders>
            <w:shd w:val="clear" w:color="auto" w:fill="auto"/>
            <w:vAlign w:val="center"/>
          </w:tcPr>
          <w:p w14:paraId="06A5A48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77" w:type="pct"/>
            <w:tcBorders>
              <w:top w:val="nil"/>
              <w:left w:val="nil"/>
              <w:bottom w:val="single" w:color="000000" w:sz="4" w:space="0"/>
              <w:right w:val="single" w:color="000000" w:sz="4" w:space="0"/>
            </w:tcBorders>
            <w:shd w:val="clear" w:color="auto" w:fill="auto"/>
            <w:vAlign w:val="center"/>
          </w:tcPr>
          <w:p w14:paraId="5A1A897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381" w:type="pct"/>
            <w:tcBorders>
              <w:top w:val="nil"/>
              <w:left w:val="nil"/>
              <w:bottom w:val="single" w:color="000000" w:sz="4" w:space="0"/>
              <w:right w:val="single" w:color="000000" w:sz="4" w:space="0"/>
            </w:tcBorders>
            <w:shd w:val="clear" w:color="auto" w:fill="auto"/>
            <w:vAlign w:val="center"/>
          </w:tcPr>
          <w:p w14:paraId="311B45C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77" w:type="pct"/>
            <w:tcBorders>
              <w:top w:val="nil"/>
              <w:left w:val="nil"/>
              <w:bottom w:val="single" w:color="000000" w:sz="4" w:space="0"/>
              <w:right w:val="single" w:color="000000" w:sz="4" w:space="0"/>
            </w:tcBorders>
            <w:shd w:val="clear" w:color="auto" w:fill="auto"/>
            <w:vAlign w:val="center"/>
          </w:tcPr>
          <w:p w14:paraId="03C77E0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11" w:type="pct"/>
            <w:tcBorders>
              <w:top w:val="nil"/>
              <w:left w:val="nil"/>
              <w:bottom w:val="single" w:color="000000" w:sz="4" w:space="0"/>
              <w:right w:val="single" w:color="000000" w:sz="4" w:space="0"/>
            </w:tcBorders>
            <w:shd w:val="clear" w:color="auto" w:fill="auto"/>
            <w:vAlign w:val="center"/>
          </w:tcPr>
          <w:p w14:paraId="25D3036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07" w:type="pct"/>
            <w:tcBorders>
              <w:top w:val="nil"/>
              <w:left w:val="nil"/>
              <w:bottom w:val="single" w:color="000000" w:sz="4" w:space="0"/>
              <w:right w:val="single" w:color="000000" w:sz="4" w:space="0"/>
            </w:tcBorders>
            <w:shd w:val="clear" w:color="auto" w:fill="auto"/>
            <w:vAlign w:val="center"/>
          </w:tcPr>
          <w:p w14:paraId="7198609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40A1559D">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3EBF2A2E">
            <w:pPr>
              <w:widowControl/>
              <w:jc w:val="left"/>
              <w:rPr>
                <w:rFonts w:ascii="宋体" w:hAnsi="宋体" w:eastAsia="宋体" w:cs="宋体"/>
                <w:color w:val="000000"/>
                <w:sz w:val="18"/>
                <w:szCs w:val="18"/>
              </w:rPr>
            </w:pPr>
          </w:p>
        </w:tc>
        <w:tc>
          <w:tcPr>
            <w:tcW w:w="565" w:type="pct"/>
            <w:vMerge w:val="continue"/>
            <w:tcBorders>
              <w:top w:val="nil"/>
              <w:left w:val="single" w:color="000000" w:sz="4" w:space="0"/>
              <w:bottom w:val="single" w:color="000000" w:sz="4" w:space="0"/>
              <w:right w:val="single" w:color="000000" w:sz="4" w:space="0"/>
            </w:tcBorders>
            <w:vAlign w:val="center"/>
          </w:tcPr>
          <w:p w14:paraId="5EAE228E">
            <w:pPr>
              <w:widowControl/>
              <w:jc w:val="left"/>
              <w:rPr>
                <w:rFonts w:ascii="宋体" w:hAnsi="宋体" w:eastAsia="宋体" w:cs="宋体"/>
                <w:color w:val="000000"/>
                <w:sz w:val="18"/>
                <w:szCs w:val="18"/>
              </w:rPr>
            </w:pPr>
          </w:p>
        </w:tc>
        <w:tc>
          <w:tcPr>
            <w:tcW w:w="497" w:type="pct"/>
            <w:vMerge w:val="restart"/>
            <w:tcBorders>
              <w:top w:val="nil"/>
              <w:left w:val="single" w:color="000000" w:sz="4" w:space="0"/>
              <w:bottom w:val="single" w:color="000000" w:sz="4" w:space="0"/>
              <w:right w:val="single" w:color="000000" w:sz="4" w:space="0"/>
            </w:tcBorders>
            <w:shd w:val="clear" w:color="auto" w:fill="auto"/>
            <w:vAlign w:val="center"/>
          </w:tcPr>
          <w:p w14:paraId="47E135F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1041" w:type="pct"/>
            <w:tcBorders>
              <w:top w:val="nil"/>
              <w:left w:val="nil"/>
              <w:bottom w:val="single" w:color="000000" w:sz="4" w:space="0"/>
              <w:right w:val="single" w:color="000000" w:sz="4" w:space="0"/>
            </w:tcBorders>
            <w:shd w:val="clear" w:color="auto" w:fill="auto"/>
            <w:vAlign w:val="center"/>
          </w:tcPr>
          <w:p w14:paraId="5027C3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政府合同、行政决策合法性审查</w:t>
            </w:r>
          </w:p>
        </w:tc>
        <w:tc>
          <w:tcPr>
            <w:tcW w:w="177" w:type="pct"/>
            <w:tcBorders>
              <w:top w:val="nil"/>
              <w:left w:val="nil"/>
              <w:bottom w:val="single" w:color="000000" w:sz="4" w:space="0"/>
              <w:right w:val="single" w:color="000000" w:sz="4" w:space="0"/>
            </w:tcBorders>
            <w:shd w:val="clear" w:color="auto" w:fill="auto"/>
            <w:vAlign w:val="center"/>
          </w:tcPr>
          <w:p w14:paraId="636F5CC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71" w:type="pct"/>
            <w:tcBorders>
              <w:top w:val="nil"/>
              <w:left w:val="nil"/>
              <w:bottom w:val="single" w:color="000000" w:sz="4" w:space="0"/>
              <w:right w:val="single" w:color="000000" w:sz="4" w:space="0"/>
            </w:tcBorders>
            <w:shd w:val="clear" w:color="auto" w:fill="auto"/>
            <w:vAlign w:val="center"/>
          </w:tcPr>
          <w:p w14:paraId="4E75628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177" w:type="pct"/>
            <w:tcBorders>
              <w:top w:val="nil"/>
              <w:left w:val="nil"/>
              <w:bottom w:val="single" w:color="000000" w:sz="4" w:space="0"/>
              <w:right w:val="single" w:color="000000" w:sz="4" w:space="0"/>
            </w:tcBorders>
            <w:shd w:val="clear" w:color="auto" w:fill="auto"/>
            <w:vAlign w:val="center"/>
          </w:tcPr>
          <w:p w14:paraId="1B2DDC8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天</w:t>
            </w:r>
          </w:p>
        </w:tc>
        <w:tc>
          <w:tcPr>
            <w:tcW w:w="381" w:type="pct"/>
            <w:tcBorders>
              <w:top w:val="nil"/>
              <w:left w:val="nil"/>
              <w:bottom w:val="single" w:color="000000" w:sz="4" w:space="0"/>
              <w:right w:val="single" w:color="000000" w:sz="4" w:space="0"/>
            </w:tcBorders>
            <w:shd w:val="clear" w:color="auto" w:fill="auto"/>
            <w:vAlign w:val="center"/>
          </w:tcPr>
          <w:p w14:paraId="1DB7A1B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8</w:t>
            </w:r>
          </w:p>
        </w:tc>
        <w:tc>
          <w:tcPr>
            <w:tcW w:w="177" w:type="pct"/>
            <w:tcBorders>
              <w:top w:val="nil"/>
              <w:left w:val="nil"/>
              <w:bottom w:val="single" w:color="000000" w:sz="4" w:space="0"/>
              <w:right w:val="single" w:color="000000" w:sz="4" w:space="0"/>
            </w:tcBorders>
            <w:shd w:val="clear" w:color="auto" w:fill="auto"/>
            <w:vAlign w:val="center"/>
          </w:tcPr>
          <w:p w14:paraId="4F03645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11" w:type="pct"/>
            <w:tcBorders>
              <w:top w:val="nil"/>
              <w:left w:val="nil"/>
              <w:bottom w:val="single" w:color="000000" w:sz="4" w:space="0"/>
              <w:right w:val="single" w:color="000000" w:sz="4" w:space="0"/>
            </w:tcBorders>
            <w:shd w:val="clear" w:color="auto" w:fill="auto"/>
            <w:vAlign w:val="center"/>
          </w:tcPr>
          <w:p w14:paraId="6683A8C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07" w:type="pct"/>
            <w:tcBorders>
              <w:top w:val="nil"/>
              <w:left w:val="nil"/>
              <w:bottom w:val="single" w:color="000000" w:sz="4" w:space="0"/>
              <w:right w:val="single" w:color="000000" w:sz="4" w:space="0"/>
            </w:tcBorders>
            <w:shd w:val="clear" w:color="auto" w:fill="auto"/>
            <w:vAlign w:val="center"/>
          </w:tcPr>
          <w:p w14:paraId="4B569B5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79CB194">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4875399F">
            <w:pPr>
              <w:widowControl/>
              <w:jc w:val="left"/>
              <w:rPr>
                <w:rFonts w:ascii="宋体" w:hAnsi="宋体" w:eastAsia="宋体" w:cs="宋体"/>
                <w:color w:val="000000"/>
                <w:sz w:val="18"/>
                <w:szCs w:val="18"/>
              </w:rPr>
            </w:pPr>
          </w:p>
        </w:tc>
        <w:tc>
          <w:tcPr>
            <w:tcW w:w="565" w:type="pct"/>
            <w:vMerge w:val="continue"/>
            <w:tcBorders>
              <w:top w:val="nil"/>
              <w:left w:val="single" w:color="000000" w:sz="4" w:space="0"/>
              <w:bottom w:val="single" w:color="000000" w:sz="4" w:space="0"/>
              <w:right w:val="single" w:color="000000" w:sz="4" w:space="0"/>
            </w:tcBorders>
            <w:vAlign w:val="center"/>
          </w:tcPr>
          <w:p w14:paraId="3443A80D">
            <w:pPr>
              <w:widowControl/>
              <w:jc w:val="left"/>
              <w:rPr>
                <w:rFonts w:ascii="宋体" w:hAnsi="宋体" w:eastAsia="宋体" w:cs="宋体"/>
                <w:color w:val="000000"/>
                <w:sz w:val="18"/>
                <w:szCs w:val="18"/>
              </w:rPr>
            </w:pPr>
          </w:p>
        </w:tc>
        <w:tc>
          <w:tcPr>
            <w:tcW w:w="497" w:type="pct"/>
            <w:vMerge w:val="continue"/>
            <w:tcBorders>
              <w:top w:val="nil"/>
              <w:left w:val="single" w:color="000000" w:sz="4" w:space="0"/>
              <w:bottom w:val="single" w:color="000000" w:sz="4" w:space="0"/>
              <w:right w:val="single" w:color="000000" w:sz="4" w:space="0"/>
            </w:tcBorders>
            <w:vAlign w:val="center"/>
          </w:tcPr>
          <w:p w14:paraId="354DD136">
            <w:pPr>
              <w:widowControl/>
              <w:jc w:val="left"/>
              <w:rPr>
                <w:rFonts w:ascii="宋体" w:hAnsi="宋体" w:eastAsia="宋体" w:cs="宋体"/>
                <w:color w:val="000000"/>
                <w:sz w:val="18"/>
                <w:szCs w:val="18"/>
              </w:rPr>
            </w:pPr>
          </w:p>
        </w:tc>
        <w:tc>
          <w:tcPr>
            <w:tcW w:w="1041" w:type="pct"/>
            <w:tcBorders>
              <w:top w:val="nil"/>
              <w:left w:val="nil"/>
              <w:bottom w:val="single" w:color="000000" w:sz="4" w:space="0"/>
              <w:right w:val="single" w:color="000000" w:sz="4" w:space="0"/>
            </w:tcBorders>
            <w:shd w:val="clear" w:color="auto" w:fill="auto"/>
            <w:vAlign w:val="center"/>
          </w:tcPr>
          <w:p w14:paraId="513D821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规范性文件合法性审查</w:t>
            </w:r>
          </w:p>
        </w:tc>
        <w:tc>
          <w:tcPr>
            <w:tcW w:w="177" w:type="pct"/>
            <w:tcBorders>
              <w:top w:val="nil"/>
              <w:left w:val="nil"/>
              <w:bottom w:val="single" w:color="000000" w:sz="4" w:space="0"/>
              <w:right w:val="single" w:color="000000" w:sz="4" w:space="0"/>
            </w:tcBorders>
            <w:shd w:val="clear" w:color="auto" w:fill="auto"/>
            <w:vAlign w:val="center"/>
          </w:tcPr>
          <w:p w14:paraId="1291CE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71" w:type="pct"/>
            <w:tcBorders>
              <w:top w:val="nil"/>
              <w:left w:val="nil"/>
              <w:bottom w:val="single" w:color="000000" w:sz="4" w:space="0"/>
              <w:right w:val="single" w:color="000000" w:sz="4" w:space="0"/>
            </w:tcBorders>
            <w:shd w:val="clear" w:color="auto" w:fill="auto"/>
            <w:vAlign w:val="center"/>
          </w:tcPr>
          <w:p w14:paraId="6E8CB69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177" w:type="pct"/>
            <w:tcBorders>
              <w:top w:val="nil"/>
              <w:left w:val="nil"/>
              <w:bottom w:val="single" w:color="000000" w:sz="4" w:space="0"/>
              <w:right w:val="single" w:color="000000" w:sz="4" w:space="0"/>
            </w:tcBorders>
            <w:shd w:val="clear" w:color="auto" w:fill="auto"/>
            <w:vAlign w:val="center"/>
          </w:tcPr>
          <w:p w14:paraId="6B299B1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天</w:t>
            </w:r>
          </w:p>
        </w:tc>
        <w:tc>
          <w:tcPr>
            <w:tcW w:w="381" w:type="pct"/>
            <w:tcBorders>
              <w:top w:val="nil"/>
              <w:left w:val="nil"/>
              <w:bottom w:val="single" w:color="000000" w:sz="4" w:space="0"/>
              <w:right w:val="single" w:color="000000" w:sz="4" w:space="0"/>
            </w:tcBorders>
            <w:shd w:val="clear" w:color="auto" w:fill="auto"/>
            <w:vAlign w:val="center"/>
          </w:tcPr>
          <w:p w14:paraId="2307C80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14</w:t>
            </w:r>
          </w:p>
        </w:tc>
        <w:tc>
          <w:tcPr>
            <w:tcW w:w="177" w:type="pct"/>
            <w:tcBorders>
              <w:top w:val="nil"/>
              <w:left w:val="nil"/>
              <w:bottom w:val="single" w:color="000000" w:sz="4" w:space="0"/>
              <w:right w:val="single" w:color="000000" w:sz="4" w:space="0"/>
            </w:tcBorders>
            <w:shd w:val="clear" w:color="auto" w:fill="auto"/>
            <w:vAlign w:val="center"/>
          </w:tcPr>
          <w:p w14:paraId="0234980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11" w:type="pct"/>
            <w:tcBorders>
              <w:top w:val="nil"/>
              <w:left w:val="nil"/>
              <w:bottom w:val="single" w:color="000000" w:sz="4" w:space="0"/>
              <w:right w:val="single" w:color="000000" w:sz="4" w:space="0"/>
            </w:tcBorders>
            <w:shd w:val="clear" w:color="auto" w:fill="auto"/>
            <w:vAlign w:val="center"/>
          </w:tcPr>
          <w:p w14:paraId="2A63404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07" w:type="pct"/>
            <w:tcBorders>
              <w:top w:val="nil"/>
              <w:left w:val="nil"/>
              <w:bottom w:val="single" w:color="000000" w:sz="4" w:space="0"/>
              <w:right w:val="single" w:color="000000" w:sz="4" w:space="0"/>
            </w:tcBorders>
            <w:shd w:val="clear" w:color="auto" w:fill="auto"/>
            <w:vAlign w:val="center"/>
          </w:tcPr>
          <w:p w14:paraId="194BA58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B0CD9DC">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06BC62D6">
            <w:pPr>
              <w:widowControl/>
              <w:jc w:val="left"/>
              <w:rPr>
                <w:rFonts w:ascii="宋体" w:hAnsi="宋体" w:eastAsia="宋体" w:cs="宋体"/>
                <w:color w:val="000000"/>
                <w:sz w:val="18"/>
                <w:szCs w:val="18"/>
              </w:rPr>
            </w:pPr>
          </w:p>
        </w:tc>
        <w:tc>
          <w:tcPr>
            <w:tcW w:w="565" w:type="pct"/>
            <w:tcBorders>
              <w:top w:val="nil"/>
              <w:left w:val="nil"/>
              <w:bottom w:val="single" w:color="000000" w:sz="4" w:space="0"/>
              <w:right w:val="single" w:color="000000" w:sz="4" w:space="0"/>
            </w:tcBorders>
            <w:shd w:val="clear" w:color="auto" w:fill="auto"/>
            <w:vAlign w:val="center"/>
          </w:tcPr>
          <w:p w14:paraId="5FE322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497" w:type="pct"/>
            <w:tcBorders>
              <w:top w:val="nil"/>
              <w:left w:val="nil"/>
              <w:bottom w:val="single" w:color="000000" w:sz="4" w:space="0"/>
              <w:right w:val="single" w:color="000000" w:sz="4" w:space="0"/>
            </w:tcBorders>
            <w:shd w:val="clear" w:color="auto" w:fill="auto"/>
            <w:vAlign w:val="center"/>
          </w:tcPr>
          <w:p w14:paraId="02AA81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041" w:type="pct"/>
            <w:tcBorders>
              <w:top w:val="nil"/>
              <w:left w:val="nil"/>
              <w:bottom w:val="single" w:color="000000" w:sz="4" w:space="0"/>
              <w:right w:val="single" w:color="000000" w:sz="4" w:space="0"/>
            </w:tcBorders>
            <w:shd w:val="clear" w:color="auto" w:fill="auto"/>
            <w:vAlign w:val="center"/>
          </w:tcPr>
          <w:p w14:paraId="379E316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提高决策合法合理性</w:t>
            </w:r>
          </w:p>
        </w:tc>
        <w:tc>
          <w:tcPr>
            <w:tcW w:w="177" w:type="pct"/>
            <w:tcBorders>
              <w:top w:val="nil"/>
              <w:left w:val="nil"/>
              <w:bottom w:val="single" w:color="000000" w:sz="4" w:space="0"/>
              <w:right w:val="single" w:color="000000" w:sz="4" w:space="0"/>
            </w:tcBorders>
            <w:shd w:val="clear" w:color="auto" w:fill="auto"/>
            <w:vAlign w:val="center"/>
          </w:tcPr>
          <w:p w14:paraId="4C0F4F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71" w:type="pct"/>
            <w:tcBorders>
              <w:top w:val="nil"/>
              <w:left w:val="nil"/>
              <w:bottom w:val="single" w:color="000000" w:sz="4" w:space="0"/>
              <w:right w:val="single" w:color="000000" w:sz="4" w:space="0"/>
            </w:tcBorders>
            <w:shd w:val="clear" w:color="auto" w:fill="auto"/>
            <w:vAlign w:val="center"/>
          </w:tcPr>
          <w:p w14:paraId="2FAAE6F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77" w:type="pct"/>
            <w:tcBorders>
              <w:top w:val="nil"/>
              <w:left w:val="nil"/>
              <w:bottom w:val="single" w:color="000000" w:sz="4" w:space="0"/>
              <w:right w:val="single" w:color="000000" w:sz="4" w:space="0"/>
            </w:tcBorders>
            <w:shd w:val="clear" w:color="auto" w:fill="auto"/>
            <w:vAlign w:val="center"/>
          </w:tcPr>
          <w:p w14:paraId="2347886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381" w:type="pct"/>
            <w:tcBorders>
              <w:top w:val="nil"/>
              <w:left w:val="nil"/>
              <w:bottom w:val="single" w:color="000000" w:sz="4" w:space="0"/>
              <w:right w:val="single" w:color="000000" w:sz="4" w:space="0"/>
            </w:tcBorders>
            <w:shd w:val="clear" w:color="auto" w:fill="auto"/>
            <w:vAlign w:val="center"/>
          </w:tcPr>
          <w:p w14:paraId="610C669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77" w:type="pct"/>
            <w:tcBorders>
              <w:top w:val="nil"/>
              <w:left w:val="nil"/>
              <w:bottom w:val="single" w:color="000000" w:sz="4" w:space="0"/>
              <w:right w:val="single" w:color="000000" w:sz="4" w:space="0"/>
            </w:tcBorders>
            <w:shd w:val="clear" w:color="auto" w:fill="auto"/>
            <w:vAlign w:val="center"/>
          </w:tcPr>
          <w:p w14:paraId="7758743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24</w:t>
            </w:r>
          </w:p>
        </w:tc>
        <w:tc>
          <w:tcPr>
            <w:tcW w:w="211" w:type="pct"/>
            <w:tcBorders>
              <w:top w:val="nil"/>
              <w:left w:val="nil"/>
              <w:bottom w:val="single" w:color="000000" w:sz="4" w:space="0"/>
              <w:right w:val="single" w:color="000000" w:sz="4" w:space="0"/>
            </w:tcBorders>
            <w:shd w:val="clear" w:color="auto" w:fill="auto"/>
            <w:vAlign w:val="center"/>
          </w:tcPr>
          <w:p w14:paraId="339030A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21</w:t>
            </w:r>
          </w:p>
        </w:tc>
        <w:tc>
          <w:tcPr>
            <w:tcW w:w="1007" w:type="pct"/>
            <w:tcBorders>
              <w:top w:val="nil"/>
              <w:left w:val="nil"/>
              <w:bottom w:val="single" w:color="000000" w:sz="4" w:space="0"/>
              <w:right w:val="single" w:color="000000" w:sz="4" w:space="0"/>
            </w:tcBorders>
            <w:shd w:val="clear" w:color="auto" w:fill="auto"/>
            <w:vAlign w:val="center"/>
          </w:tcPr>
          <w:p w14:paraId="5BC0919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0A14201">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51D342E3">
            <w:pPr>
              <w:widowControl/>
              <w:jc w:val="left"/>
              <w:rPr>
                <w:rFonts w:ascii="宋体" w:hAnsi="宋体" w:eastAsia="宋体" w:cs="宋体"/>
                <w:color w:val="000000"/>
                <w:sz w:val="18"/>
                <w:szCs w:val="18"/>
              </w:rPr>
            </w:pPr>
          </w:p>
        </w:tc>
        <w:tc>
          <w:tcPr>
            <w:tcW w:w="565" w:type="pct"/>
            <w:tcBorders>
              <w:top w:val="nil"/>
              <w:left w:val="nil"/>
              <w:bottom w:val="single" w:color="000000" w:sz="4" w:space="0"/>
              <w:right w:val="single" w:color="000000" w:sz="4" w:space="0"/>
            </w:tcBorders>
            <w:shd w:val="clear" w:color="auto" w:fill="auto"/>
            <w:vAlign w:val="center"/>
          </w:tcPr>
          <w:p w14:paraId="55F2484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497" w:type="pct"/>
            <w:tcBorders>
              <w:top w:val="nil"/>
              <w:left w:val="nil"/>
              <w:bottom w:val="single" w:color="000000" w:sz="4" w:space="0"/>
              <w:right w:val="single" w:color="000000" w:sz="4" w:space="0"/>
            </w:tcBorders>
            <w:shd w:val="clear" w:color="auto" w:fill="auto"/>
            <w:vAlign w:val="center"/>
          </w:tcPr>
          <w:p w14:paraId="34C20B6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1041" w:type="pct"/>
            <w:tcBorders>
              <w:top w:val="nil"/>
              <w:left w:val="nil"/>
              <w:bottom w:val="single" w:color="000000" w:sz="4" w:space="0"/>
              <w:right w:val="single" w:color="000000" w:sz="4" w:space="0"/>
            </w:tcBorders>
            <w:shd w:val="clear" w:color="auto" w:fill="auto"/>
            <w:vAlign w:val="center"/>
          </w:tcPr>
          <w:p w14:paraId="28E990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177" w:type="pct"/>
            <w:tcBorders>
              <w:top w:val="nil"/>
              <w:left w:val="nil"/>
              <w:bottom w:val="single" w:color="000000" w:sz="4" w:space="0"/>
              <w:right w:val="single" w:color="000000" w:sz="4" w:space="0"/>
            </w:tcBorders>
            <w:shd w:val="clear" w:color="auto" w:fill="auto"/>
            <w:vAlign w:val="center"/>
          </w:tcPr>
          <w:p w14:paraId="468AF7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71" w:type="pct"/>
            <w:tcBorders>
              <w:top w:val="nil"/>
              <w:left w:val="nil"/>
              <w:bottom w:val="single" w:color="000000" w:sz="4" w:space="0"/>
              <w:right w:val="single" w:color="000000" w:sz="4" w:space="0"/>
            </w:tcBorders>
            <w:shd w:val="clear" w:color="auto" w:fill="auto"/>
            <w:vAlign w:val="center"/>
          </w:tcPr>
          <w:p w14:paraId="490047A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177" w:type="pct"/>
            <w:tcBorders>
              <w:top w:val="nil"/>
              <w:left w:val="nil"/>
              <w:bottom w:val="single" w:color="000000" w:sz="4" w:space="0"/>
              <w:right w:val="single" w:color="000000" w:sz="4" w:space="0"/>
            </w:tcBorders>
            <w:shd w:val="clear" w:color="auto" w:fill="auto"/>
            <w:vAlign w:val="center"/>
          </w:tcPr>
          <w:p w14:paraId="037742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81" w:type="pct"/>
            <w:tcBorders>
              <w:top w:val="nil"/>
              <w:left w:val="nil"/>
              <w:bottom w:val="single" w:color="000000" w:sz="4" w:space="0"/>
              <w:right w:val="single" w:color="000000" w:sz="4" w:space="0"/>
            </w:tcBorders>
            <w:shd w:val="clear" w:color="auto" w:fill="auto"/>
            <w:vAlign w:val="center"/>
          </w:tcPr>
          <w:p w14:paraId="6BBD3A9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95</w:t>
            </w:r>
          </w:p>
        </w:tc>
        <w:tc>
          <w:tcPr>
            <w:tcW w:w="177" w:type="pct"/>
            <w:tcBorders>
              <w:top w:val="nil"/>
              <w:left w:val="nil"/>
              <w:bottom w:val="single" w:color="000000" w:sz="4" w:space="0"/>
              <w:right w:val="single" w:color="000000" w:sz="4" w:space="0"/>
            </w:tcBorders>
            <w:shd w:val="clear" w:color="auto" w:fill="auto"/>
            <w:vAlign w:val="center"/>
          </w:tcPr>
          <w:p w14:paraId="0567E98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11" w:type="pct"/>
            <w:tcBorders>
              <w:top w:val="nil"/>
              <w:left w:val="nil"/>
              <w:bottom w:val="single" w:color="000000" w:sz="4" w:space="0"/>
              <w:right w:val="single" w:color="000000" w:sz="4" w:space="0"/>
            </w:tcBorders>
            <w:shd w:val="clear" w:color="auto" w:fill="auto"/>
            <w:vAlign w:val="center"/>
          </w:tcPr>
          <w:p w14:paraId="7A7BD71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07" w:type="pct"/>
            <w:tcBorders>
              <w:top w:val="nil"/>
              <w:left w:val="nil"/>
              <w:bottom w:val="single" w:color="000000" w:sz="4" w:space="0"/>
              <w:right w:val="single" w:color="000000" w:sz="4" w:space="0"/>
            </w:tcBorders>
            <w:shd w:val="clear" w:color="auto" w:fill="auto"/>
            <w:vAlign w:val="center"/>
          </w:tcPr>
          <w:p w14:paraId="528B5CF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4258A20">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08302096">
            <w:pPr>
              <w:widowControl/>
              <w:jc w:val="left"/>
              <w:rPr>
                <w:rFonts w:ascii="宋体" w:hAnsi="宋体" w:eastAsia="宋体" w:cs="宋体"/>
                <w:color w:val="000000"/>
                <w:sz w:val="18"/>
                <w:szCs w:val="18"/>
              </w:rPr>
            </w:pPr>
          </w:p>
        </w:tc>
        <w:tc>
          <w:tcPr>
            <w:tcW w:w="565" w:type="pct"/>
            <w:vMerge w:val="restart"/>
            <w:tcBorders>
              <w:top w:val="nil"/>
              <w:left w:val="single" w:color="000000" w:sz="4" w:space="0"/>
              <w:bottom w:val="single" w:color="000000" w:sz="4" w:space="0"/>
              <w:right w:val="single" w:color="000000" w:sz="4" w:space="0"/>
            </w:tcBorders>
            <w:shd w:val="clear" w:color="auto" w:fill="auto"/>
            <w:vAlign w:val="center"/>
          </w:tcPr>
          <w:p w14:paraId="5914F99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497" w:type="pct"/>
            <w:vMerge w:val="restart"/>
            <w:tcBorders>
              <w:top w:val="nil"/>
              <w:left w:val="single" w:color="000000" w:sz="4" w:space="0"/>
              <w:bottom w:val="single" w:color="000000" w:sz="4" w:space="0"/>
              <w:right w:val="single" w:color="000000" w:sz="4" w:space="0"/>
            </w:tcBorders>
            <w:shd w:val="clear" w:color="auto" w:fill="auto"/>
            <w:vAlign w:val="center"/>
          </w:tcPr>
          <w:p w14:paraId="3C963DA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041" w:type="pct"/>
            <w:tcBorders>
              <w:top w:val="nil"/>
              <w:left w:val="nil"/>
              <w:bottom w:val="single" w:color="000000" w:sz="4" w:space="0"/>
              <w:right w:val="single" w:color="000000" w:sz="4" w:space="0"/>
            </w:tcBorders>
            <w:shd w:val="clear" w:color="auto" w:fill="auto"/>
            <w:vAlign w:val="center"/>
          </w:tcPr>
          <w:p w14:paraId="3DE1225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购买律师事务所法律服务支出相应的报酬</w:t>
            </w:r>
          </w:p>
        </w:tc>
        <w:tc>
          <w:tcPr>
            <w:tcW w:w="177" w:type="pct"/>
            <w:tcBorders>
              <w:top w:val="nil"/>
              <w:left w:val="nil"/>
              <w:bottom w:val="single" w:color="000000" w:sz="4" w:space="0"/>
              <w:right w:val="single" w:color="000000" w:sz="4" w:space="0"/>
            </w:tcBorders>
            <w:shd w:val="clear" w:color="auto" w:fill="auto"/>
            <w:vAlign w:val="center"/>
          </w:tcPr>
          <w:p w14:paraId="2334CDC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71" w:type="pct"/>
            <w:tcBorders>
              <w:top w:val="nil"/>
              <w:left w:val="nil"/>
              <w:bottom w:val="single" w:color="000000" w:sz="4" w:space="0"/>
              <w:right w:val="single" w:color="000000" w:sz="4" w:space="0"/>
            </w:tcBorders>
            <w:shd w:val="clear" w:color="auto" w:fill="auto"/>
            <w:vAlign w:val="center"/>
          </w:tcPr>
          <w:p w14:paraId="726675F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77" w:type="pct"/>
            <w:tcBorders>
              <w:top w:val="nil"/>
              <w:left w:val="nil"/>
              <w:bottom w:val="single" w:color="000000" w:sz="4" w:space="0"/>
              <w:right w:val="single" w:color="000000" w:sz="4" w:space="0"/>
            </w:tcBorders>
            <w:shd w:val="clear" w:color="auto" w:fill="auto"/>
            <w:vAlign w:val="center"/>
          </w:tcPr>
          <w:p w14:paraId="0CB0B25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万元</w:t>
            </w:r>
          </w:p>
        </w:tc>
        <w:tc>
          <w:tcPr>
            <w:tcW w:w="381" w:type="pct"/>
            <w:tcBorders>
              <w:top w:val="nil"/>
              <w:left w:val="nil"/>
              <w:bottom w:val="single" w:color="000000" w:sz="4" w:space="0"/>
              <w:right w:val="single" w:color="000000" w:sz="4" w:space="0"/>
            </w:tcBorders>
            <w:shd w:val="clear" w:color="auto" w:fill="auto"/>
            <w:vAlign w:val="center"/>
          </w:tcPr>
          <w:p w14:paraId="60BBFB0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8</w:t>
            </w:r>
          </w:p>
        </w:tc>
        <w:tc>
          <w:tcPr>
            <w:tcW w:w="177" w:type="pct"/>
            <w:tcBorders>
              <w:top w:val="nil"/>
              <w:left w:val="nil"/>
              <w:bottom w:val="single" w:color="000000" w:sz="4" w:space="0"/>
              <w:right w:val="single" w:color="000000" w:sz="4" w:space="0"/>
            </w:tcBorders>
            <w:shd w:val="clear" w:color="auto" w:fill="auto"/>
            <w:vAlign w:val="center"/>
          </w:tcPr>
          <w:p w14:paraId="0FA5A61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11" w:type="pct"/>
            <w:tcBorders>
              <w:top w:val="nil"/>
              <w:left w:val="nil"/>
              <w:bottom w:val="single" w:color="000000" w:sz="4" w:space="0"/>
              <w:right w:val="single" w:color="000000" w:sz="4" w:space="0"/>
            </w:tcBorders>
            <w:shd w:val="clear" w:color="auto" w:fill="auto"/>
            <w:vAlign w:val="center"/>
          </w:tcPr>
          <w:p w14:paraId="5CAE31E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07" w:type="pct"/>
            <w:tcBorders>
              <w:top w:val="nil"/>
              <w:left w:val="nil"/>
              <w:bottom w:val="single" w:color="000000" w:sz="4" w:space="0"/>
              <w:right w:val="single" w:color="000000" w:sz="4" w:space="0"/>
            </w:tcBorders>
            <w:shd w:val="clear" w:color="auto" w:fill="auto"/>
            <w:vAlign w:val="center"/>
          </w:tcPr>
          <w:p w14:paraId="01E492A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BD477B0">
        <w:tblPrEx>
          <w:tblCellMar>
            <w:top w:w="0" w:type="dxa"/>
            <w:left w:w="108" w:type="dxa"/>
            <w:bottom w:w="0" w:type="dxa"/>
            <w:right w:w="108" w:type="dxa"/>
          </w:tblCellMar>
        </w:tblPrEx>
        <w:trPr>
          <w:trHeight w:val="402" w:hRule="atLeast"/>
        </w:trPr>
        <w:tc>
          <w:tcPr>
            <w:tcW w:w="197" w:type="pct"/>
            <w:vMerge w:val="continue"/>
            <w:tcBorders>
              <w:top w:val="nil"/>
              <w:left w:val="single" w:color="000000" w:sz="4" w:space="0"/>
              <w:bottom w:val="nil"/>
              <w:right w:val="single" w:color="000000" w:sz="4" w:space="0"/>
            </w:tcBorders>
            <w:vAlign w:val="center"/>
          </w:tcPr>
          <w:p w14:paraId="13D1294F">
            <w:pPr>
              <w:widowControl/>
              <w:jc w:val="left"/>
              <w:rPr>
                <w:rFonts w:ascii="宋体" w:hAnsi="宋体" w:eastAsia="宋体" w:cs="宋体"/>
                <w:color w:val="000000"/>
                <w:sz w:val="18"/>
                <w:szCs w:val="18"/>
              </w:rPr>
            </w:pPr>
          </w:p>
        </w:tc>
        <w:tc>
          <w:tcPr>
            <w:tcW w:w="565" w:type="pct"/>
            <w:vMerge w:val="continue"/>
            <w:tcBorders>
              <w:top w:val="nil"/>
              <w:left w:val="single" w:color="000000" w:sz="4" w:space="0"/>
              <w:bottom w:val="single" w:color="000000" w:sz="4" w:space="0"/>
              <w:right w:val="single" w:color="000000" w:sz="4" w:space="0"/>
            </w:tcBorders>
            <w:vAlign w:val="center"/>
          </w:tcPr>
          <w:p w14:paraId="6E20C755">
            <w:pPr>
              <w:widowControl/>
              <w:jc w:val="left"/>
              <w:rPr>
                <w:rFonts w:ascii="宋体" w:hAnsi="宋体" w:eastAsia="宋体" w:cs="宋体"/>
                <w:color w:val="000000"/>
                <w:sz w:val="18"/>
                <w:szCs w:val="18"/>
              </w:rPr>
            </w:pPr>
          </w:p>
        </w:tc>
        <w:tc>
          <w:tcPr>
            <w:tcW w:w="497" w:type="pct"/>
            <w:vMerge w:val="continue"/>
            <w:tcBorders>
              <w:top w:val="nil"/>
              <w:left w:val="single" w:color="000000" w:sz="4" w:space="0"/>
              <w:bottom w:val="single" w:color="000000" w:sz="4" w:space="0"/>
              <w:right w:val="single" w:color="000000" w:sz="4" w:space="0"/>
            </w:tcBorders>
            <w:vAlign w:val="center"/>
          </w:tcPr>
          <w:p w14:paraId="75CD95A4">
            <w:pPr>
              <w:widowControl/>
              <w:jc w:val="left"/>
              <w:rPr>
                <w:rFonts w:ascii="宋体" w:hAnsi="宋体" w:eastAsia="宋体" w:cs="宋体"/>
                <w:color w:val="000000"/>
                <w:sz w:val="18"/>
                <w:szCs w:val="18"/>
              </w:rPr>
            </w:pPr>
          </w:p>
        </w:tc>
        <w:tc>
          <w:tcPr>
            <w:tcW w:w="1041" w:type="pct"/>
            <w:tcBorders>
              <w:top w:val="nil"/>
              <w:left w:val="nil"/>
              <w:bottom w:val="single" w:color="000000" w:sz="4" w:space="0"/>
              <w:right w:val="single" w:color="000000" w:sz="4" w:space="0"/>
            </w:tcBorders>
            <w:shd w:val="clear" w:color="auto" w:fill="auto"/>
            <w:vAlign w:val="center"/>
          </w:tcPr>
          <w:p w14:paraId="05B2C4F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聘用坐班律师支出相应费用</w:t>
            </w:r>
          </w:p>
        </w:tc>
        <w:tc>
          <w:tcPr>
            <w:tcW w:w="177" w:type="pct"/>
            <w:tcBorders>
              <w:top w:val="nil"/>
              <w:left w:val="nil"/>
              <w:bottom w:val="single" w:color="000000" w:sz="4" w:space="0"/>
              <w:right w:val="single" w:color="000000" w:sz="4" w:space="0"/>
            </w:tcBorders>
            <w:shd w:val="clear" w:color="auto" w:fill="auto"/>
            <w:vAlign w:val="center"/>
          </w:tcPr>
          <w:p w14:paraId="26F5592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71" w:type="pct"/>
            <w:tcBorders>
              <w:top w:val="nil"/>
              <w:left w:val="nil"/>
              <w:bottom w:val="single" w:color="000000" w:sz="4" w:space="0"/>
              <w:right w:val="single" w:color="000000" w:sz="4" w:space="0"/>
            </w:tcBorders>
            <w:shd w:val="clear" w:color="auto" w:fill="auto"/>
            <w:vAlign w:val="center"/>
          </w:tcPr>
          <w:p w14:paraId="4DC2D9F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22</w:t>
            </w:r>
          </w:p>
        </w:tc>
        <w:tc>
          <w:tcPr>
            <w:tcW w:w="177" w:type="pct"/>
            <w:tcBorders>
              <w:top w:val="nil"/>
              <w:left w:val="nil"/>
              <w:bottom w:val="single" w:color="000000" w:sz="4" w:space="0"/>
              <w:right w:val="single" w:color="000000" w:sz="4" w:space="0"/>
            </w:tcBorders>
            <w:shd w:val="clear" w:color="auto" w:fill="auto"/>
            <w:vAlign w:val="center"/>
          </w:tcPr>
          <w:p w14:paraId="4E1EFAB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万元</w:t>
            </w:r>
          </w:p>
        </w:tc>
        <w:tc>
          <w:tcPr>
            <w:tcW w:w="381" w:type="pct"/>
            <w:tcBorders>
              <w:top w:val="nil"/>
              <w:left w:val="nil"/>
              <w:bottom w:val="single" w:color="000000" w:sz="4" w:space="0"/>
              <w:right w:val="single" w:color="000000" w:sz="4" w:space="0"/>
            </w:tcBorders>
            <w:shd w:val="clear" w:color="auto" w:fill="auto"/>
            <w:vAlign w:val="center"/>
          </w:tcPr>
          <w:p w14:paraId="2A71C3B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22</w:t>
            </w:r>
          </w:p>
        </w:tc>
        <w:tc>
          <w:tcPr>
            <w:tcW w:w="177" w:type="pct"/>
            <w:tcBorders>
              <w:top w:val="nil"/>
              <w:left w:val="nil"/>
              <w:bottom w:val="single" w:color="000000" w:sz="4" w:space="0"/>
              <w:right w:val="single" w:color="000000" w:sz="4" w:space="0"/>
            </w:tcBorders>
            <w:shd w:val="clear" w:color="auto" w:fill="auto"/>
            <w:vAlign w:val="center"/>
          </w:tcPr>
          <w:p w14:paraId="6B6C839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11" w:type="pct"/>
            <w:tcBorders>
              <w:top w:val="nil"/>
              <w:left w:val="nil"/>
              <w:bottom w:val="single" w:color="000000" w:sz="4" w:space="0"/>
              <w:right w:val="single" w:color="000000" w:sz="4" w:space="0"/>
            </w:tcBorders>
            <w:shd w:val="clear" w:color="auto" w:fill="auto"/>
            <w:vAlign w:val="center"/>
          </w:tcPr>
          <w:p w14:paraId="40BE719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07" w:type="pct"/>
            <w:tcBorders>
              <w:top w:val="nil"/>
              <w:left w:val="nil"/>
              <w:bottom w:val="single" w:color="000000" w:sz="4" w:space="0"/>
              <w:right w:val="single" w:color="000000" w:sz="4" w:space="0"/>
            </w:tcBorders>
            <w:shd w:val="clear" w:color="auto" w:fill="auto"/>
            <w:vAlign w:val="center"/>
          </w:tcPr>
          <w:p w14:paraId="7698E35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A8CFE72">
        <w:tblPrEx>
          <w:tblCellMar>
            <w:top w:w="0" w:type="dxa"/>
            <w:left w:w="108" w:type="dxa"/>
            <w:bottom w:w="0" w:type="dxa"/>
            <w:right w:w="108" w:type="dxa"/>
          </w:tblCellMar>
        </w:tblPrEx>
        <w:trPr>
          <w:trHeight w:val="28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06D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565" w:type="pct"/>
            <w:tcBorders>
              <w:top w:val="nil"/>
              <w:left w:val="nil"/>
              <w:bottom w:val="single" w:color="000000" w:sz="4" w:space="0"/>
              <w:right w:val="single" w:color="000000" w:sz="4" w:space="0"/>
            </w:tcBorders>
            <w:shd w:val="clear" w:color="auto" w:fill="auto"/>
            <w:vAlign w:val="center"/>
          </w:tcPr>
          <w:p w14:paraId="14503F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97" w:type="pct"/>
            <w:tcBorders>
              <w:top w:val="nil"/>
              <w:left w:val="nil"/>
              <w:bottom w:val="single" w:color="000000" w:sz="4" w:space="0"/>
              <w:right w:val="single" w:color="000000" w:sz="4" w:space="0"/>
            </w:tcBorders>
            <w:shd w:val="clear" w:color="auto" w:fill="auto"/>
            <w:vAlign w:val="center"/>
          </w:tcPr>
          <w:p w14:paraId="02CC02B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41" w:type="pct"/>
            <w:tcBorders>
              <w:top w:val="nil"/>
              <w:left w:val="nil"/>
              <w:bottom w:val="single" w:color="000000" w:sz="4" w:space="0"/>
              <w:right w:val="single" w:color="000000" w:sz="4" w:space="0"/>
            </w:tcBorders>
            <w:shd w:val="clear" w:color="auto" w:fill="auto"/>
            <w:vAlign w:val="center"/>
          </w:tcPr>
          <w:p w14:paraId="08DC7C0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0159277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71" w:type="pct"/>
            <w:tcBorders>
              <w:top w:val="nil"/>
              <w:left w:val="nil"/>
              <w:bottom w:val="single" w:color="000000" w:sz="4" w:space="0"/>
              <w:right w:val="single" w:color="000000" w:sz="4" w:space="0"/>
            </w:tcBorders>
            <w:shd w:val="clear" w:color="auto" w:fill="auto"/>
            <w:vAlign w:val="center"/>
          </w:tcPr>
          <w:p w14:paraId="3C6EF7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7ED551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81" w:type="pct"/>
            <w:tcBorders>
              <w:top w:val="nil"/>
              <w:left w:val="nil"/>
              <w:bottom w:val="single" w:color="000000" w:sz="4" w:space="0"/>
              <w:right w:val="single" w:color="000000" w:sz="4" w:space="0"/>
            </w:tcBorders>
            <w:shd w:val="clear" w:color="auto" w:fill="auto"/>
            <w:vAlign w:val="center"/>
          </w:tcPr>
          <w:p w14:paraId="7322289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0AA7AB4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11" w:type="pct"/>
            <w:tcBorders>
              <w:top w:val="nil"/>
              <w:left w:val="nil"/>
              <w:bottom w:val="single" w:color="000000" w:sz="4" w:space="0"/>
              <w:right w:val="single" w:color="000000" w:sz="4" w:space="0"/>
            </w:tcBorders>
            <w:shd w:val="clear" w:color="auto" w:fill="auto"/>
            <w:vAlign w:val="center"/>
          </w:tcPr>
          <w:p w14:paraId="7EEC177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97</w:t>
            </w:r>
          </w:p>
        </w:tc>
        <w:tc>
          <w:tcPr>
            <w:tcW w:w="1007" w:type="pct"/>
            <w:tcBorders>
              <w:top w:val="nil"/>
              <w:left w:val="nil"/>
              <w:bottom w:val="single" w:color="000000" w:sz="4" w:space="0"/>
              <w:right w:val="single" w:color="000000" w:sz="4" w:space="0"/>
            </w:tcBorders>
            <w:shd w:val="clear" w:color="auto" w:fill="auto"/>
            <w:vAlign w:val="center"/>
          </w:tcPr>
          <w:p w14:paraId="2582CC7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22E37269">
        <w:tblPrEx>
          <w:tblCellMar>
            <w:top w:w="0" w:type="dxa"/>
            <w:left w:w="108" w:type="dxa"/>
            <w:bottom w:w="0" w:type="dxa"/>
            <w:right w:w="108" w:type="dxa"/>
          </w:tblCellMar>
        </w:tblPrEx>
        <w:trPr>
          <w:trHeight w:val="604"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73C20D9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6C82D0F7">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群众对法律援助的了解比较片面的情况，绩效评价得分“97”，评价等级为“优”。</w:t>
            </w:r>
          </w:p>
        </w:tc>
      </w:tr>
      <w:tr w14:paraId="57580A8C">
        <w:tblPrEx>
          <w:tblCellMar>
            <w:top w:w="0" w:type="dxa"/>
            <w:left w:w="108" w:type="dxa"/>
            <w:bottom w:w="0" w:type="dxa"/>
            <w:right w:w="108" w:type="dxa"/>
          </w:tblCellMar>
        </w:tblPrEx>
        <w:trPr>
          <w:trHeight w:val="574"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1FC0B2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4036FE99">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存在的问题主要是人民法院、检察院等部门指定函件送达不及时，群众对法律援助的了解比较片面。</w:t>
            </w:r>
          </w:p>
        </w:tc>
      </w:tr>
      <w:tr w14:paraId="3129CF46">
        <w:tblPrEx>
          <w:tblCellMar>
            <w:top w:w="0" w:type="dxa"/>
            <w:left w:w="108" w:type="dxa"/>
            <w:bottom w:w="0" w:type="dxa"/>
            <w:right w:w="108" w:type="dxa"/>
          </w:tblCellMar>
        </w:tblPrEx>
        <w:trPr>
          <w:trHeight w:val="634" w:hRule="atLeast"/>
        </w:trPr>
        <w:tc>
          <w:tcPr>
            <w:tcW w:w="197" w:type="pct"/>
            <w:tcBorders>
              <w:top w:val="nil"/>
              <w:left w:val="single" w:color="000000" w:sz="4" w:space="0"/>
              <w:bottom w:val="single" w:color="000000" w:sz="4" w:space="0"/>
              <w:right w:val="single" w:color="000000" w:sz="4" w:space="0"/>
            </w:tcBorders>
            <w:shd w:val="clear" w:color="auto" w:fill="auto"/>
            <w:vAlign w:val="center"/>
          </w:tcPr>
          <w:p w14:paraId="168292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803" w:type="pct"/>
            <w:gridSpan w:val="10"/>
            <w:tcBorders>
              <w:top w:val="single" w:color="000000" w:sz="4" w:space="0"/>
              <w:left w:val="nil"/>
              <w:bottom w:val="single" w:color="000000" w:sz="4" w:space="0"/>
              <w:right w:val="single" w:color="000000" w:sz="4" w:space="0"/>
            </w:tcBorders>
            <w:shd w:val="clear" w:color="auto" w:fill="auto"/>
            <w:vAlign w:val="center"/>
          </w:tcPr>
          <w:p w14:paraId="2B9B8D97">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一是进一步扩大律师法律援助案件参与覆盖率，从援助大厅值班、接待咨询、文书代写、案件办理等多方面全面参与，鼓励新律师加入援助队伍；二是加强法律援助相关法律法规的宣传，特别是法律援助的条件和范围，可以采取和普治股、基层司法所联合开展的方式进行，在群众中普及法律援助知</w:t>
            </w:r>
          </w:p>
        </w:tc>
      </w:tr>
      <w:tr w14:paraId="050F0C4C">
        <w:tblPrEx>
          <w:tblCellMar>
            <w:top w:w="0" w:type="dxa"/>
            <w:left w:w="108" w:type="dxa"/>
            <w:bottom w:w="0" w:type="dxa"/>
            <w:right w:w="108" w:type="dxa"/>
          </w:tblCellMar>
        </w:tblPrEx>
        <w:trPr>
          <w:trHeight w:val="619" w:hRule="atLeast"/>
        </w:trPr>
        <w:tc>
          <w:tcPr>
            <w:tcW w:w="24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1F156">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w:t>
            </w:r>
            <w:bookmarkStart w:id="129" w:name="OLE_LINK58"/>
            <w:bookmarkStart w:id="130" w:name="OLE_LINK57"/>
            <w:r>
              <w:rPr>
                <w:rFonts w:ascii="Courier New" w:hAnsi="Courier New" w:eastAsia="宋体" w:cs="Courier New"/>
                <w:color w:val="auto"/>
                <w:sz w:val="18"/>
                <w:szCs w:val="18"/>
              </w:rPr>
              <w:t>顾震</w:t>
            </w:r>
            <w:bookmarkEnd w:id="129"/>
            <w:bookmarkEnd w:id="130"/>
          </w:p>
        </w:tc>
        <w:tc>
          <w:tcPr>
            <w:tcW w:w="2524" w:type="pct"/>
            <w:gridSpan w:val="6"/>
            <w:tcBorders>
              <w:top w:val="single" w:color="000000" w:sz="4" w:space="0"/>
              <w:left w:val="nil"/>
              <w:bottom w:val="single" w:color="000000" w:sz="4" w:space="0"/>
              <w:right w:val="single" w:color="000000" w:sz="4" w:space="0"/>
            </w:tcBorders>
            <w:shd w:val="clear" w:color="auto" w:fill="auto"/>
            <w:vAlign w:val="center"/>
          </w:tcPr>
          <w:p w14:paraId="1706EB52">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26EA0999"/>
    <w:p w14:paraId="5E4117B5">
      <w:pPr>
        <w:pStyle w:val="2"/>
        <w:widowControl w:val="0"/>
        <w:numPr>
          <w:ilvl w:val="0"/>
          <w:numId w:val="0"/>
        </w:numPr>
        <w:jc w:val="both"/>
      </w:pPr>
    </w:p>
    <w:p w14:paraId="2E6E1BCF">
      <w:pPr>
        <w:pStyle w:val="2"/>
        <w:widowControl w:val="0"/>
        <w:numPr>
          <w:ilvl w:val="0"/>
          <w:numId w:val="0"/>
        </w:numPr>
        <w:jc w:val="both"/>
      </w:pPr>
    </w:p>
    <w:p w14:paraId="4CB38053">
      <w:pPr>
        <w:pStyle w:val="2"/>
        <w:widowControl w:val="0"/>
        <w:numPr>
          <w:ilvl w:val="0"/>
          <w:numId w:val="0"/>
        </w:numPr>
        <w:jc w:val="both"/>
      </w:pPr>
    </w:p>
    <w:p w14:paraId="10D6854B">
      <w:pPr>
        <w:pStyle w:val="2"/>
        <w:widowControl w:val="0"/>
        <w:numPr>
          <w:ilvl w:val="0"/>
          <w:numId w:val="0"/>
        </w:numPr>
        <w:jc w:val="both"/>
      </w:pPr>
    </w:p>
    <w:p w14:paraId="538FB0B6">
      <w:pPr>
        <w:pStyle w:val="2"/>
        <w:widowControl w:val="0"/>
        <w:numPr>
          <w:ilvl w:val="0"/>
          <w:numId w:val="0"/>
        </w:numPr>
        <w:jc w:val="both"/>
      </w:pPr>
    </w:p>
    <w:p w14:paraId="7532E443">
      <w:pPr>
        <w:pStyle w:val="2"/>
        <w:widowControl w:val="0"/>
        <w:numPr>
          <w:ilvl w:val="0"/>
          <w:numId w:val="0"/>
        </w:numPr>
        <w:jc w:val="both"/>
      </w:pPr>
    </w:p>
    <w:p w14:paraId="4FFDA9D2">
      <w:pPr>
        <w:pStyle w:val="2"/>
        <w:widowControl w:val="0"/>
        <w:numPr>
          <w:ilvl w:val="0"/>
          <w:numId w:val="0"/>
        </w:numPr>
        <w:jc w:val="both"/>
      </w:pPr>
    </w:p>
    <w:p w14:paraId="38FC1062">
      <w:pPr>
        <w:pStyle w:val="2"/>
        <w:widowControl w:val="0"/>
        <w:numPr>
          <w:ilvl w:val="0"/>
          <w:numId w:val="0"/>
        </w:numPr>
        <w:jc w:val="both"/>
      </w:pPr>
    </w:p>
    <w:p w14:paraId="4C71F18E">
      <w:pPr>
        <w:pStyle w:val="2"/>
        <w:widowControl w:val="0"/>
        <w:numPr>
          <w:ilvl w:val="0"/>
          <w:numId w:val="0"/>
        </w:numPr>
        <w:jc w:val="both"/>
      </w:pPr>
    </w:p>
    <w:p w14:paraId="1AC23248">
      <w:pPr>
        <w:pStyle w:val="2"/>
        <w:widowControl w:val="0"/>
        <w:numPr>
          <w:ilvl w:val="0"/>
          <w:numId w:val="0"/>
        </w:numPr>
        <w:jc w:val="both"/>
      </w:pPr>
    </w:p>
    <w:p w14:paraId="6F38D03B">
      <w:pPr>
        <w:pStyle w:val="2"/>
        <w:widowControl w:val="0"/>
        <w:numPr>
          <w:ilvl w:val="0"/>
          <w:numId w:val="0"/>
        </w:numPr>
        <w:jc w:val="both"/>
      </w:pPr>
    </w:p>
    <w:p w14:paraId="0DFA8C0A">
      <w:pPr>
        <w:rPr>
          <w:rFonts w:eastAsia="方正小标宋简体"/>
          <w:sz w:val="44"/>
          <w:szCs w:val="44"/>
        </w:rPr>
      </w:pPr>
    </w:p>
    <w:tbl>
      <w:tblPr>
        <w:tblStyle w:val="36"/>
        <w:tblW w:w="5000" w:type="pct"/>
        <w:tblInd w:w="0" w:type="dxa"/>
        <w:tblLayout w:type="autofit"/>
        <w:tblCellMar>
          <w:top w:w="0" w:type="dxa"/>
          <w:left w:w="108" w:type="dxa"/>
          <w:bottom w:w="0" w:type="dxa"/>
          <w:right w:w="108" w:type="dxa"/>
        </w:tblCellMar>
      </w:tblPr>
      <w:tblGrid>
        <w:gridCol w:w="576"/>
        <w:gridCol w:w="864"/>
        <w:gridCol w:w="740"/>
        <w:gridCol w:w="1731"/>
        <w:gridCol w:w="396"/>
        <w:gridCol w:w="875"/>
        <w:gridCol w:w="396"/>
        <w:gridCol w:w="756"/>
        <w:gridCol w:w="486"/>
        <w:gridCol w:w="756"/>
        <w:gridCol w:w="1666"/>
      </w:tblGrid>
      <w:tr w14:paraId="18B59AE9">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6417FB1">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5468A0B9">
        <w:tblPrEx>
          <w:tblCellMar>
            <w:top w:w="0" w:type="dxa"/>
            <w:left w:w="108" w:type="dxa"/>
            <w:bottom w:w="0" w:type="dxa"/>
            <w:right w:w="108" w:type="dxa"/>
          </w:tblCellMar>
        </w:tblPrEx>
        <w:trPr>
          <w:trHeight w:val="559" w:hRule="atLeast"/>
        </w:trPr>
        <w:tc>
          <w:tcPr>
            <w:tcW w:w="756" w:type="pct"/>
            <w:gridSpan w:val="2"/>
            <w:tcBorders>
              <w:top w:val="nil"/>
              <w:left w:val="single" w:color="auto" w:sz="4" w:space="0"/>
              <w:bottom w:val="single" w:color="000000" w:sz="4" w:space="0"/>
              <w:right w:val="single" w:color="auto" w:sz="4" w:space="0"/>
            </w:tcBorders>
            <w:shd w:val="clear" w:color="auto" w:fill="auto"/>
            <w:vAlign w:val="center"/>
          </w:tcPr>
          <w:p w14:paraId="639313A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244" w:type="pct"/>
            <w:gridSpan w:val="9"/>
            <w:tcBorders>
              <w:top w:val="nil"/>
              <w:left w:val="nil"/>
              <w:bottom w:val="single" w:color="000000" w:sz="4" w:space="0"/>
              <w:right w:val="single" w:color="auto" w:sz="4" w:space="0"/>
            </w:tcBorders>
            <w:shd w:val="clear" w:color="auto" w:fill="auto"/>
            <w:vAlign w:val="center"/>
          </w:tcPr>
          <w:p w14:paraId="04EDB1C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51090422T000000389593-社区矫正办公经费</w:t>
            </w:r>
          </w:p>
        </w:tc>
      </w:tr>
      <w:tr w14:paraId="26C102F7">
        <w:tblPrEx>
          <w:tblCellMar>
            <w:top w:w="0" w:type="dxa"/>
            <w:left w:w="108" w:type="dxa"/>
            <w:bottom w:w="0" w:type="dxa"/>
            <w:right w:w="108" w:type="dxa"/>
          </w:tblCellMar>
        </w:tblPrEx>
        <w:trPr>
          <w:trHeight w:val="514" w:hRule="atLeast"/>
        </w:trPr>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359A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437" w:type="pct"/>
            <w:gridSpan w:val="5"/>
            <w:tcBorders>
              <w:top w:val="single" w:color="000000" w:sz="4" w:space="0"/>
              <w:left w:val="nil"/>
              <w:bottom w:val="single" w:color="000000" w:sz="4" w:space="0"/>
              <w:right w:val="single" w:color="000000" w:sz="4" w:space="0"/>
            </w:tcBorders>
            <w:shd w:val="clear" w:color="auto" w:fill="auto"/>
            <w:vAlign w:val="center"/>
          </w:tcPr>
          <w:p w14:paraId="18F7CA8A">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379" w:type="pct"/>
            <w:tcBorders>
              <w:top w:val="nil"/>
              <w:left w:val="nil"/>
              <w:bottom w:val="nil"/>
              <w:right w:val="nil"/>
            </w:tcBorders>
            <w:shd w:val="clear" w:color="auto" w:fill="auto"/>
            <w:vAlign w:val="center"/>
          </w:tcPr>
          <w:p w14:paraId="3A58C817">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4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F0CF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26C062BD">
        <w:tblPrEx>
          <w:tblCellMar>
            <w:top w:w="0" w:type="dxa"/>
            <w:left w:w="108" w:type="dxa"/>
            <w:bottom w:w="0" w:type="dxa"/>
            <w:right w:w="108" w:type="dxa"/>
          </w:tblCellMar>
        </w:tblPrEx>
        <w:trPr>
          <w:trHeight w:val="360" w:hRule="atLeast"/>
        </w:trPr>
        <w:tc>
          <w:tcPr>
            <w:tcW w:w="198" w:type="pct"/>
            <w:vMerge w:val="restart"/>
            <w:tcBorders>
              <w:top w:val="nil"/>
              <w:left w:val="single" w:color="000000" w:sz="4" w:space="0"/>
              <w:bottom w:val="single" w:color="000000" w:sz="4" w:space="0"/>
              <w:right w:val="single" w:color="000000" w:sz="4" w:space="0"/>
            </w:tcBorders>
            <w:shd w:val="clear" w:color="auto" w:fill="auto"/>
            <w:vAlign w:val="center"/>
          </w:tcPr>
          <w:p w14:paraId="3E09C099">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559" w:type="pct"/>
            <w:vMerge w:val="restart"/>
            <w:tcBorders>
              <w:top w:val="nil"/>
              <w:left w:val="single" w:color="000000" w:sz="4" w:space="0"/>
              <w:bottom w:val="single" w:color="000000" w:sz="4" w:space="0"/>
              <w:right w:val="single" w:color="000000" w:sz="4" w:space="0"/>
            </w:tcBorders>
            <w:shd w:val="clear" w:color="auto" w:fill="auto"/>
            <w:vAlign w:val="center"/>
          </w:tcPr>
          <w:p w14:paraId="7BD1D259">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437" w:type="pct"/>
            <w:gridSpan w:val="5"/>
            <w:tcBorders>
              <w:top w:val="single" w:color="000000" w:sz="4" w:space="0"/>
              <w:left w:val="nil"/>
              <w:bottom w:val="single" w:color="000000" w:sz="4" w:space="0"/>
              <w:right w:val="single" w:color="000000" w:sz="4" w:space="0"/>
            </w:tcBorders>
            <w:shd w:val="clear" w:color="auto" w:fill="auto"/>
            <w:vAlign w:val="center"/>
          </w:tcPr>
          <w:p w14:paraId="5B75BD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807" w:type="pct"/>
            <w:gridSpan w:val="4"/>
            <w:tcBorders>
              <w:top w:val="single" w:color="000000" w:sz="4" w:space="0"/>
              <w:left w:val="nil"/>
              <w:bottom w:val="single" w:color="000000" w:sz="4" w:space="0"/>
              <w:right w:val="single" w:color="000000" w:sz="4" w:space="0"/>
            </w:tcBorders>
            <w:shd w:val="clear" w:color="auto" w:fill="auto"/>
            <w:vAlign w:val="center"/>
          </w:tcPr>
          <w:p w14:paraId="4B37AA2D">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6C5D7C5B">
        <w:tblPrEx>
          <w:tblCellMar>
            <w:top w:w="0" w:type="dxa"/>
            <w:left w:w="108" w:type="dxa"/>
            <w:bottom w:w="0" w:type="dxa"/>
            <w:right w:w="108" w:type="dxa"/>
          </w:tblCellMar>
        </w:tblPrEx>
        <w:trPr>
          <w:trHeight w:val="2682" w:hRule="atLeast"/>
        </w:trPr>
        <w:tc>
          <w:tcPr>
            <w:tcW w:w="198" w:type="pct"/>
            <w:vMerge w:val="continue"/>
            <w:tcBorders>
              <w:top w:val="nil"/>
              <w:left w:val="single" w:color="000000" w:sz="4" w:space="0"/>
              <w:bottom w:val="single" w:color="000000" w:sz="4" w:space="0"/>
              <w:right w:val="single" w:color="000000" w:sz="4" w:space="0"/>
            </w:tcBorders>
            <w:vAlign w:val="center"/>
          </w:tcPr>
          <w:p w14:paraId="37E22BEA">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2D233E28">
            <w:pPr>
              <w:widowControl/>
              <w:jc w:val="left"/>
              <w:rPr>
                <w:rFonts w:ascii="宋体" w:hAnsi="宋体" w:eastAsia="宋体" w:cs="宋体"/>
                <w:color w:val="000000"/>
                <w:sz w:val="18"/>
                <w:szCs w:val="18"/>
              </w:rPr>
            </w:pPr>
          </w:p>
        </w:tc>
        <w:tc>
          <w:tcPr>
            <w:tcW w:w="2437" w:type="pct"/>
            <w:gridSpan w:val="5"/>
            <w:tcBorders>
              <w:top w:val="single" w:color="000000" w:sz="4" w:space="0"/>
              <w:left w:val="nil"/>
              <w:bottom w:val="single" w:color="000000" w:sz="4" w:space="0"/>
              <w:right w:val="single" w:color="000000" w:sz="4" w:space="0"/>
            </w:tcBorders>
            <w:shd w:val="clear" w:color="auto" w:fill="auto"/>
            <w:vAlign w:val="center"/>
          </w:tcPr>
          <w:p w14:paraId="23F74148">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根据司法部、财政部关于建立健全政府购买法律服务机制的意见（司发通[2020]72号）文件，政府履职所需辅助性法律服务。主要是政府委托律师、基层法律服务工作者等社会力量提供的政府服务及其他辅助性法律服务。包括参与重大决策、重大执法决定定合法性审查，为重大决策、重大行政行为提供法律意见。</w:t>
            </w:r>
          </w:p>
        </w:tc>
        <w:tc>
          <w:tcPr>
            <w:tcW w:w="1807" w:type="pct"/>
            <w:gridSpan w:val="4"/>
            <w:tcBorders>
              <w:top w:val="single" w:color="000000" w:sz="4" w:space="0"/>
              <w:left w:val="nil"/>
              <w:bottom w:val="single" w:color="000000" w:sz="4" w:space="0"/>
              <w:right w:val="single" w:color="000000" w:sz="4" w:space="0"/>
            </w:tcBorders>
            <w:shd w:val="clear" w:color="auto" w:fill="auto"/>
            <w:vAlign w:val="center"/>
          </w:tcPr>
          <w:p w14:paraId="475472E0">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全年共办理调查评估166件，列管社区矫正对象446人。三是加强刑释人员安置帮教工作。确保做到“四个不发生”，积极落实“必接必送”制度，与监狱、看守所等无缝衔接刑释人员29人。截至目前，全区在册安置帮教对象2053名，其中重点安置帮教对象293人，帮教率100%，开展远程探视申请409人次。</w:t>
            </w:r>
          </w:p>
        </w:tc>
      </w:tr>
      <w:tr w14:paraId="7F3CA06D">
        <w:tblPrEx>
          <w:tblCellMar>
            <w:top w:w="0" w:type="dxa"/>
            <w:left w:w="108" w:type="dxa"/>
            <w:bottom w:w="0" w:type="dxa"/>
            <w:right w:w="108" w:type="dxa"/>
          </w:tblCellMar>
        </w:tblPrEx>
        <w:trPr>
          <w:trHeight w:val="1140" w:hRule="atLeast"/>
        </w:trPr>
        <w:tc>
          <w:tcPr>
            <w:tcW w:w="198" w:type="pct"/>
            <w:vMerge w:val="continue"/>
            <w:tcBorders>
              <w:top w:val="nil"/>
              <w:left w:val="single" w:color="000000" w:sz="4" w:space="0"/>
              <w:bottom w:val="single" w:color="000000" w:sz="4" w:space="0"/>
              <w:right w:val="single" w:color="000000" w:sz="4" w:space="0"/>
            </w:tcBorders>
            <w:vAlign w:val="center"/>
          </w:tcPr>
          <w:p w14:paraId="40E8406C">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158FBA7A">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244" w:type="pct"/>
            <w:gridSpan w:val="9"/>
            <w:tcBorders>
              <w:top w:val="single" w:color="000000" w:sz="4" w:space="0"/>
              <w:left w:val="nil"/>
              <w:bottom w:val="single" w:color="000000" w:sz="4" w:space="0"/>
              <w:right w:val="single" w:color="000000" w:sz="4" w:space="0"/>
            </w:tcBorders>
            <w:shd w:val="clear" w:color="auto" w:fill="auto"/>
            <w:vAlign w:val="center"/>
          </w:tcPr>
          <w:p w14:paraId="0F0F9E2D">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全年共办理调查评估166件，列管社区矫正对象446人。三是加强刑释人员安置帮教工作。确保做到“四个不发生”，积极落实“必接必送”制度，与监狱、看守所等无缝衔接刑释人员29人。截至目前，全区在册安置帮教对象2053名，其中重点安置帮教对象293人，帮教率100%，开展远程探视申请409人次。</w:t>
            </w:r>
          </w:p>
        </w:tc>
      </w:tr>
      <w:tr w14:paraId="0DFD5FBA">
        <w:tblPrEx>
          <w:tblCellMar>
            <w:top w:w="0" w:type="dxa"/>
            <w:left w:w="108" w:type="dxa"/>
            <w:bottom w:w="0" w:type="dxa"/>
            <w:right w:w="108" w:type="dxa"/>
          </w:tblCellMar>
        </w:tblPrEx>
        <w:trPr>
          <w:trHeight w:val="619" w:hRule="atLeast"/>
        </w:trPr>
        <w:tc>
          <w:tcPr>
            <w:tcW w:w="198" w:type="pct"/>
            <w:vMerge w:val="restart"/>
            <w:tcBorders>
              <w:top w:val="nil"/>
              <w:left w:val="single" w:color="000000" w:sz="4" w:space="0"/>
              <w:bottom w:val="single" w:color="000000" w:sz="4" w:space="0"/>
              <w:right w:val="single" w:color="000000" w:sz="4" w:space="0"/>
            </w:tcBorders>
            <w:shd w:val="clear" w:color="auto" w:fill="auto"/>
            <w:vAlign w:val="center"/>
          </w:tcPr>
          <w:p w14:paraId="5F38293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559" w:type="pct"/>
            <w:tcBorders>
              <w:top w:val="nil"/>
              <w:left w:val="nil"/>
              <w:bottom w:val="single" w:color="000000" w:sz="4" w:space="0"/>
              <w:right w:val="single" w:color="000000" w:sz="4" w:space="0"/>
            </w:tcBorders>
            <w:shd w:val="clear" w:color="auto" w:fill="auto"/>
            <w:vAlign w:val="center"/>
          </w:tcPr>
          <w:p w14:paraId="43C3D27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492" w:type="pct"/>
            <w:tcBorders>
              <w:top w:val="nil"/>
              <w:left w:val="nil"/>
              <w:bottom w:val="single" w:color="000000" w:sz="4" w:space="0"/>
              <w:right w:val="single" w:color="000000" w:sz="4" w:space="0"/>
            </w:tcBorders>
            <w:shd w:val="clear" w:color="auto" w:fill="auto"/>
            <w:vAlign w:val="center"/>
          </w:tcPr>
          <w:p w14:paraId="58D547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1028" w:type="pct"/>
            <w:tcBorders>
              <w:top w:val="nil"/>
              <w:left w:val="nil"/>
              <w:bottom w:val="single" w:color="000000" w:sz="4" w:space="0"/>
              <w:right w:val="single" w:color="000000" w:sz="4" w:space="0"/>
            </w:tcBorders>
            <w:shd w:val="clear" w:color="auto" w:fill="auto"/>
            <w:vAlign w:val="center"/>
          </w:tcPr>
          <w:p w14:paraId="58D78E6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917" w:type="pct"/>
            <w:gridSpan w:val="3"/>
            <w:tcBorders>
              <w:top w:val="single" w:color="000000" w:sz="4" w:space="0"/>
              <w:left w:val="nil"/>
              <w:bottom w:val="single" w:color="000000" w:sz="4" w:space="0"/>
              <w:right w:val="single" w:color="000000" w:sz="4" w:space="0"/>
            </w:tcBorders>
            <w:shd w:val="clear" w:color="auto" w:fill="auto"/>
            <w:vAlign w:val="center"/>
          </w:tcPr>
          <w:p w14:paraId="385DB0E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379" w:type="pct"/>
            <w:tcBorders>
              <w:top w:val="nil"/>
              <w:left w:val="nil"/>
              <w:bottom w:val="single" w:color="000000" w:sz="4" w:space="0"/>
              <w:right w:val="single" w:color="000000" w:sz="4" w:space="0"/>
            </w:tcBorders>
            <w:shd w:val="clear" w:color="auto" w:fill="auto"/>
            <w:vAlign w:val="center"/>
          </w:tcPr>
          <w:p w14:paraId="2B9E079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77" w:type="pct"/>
            <w:tcBorders>
              <w:top w:val="nil"/>
              <w:left w:val="nil"/>
              <w:bottom w:val="single" w:color="000000" w:sz="4" w:space="0"/>
              <w:right w:val="single" w:color="000000" w:sz="4" w:space="0"/>
            </w:tcBorders>
            <w:shd w:val="clear" w:color="auto" w:fill="auto"/>
            <w:vAlign w:val="center"/>
          </w:tcPr>
          <w:p w14:paraId="7DEB135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2950443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995" w:type="pct"/>
            <w:tcBorders>
              <w:top w:val="nil"/>
              <w:left w:val="nil"/>
              <w:bottom w:val="single" w:color="000000" w:sz="4" w:space="0"/>
              <w:right w:val="single" w:color="000000" w:sz="4" w:space="0"/>
            </w:tcBorders>
            <w:shd w:val="clear" w:color="auto" w:fill="auto"/>
            <w:vAlign w:val="center"/>
          </w:tcPr>
          <w:p w14:paraId="4A3DE76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40F5F758">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single" w:color="000000" w:sz="4" w:space="0"/>
              <w:right w:val="single" w:color="000000" w:sz="4" w:space="0"/>
            </w:tcBorders>
            <w:vAlign w:val="center"/>
          </w:tcPr>
          <w:p w14:paraId="040605B6">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72F56F8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492" w:type="pct"/>
            <w:tcBorders>
              <w:top w:val="nil"/>
              <w:left w:val="nil"/>
              <w:bottom w:val="single" w:color="000000" w:sz="4" w:space="0"/>
              <w:right w:val="single" w:color="000000" w:sz="4" w:space="0"/>
            </w:tcBorders>
            <w:shd w:val="clear" w:color="auto" w:fill="auto"/>
            <w:vAlign w:val="center"/>
          </w:tcPr>
          <w:p w14:paraId="60BE9C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30.00</w:t>
            </w:r>
          </w:p>
        </w:tc>
        <w:tc>
          <w:tcPr>
            <w:tcW w:w="1028" w:type="pct"/>
            <w:tcBorders>
              <w:top w:val="nil"/>
              <w:left w:val="nil"/>
              <w:bottom w:val="single" w:color="000000" w:sz="4" w:space="0"/>
              <w:right w:val="single" w:color="000000" w:sz="4" w:space="0"/>
            </w:tcBorders>
            <w:shd w:val="clear" w:color="auto" w:fill="auto"/>
            <w:vAlign w:val="center"/>
          </w:tcPr>
          <w:p w14:paraId="59FA130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24.53</w:t>
            </w:r>
          </w:p>
        </w:tc>
        <w:tc>
          <w:tcPr>
            <w:tcW w:w="917" w:type="pct"/>
            <w:gridSpan w:val="3"/>
            <w:tcBorders>
              <w:top w:val="single" w:color="000000" w:sz="4" w:space="0"/>
              <w:left w:val="nil"/>
              <w:bottom w:val="single" w:color="000000" w:sz="4" w:space="0"/>
              <w:right w:val="single" w:color="000000" w:sz="4" w:space="0"/>
            </w:tcBorders>
            <w:shd w:val="clear" w:color="auto" w:fill="auto"/>
            <w:vAlign w:val="center"/>
          </w:tcPr>
          <w:p w14:paraId="5B0ED2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24.53</w:t>
            </w:r>
          </w:p>
        </w:tc>
        <w:tc>
          <w:tcPr>
            <w:tcW w:w="379" w:type="pct"/>
            <w:tcBorders>
              <w:top w:val="nil"/>
              <w:left w:val="nil"/>
              <w:bottom w:val="single" w:color="000000" w:sz="4" w:space="0"/>
              <w:right w:val="single" w:color="000000" w:sz="4" w:space="0"/>
            </w:tcBorders>
            <w:shd w:val="clear" w:color="auto" w:fill="auto"/>
            <w:vAlign w:val="center"/>
          </w:tcPr>
          <w:p w14:paraId="709CD4C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81.77%</w:t>
            </w:r>
          </w:p>
        </w:tc>
        <w:tc>
          <w:tcPr>
            <w:tcW w:w="177" w:type="pct"/>
            <w:tcBorders>
              <w:top w:val="nil"/>
              <w:left w:val="nil"/>
              <w:bottom w:val="single" w:color="000000" w:sz="4" w:space="0"/>
              <w:right w:val="single" w:color="000000" w:sz="4" w:space="0"/>
            </w:tcBorders>
            <w:shd w:val="clear" w:color="auto" w:fill="auto"/>
            <w:vAlign w:val="center"/>
          </w:tcPr>
          <w:p w14:paraId="1B16E0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57" w:type="pct"/>
            <w:tcBorders>
              <w:top w:val="nil"/>
              <w:left w:val="nil"/>
              <w:bottom w:val="single" w:color="000000" w:sz="4" w:space="0"/>
              <w:right w:val="single" w:color="000000" w:sz="4" w:space="0"/>
            </w:tcBorders>
            <w:shd w:val="clear" w:color="auto" w:fill="auto"/>
            <w:vAlign w:val="center"/>
          </w:tcPr>
          <w:p w14:paraId="2419EFF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8.1767</w:t>
            </w:r>
          </w:p>
        </w:tc>
        <w:tc>
          <w:tcPr>
            <w:tcW w:w="995" w:type="pct"/>
            <w:vMerge w:val="restart"/>
            <w:tcBorders>
              <w:top w:val="nil"/>
              <w:left w:val="single" w:color="000000" w:sz="4" w:space="0"/>
              <w:bottom w:val="single" w:color="000000" w:sz="4" w:space="0"/>
              <w:right w:val="single" w:color="000000" w:sz="4" w:space="0"/>
            </w:tcBorders>
            <w:shd w:val="clear" w:color="auto" w:fill="auto"/>
            <w:vAlign w:val="center"/>
          </w:tcPr>
          <w:p w14:paraId="0087384D">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项目需经过多级审批，我区财政紧</w:t>
            </w:r>
            <w:r>
              <w:rPr>
                <w:rFonts w:ascii="Courier New" w:hAnsi="Courier New" w:eastAsia="宋体" w:cs="Courier New"/>
                <w:color w:val="000000"/>
                <w:sz w:val="16"/>
                <w:szCs w:val="16"/>
              </w:rPr>
              <w:br w:type="textWrapping"/>
            </w:r>
            <w:r>
              <w:rPr>
                <w:rFonts w:ascii="Courier New" w:hAnsi="Courier New" w:eastAsia="宋体" w:cs="Courier New"/>
                <w:color w:val="000000"/>
                <w:sz w:val="16"/>
                <w:szCs w:val="16"/>
              </w:rPr>
              <w:t>张，年底申请支付的财政未审批，导致执行率未达到100%。</w:t>
            </w:r>
          </w:p>
        </w:tc>
      </w:tr>
      <w:tr w14:paraId="3DD52368">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single" w:color="000000" w:sz="4" w:space="0"/>
              <w:right w:val="single" w:color="000000" w:sz="4" w:space="0"/>
            </w:tcBorders>
            <w:vAlign w:val="center"/>
          </w:tcPr>
          <w:p w14:paraId="308D2330">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7E10EC9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492" w:type="pct"/>
            <w:tcBorders>
              <w:top w:val="nil"/>
              <w:left w:val="nil"/>
              <w:bottom w:val="single" w:color="000000" w:sz="4" w:space="0"/>
              <w:right w:val="single" w:color="000000" w:sz="4" w:space="0"/>
            </w:tcBorders>
            <w:shd w:val="clear" w:color="auto" w:fill="auto"/>
            <w:vAlign w:val="center"/>
          </w:tcPr>
          <w:p w14:paraId="1CBC9D4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30.00</w:t>
            </w:r>
          </w:p>
        </w:tc>
        <w:tc>
          <w:tcPr>
            <w:tcW w:w="1028" w:type="pct"/>
            <w:tcBorders>
              <w:top w:val="nil"/>
              <w:left w:val="nil"/>
              <w:bottom w:val="single" w:color="000000" w:sz="4" w:space="0"/>
              <w:right w:val="single" w:color="000000" w:sz="4" w:space="0"/>
            </w:tcBorders>
            <w:shd w:val="clear" w:color="auto" w:fill="auto"/>
            <w:vAlign w:val="center"/>
          </w:tcPr>
          <w:p w14:paraId="4250BD3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24.53</w:t>
            </w:r>
          </w:p>
        </w:tc>
        <w:tc>
          <w:tcPr>
            <w:tcW w:w="917" w:type="pct"/>
            <w:gridSpan w:val="3"/>
            <w:tcBorders>
              <w:top w:val="single" w:color="000000" w:sz="4" w:space="0"/>
              <w:left w:val="nil"/>
              <w:bottom w:val="single" w:color="000000" w:sz="4" w:space="0"/>
              <w:right w:val="single" w:color="000000" w:sz="4" w:space="0"/>
            </w:tcBorders>
            <w:shd w:val="clear" w:color="auto" w:fill="auto"/>
            <w:vAlign w:val="center"/>
          </w:tcPr>
          <w:p w14:paraId="549FCE6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24.53</w:t>
            </w:r>
          </w:p>
        </w:tc>
        <w:tc>
          <w:tcPr>
            <w:tcW w:w="379" w:type="pct"/>
            <w:tcBorders>
              <w:top w:val="nil"/>
              <w:left w:val="nil"/>
              <w:bottom w:val="single" w:color="000000" w:sz="4" w:space="0"/>
              <w:right w:val="single" w:color="000000" w:sz="4" w:space="0"/>
            </w:tcBorders>
            <w:shd w:val="clear" w:color="auto" w:fill="auto"/>
            <w:vAlign w:val="center"/>
          </w:tcPr>
          <w:p w14:paraId="0D9E27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81.77%</w:t>
            </w:r>
          </w:p>
        </w:tc>
        <w:tc>
          <w:tcPr>
            <w:tcW w:w="177" w:type="pct"/>
            <w:tcBorders>
              <w:top w:val="nil"/>
              <w:left w:val="nil"/>
              <w:bottom w:val="single" w:color="000000" w:sz="4" w:space="0"/>
              <w:right w:val="single" w:color="000000" w:sz="4" w:space="0"/>
            </w:tcBorders>
            <w:shd w:val="clear" w:color="auto" w:fill="auto"/>
            <w:vAlign w:val="center"/>
          </w:tcPr>
          <w:p w14:paraId="0B97B4C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330C89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5" w:type="pct"/>
            <w:vMerge w:val="continue"/>
            <w:tcBorders>
              <w:top w:val="nil"/>
              <w:left w:val="single" w:color="000000" w:sz="4" w:space="0"/>
              <w:bottom w:val="single" w:color="000000" w:sz="4" w:space="0"/>
              <w:right w:val="single" w:color="000000" w:sz="4" w:space="0"/>
            </w:tcBorders>
            <w:vAlign w:val="center"/>
          </w:tcPr>
          <w:p w14:paraId="03BF97CA">
            <w:pPr>
              <w:widowControl/>
              <w:jc w:val="left"/>
              <w:rPr>
                <w:rFonts w:ascii="Courier New" w:hAnsi="Courier New" w:eastAsia="宋体" w:cs="Courier New"/>
                <w:color w:val="000000"/>
                <w:sz w:val="16"/>
                <w:szCs w:val="16"/>
              </w:rPr>
            </w:pPr>
          </w:p>
        </w:tc>
      </w:tr>
      <w:tr w14:paraId="03437412">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single" w:color="000000" w:sz="4" w:space="0"/>
              <w:right w:val="single" w:color="000000" w:sz="4" w:space="0"/>
            </w:tcBorders>
            <w:vAlign w:val="center"/>
          </w:tcPr>
          <w:p w14:paraId="0FD4FC82">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1B82D83A">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492" w:type="pct"/>
            <w:tcBorders>
              <w:top w:val="nil"/>
              <w:left w:val="nil"/>
              <w:bottom w:val="single" w:color="000000" w:sz="4" w:space="0"/>
              <w:right w:val="single" w:color="000000" w:sz="4" w:space="0"/>
            </w:tcBorders>
            <w:shd w:val="clear" w:color="auto" w:fill="auto"/>
            <w:vAlign w:val="center"/>
          </w:tcPr>
          <w:p w14:paraId="5DCFF6E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28" w:type="pct"/>
            <w:tcBorders>
              <w:top w:val="nil"/>
              <w:left w:val="nil"/>
              <w:bottom w:val="single" w:color="000000" w:sz="4" w:space="0"/>
              <w:right w:val="single" w:color="000000" w:sz="4" w:space="0"/>
            </w:tcBorders>
            <w:shd w:val="clear" w:color="auto" w:fill="auto"/>
            <w:vAlign w:val="center"/>
          </w:tcPr>
          <w:p w14:paraId="7C6E5A3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17" w:type="pct"/>
            <w:gridSpan w:val="3"/>
            <w:tcBorders>
              <w:top w:val="single" w:color="000000" w:sz="4" w:space="0"/>
              <w:left w:val="nil"/>
              <w:bottom w:val="single" w:color="000000" w:sz="4" w:space="0"/>
              <w:right w:val="single" w:color="000000" w:sz="4" w:space="0"/>
            </w:tcBorders>
            <w:shd w:val="clear" w:color="auto" w:fill="auto"/>
            <w:vAlign w:val="center"/>
          </w:tcPr>
          <w:p w14:paraId="346A982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9" w:type="pct"/>
            <w:tcBorders>
              <w:top w:val="nil"/>
              <w:left w:val="nil"/>
              <w:bottom w:val="single" w:color="000000" w:sz="4" w:space="0"/>
              <w:right w:val="single" w:color="000000" w:sz="4" w:space="0"/>
            </w:tcBorders>
            <w:shd w:val="clear" w:color="auto" w:fill="auto"/>
            <w:vAlign w:val="center"/>
          </w:tcPr>
          <w:p w14:paraId="4D6BD91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4DE668C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373E3A1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5" w:type="pct"/>
            <w:vMerge w:val="continue"/>
            <w:tcBorders>
              <w:top w:val="nil"/>
              <w:left w:val="single" w:color="000000" w:sz="4" w:space="0"/>
              <w:bottom w:val="single" w:color="000000" w:sz="4" w:space="0"/>
              <w:right w:val="single" w:color="000000" w:sz="4" w:space="0"/>
            </w:tcBorders>
            <w:vAlign w:val="center"/>
          </w:tcPr>
          <w:p w14:paraId="1A833CFA">
            <w:pPr>
              <w:widowControl/>
              <w:jc w:val="left"/>
              <w:rPr>
                <w:rFonts w:ascii="Courier New" w:hAnsi="Courier New" w:eastAsia="宋体" w:cs="Courier New"/>
                <w:color w:val="000000"/>
                <w:sz w:val="16"/>
                <w:szCs w:val="16"/>
              </w:rPr>
            </w:pPr>
          </w:p>
        </w:tc>
      </w:tr>
      <w:tr w14:paraId="5DC89417">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single" w:color="000000" w:sz="4" w:space="0"/>
              <w:right w:val="single" w:color="000000" w:sz="4" w:space="0"/>
            </w:tcBorders>
            <w:vAlign w:val="center"/>
          </w:tcPr>
          <w:p w14:paraId="12727649">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31626B4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492" w:type="pct"/>
            <w:tcBorders>
              <w:top w:val="nil"/>
              <w:left w:val="nil"/>
              <w:bottom w:val="single" w:color="000000" w:sz="4" w:space="0"/>
              <w:right w:val="single" w:color="000000" w:sz="4" w:space="0"/>
            </w:tcBorders>
            <w:shd w:val="clear" w:color="auto" w:fill="auto"/>
            <w:vAlign w:val="center"/>
          </w:tcPr>
          <w:p w14:paraId="1C8D118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28" w:type="pct"/>
            <w:tcBorders>
              <w:top w:val="nil"/>
              <w:left w:val="nil"/>
              <w:bottom w:val="single" w:color="000000" w:sz="4" w:space="0"/>
              <w:right w:val="single" w:color="000000" w:sz="4" w:space="0"/>
            </w:tcBorders>
            <w:shd w:val="clear" w:color="auto" w:fill="auto"/>
            <w:vAlign w:val="center"/>
          </w:tcPr>
          <w:p w14:paraId="3C7C380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17" w:type="pct"/>
            <w:gridSpan w:val="3"/>
            <w:tcBorders>
              <w:top w:val="single" w:color="000000" w:sz="4" w:space="0"/>
              <w:left w:val="nil"/>
              <w:bottom w:val="single" w:color="000000" w:sz="4" w:space="0"/>
              <w:right w:val="single" w:color="000000" w:sz="4" w:space="0"/>
            </w:tcBorders>
            <w:shd w:val="clear" w:color="auto" w:fill="auto"/>
            <w:vAlign w:val="center"/>
          </w:tcPr>
          <w:p w14:paraId="16F49BC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9" w:type="pct"/>
            <w:tcBorders>
              <w:top w:val="nil"/>
              <w:left w:val="nil"/>
              <w:bottom w:val="single" w:color="000000" w:sz="4" w:space="0"/>
              <w:right w:val="single" w:color="000000" w:sz="4" w:space="0"/>
            </w:tcBorders>
            <w:shd w:val="clear" w:color="auto" w:fill="auto"/>
            <w:vAlign w:val="center"/>
          </w:tcPr>
          <w:p w14:paraId="7F2C3B2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3CB073B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13CD79F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5" w:type="pct"/>
            <w:vMerge w:val="continue"/>
            <w:tcBorders>
              <w:top w:val="nil"/>
              <w:left w:val="single" w:color="000000" w:sz="4" w:space="0"/>
              <w:bottom w:val="single" w:color="000000" w:sz="4" w:space="0"/>
              <w:right w:val="single" w:color="000000" w:sz="4" w:space="0"/>
            </w:tcBorders>
            <w:vAlign w:val="center"/>
          </w:tcPr>
          <w:p w14:paraId="00E68D7E">
            <w:pPr>
              <w:widowControl/>
              <w:jc w:val="left"/>
              <w:rPr>
                <w:rFonts w:ascii="Courier New" w:hAnsi="Courier New" w:eastAsia="宋体" w:cs="Courier New"/>
                <w:color w:val="000000"/>
                <w:sz w:val="16"/>
                <w:szCs w:val="16"/>
              </w:rPr>
            </w:pPr>
          </w:p>
        </w:tc>
      </w:tr>
      <w:tr w14:paraId="26A0FF48">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single" w:color="000000" w:sz="4" w:space="0"/>
              <w:right w:val="single" w:color="000000" w:sz="4" w:space="0"/>
            </w:tcBorders>
            <w:vAlign w:val="center"/>
          </w:tcPr>
          <w:p w14:paraId="4B0E9FA4">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71EF682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492" w:type="pct"/>
            <w:tcBorders>
              <w:top w:val="nil"/>
              <w:left w:val="nil"/>
              <w:bottom w:val="single" w:color="000000" w:sz="4" w:space="0"/>
              <w:right w:val="single" w:color="000000" w:sz="4" w:space="0"/>
            </w:tcBorders>
            <w:shd w:val="clear" w:color="auto" w:fill="auto"/>
            <w:vAlign w:val="center"/>
          </w:tcPr>
          <w:p w14:paraId="30DEB54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028" w:type="pct"/>
            <w:tcBorders>
              <w:top w:val="nil"/>
              <w:left w:val="nil"/>
              <w:bottom w:val="single" w:color="000000" w:sz="4" w:space="0"/>
              <w:right w:val="single" w:color="000000" w:sz="4" w:space="0"/>
            </w:tcBorders>
            <w:shd w:val="clear" w:color="auto" w:fill="auto"/>
            <w:vAlign w:val="center"/>
          </w:tcPr>
          <w:p w14:paraId="14E2322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17" w:type="pct"/>
            <w:gridSpan w:val="3"/>
            <w:tcBorders>
              <w:top w:val="single" w:color="000000" w:sz="4" w:space="0"/>
              <w:left w:val="nil"/>
              <w:bottom w:val="single" w:color="000000" w:sz="4" w:space="0"/>
              <w:right w:val="single" w:color="000000" w:sz="4" w:space="0"/>
            </w:tcBorders>
            <w:shd w:val="clear" w:color="auto" w:fill="auto"/>
            <w:vAlign w:val="center"/>
          </w:tcPr>
          <w:p w14:paraId="0AD475F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379" w:type="pct"/>
            <w:tcBorders>
              <w:top w:val="nil"/>
              <w:left w:val="nil"/>
              <w:bottom w:val="single" w:color="000000" w:sz="4" w:space="0"/>
              <w:right w:val="single" w:color="000000" w:sz="4" w:space="0"/>
            </w:tcBorders>
            <w:shd w:val="clear" w:color="auto" w:fill="auto"/>
            <w:vAlign w:val="center"/>
          </w:tcPr>
          <w:p w14:paraId="686B3B8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77" w:type="pct"/>
            <w:tcBorders>
              <w:top w:val="nil"/>
              <w:left w:val="nil"/>
              <w:bottom w:val="single" w:color="000000" w:sz="4" w:space="0"/>
              <w:right w:val="single" w:color="000000" w:sz="4" w:space="0"/>
            </w:tcBorders>
            <w:shd w:val="clear" w:color="auto" w:fill="auto"/>
            <w:vAlign w:val="center"/>
          </w:tcPr>
          <w:p w14:paraId="4D438AF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0A27C8A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95" w:type="pct"/>
            <w:vMerge w:val="continue"/>
            <w:tcBorders>
              <w:top w:val="nil"/>
              <w:left w:val="single" w:color="000000" w:sz="4" w:space="0"/>
              <w:bottom w:val="single" w:color="000000" w:sz="4" w:space="0"/>
              <w:right w:val="single" w:color="000000" w:sz="4" w:space="0"/>
            </w:tcBorders>
            <w:vAlign w:val="center"/>
          </w:tcPr>
          <w:p w14:paraId="34195395">
            <w:pPr>
              <w:widowControl/>
              <w:jc w:val="left"/>
              <w:rPr>
                <w:rFonts w:ascii="Courier New" w:hAnsi="Courier New" w:eastAsia="宋体" w:cs="Courier New"/>
                <w:color w:val="000000"/>
                <w:sz w:val="16"/>
                <w:szCs w:val="16"/>
              </w:rPr>
            </w:pPr>
          </w:p>
        </w:tc>
      </w:tr>
      <w:tr w14:paraId="20D76A20">
        <w:tblPrEx>
          <w:tblCellMar>
            <w:top w:w="0" w:type="dxa"/>
            <w:left w:w="108" w:type="dxa"/>
            <w:bottom w:w="0" w:type="dxa"/>
            <w:right w:w="108" w:type="dxa"/>
          </w:tblCellMar>
        </w:tblPrEx>
        <w:trPr>
          <w:trHeight w:val="619" w:hRule="atLeast"/>
        </w:trPr>
        <w:tc>
          <w:tcPr>
            <w:tcW w:w="198" w:type="pct"/>
            <w:vMerge w:val="restart"/>
            <w:tcBorders>
              <w:top w:val="nil"/>
              <w:left w:val="single" w:color="000000" w:sz="4" w:space="0"/>
              <w:bottom w:val="nil"/>
              <w:right w:val="single" w:color="000000" w:sz="4" w:space="0"/>
            </w:tcBorders>
            <w:shd w:val="clear" w:color="auto" w:fill="auto"/>
            <w:vAlign w:val="center"/>
          </w:tcPr>
          <w:p w14:paraId="5C82371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559" w:type="pct"/>
            <w:tcBorders>
              <w:top w:val="nil"/>
              <w:left w:val="nil"/>
              <w:bottom w:val="single" w:color="000000" w:sz="4" w:space="0"/>
              <w:right w:val="single" w:color="000000" w:sz="4" w:space="0"/>
            </w:tcBorders>
            <w:shd w:val="clear" w:color="auto" w:fill="auto"/>
            <w:vAlign w:val="center"/>
          </w:tcPr>
          <w:p w14:paraId="48D5AF6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492" w:type="pct"/>
            <w:tcBorders>
              <w:top w:val="nil"/>
              <w:left w:val="nil"/>
              <w:bottom w:val="single" w:color="000000" w:sz="4" w:space="0"/>
              <w:right w:val="single" w:color="000000" w:sz="4" w:space="0"/>
            </w:tcBorders>
            <w:shd w:val="clear" w:color="auto" w:fill="auto"/>
            <w:vAlign w:val="center"/>
          </w:tcPr>
          <w:p w14:paraId="697C048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1028" w:type="pct"/>
            <w:tcBorders>
              <w:top w:val="nil"/>
              <w:left w:val="nil"/>
              <w:bottom w:val="single" w:color="000000" w:sz="4" w:space="0"/>
              <w:right w:val="single" w:color="000000" w:sz="4" w:space="0"/>
            </w:tcBorders>
            <w:shd w:val="clear" w:color="auto" w:fill="auto"/>
            <w:vAlign w:val="center"/>
          </w:tcPr>
          <w:p w14:paraId="2BF4BF9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76" w:type="pct"/>
            <w:tcBorders>
              <w:top w:val="nil"/>
              <w:left w:val="nil"/>
              <w:bottom w:val="single" w:color="000000" w:sz="4" w:space="0"/>
              <w:right w:val="single" w:color="000000" w:sz="4" w:space="0"/>
            </w:tcBorders>
            <w:shd w:val="clear" w:color="auto" w:fill="auto"/>
            <w:vAlign w:val="center"/>
          </w:tcPr>
          <w:p w14:paraId="21F20C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565" w:type="pct"/>
            <w:tcBorders>
              <w:top w:val="nil"/>
              <w:left w:val="nil"/>
              <w:bottom w:val="single" w:color="000000" w:sz="4" w:space="0"/>
              <w:right w:val="single" w:color="000000" w:sz="4" w:space="0"/>
            </w:tcBorders>
            <w:shd w:val="clear" w:color="auto" w:fill="auto"/>
            <w:vAlign w:val="center"/>
          </w:tcPr>
          <w:p w14:paraId="66E009F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176" w:type="pct"/>
            <w:tcBorders>
              <w:top w:val="nil"/>
              <w:left w:val="nil"/>
              <w:bottom w:val="single" w:color="000000" w:sz="4" w:space="0"/>
              <w:right w:val="single" w:color="000000" w:sz="4" w:space="0"/>
            </w:tcBorders>
            <w:shd w:val="clear" w:color="auto" w:fill="auto"/>
            <w:vAlign w:val="center"/>
          </w:tcPr>
          <w:p w14:paraId="5153754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379" w:type="pct"/>
            <w:tcBorders>
              <w:top w:val="nil"/>
              <w:left w:val="nil"/>
              <w:bottom w:val="single" w:color="000000" w:sz="4" w:space="0"/>
              <w:right w:val="single" w:color="000000" w:sz="4" w:space="0"/>
            </w:tcBorders>
            <w:shd w:val="clear" w:color="auto" w:fill="auto"/>
            <w:vAlign w:val="center"/>
          </w:tcPr>
          <w:p w14:paraId="273007C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77" w:type="pct"/>
            <w:tcBorders>
              <w:top w:val="nil"/>
              <w:left w:val="nil"/>
              <w:bottom w:val="single" w:color="000000" w:sz="4" w:space="0"/>
              <w:right w:val="single" w:color="000000" w:sz="4" w:space="0"/>
            </w:tcBorders>
            <w:shd w:val="clear" w:color="auto" w:fill="auto"/>
            <w:vAlign w:val="center"/>
          </w:tcPr>
          <w:p w14:paraId="2036CD0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4060221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995" w:type="pct"/>
            <w:tcBorders>
              <w:top w:val="nil"/>
              <w:left w:val="nil"/>
              <w:bottom w:val="single" w:color="000000" w:sz="4" w:space="0"/>
              <w:right w:val="single" w:color="000000" w:sz="4" w:space="0"/>
            </w:tcBorders>
            <w:shd w:val="clear" w:color="auto" w:fill="auto"/>
            <w:vAlign w:val="center"/>
          </w:tcPr>
          <w:p w14:paraId="757C468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0DFF23D9">
        <w:tblPrEx>
          <w:tblCellMar>
            <w:top w:w="0" w:type="dxa"/>
            <w:left w:w="108" w:type="dxa"/>
            <w:bottom w:w="0" w:type="dxa"/>
            <w:right w:w="108" w:type="dxa"/>
          </w:tblCellMar>
        </w:tblPrEx>
        <w:trPr>
          <w:trHeight w:val="619" w:hRule="atLeast"/>
        </w:trPr>
        <w:tc>
          <w:tcPr>
            <w:tcW w:w="198" w:type="pct"/>
            <w:vMerge w:val="continue"/>
            <w:tcBorders>
              <w:top w:val="nil"/>
              <w:left w:val="single" w:color="000000" w:sz="4" w:space="0"/>
              <w:bottom w:val="nil"/>
              <w:right w:val="single" w:color="000000" w:sz="4" w:space="0"/>
            </w:tcBorders>
            <w:vAlign w:val="center"/>
          </w:tcPr>
          <w:p w14:paraId="0C1DF06D">
            <w:pPr>
              <w:widowControl/>
              <w:jc w:val="left"/>
              <w:rPr>
                <w:rFonts w:ascii="宋体" w:hAnsi="宋体" w:eastAsia="宋体" w:cs="宋体"/>
                <w:color w:val="000000"/>
                <w:sz w:val="18"/>
                <w:szCs w:val="18"/>
              </w:rPr>
            </w:pPr>
          </w:p>
        </w:tc>
        <w:tc>
          <w:tcPr>
            <w:tcW w:w="559" w:type="pct"/>
            <w:vMerge w:val="restart"/>
            <w:tcBorders>
              <w:top w:val="nil"/>
              <w:left w:val="single" w:color="000000" w:sz="4" w:space="0"/>
              <w:bottom w:val="single" w:color="000000" w:sz="4" w:space="0"/>
              <w:right w:val="single" w:color="000000" w:sz="4" w:space="0"/>
            </w:tcBorders>
            <w:shd w:val="clear" w:color="auto" w:fill="auto"/>
            <w:vAlign w:val="center"/>
          </w:tcPr>
          <w:p w14:paraId="31E7871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492" w:type="pct"/>
            <w:vMerge w:val="restart"/>
            <w:tcBorders>
              <w:top w:val="nil"/>
              <w:left w:val="single" w:color="000000" w:sz="4" w:space="0"/>
              <w:bottom w:val="single" w:color="000000" w:sz="4" w:space="0"/>
              <w:right w:val="single" w:color="000000" w:sz="4" w:space="0"/>
            </w:tcBorders>
            <w:shd w:val="clear" w:color="auto" w:fill="auto"/>
            <w:vAlign w:val="center"/>
          </w:tcPr>
          <w:p w14:paraId="41BEF7E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1028" w:type="pct"/>
            <w:tcBorders>
              <w:top w:val="nil"/>
              <w:left w:val="nil"/>
              <w:bottom w:val="single" w:color="000000" w:sz="4" w:space="0"/>
              <w:right w:val="single" w:color="000000" w:sz="4" w:space="0"/>
            </w:tcBorders>
            <w:shd w:val="clear" w:color="auto" w:fill="auto"/>
            <w:vAlign w:val="center"/>
          </w:tcPr>
          <w:p w14:paraId="7E47D01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社区矫正对象心理测评</w:t>
            </w:r>
          </w:p>
        </w:tc>
        <w:tc>
          <w:tcPr>
            <w:tcW w:w="176" w:type="pct"/>
            <w:tcBorders>
              <w:top w:val="nil"/>
              <w:left w:val="nil"/>
              <w:bottom w:val="single" w:color="000000" w:sz="4" w:space="0"/>
              <w:right w:val="single" w:color="000000" w:sz="4" w:space="0"/>
            </w:tcBorders>
            <w:shd w:val="clear" w:color="auto" w:fill="auto"/>
            <w:vAlign w:val="center"/>
          </w:tcPr>
          <w:p w14:paraId="065751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5" w:type="pct"/>
            <w:tcBorders>
              <w:top w:val="nil"/>
              <w:left w:val="nil"/>
              <w:bottom w:val="single" w:color="000000" w:sz="4" w:space="0"/>
              <w:right w:val="single" w:color="000000" w:sz="4" w:space="0"/>
            </w:tcBorders>
            <w:shd w:val="clear" w:color="auto" w:fill="auto"/>
            <w:vAlign w:val="center"/>
          </w:tcPr>
          <w:p w14:paraId="1231A7C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200</w:t>
            </w:r>
          </w:p>
        </w:tc>
        <w:tc>
          <w:tcPr>
            <w:tcW w:w="176" w:type="pct"/>
            <w:tcBorders>
              <w:top w:val="nil"/>
              <w:left w:val="nil"/>
              <w:bottom w:val="single" w:color="000000" w:sz="4" w:space="0"/>
              <w:right w:val="single" w:color="000000" w:sz="4" w:space="0"/>
            </w:tcBorders>
            <w:shd w:val="clear" w:color="auto" w:fill="auto"/>
            <w:vAlign w:val="center"/>
          </w:tcPr>
          <w:p w14:paraId="4530BD0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人次</w:t>
            </w:r>
          </w:p>
        </w:tc>
        <w:tc>
          <w:tcPr>
            <w:tcW w:w="379" w:type="pct"/>
            <w:tcBorders>
              <w:top w:val="nil"/>
              <w:left w:val="nil"/>
              <w:bottom w:val="single" w:color="000000" w:sz="4" w:space="0"/>
              <w:right w:val="single" w:color="000000" w:sz="4" w:space="0"/>
            </w:tcBorders>
            <w:shd w:val="clear" w:color="auto" w:fill="auto"/>
            <w:vAlign w:val="center"/>
          </w:tcPr>
          <w:p w14:paraId="4A192B4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293</w:t>
            </w:r>
          </w:p>
        </w:tc>
        <w:tc>
          <w:tcPr>
            <w:tcW w:w="177" w:type="pct"/>
            <w:tcBorders>
              <w:top w:val="nil"/>
              <w:left w:val="nil"/>
              <w:bottom w:val="single" w:color="000000" w:sz="4" w:space="0"/>
              <w:right w:val="single" w:color="000000" w:sz="4" w:space="0"/>
            </w:tcBorders>
            <w:shd w:val="clear" w:color="auto" w:fill="auto"/>
            <w:vAlign w:val="center"/>
          </w:tcPr>
          <w:p w14:paraId="3CD58F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57" w:type="pct"/>
            <w:tcBorders>
              <w:top w:val="nil"/>
              <w:left w:val="nil"/>
              <w:bottom w:val="single" w:color="000000" w:sz="4" w:space="0"/>
              <w:right w:val="single" w:color="000000" w:sz="4" w:space="0"/>
            </w:tcBorders>
            <w:shd w:val="clear" w:color="auto" w:fill="auto"/>
            <w:vAlign w:val="center"/>
          </w:tcPr>
          <w:p w14:paraId="0A513DA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995" w:type="pct"/>
            <w:tcBorders>
              <w:top w:val="nil"/>
              <w:left w:val="nil"/>
              <w:bottom w:val="single" w:color="000000" w:sz="4" w:space="0"/>
              <w:right w:val="single" w:color="000000" w:sz="4" w:space="0"/>
            </w:tcBorders>
            <w:shd w:val="clear" w:color="auto" w:fill="auto"/>
            <w:vAlign w:val="center"/>
          </w:tcPr>
          <w:p w14:paraId="5CF6629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4CED16FD">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nil"/>
              <w:right w:val="single" w:color="000000" w:sz="4" w:space="0"/>
            </w:tcBorders>
            <w:vAlign w:val="center"/>
          </w:tcPr>
          <w:p w14:paraId="3DAE5079">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00CFE722">
            <w:pPr>
              <w:widowControl/>
              <w:jc w:val="left"/>
              <w:rPr>
                <w:rFonts w:ascii="宋体" w:hAnsi="宋体" w:eastAsia="宋体" w:cs="宋体"/>
                <w:color w:val="000000"/>
                <w:sz w:val="18"/>
                <w:szCs w:val="18"/>
              </w:rPr>
            </w:pPr>
          </w:p>
        </w:tc>
        <w:tc>
          <w:tcPr>
            <w:tcW w:w="492" w:type="pct"/>
            <w:vMerge w:val="continue"/>
            <w:tcBorders>
              <w:top w:val="nil"/>
              <w:left w:val="single" w:color="000000" w:sz="4" w:space="0"/>
              <w:bottom w:val="single" w:color="000000" w:sz="4" w:space="0"/>
              <w:right w:val="single" w:color="000000" w:sz="4" w:space="0"/>
            </w:tcBorders>
            <w:vAlign w:val="center"/>
          </w:tcPr>
          <w:p w14:paraId="6442AB88">
            <w:pPr>
              <w:widowControl/>
              <w:jc w:val="left"/>
              <w:rPr>
                <w:rFonts w:ascii="宋体" w:hAnsi="宋体" w:eastAsia="宋体" w:cs="宋体"/>
                <w:color w:val="000000"/>
                <w:sz w:val="18"/>
                <w:szCs w:val="18"/>
              </w:rPr>
            </w:pPr>
          </w:p>
        </w:tc>
        <w:tc>
          <w:tcPr>
            <w:tcW w:w="1028" w:type="pct"/>
            <w:tcBorders>
              <w:top w:val="nil"/>
              <w:left w:val="nil"/>
              <w:bottom w:val="single" w:color="000000" w:sz="4" w:space="0"/>
              <w:right w:val="single" w:color="000000" w:sz="4" w:space="0"/>
            </w:tcBorders>
            <w:shd w:val="clear" w:color="auto" w:fill="auto"/>
            <w:vAlign w:val="center"/>
          </w:tcPr>
          <w:p w14:paraId="3573B6E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管控社区矫正对象数量</w:t>
            </w:r>
          </w:p>
        </w:tc>
        <w:tc>
          <w:tcPr>
            <w:tcW w:w="176" w:type="pct"/>
            <w:tcBorders>
              <w:top w:val="nil"/>
              <w:left w:val="nil"/>
              <w:bottom w:val="single" w:color="000000" w:sz="4" w:space="0"/>
              <w:right w:val="single" w:color="000000" w:sz="4" w:space="0"/>
            </w:tcBorders>
            <w:shd w:val="clear" w:color="auto" w:fill="auto"/>
            <w:vAlign w:val="center"/>
          </w:tcPr>
          <w:p w14:paraId="2882FB3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5" w:type="pct"/>
            <w:tcBorders>
              <w:top w:val="nil"/>
              <w:left w:val="nil"/>
              <w:bottom w:val="single" w:color="000000" w:sz="4" w:space="0"/>
              <w:right w:val="single" w:color="000000" w:sz="4" w:space="0"/>
            </w:tcBorders>
            <w:shd w:val="clear" w:color="auto" w:fill="auto"/>
            <w:vAlign w:val="center"/>
          </w:tcPr>
          <w:p w14:paraId="29669EE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240</w:t>
            </w:r>
          </w:p>
        </w:tc>
        <w:tc>
          <w:tcPr>
            <w:tcW w:w="176" w:type="pct"/>
            <w:tcBorders>
              <w:top w:val="nil"/>
              <w:left w:val="nil"/>
              <w:bottom w:val="single" w:color="000000" w:sz="4" w:space="0"/>
              <w:right w:val="single" w:color="000000" w:sz="4" w:space="0"/>
            </w:tcBorders>
            <w:shd w:val="clear" w:color="auto" w:fill="auto"/>
            <w:vAlign w:val="center"/>
          </w:tcPr>
          <w:p w14:paraId="2DEB833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人次</w:t>
            </w:r>
          </w:p>
        </w:tc>
        <w:tc>
          <w:tcPr>
            <w:tcW w:w="379" w:type="pct"/>
            <w:tcBorders>
              <w:top w:val="nil"/>
              <w:left w:val="nil"/>
              <w:bottom w:val="single" w:color="000000" w:sz="4" w:space="0"/>
              <w:right w:val="single" w:color="000000" w:sz="4" w:space="0"/>
            </w:tcBorders>
            <w:shd w:val="clear" w:color="auto" w:fill="auto"/>
            <w:vAlign w:val="center"/>
          </w:tcPr>
          <w:p w14:paraId="1C90BBFD">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293</w:t>
            </w:r>
          </w:p>
        </w:tc>
        <w:tc>
          <w:tcPr>
            <w:tcW w:w="177" w:type="pct"/>
            <w:tcBorders>
              <w:top w:val="nil"/>
              <w:left w:val="nil"/>
              <w:bottom w:val="single" w:color="000000" w:sz="4" w:space="0"/>
              <w:right w:val="single" w:color="000000" w:sz="4" w:space="0"/>
            </w:tcBorders>
            <w:shd w:val="clear" w:color="auto" w:fill="auto"/>
            <w:vAlign w:val="center"/>
          </w:tcPr>
          <w:p w14:paraId="2560206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57" w:type="pct"/>
            <w:tcBorders>
              <w:top w:val="nil"/>
              <w:left w:val="nil"/>
              <w:bottom w:val="single" w:color="000000" w:sz="4" w:space="0"/>
              <w:right w:val="single" w:color="000000" w:sz="4" w:space="0"/>
            </w:tcBorders>
            <w:shd w:val="clear" w:color="auto" w:fill="auto"/>
            <w:vAlign w:val="center"/>
          </w:tcPr>
          <w:p w14:paraId="1176174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995" w:type="pct"/>
            <w:tcBorders>
              <w:top w:val="nil"/>
              <w:left w:val="nil"/>
              <w:bottom w:val="single" w:color="000000" w:sz="4" w:space="0"/>
              <w:right w:val="single" w:color="000000" w:sz="4" w:space="0"/>
            </w:tcBorders>
            <w:shd w:val="clear" w:color="auto" w:fill="auto"/>
            <w:vAlign w:val="center"/>
          </w:tcPr>
          <w:p w14:paraId="231D04B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4B23E483">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nil"/>
              <w:right w:val="single" w:color="000000" w:sz="4" w:space="0"/>
            </w:tcBorders>
            <w:vAlign w:val="center"/>
          </w:tcPr>
          <w:p w14:paraId="245A4942">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554B00D0">
            <w:pPr>
              <w:widowControl/>
              <w:jc w:val="left"/>
              <w:rPr>
                <w:rFonts w:ascii="宋体" w:hAnsi="宋体" w:eastAsia="宋体" w:cs="宋体"/>
                <w:color w:val="000000"/>
                <w:sz w:val="18"/>
                <w:szCs w:val="18"/>
              </w:rPr>
            </w:pPr>
          </w:p>
        </w:tc>
        <w:tc>
          <w:tcPr>
            <w:tcW w:w="492" w:type="pct"/>
            <w:vMerge w:val="continue"/>
            <w:tcBorders>
              <w:top w:val="nil"/>
              <w:left w:val="single" w:color="000000" w:sz="4" w:space="0"/>
              <w:bottom w:val="single" w:color="000000" w:sz="4" w:space="0"/>
              <w:right w:val="single" w:color="000000" w:sz="4" w:space="0"/>
            </w:tcBorders>
            <w:vAlign w:val="center"/>
          </w:tcPr>
          <w:p w14:paraId="4D5738A4">
            <w:pPr>
              <w:widowControl/>
              <w:jc w:val="left"/>
              <w:rPr>
                <w:rFonts w:ascii="宋体" w:hAnsi="宋体" w:eastAsia="宋体" w:cs="宋体"/>
                <w:color w:val="000000"/>
                <w:sz w:val="18"/>
                <w:szCs w:val="18"/>
              </w:rPr>
            </w:pPr>
          </w:p>
        </w:tc>
        <w:tc>
          <w:tcPr>
            <w:tcW w:w="1028" w:type="pct"/>
            <w:tcBorders>
              <w:top w:val="nil"/>
              <w:left w:val="nil"/>
              <w:bottom w:val="single" w:color="000000" w:sz="4" w:space="0"/>
              <w:right w:val="single" w:color="000000" w:sz="4" w:space="0"/>
            </w:tcBorders>
            <w:shd w:val="clear" w:color="auto" w:fill="auto"/>
            <w:vAlign w:val="center"/>
          </w:tcPr>
          <w:p w14:paraId="145C766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走访社区矫正对象数</w:t>
            </w:r>
          </w:p>
        </w:tc>
        <w:tc>
          <w:tcPr>
            <w:tcW w:w="176" w:type="pct"/>
            <w:tcBorders>
              <w:top w:val="nil"/>
              <w:left w:val="nil"/>
              <w:bottom w:val="single" w:color="000000" w:sz="4" w:space="0"/>
              <w:right w:val="single" w:color="000000" w:sz="4" w:space="0"/>
            </w:tcBorders>
            <w:shd w:val="clear" w:color="auto" w:fill="auto"/>
            <w:vAlign w:val="center"/>
          </w:tcPr>
          <w:p w14:paraId="3CF0D6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5" w:type="pct"/>
            <w:tcBorders>
              <w:top w:val="nil"/>
              <w:left w:val="nil"/>
              <w:bottom w:val="single" w:color="000000" w:sz="4" w:space="0"/>
              <w:right w:val="single" w:color="000000" w:sz="4" w:space="0"/>
            </w:tcBorders>
            <w:shd w:val="clear" w:color="auto" w:fill="auto"/>
            <w:vAlign w:val="center"/>
          </w:tcPr>
          <w:p w14:paraId="106F86D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240</w:t>
            </w:r>
          </w:p>
        </w:tc>
        <w:tc>
          <w:tcPr>
            <w:tcW w:w="176" w:type="pct"/>
            <w:tcBorders>
              <w:top w:val="nil"/>
              <w:left w:val="nil"/>
              <w:bottom w:val="single" w:color="000000" w:sz="4" w:space="0"/>
              <w:right w:val="single" w:color="000000" w:sz="4" w:space="0"/>
            </w:tcBorders>
            <w:shd w:val="clear" w:color="auto" w:fill="auto"/>
            <w:vAlign w:val="center"/>
          </w:tcPr>
          <w:p w14:paraId="4251D19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人次</w:t>
            </w:r>
          </w:p>
        </w:tc>
        <w:tc>
          <w:tcPr>
            <w:tcW w:w="379" w:type="pct"/>
            <w:tcBorders>
              <w:top w:val="nil"/>
              <w:left w:val="nil"/>
              <w:bottom w:val="single" w:color="000000" w:sz="4" w:space="0"/>
              <w:right w:val="single" w:color="000000" w:sz="4" w:space="0"/>
            </w:tcBorders>
            <w:shd w:val="clear" w:color="auto" w:fill="auto"/>
            <w:vAlign w:val="center"/>
          </w:tcPr>
          <w:p w14:paraId="2C46196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293</w:t>
            </w:r>
          </w:p>
        </w:tc>
        <w:tc>
          <w:tcPr>
            <w:tcW w:w="177" w:type="pct"/>
            <w:tcBorders>
              <w:top w:val="nil"/>
              <w:left w:val="nil"/>
              <w:bottom w:val="single" w:color="000000" w:sz="4" w:space="0"/>
              <w:right w:val="single" w:color="000000" w:sz="4" w:space="0"/>
            </w:tcBorders>
            <w:shd w:val="clear" w:color="auto" w:fill="auto"/>
            <w:vAlign w:val="center"/>
          </w:tcPr>
          <w:p w14:paraId="07FFB6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57" w:type="pct"/>
            <w:tcBorders>
              <w:top w:val="nil"/>
              <w:left w:val="nil"/>
              <w:bottom w:val="single" w:color="000000" w:sz="4" w:space="0"/>
              <w:right w:val="single" w:color="000000" w:sz="4" w:space="0"/>
            </w:tcBorders>
            <w:shd w:val="clear" w:color="auto" w:fill="auto"/>
            <w:vAlign w:val="center"/>
          </w:tcPr>
          <w:p w14:paraId="29DA36C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995" w:type="pct"/>
            <w:tcBorders>
              <w:top w:val="nil"/>
              <w:left w:val="nil"/>
              <w:bottom w:val="single" w:color="000000" w:sz="4" w:space="0"/>
              <w:right w:val="single" w:color="000000" w:sz="4" w:space="0"/>
            </w:tcBorders>
            <w:shd w:val="clear" w:color="auto" w:fill="auto"/>
            <w:vAlign w:val="center"/>
          </w:tcPr>
          <w:p w14:paraId="32D1FD2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4A02155B">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nil"/>
              <w:right w:val="single" w:color="000000" w:sz="4" w:space="0"/>
            </w:tcBorders>
            <w:vAlign w:val="center"/>
          </w:tcPr>
          <w:p w14:paraId="40F26901">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63BD765F">
            <w:pPr>
              <w:widowControl/>
              <w:jc w:val="left"/>
              <w:rPr>
                <w:rFonts w:ascii="宋体" w:hAnsi="宋体" w:eastAsia="宋体" w:cs="宋体"/>
                <w:color w:val="000000"/>
                <w:sz w:val="18"/>
                <w:szCs w:val="18"/>
              </w:rPr>
            </w:pPr>
          </w:p>
        </w:tc>
        <w:tc>
          <w:tcPr>
            <w:tcW w:w="492" w:type="pct"/>
            <w:vMerge w:val="continue"/>
            <w:tcBorders>
              <w:top w:val="nil"/>
              <w:left w:val="single" w:color="000000" w:sz="4" w:space="0"/>
              <w:bottom w:val="single" w:color="000000" w:sz="4" w:space="0"/>
              <w:right w:val="single" w:color="000000" w:sz="4" w:space="0"/>
            </w:tcBorders>
            <w:vAlign w:val="center"/>
          </w:tcPr>
          <w:p w14:paraId="5FB49EEE">
            <w:pPr>
              <w:widowControl/>
              <w:jc w:val="left"/>
              <w:rPr>
                <w:rFonts w:ascii="宋体" w:hAnsi="宋体" w:eastAsia="宋体" w:cs="宋体"/>
                <w:color w:val="000000"/>
                <w:sz w:val="18"/>
                <w:szCs w:val="18"/>
              </w:rPr>
            </w:pPr>
          </w:p>
        </w:tc>
        <w:tc>
          <w:tcPr>
            <w:tcW w:w="1028" w:type="pct"/>
            <w:tcBorders>
              <w:top w:val="nil"/>
              <w:left w:val="nil"/>
              <w:bottom w:val="single" w:color="000000" w:sz="4" w:space="0"/>
              <w:right w:val="single" w:color="000000" w:sz="4" w:space="0"/>
            </w:tcBorders>
            <w:shd w:val="clear" w:color="auto" w:fill="auto"/>
            <w:vAlign w:val="center"/>
          </w:tcPr>
          <w:p w14:paraId="1B46A82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社区矫正适用前调查评估件数</w:t>
            </w:r>
          </w:p>
        </w:tc>
        <w:tc>
          <w:tcPr>
            <w:tcW w:w="176" w:type="pct"/>
            <w:tcBorders>
              <w:top w:val="nil"/>
              <w:left w:val="nil"/>
              <w:bottom w:val="single" w:color="000000" w:sz="4" w:space="0"/>
              <w:right w:val="single" w:color="000000" w:sz="4" w:space="0"/>
            </w:tcBorders>
            <w:shd w:val="clear" w:color="auto" w:fill="auto"/>
            <w:vAlign w:val="center"/>
          </w:tcPr>
          <w:p w14:paraId="240EE53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5" w:type="pct"/>
            <w:tcBorders>
              <w:top w:val="nil"/>
              <w:left w:val="nil"/>
              <w:bottom w:val="single" w:color="000000" w:sz="4" w:space="0"/>
              <w:right w:val="single" w:color="000000" w:sz="4" w:space="0"/>
            </w:tcBorders>
            <w:shd w:val="clear" w:color="auto" w:fill="auto"/>
            <w:vAlign w:val="center"/>
          </w:tcPr>
          <w:p w14:paraId="75554B8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60</w:t>
            </w:r>
          </w:p>
        </w:tc>
        <w:tc>
          <w:tcPr>
            <w:tcW w:w="176" w:type="pct"/>
            <w:tcBorders>
              <w:top w:val="nil"/>
              <w:left w:val="nil"/>
              <w:bottom w:val="single" w:color="000000" w:sz="4" w:space="0"/>
              <w:right w:val="single" w:color="000000" w:sz="4" w:space="0"/>
            </w:tcBorders>
            <w:shd w:val="clear" w:color="auto" w:fill="auto"/>
            <w:vAlign w:val="center"/>
          </w:tcPr>
          <w:p w14:paraId="5332B67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件</w:t>
            </w:r>
          </w:p>
        </w:tc>
        <w:tc>
          <w:tcPr>
            <w:tcW w:w="379" w:type="pct"/>
            <w:tcBorders>
              <w:top w:val="nil"/>
              <w:left w:val="nil"/>
              <w:bottom w:val="single" w:color="000000" w:sz="4" w:space="0"/>
              <w:right w:val="single" w:color="000000" w:sz="4" w:space="0"/>
            </w:tcBorders>
            <w:shd w:val="clear" w:color="auto" w:fill="auto"/>
            <w:vAlign w:val="center"/>
          </w:tcPr>
          <w:p w14:paraId="11B0761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60</w:t>
            </w:r>
          </w:p>
        </w:tc>
        <w:tc>
          <w:tcPr>
            <w:tcW w:w="177" w:type="pct"/>
            <w:tcBorders>
              <w:top w:val="nil"/>
              <w:left w:val="nil"/>
              <w:bottom w:val="single" w:color="000000" w:sz="4" w:space="0"/>
              <w:right w:val="single" w:color="000000" w:sz="4" w:space="0"/>
            </w:tcBorders>
            <w:shd w:val="clear" w:color="auto" w:fill="auto"/>
            <w:vAlign w:val="center"/>
          </w:tcPr>
          <w:p w14:paraId="1BEEAAF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257" w:type="pct"/>
            <w:tcBorders>
              <w:top w:val="nil"/>
              <w:left w:val="nil"/>
              <w:bottom w:val="single" w:color="000000" w:sz="4" w:space="0"/>
              <w:right w:val="single" w:color="000000" w:sz="4" w:space="0"/>
            </w:tcBorders>
            <w:shd w:val="clear" w:color="auto" w:fill="auto"/>
            <w:vAlign w:val="center"/>
          </w:tcPr>
          <w:p w14:paraId="7392EF4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995" w:type="pct"/>
            <w:tcBorders>
              <w:top w:val="nil"/>
              <w:left w:val="nil"/>
              <w:bottom w:val="single" w:color="000000" w:sz="4" w:space="0"/>
              <w:right w:val="single" w:color="000000" w:sz="4" w:space="0"/>
            </w:tcBorders>
            <w:shd w:val="clear" w:color="auto" w:fill="auto"/>
            <w:vAlign w:val="center"/>
          </w:tcPr>
          <w:p w14:paraId="1284362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AC1F6D2">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nil"/>
              <w:right w:val="single" w:color="000000" w:sz="4" w:space="0"/>
            </w:tcBorders>
            <w:vAlign w:val="center"/>
          </w:tcPr>
          <w:p w14:paraId="3B877C5F">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152A6263">
            <w:pPr>
              <w:widowControl/>
              <w:jc w:val="left"/>
              <w:rPr>
                <w:rFonts w:ascii="宋体" w:hAnsi="宋体" w:eastAsia="宋体" w:cs="宋体"/>
                <w:color w:val="000000"/>
                <w:sz w:val="18"/>
                <w:szCs w:val="18"/>
              </w:rPr>
            </w:pPr>
          </w:p>
        </w:tc>
        <w:tc>
          <w:tcPr>
            <w:tcW w:w="492" w:type="pct"/>
            <w:tcBorders>
              <w:top w:val="nil"/>
              <w:left w:val="nil"/>
              <w:bottom w:val="single" w:color="000000" w:sz="4" w:space="0"/>
              <w:right w:val="single" w:color="000000" w:sz="4" w:space="0"/>
            </w:tcBorders>
            <w:shd w:val="clear" w:color="auto" w:fill="auto"/>
            <w:vAlign w:val="center"/>
          </w:tcPr>
          <w:p w14:paraId="5A4965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1028" w:type="pct"/>
            <w:tcBorders>
              <w:top w:val="nil"/>
              <w:left w:val="nil"/>
              <w:bottom w:val="single" w:color="000000" w:sz="4" w:space="0"/>
              <w:right w:val="single" w:color="000000" w:sz="4" w:space="0"/>
            </w:tcBorders>
            <w:shd w:val="clear" w:color="auto" w:fill="auto"/>
            <w:vAlign w:val="center"/>
          </w:tcPr>
          <w:p w14:paraId="45896BA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重新犯罪率</w:t>
            </w:r>
          </w:p>
        </w:tc>
        <w:tc>
          <w:tcPr>
            <w:tcW w:w="176" w:type="pct"/>
            <w:tcBorders>
              <w:top w:val="nil"/>
              <w:left w:val="nil"/>
              <w:bottom w:val="single" w:color="000000" w:sz="4" w:space="0"/>
              <w:right w:val="single" w:color="000000" w:sz="4" w:space="0"/>
            </w:tcBorders>
            <w:shd w:val="clear" w:color="auto" w:fill="auto"/>
            <w:vAlign w:val="center"/>
          </w:tcPr>
          <w:p w14:paraId="6532445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5" w:type="pct"/>
            <w:tcBorders>
              <w:top w:val="nil"/>
              <w:left w:val="nil"/>
              <w:bottom w:val="single" w:color="000000" w:sz="4" w:space="0"/>
              <w:right w:val="single" w:color="000000" w:sz="4" w:space="0"/>
            </w:tcBorders>
            <w:shd w:val="clear" w:color="auto" w:fill="auto"/>
            <w:vAlign w:val="center"/>
          </w:tcPr>
          <w:p w14:paraId="77B82E3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0.2</w:t>
            </w:r>
          </w:p>
        </w:tc>
        <w:tc>
          <w:tcPr>
            <w:tcW w:w="176" w:type="pct"/>
            <w:tcBorders>
              <w:top w:val="nil"/>
              <w:left w:val="nil"/>
              <w:bottom w:val="single" w:color="000000" w:sz="4" w:space="0"/>
              <w:right w:val="single" w:color="000000" w:sz="4" w:space="0"/>
            </w:tcBorders>
            <w:shd w:val="clear" w:color="auto" w:fill="auto"/>
            <w:vAlign w:val="center"/>
          </w:tcPr>
          <w:p w14:paraId="7E94B0A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79" w:type="pct"/>
            <w:tcBorders>
              <w:top w:val="nil"/>
              <w:left w:val="nil"/>
              <w:bottom w:val="single" w:color="000000" w:sz="4" w:space="0"/>
              <w:right w:val="single" w:color="000000" w:sz="4" w:space="0"/>
            </w:tcBorders>
            <w:shd w:val="clear" w:color="auto" w:fill="auto"/>
            <w:vAlign w:val="center"/>
          </w:tcPr>
          <w:p w14:paraId="62B097B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0.1</w:t>
            </w:r>
          </w:p>
        </w:tc>
        <w:tc>
          <w:tcPr>
            <w:tcW w:w="177" w:type="pct"/>
            <w:tcBorders>
              <w:top w:val="nil"/>
              <w:left w:val="nil"/>
              <w:bottom w:val="single" w:color="000000" w:sz="4" w:space="0"/>
              <w:right w:val="single" w:color="000000" w:sz="4" w:space="0"/>
            </w:tcBorders>
            <w:shd w:val="clear" w:color="auto" w:fill="auto"/>
            <w:vAlign w:val="center"/>
          </w:tcPr>
          <w:p w14:paraId="591B4AC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57" w:type="pct"/>
            <w:tcBorders>
              <w:top w:val="nil"/>
              <w:left w:val="nil"/>
              <w:bottom w:val="single" w:color="000000" w:sz="4" w:space="0"/>
              <w:right w:val="single" w:color="000000" w:sz="4" w:space="0"/>
            </w:tcBorders>
            <w:shd w:val="clear" w:color="auto" w:fill="auto"/>
            <w:vAlign w:val="center"/>
          </w:tcPr>
          <w:p w14:paraId="57F05F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995" w:type="pct"/>
            <w:tcBorders>
              <w:top w:val="nil"/>
              <w:left w:val="nil"/>
              <w:bottom w:val="single" w:color="000000" w:sz="4" w:space="0"/>
              <w:right w:val="single" w:color="000000" w:sz="4" w:space="0"/>
            </w:tcBorders>
            <w:shd w:val="clear" w:color="auto" w:fill="auto"/>
            <w:vAlign w:val="center"/>
          </w:tcPr>
          <w:p w14:paraId="761BBCA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A3E3523">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nil"/>
              <w:right w:val="single" w:color="000000" w:sz="4" w:space="0"/>
            </w:tcBorders>
            <w:vAlign w:val="center"/>
          </w:tcPr>
          <w:p w14:paraId="51B2017B">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496953A7">
            <w:pPr>
              <w:widowControl/>
              <w:jc w:val="left"/>
              <w:rPr>
                <w:rFonts w:ascii="宋体" w:hAnsi="宋体" w:eastAsia="宋体" w:cs="宋体"/>
                <w:color w:val="000000"/>
                <w:sz w:val="18"/>
                <w:szCs w:val="18"/>
              </w:rPr>
            </w:pPr>
          </w:p>
        </w:tc>
        <w:tc>
          <w:tcPr>
            <w:tcW w:w="492" w:type="pct"/>
            <w:vMerge w:val="restart"/>
            <w:tcBorders>
              <w:top w:val="nil"/>
              <w:left w:val="single" w:color="000000" w:sz="4" w:space="0"/>
              <w:bottom w:val="single" w:color="000000" w:sz="4" w:space="0"/>
              <w:right w:val="single" w:color="000000" w:sz="4" w:space="0"/>
            </w:tcBorders>
            <w:shd w:val="clear" w:color="auto" w:fill="auto"/>
            <w:vAlign w:val="center"/>
          </w:tcPr>
          <w:p w14:paraId="481328A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1028" w:type="pct"/>
            <w:tcBorders>
              <w:top w:val="nil"/>
              <w:left w:val="nil"/>
              <w:bottom w:val="single" w:color="000000" w:sz="4" w:space="0"/>
              <w:right w:val="single" w:color="000000" w:sz="4" w:space="0"/>
            </w:tcBorders>
            <w:shd w:val="clear" w:color="auto" w:fill="auto"/>
            <w:vAlign w:val="center"/>
          </w:tcPr>
          <w:p w14:paraId="05BCD2F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社区矫正对象报到入矫率</w:t>
            </w:r>
          </w:p>
        </w:tc>
        <w:tc>
          <w:tcPr>
            <w:tcW w:w="176" w:type="pct"/>
            <w:tcBorders>
              <w:top w:val="nil"/>
              <w:left w:val="nil"/>
              <w:bottom w:val="single" w:color="000000" w:sz="4" w:space="0"/>
              <w:right w:val="single" w:color="000000" w:sz="4" w:space="0"/>
            </w:tcBorders>
            <w:shd w:val="clear" w:color="auto" w:fill="auto"/>
            <w:vAlign w:val="center"/>
          </w:tcPr>
          <w:p w14:paraId="10E824A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5" w:type="pct"/>
            <w:tcBorders>
              <w:top w:val="nil"/>
              <w:left w:val="nil"/>
              <w:bottom w:val="single" w:color="000000" w:sz="4" w:space="0"/>
              <w:right w:val="single" w:color="000000" w:sz="4" w:space="0"/>
            </w:tcBorders>
            <w:shd w:val="clear" w:color="auto" w:fill="auto"/>
            <w:vAlign w:val="center"/>
          </w:tcPr>
          <w:p w14:paraId="2CA4061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176" w:type="pct"/>
            <w:tcBorders>
              <w:top w:val="nil"/>
              <w:left w:val="nil"/>
              <w:bottom w:val="single" w:color="000000" w:sz="4" w:space="0"/>
              <w:right w:val="single" w:color="000000" w:sz="4" w:space="0"/>
            </w:tcBorders>
            <w:shd w:val="clear" w:color="auto" w:fill="auto"/>
            <w:vAlign w:val="center"/>
          </w:tcPr>
          <w:p w14:paraId="4EE4C7A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79" w:type="pct"/>
            <w:tcBorders>
              <w:top w:val="nil"/>
              <w:left w:val="nil"/>
              <w:bottom w:val="single" w:color="000000" w:sz="4" w:space="0"/>
              <w:right w:val="single" w:color="000000" w:sz="4" w:space="0"/>
            </w:tcBorders>
            <w:shd w:val="clear" w:color="auto" w:fill="auto"/>
            <w:vAlign w:val="center"/>
          </w:tcPr>
          <w:p w14:paraId="464E487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100</w:t>
            </w:r>
          </w:p>
        </w:tc>
        <w:tc>
          <w:tcPr>
            <w:tcW w:w="177" w:type="pct"/>
            <w:tcBorders>
              <w:top w:val="nil"/>
              <w:left w:val="nil"/>
              <w:bottom w:val="single" w:color="000000" w:sz="4" w:space="0"/>
              <w:right w:val="single" w:color="000000" w:sz="4" w:space="0"/>
            </w:tcBorders>
            <w:shd w:val="clear" w:color="auto" w:fill="auto"/>
            <w:vAlign w:val="center"/>
          </w:tcPr>
          <w:p w14:paraId="5485FA6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57" w:type="pct"/>
            <w:tcBorders>
              <w:top w:val="nil"/>
              <w:left w:val="nil"/>
              <w:bottom w:val="single" w:color="000000" w:sz="4" w:space="0"/>
              <w:right w:val="single" w:color="000000" w:sz="4" w:space="0"/>
            </w:tcBorders>
            <w:shd w:val="clear" w:color="auto" w:fill="auto"/>
            <w:vAlign w:val="center"/>
          </w:tcPr>
          <w:p w14:paraId="5D30702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995" w:type="pct"/>
            <w:tcBorders>
              <w:top w:val="nil"/>
              <w:left w:val="nil"/>
              <w:bottom w:val="single" w:color="000000" w:sz="4" w:space="0"/>
              <w:right w:val="single" w:color="000000" w:sz="4" w:space="0"/>
            </w:tcBorders>
            <w:shd w:val="clear" w:color="auto" w:fill="auto"/>
            <w:vAlign w:val="center"/>
          </w:tcPr>
          <w:p w14:paraId="2CCD240C">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39AAD0C0">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nil"/>
              <w:right w:val="single" w:color="000000" w:sz="4" w:space="0"/>
            </w:tcBorders>
            <w:vAlign w:val="center"/>
          </w:tcPr>
          <w:p w14:paraId="7A7B8AFE">
            <w:pPr>
              <w:widowControl/>
              <w:jc w:val="left"/>
              <w:rPr>
                <w:rFonts w:ascii="宋体" w:hAnsi="宋体" w:eastAsia="宋体" w:cs="宋体"/>
                <w:color w:val="000000"/>
                <w:sz w:val="18"/>
                <w:szCs w:val="18"/>
              </w:rPr>
            </w:pPr>
          </w:p>
        </w:tc>
        <w:tc>
          <w:tcPr>
            <w:tcW w:w="559" w:type="pct"/>
            <w:vMerge w:val="continue"/>
            <w:tcBorders>
              <w:top w:val="nil"/>
              <w:left w:val="single" w:color="000000" w:sz="4" w:space="0"/>
              <w:bottom w:val="single" w:color="000000" w:sz="4" w:space="0"/>
              <w:right w:val="single" w:color="000000" w:sz="4" w:space="0"/>
            </w:tcBorders>
            <w:vAlign w:val="center"/>
          </w:tcPr>
          <w:p w14:paraId="280311CE">
            <w:pPr>
              <w:widowControl/>
              <w:jc w:val="left"/>
              <w:rPr>
                <w:rFonts w:ascii="宋体" w:hAnsi="宋体" w:eastAsia="宋体" w:cs="宋体"/>
                <w:color w:val="000000"/>
                <w:sz w:val="18"/>
                <w:szCs w:val="18"/>
              </w:rPr>
            </w:pPr>
          </w:p>
        </w:tc>
        <w:tc>
          <w:tcPr>
            <w:tcW w:w="492" w:type="pct"/>
            <w:vMerge w:val="continue"/>
            <w:tcBorders>
              <w:top w:val="nil"/>
              <w:left w:val="single" w:color="000000" w:sz="4" w:space="0"/>
              <w:bottom w:val="single" w:color="000000" w:sz="4" w:space="0"/>
              <w:right w:val="single" w:color="000000" w:sz="4" w:space="0"/>
            </w:tcBorders>
            <w:vAlign w:val="center"/>
          </w:tcPr>
          <w:p w14:paraId="3224295A">
            <w:pPr>
              <w:widowControl/>
              <w:jc w:val="left"/>
              <w:rPr>
                <w:rFonts w:ascii="宋体" w:hAnsi="宋体" w:eastAsia="宋体" w:cs="宋体"/>
                <w:color w:val="000000"/>
                <w:sz w:val="18"/>
                <w:szCs w:val="18"/>
              </w:rPr>
            </w:pPr>
          </w:p>
        </w:tc>
        <w:tc>
          <w:tcPr>
            <w:tcW w:w="1028" w:type="pct"/>
            <w:tcBorders>
              <w:top w:val="nil"/>
              <w:left w:val="nil"/>
              <w:bottom w:val="single" w:color="000000" w:sz="4" w:space="0"/>
              <w:right w:val="single" w:color="000000" w:sz="4" w:space="0"/>
            </w:tcBorders>
            <w:shd w:val="clear" w:color="auto" w:fill="auto"/>
            <w:vAlign w:val="center"/>
          </w:tcPr>
          <w:p w14:paraId="21A80F4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卷宗评估时率</w:t>
            </w:r>
          </w:p>
        </w:tc>
        <w:tc>
          <w:tcPr>
            <w:tcW w:w="176" w:type="pct"/>
            <w:tcBorders>
              <w:top w:val="nil"/>
              <w:left w:val="nil"/>
              <w:bottom w:val="single" w:color="000000" w:sz="4" w:space="0"/>
              <w:right w:val="single" w:color="000000" w:sz="4" w:space="0"/>
            </w:tcBorders>
            <w:shd w:val="clear" w:color="auto" w:fill="auto"/>
            <w:vAlign w:val="center"/>
          </w:tcPr>
          <w:p w14:paraId="4E9BB6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5" w:type="pct"/>
            <w:tcBorders>
              <w:top w:val="nil"/>
              <w:left w:val="nil"/>
              <w:bottom w:val="single" w:color="000000" w:sz="4" w:space="0"/>
              <w:right w:val="single" w:color="000000" w:sz="4" w:space="0"/>
            </w:tcBorders>
            <w:shd w:val="clear" w:color="auto" w:fill="auto"/>
            <w:vAlign w:val="center"/>
          </w:tcPr>
          <w:p w14:paraId="717636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176" w:type="pct"/>
            <w:tcBorders>
              <w:top w:val="nil"/>
              <w:left w:val="nil"/>
              <w:bottom w:val="single" w:color="000000" w:sz="4" w:space="0"/>
              <w:right w:val="single" w:color="000000" w:sz="4" w:space="0"/>
            </w:tcBorders>
            <w:shd w:val="clear" w:color="auto" w:fill="auto"/>
            <w:vAlign w:val="center"/>
          </w:tcPr>
          <w:p w14:paraId="5E00DA2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79" w:type="pct"/>
            <w:tcBorders>
              <w:top w:val="nil"/>
              <w:left w:val="nil"/>
              <w:bottom w:val="single" w:color="000000" w:sz="4" w:space="0"/>
              <w:right w:val="single" w:color="000000" w:sz="4" w:space="0"/>
            </w:tcBorders>
            <w:shd w:val="clear" w:color="auto" w:fill="auto"/>
            <w:vAlign w:val="center"/>
          </w:tcPr>
          <w:p w14:paraId="351EA16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95</w:t>
            </w:r>
          </w:p>
        </w:tc>
        <w:tc>
          <w:tcPr>
            <w:tcW w:w="177" w:type="pct"/>
            <w:tcBorders>
              <w:top w:val="nil"/>
              <w:left w:val="nil"/>
              <w:bottom w:val="single" w:color="000000" w:sz="4" w:space="0"/>
              <w:right w:val="single" w:color="000000" w:sz="4" w:space="0"/>
            </w:tcBorders>
            <w:shd w:val="clear" w:color="auto" w:fill="auto"/>
            <w:vAlign w:val="center"/>
          </w:tcPr>
          <w:p w14:paraId="7A0B2BE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257" w:type="pct"/>
            <w:tcBorders>
              <w:top w:val="nil"/>
              <w:left w:val="nil"/>
              <w:bottom w:val="single" w:color="000000" w:sz="4" w:space="0"/>
              <w:right w:val="single" w:color="000000" w:sz="4" w:space="0"/>
            </w:tcBorders>
            <w:shd w:val="clear" w:color="auto" w:fill="auto"/>
            <w:vAlign w:val="center"/>
          </w:tcPr>
          <w:p w14:paraId="3F2DE57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995" w:type="pct"/>
            <w:tcBorders>
              <w:top w:val="nil"/>
              <w:left w:val="nil"/>
              <w:bottom w:val="single" w:color="000000" w:sz="4" w:space="0"/>
              <w:right w:val="single" w:color="000000" w:sz="4" w:space="0"/>
            </w:tcBorders>
            <w:shd w:val="clear" w:color="auto" w:fill="auto"/>
            <w:vAlign w:val="center"/>
          </w:tcPr>
          <w:p w14:paraId="05BB1EE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1A5F1E1">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nil"/>
              <w:right w:val="single" w:color="000000" w:sz="4" w:space="0"/>
            </w:tcBorders>
            <w:vAlign w:val="center"/>
          </w:tcPr>
          <w:p w14:paraId="41A3E405">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682924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492" w:type="pct"/>
            <w:tcBorders>
              <w:top w:val="nil"/>
              <w:left w:val="nil"/>
              <w:bottom w:val="single" w:color="000000" w:sz="4" w:space="0"/>
              <w:right w:val="single" w:color="000000" w:sz="4" w:space="0"/>
            </w:tcBorders>
            <w:shd w:val="clear" w:color="auto" w:fill="auto"/>
            <w:vAlign w:val="center"/>
          </w:tcPr>
          <w:p w14:paraId="0D72093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028" w:type="pct"/>
            <w:tcBorders>
              <w:top w:val="nil"/>
              <w:left w:val="nil"/>
              <w:bottom w:val="single" w:color="000000" w:sz="4" w:space="0"/>
              <w:right w:val="single" w:color="000000" w:sz="4" w:space="0"/>
            </w:tcBorders>
            <w:shd w:val="clear" w:color="auto" w:fill="auto"/>
            <w:vAlign w:val="center"/>
          </w:tcPr>
          <w:p w14:paraId="0BD9E4C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促进社会稳定</w:t>
            </w:r>
          </w:p>
        </w:tc>
        <w:tc>
          <w:tcPr>
            <w:tcW w:w="176" w:type="pct"/>
            <w:tcBorders>
              <w:top w:val="nil"/>
              <w:left w:val="nil"/>
              <w:bottom w:val="single" w:color="000000" w:sz="4" w:space="0"/>
              <w:right w:val="single" w:color="000000" w:sz="4" w:space="0"/>
            </w:tcBorders>
            <w:shd w:val="clear" w:color="auto" w:fill="auto"/>
            <w:vAlign w:val="center"/>
          </w:tcPr>
          <w:p w14:paraId="0691E11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65" w:type="pct"/>
            <w:tcBorders>
              <w:top w:val="nil"/>
              <w:left w:val="nil"/>
              <w:bottom w:val="single" w:color="000000" w:sz="4" w:space="0"/>
              <w:right w:val="single" w:color="000000" w:sz="4" w:space="0"/>
            </w:tcBorders>
            <w:shd w:val="clear" w:color="auto" w:fill="auto"/>
            <w:vAlign w:val="center"/>
          </w:tcPr>
          <w:p w14:paraId="6739768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76" w:type="pct"/>
            <w:tcBorders>
              <w:top w:val="nil"/>
              <w:left w:val="nil"/>
              <w:bottom w:val="single" w:color="000000" w:sz="4" w:space="0"/>
              <w:right w:val="single" w:color="000000" w:sz="4" w:space="0"/>
            </w:tcBorders>
            <w:shd w:val="clear" w:color="auto" w:fill="auto"/>
            <w:vAlign w:val="center"/>
          </w:tcPr>
          <w:p w14:paraId="65D0FD9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379" w:type="pct"/>
            <w:tcBorders>
              <w:top w:val="nil"/>
              <w:left w:val="nil"/>
              <w:bottom w:val="single" w:color="000000" w:sz="4" w:space="0"/>
              <w:right w:val="single" w:color="000000" w:sz="4" w:space="0"/>
            </w:tcBorders>
            <w:shd w:val="clear" w:color="auto" w:fill="auto"/>
            <w:vAlign w:val="center"/>
          </w:tcPr>
          <w:p w14:paraId="4CC8B31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77" w:type="pct"/>
            <w:tcBorders>
              <w:top w:val="nil"/>
              <w:left w:val="nil"/>
              <w:bottom w:val="single" w:color="000000" w:sz="4" w:space="0"/>
              <w:right w:val="single" w:color="000000" w:sz="4" w:space="0"/>
            </w:tcBorders>
            <w:shd w:val="clear" w:color="auto" w:fill="auto"/>
            <w:vAlign w:val="center"/>
          </w:tcPr>
          <w:p w14:paraId="4E38E74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21</w:t>
            </w:r>
          </w:p>
        </w:tc>
        <w:tc>
          <w:tcPr>
            <w:tcW w:w="257" w:type="pct"/>
            <w:tcBorders>
              <w:top w:val="nil"/>
              <w:left w:val="nil"/>
              <w:bottom w:val="single" w:color="000000" w:sz="4" w:space="0"/>
              <w:right w:val="single" w:color="000000" w:sz="4" w:space="0"/>
            </w:tcBorders>
            <w:shd w:val="clear" w:color="auto" w:fill="auto"/>
            <w:vAlign w:val="center"/>
          </w:tcPr>
          <w:p w14:paraId="334692E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w:t>
            </w:r>
          </w:p>
        </w:tc>
        <w:tc>
          <w:tcPr>
            <w:tcW w:w="995" w:type="pct"/>
            <w:tcBorders>
              <w:top w:val="nil"/>
              <w:left w:val="nil"/>
              <w:bottom w:val="single" w:color="000000" w:sz="4" w:space="0"/>
              <w:right w:val="single" w:color="000000" w:sz="4" w:space="0"/>
            </w:tcBorders>
            <w:shd w:val="clear" w:color="auto" w:fill="auto"/>
            <w:vAlign w:val="center"/>
          </w:tcPr>
          <w:p w14:paraId="2021365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D48E9B4">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nil"/>
              <w:right w:val="single" w:color="000000" w:sz="4" w:space="0"/>
            </w:tcBorders>
            <w:vAlign w:val="center"/>
          </w:tcPr>
          <w:p w14:paraId="75CAB4CA">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5A58053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492" w:type="pct"/>
            <w:tcBorders>
              <w:top w:val="nil"/>
              <w:left w:val="nil"/>
              <w:bottom w:val="single" w:color="000000" w:sz="4" w:space="0"/>
              <w:right w:val="single" w:color="000000" w:sz="4" w:space="0"/>
            </w:tcBorders>
            <w:shd w:val="clear" w:color="auto" w:fill="auto"/>
            <w:vAlign w:val="center"/>
          </w:tcPr>
          <w:p w14:paraId="3F2DBB0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1028" w:type="pct"/>
            <w:tcBorders>
              <w:top w:val="nil"/>
              <w:left w:val="nil"/>
              <w:bottom w:val="single" w:color="000000" w:sz="4" w:space="0"/>
              <w:right w:val="single" w:color="000000" w:sz="4" w:space="0"/>
            </w:tcBorders>
            <w:shd w:val="clear" w:color="auto" w:fill="auto"/>
            <w:vAlign w:val="center"/>
          </w:tcPr>
          <w:p w14:paraId="5FDFDE2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176" w:type="pct"/>
            <w:tcBorders>
              <w:top w:val="nil"/>
              <w:left w:val="nil"/>
              <w:bottom w:val="single" w:color="000000" w:sz="4" w:space="0"/>
              <w:right w:val="single" w:color="000000" w:sz="4" w:space="0"/>
            </w:tcBorders>
            <w:shd w:val="clear" w:color="auto" w:fill="auto"/>
            <w:vAlign w:val="center"/>
          </w:tcPr>
          <w:p w14:paraId="020163D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5" w:type="pct"/>
            <w:tcBorders>
              <w:top w:val="nil"/>
              <w:left w:val="nil"/>
              <w:bottom w:val="single" w:color="000000" w:sz="4" w:space="0"/>
              <w:right w:val="single" w:color="000000" w:sz="4" w:space="0"/>
            </w:tcBorders>
            <w:shd w:val="clear" w:color="auto" w:fill="auto"/>
            <w:vAlign w:val="center"/>
          </w:tcPr>
          <w:p w14:paraId="2CCFCC2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176" w:type="pct"/>
            <w:tcBorders>
              <w:top w:val="nil"/>
              <w:left w:val="nil"/>
              <w:bottom w:val="single" w:color="000000" w:sz="4" w:space="0"/>
              <w:right w:val="single" w:color="000000" w:sz="4" w:space="0"/>
            </w:tcBorders>
            <w:shd w:val="clear" w:color="auto" w:fill="auto"/>
            <w:vAlign w:val="center"/>
          </w:tcPr>
          <w:p w14:paraId="005BA45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379" w:type="pct"/>
            <w:tcBorders>
              <w:top w:val="nil"/>
              <w:left w:val="nil"/>
              <w:bottom w:val="single" w:color="000000" w:sz="4" w:space="0"/>
              <w:right w:val="single" w:color="000000" w:sz="4" w:space="0"/>
            </w:tcBorders>
            <w:shd w:val="clear" w:color="auto" w:fill="auto"/>
            <w:vAlign w:val="center"/>
          </w:tcPr>
          <w:p w14:paraId="7C7ABF2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95</w:t>
            </w:r>
          </w:p>
        </w:tc>
        <w:tc>
          <w:tcPr>
            <w:tcW w:w="177" w:type="pct"/>
            <w:tcBorders>
              <w:top w:val="nil"/>
              <w:left w:val="nil"/>
              <w:bottom w:val="single" w:color="000000" w:sz="4" w:space="0"/>
              <w:right w:val="single" w:color="000000" w:sz="4" w:space="0"/>
            </w:tcBorders>
            <w:shd w:val="clear" w:color="auto" w:fill="auto"/>
            <w:vAlign w:val="center"/>
          </w:tcPr>
          <w:p w14:paraId="19DD9EF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57" w:type="pct"/>
            <w:tcBorders>
              <w:top w:val="nil"/>
              <w:left w:val="nil"/>
              <w:bottom w:val="single" w:color="000000" w:sz="4" w:space="0"/>
              <w:right w:val="single" w:color="000000" w:sz="4" w:space="0"/>
            </w:tcBorders>
            <w:shd w:val="clear" w:color="auto" w:fill="auto"/>
            <w:vAlign w:val="center"/>
          </w:tcPr>
          <w:p w14:paraId="3797B89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995" w:type="pct"/>
            <w:tcBorders>
              <w:top w:val="nil"/>
              <w:left w:val="nil"/>
              <w:bottom w:val="single" w:color="000000" w:sz="4" w:space="0"/>
              <w:right w:val="single" w:color="000000" w:sz="4" w:space="0"/>
            </w:tcBorders>
            <w:shd w:val="clear" w:color="auto" w:fill="auto"/>
            <w:vAlign w:val="center"/>
          </w:tcPr>
          <w:p w14:paraId="1A88913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38DFC987">
        <w:tblPrEx>
          <w:tblCellMar>
            <w:top w:w="0" w:type="dxa"/>
            <w:left w:w="108" w:type="dxa"/>
            <w:bottom w:w="0" w:type="dxa"/>
            <w:right w:w="108" w:type="dxa"/>
          </w:tblCellMar>
        </w:tblPrEx>
        <w:trPr>
          <w:trHeight w:val="402" w:hRule="atLeast"/>
        </w:trPr>
        <w:tc>
          <w:tcPr>
            <w:tcW w:w="198" w:type="pct"/>
            <w:vMerge w:val="continue"/>
            <w:tcBorders>
              <w:top w:val="nil"/>
              <w:left w:val="single" w:color="000000" w:sz="4" w:space="0"/>
              <w:bottom w:val="nil"/>
              <w:right w:val="single" w:color="000000" w:sz="4" w:space="0"/>
            </w:tcBorders>
            <w:vAlign w:val="center"/>
          </w:tcPr>
          <w:p w14:paraId="292F9719">
            <w:pPr>
              <w:widowControl/>
              <w:jc w:val="left"/>
              <w:rPr>
                <w:rFonts w:ascii="宋体" w:hAnsi="宋体" w:eastAsia="宋体" w:cs="宋体"/>
                <w:color w:val="000000"/>
                <w:sz w:val="18"/>
                <w:szCs w:val="18"/>
              </w:rPr>
            </w:pPr>
          </w:p>
        </w:tc>
        <w:tc>
          <w:tcPr>
            <w:tcW w:w="559" w:type="pct"/>
            <w:tcBorders>
              <w:top w:val="nil"/>
              <w:left w:val="nil"/>
              <w:bottom w:val="single" w:color="000000" w:sz="4" w:space="0"/>
              <w:right w:val="single" w:color="000000" w:sz="4" w:space="0"/>
            </w:tcBorders>
            <w:shd w:val="clear" w:color="auto" w:fill="auto"/>
            <w:vAlign w:val="center"/>
          </w:tcPr>
          <w:p w14:paraId="1C91D0D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492" w:type="pct"/>
            <w:tcBorders>
              <w:top w:val="nil"/>
              <w:left w:val="nil"/>
              <w:bottom w:val="single" w:color="000000" w:sz="4" w:space="0"/>
              <w:right w:val="single" w:color="000000" w:sz="4" w:space="0"/>
            </w:tcBorders>
            <w:shd w:val="clear" w:color="auto" w:fill="auto"/>
            <w:vAlign w:val="center"/>
          </w:tcPr>
          <w:p w14:paraId="5FFD81D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028" w:type="pct"/>
            <w:tcBorders>
              <w:top w:val="nil"/>
              <w:left w:val="nil"/>
              <w:bottom w:val="single" w:color="000000" w:sz="4" w:space="0"/>
              <w:right w:val="single" w:color="000000" w:sz="4" w:space="0"/>
            </w:tcBorders>
            <w:shd w:val="clear" w:color="auto" w:fill="auto"/>
            <w:vAlign w:val="center"/>
          </w:tcPr>
          <w:p w14:paraId="1D8FC7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社区矫正成本</w:t>
            </w:r>
          </w:p>
        </w:tc>
        <w:tc>
          <w:tcPr>
            <w:tcW w:w="176" w:type="pct"/>
            <w:tcBorders>
              <w:top w:val="nil"/>
              <w:left w:val="nil"/>
              <w:bottom w:val="single" w:color="000000" w:sz="4" w:space="0"/>
              <w:right w:val="single" w:color="000000" w:sz="4" w:space="0"/>
            </w:tcBorders>
            <w:shd w:val="clear" w:color="auto" w:fill="auto"/>
            <w:vAlign w:val="center"/>
          </w:tcPr>
          <w:p w14:paraId="73E4A79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5" w:type="pct"/>
            <w:tcBorders>
              <w:top w:val="nil"/>
              <w:left w:val="nil"/>
              <w:bottom w:val="single" w:color="000000" w:sz="4" w:space="0"/>
              <w:right w:val="single" w:color="000000" w:sz="4" w:space="0"/>
            </w:tcBorders>
            <w:shd w:val="clear" w:color="auto" w:fill="auto"/>
            <w:vAlign w:val="center"/>
          </w:tcPr>
          <w:p w14:paraId="27DAB81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30</w:t>
            </w:r>
          </w:p>
        </w:tc>
        <w:tc>
          <w:tcPr>
            <w:tcW w:w="176" w:type="pct"/>
            <w:tcBorders>
              <w:top w:val="nil"/>
              <w:left w:val="nil"/>
              <w:bottom w:val="single" w:color="000000" w:sz="4" w:space="0"/>
              <w:right w:val="single" w:color="000000" w:sz="4" w:space="0"/>
            </w:tcBorders>
            <w:shd w:val="clear" w:color="auto" w:fill="auto"/>
            <w:vAlign w:val="center"/>
          </w:tcPr>
          <w:p w14:paraId="2D21685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万元</w:t>
            </w:r>
          </w:p>
        </w:tc>
        <w:tc>
          <w:tcPr>
            <w:tcW w:w="379" w:type="pct"/>
            <w:tcBorders>
              <w:top w:val="nil"/>
              <w:left w:val="nil"/>
              <w:bottom w:val="single" w:color="000000" w:sz="4" w:space="0"/>
              <w:right w:val="single" w:color="000000" w:sz="4" w:space="0"/>
            </w:tcBorders>
            <w:shd w:val="clear" w:color="auto" w:fill="auto"/>
            <w:vAlign w:val="center"/>
          </w:tcPr>
          <w:p w14:paraId="3871CDE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24.53</w:t>
            </w:r>
          </w:p>
        </w:tc>
        <w:tc>
          <w:tcPr>
            <w:tcW w:w="177" w:type="pct"/>
            <w:tcBorders>
              <w:top w:val="nil"/>
              <w:left w:val="nil"/>
              <w:bottom w:val="single" w:color="000000" w:sz="4" w:space="0"/>
              <w:right w:val="single" w:color="000000" w:sz="4" w:space="0"/>
            </w:tcBorders>
            <w:shd w:val="clear" w:color="auto" w:fill="auto"/>
            <w:vAlign w:val="center"/>
          </w:tcPr>
          <w:p w14:paraId="4BAD258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257" w:type="pct"/>
            <w:tcBorders>
              <w:top w:val="nil"/>
              <w:left w:val="nil"/>
              <w:bottom w:val="single" w:color="000000" w:sz="4" w:space="0"/>
              <w:right w:val="single" w:color="000000" w:sz="4" w:space="0"/>
            </w:tcBorders>
            <w:shd w:val="clear" w:color="auto" w:fill="auto"/>
            <w:vAlign w:val="center"/>
          </w:tcPr>
          <w:p w14:paraId="51CB630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995" w:type="pct"/>
            <w:tcBorders>
              <w:top w:val="nil"/>
              <w:left w:val="nil"/>
              <w:bottom w:val="single" w:color="000000" w:sz="4" w:space="0"/>
              <w:right w:val="single" w:color="000000" w:sz="4" w:space="0"/>
            </w:tcBorders>
            <w:shd w:val="clear" w:color="auto" w:fill="auto"/>
            <w:vAlign w:val="center"/>
          </w:tcPr>
          <w:p w14:paraId="41E269F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5F5CA5F">
        <w:tblPrEx>
          <w:tblCellMar>
            <w:top w:w="0" w:type="dxa"/>
            <w:left w:w="108" w:type="dxa"/>
            <w:bottom w:w="0" w:type="dxa"/>
            <w:right w:w="108" w:type="dxa"/>
          </w:tblCellMar>
        </w:tblPrEx>
        <w:trPr>
          <w:trHeight w:val="285"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2C3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559" w:type="pct"/>
            <w:tcBorders>
              <w:top w:val="nil"/>
              <w:left w:val="nil"/>
              <w:bottom w:val="single" w:color="000000" w:sz="4" w:space="0"/>
              <w:right w:val="single" w:color="000000" w:sz="4" w:space="0"/>
            </w:tcBorders>
            <w:shd w:val="clear" w:color="auto" w:fill="auto"/>
            <w:vAlign w:val="center"/>
          </w:tcPr>
          <w:p w14:paraId="0606412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92" w:type="pct"/>
            <w:tcBorders>
              <w:top w:val="nil"/>
              <w:left w:val="nil"/>
              <w:bottom w:val="single" w:color="000000" w:sz="4" w:space="0"/>
              <w:right w:val="single" w:color="000000" w:sz="4" w:space="0"/>
            </w:tcBorders>
            <w:shd w:val="clear" w:color="auto" w:fill="auto"/>
            <w:vAlign w:val="center"/>
          </w:tcPr>
          <w:p w14:paraId="70A83CA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28" w:type="pct"/>
            <w:tcBorders>
              <w:top w:val="nil"/>
              <w:left w:val="nil"/>
              <w:bottom w:val="single" w:color="000000" w:sz="4" w:space="0"/>
              <w:right w:val="single" w:color="000000" w:sz="4" w:space="0"/>
            </w:tcBorders>
            <w:shd w:val="clear" w:color="auto" w:fill="auto"/>
            <w:vAlign w:val="center"/>
          </w:tcPr>
          <w:p w14:paraId="776EC08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153FEBA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65" w:type="pct"/>
            <w:tcBorders>
              <w:top w:val="nil"/>
              <w:left w:val="nil"/>
              <w:bottom w:val="single" w:color="000000" w:sz="4" w:space="0"/>
              <w:right w:val="single" w:color="000000" w:sz="4" w:space="0"/>
            </w:tcBorders>
            <w:shd w:val="clear" w:color="auto" w:fill="auto"/>
            <w:vAlign w:val="center"/>
          </w:tcPr>
          <w:p w14:paraId="4E88B13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6" w:type="pct"/>
            <w:tcBorders>
              <w:top w:val="nil"/>
              <w:left w:val="nil"/>
              <w:bottom w:val="single" w:color="000000" w:sz="4" w:space="0"/>
              <w:right w:val="single" w:color="000000" w:sz="4" w:space="0"/>
            </w:tcBorders>
            <w:shd w:val="clear" w:color="auto" w:fill="auto"/>
            <w:vAlign w:val="center"/>
          </w:tcPr>
          <w:p w14:paraId="1276351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379" w:type="pct"/>
            <w:tcBorders>
              <w:top w:val="nil"/>
              <w:left w:val="nil"/>
              <w:bottom w:val="single" w:color="000000" w:sz="4" w:space="0"/>
              <w:right w:val="single" w:color="000000" w:sz="4" w:space="0"/>
            </w:tcBorders>
            <w:shd w:val="clear" w:color="auto" w:fill="auto"/>
            <w:vAlign w:val="center"/>
          </w:tcPr>
          <w:p w14:paraId="05420C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3883061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57" w:type="pct"/>
            <w:tcBorders>
              <w:top w:val="nil"/>
              <w:left w:val="nil"/>
              <w:bottom w:val="single" w:color="000000" w:sz="4" w:space="0"/>
              <w:right w:val="single" w:color="000000" w:sz="4" w:space="0"/>
            </w:tcBorders>
            <w:shd w:val="clear" w:color="auto" w:fill="auto"/>
            <w:vAlign w:val="center"/>
          </w:tcPr>
          <w:p w14:paraId="270CAE1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97.177</w:t>
            </w:r>
          </w:p>
        </w:tc>
        <w:tc>
          <w:tcPr>
            <w:tcW w:w="995" w:type="pct"/>
            <w:tcBorders>
              <w:top w:val="nil"/>
              <w:left w:val="nil"/>
              <w:bottom w:val="single" w:color="000000" w:sz="4" w:space="0"/>
              <w:right w:val="single" w:color="000000" w:sz="4" w:space="0"/>
            </w:tcBorders>
            <w:shd w:val="clear" w:color="auto" w:fill="auto"/>
            <w:vAlign w:val="center"/>
          </w:tcPr>
          <w:p w14:paraId="55ABB4F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52DC1F97">
        <w:tblPrEx>
          <w:tblCellMar>
            <w:top w:w="0" w:type="dxa"/>
            <w:left w:w="108" w:type="dxa"/>
            <w:bottom w:w="0" w:type="dxa"/>
            <w:right w:w="108" w:type="dxa"/>
          </w:tblCellMar>
        </w:tblPrEx>
        <w:trPr>
          <w:trHeight w:val="1200" w:hRule="atLeast"/>
        </w:trPr>
        <w:tc>
          <w:tcPr>
            <w:tcW w:w="198" w:type="pct"/>
            <w:tcBorders>
              <w:top w:val="nil"/>
              <w:left w:val="single" w:color="000000" w:sz="4" w:space="0"/>
              <w:bottom w:val="single" w:color="000000" w:sz="4" w:space="0"/>
              <w:right w:val="single" w:color="000000" w:sz="4" w:space="0"/>
            </w:tcBorders>
            <w:shd w:val="clear" w:color="auto" w:fill="auto"/>
            <w:vAlign w:val="center"/>
          </w:tcPr>
          <w:p w14:paraId="0DC637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802" w:type="pct"/>
            <w:gridSpan w:val="10"/>
            <w:tcBorders>
              <w:top w:val="single" w:color="000000" w:sz="4" w:space="0"/>
              <w:left w:val="nil"/>
              <w:bottom w:val="single" w:color="000000" w:sz="4" w:space="0"/>
              <w:right w:val="single" w:color="000000" w:sz="4" w:space="0"/>
            </w:tcBorders>
            <w:shd w:val="clear" w:color="auto" w:fill="auto"/>
            <w:vAlign w:val="center"/>
          </w:tcPr>
          <w:p w14:paraId="5AA580C4">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预算执行率一般，绩效评价得分“97.18”，评价等级为“优”。</w:t>
            </w:r>
          </w:p>
        </w:tc>
      </w:tr>
      <w:tr w14:paraId="152F7168">
        <w:tblPrEx>
          <w:tblCellMar>
            <w:top w:w="0" w:type="dxa"/>
            <w:left w:w="108" w:type="dxa"/>
            <w:bottom w:w="0" w:type="dxa"/>
            <w:right w:w="108" w:type="dxa"/>
          </w:tblCellMar>
        </w:tblPrEx>
        <w:trPr>
          <w:trHeight w:val="942" w:hRule="atLeast"/>
        </w:trPr>
        <w:tc>
          <w:tcPr>
            <w:tcW w:w="198" w:type="pct"/>
            <w:tcBorders>
              <w:top w:val="nil"/>
              <w:left w:val="single" w:color="000000" w:sz="4" w:space="0"/>
              <w:bottom w:val="single" w:color="000000" w:sz="4" w:space="0"/>
              <w:right w:val="single" w:color="000000" w:sz="4" w:space="0"/>
            </w:tcBorders>
            <w:shd w:val="clear" w:color="auto" w:fill="auto"/>
            <w:vAlign w:val="center"/>
          </w:tcPr>
          <w:p w14:paraId="6B0AB1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802" w:type="pct"/>
            <w:gridSpan w:val="10"/>
            <w:tcBorders>
              <w:top w:val="single" w:color="000000" w:sz="4" w:space="0"/>
              <w:left w:val="nil"/>
              <w:bottom w:val="single" w:color="000000" w:sz="4" w:space="0"/>
              <w:right w:val="single" w:color="000000" w:sz="4" w:space="0"/>
            </w:tcBorders>
            <w:shd w:val="clear" w:color="auto" w:fill="auto"/>
            <w:vAlign w:val="center"/>
          </w:tcPr>
          <w:p w14:paraId="58532CDB">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一是人员配备不足。今年4月以来，消减了10名辅助人员致使股室及各所工作人员配备不足，导致社矫股工作开展难度激增。二是对工作人员的教育培训力度不够，工作人员对法律法规和业务技能的掌握不够全面和熟悉。三是部门沟通协调不够畅通，个别工作推进进度较慢。</w:t>
            </w:r>
          </w:p>
        </w:tc>
      </w:tr>
      <w:tr w14:paraId="51F7F27F">
        <w:tblPrEx>
          <w:tblCellMar>
            <w:top w:w="0" w:type="dxa"/>
            <w:left w:w="108" w:type="dxa"/>
            <w:bottom w:w="0" w:type="dxa"/>
            <w:right w:w="108" w:type="dxa"/>
          </w:tblCellMar>
        </w:tblPrEx>
        <w:trPr>
          <w:trHeight w:val="1242" w:hRule="atLeast"/>
        </w:trPr>
        <w:tc>
          <w:tcPr>
            <w:tcW w:w="198" w:type="pct"/>
            <w:tcBorders>
              <w:top w:val="nil"/>
              <w:left w:val="single" w:color="000000" w:sz="4" w:space="0"/>
              <w:bottom w:val="single" w:color="000000" w:sz="4" w:space="0"/>
              <w:right w:val="single" w:color="000000" w:sz="4" w:space="0"/>
            </w:tcBorders>
            <w:shd w:val="clear" w:color="auto" w:fill="auto"/>
            <w:vAlign w:val="center"/>
          </w:tcPr>
          <w:p w14:paraId="0310467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802" w:type="pct"/>
            <w:gridSpan w:val="10"/>
            <w:tcBorders>
              <w:top w:val="single" w:color="000000" w:sz="4" w:space="0"/>
              <w:left w:val="nil"/>
              <w:bottom w:val="single" w:color="000000" w:sz="4" w:space="0"/>
              <w:right w:val="single" w:color="000000" w:sz="4" w:space="0"/>
            </w:tcBorders>
            <w:shd w:val="clear" w:color="auto" w:fill="auto"/>
            <w:vAlign w:val="center"/>
          </w:tcPr>
          <w:p w14:paraId="5098B0E7">
            <w:pPr>
              <w:widowControl/>
              <w:jc w:val="left"/>
              <w:rPr>
                <w:rFonts w:ascii="微软雅黑" w:hAnsi="微软雅黑" w:eastAsia="微软雅黑" w:cs="宋体"/>
                <w:i/>
                <w:iCs/>
                <w:color w:val="auto"/>
                <w:sz w:val="16"/>
                <w:szCs w:val="16"/>
              </w:rPr>
            </w:pPr>
            <w:r>
              <w:rPr>
                <w:rFonts w:hint="eastAsia" w:ascii="微软雅黑" w:hAnsi="微软雅黑" w:eastAsia="微软雅黑" w:cs="宋体"/>
                <w:i/>
                <w:iCs/>
                <w:color w:val="auto"/>
                <w:sz w:val="16"/>
                <w:szCs w:val="16"/>
              </w:rPr>
              <w:t>（一）筑牢队伍建设。加强工作队伍管理教育工作，强化业务培训，打造政治过硬、业务过硬、责任过硬、纪律过硬的社区矫正工作队伍。</w:t>
            </w:r>
            <w:r>
              <w:rPr>
                <w:rFonts w:hint="eastAsia" w:ascii="微软雅黑" w:hAnsi="微软雅黑" w:eastAsia="微软雅黑" w:cs="宋体"/>
                <w:i/>
                <w:iCs/>
                <w:color w:val="auto"/>
                <w:sz w:val="16"/>
                <w:szCs w:val="16"/>
              </w:rPr>
              <w:br w:type="textWrapping"/>
            </w:r>
            <w:r>
              <w:rPr>
                <w:rFonts w:hint="eastAsia" w:ascii="微软雅黑" w:hAnsi="微软雅黑" w:eastAsia="微软雅黑" w:cs="宋体"/>
                <w:i/>
                <w:iCs/>
                <w:color w:val="auto"/>
                <w:sz w:val="16"/>
                <w:szCs w:val="16"/>
              </w:rPr>
              <w:t>（二）进一步加强对司法所的检查指导。通过加强对司法所社区矫正工作的检查指导力度，对各司法所的工作情况有了更为全面的了解和掌握，收集的工作意见和建议，为日后决策部署提供了更为详尽的参考依据，使各司法所对工作存在的不足有了更为清晰的了解,更明确了自身定位和下步努力方向，有序推动工作开展。</w:t>
            </w:r>
            <w:r>
              <w:rPr>
                <w:rFonts w:hint="eastAsia" w:ascii="微软雅黑" w:hAnsi="微软雅黑" w:eastAsia="微软雅黑" w:cs="宋体"/>
                <w:i/>
                <w:iCs/>
                <w:color w:val="auto"/>
                <w:sz w:val="16"/>
                <w:szCs w:val="16"/>
              </w:rPr>
              <w:br w:type="textWrapping"/>
            </w:r>
            <w:r>
              <w:rPr>
                <w:rFonts w:hint="eastAsia" w:ascii="微软雅黑" w:hAnsi="微软雅黑" w:eastAsia="微软雅黑" w:cs="宋体"/>
                <w:i/>
                <w:iCs/>
                <w:color w:val="auto"/>
                <w:sz w:val="16"/>
                <w:szCs w:val="16"/>
              </w:rPr>
              <w:t>（三）强化部门联动。进一步健全部门联动工作机制，引导各司法所与属地的乡镇（街道）综治部门、村（社区）联动、形成工作合力，推进社区矫正工作规范化、科学化开展。</w:t>
            </w:r>
          </w:p>
        </w:tc>
      </w:tr>
      <w:tr w14:paraId="0E9BB3D7">
        <w:tblPrEx>
          <w:tblCellMar>
            <w:top w:w="0" w:type="dxa"/>
            <w:left w:w="108" w:type="dxa"/>
            <w:bottom w:w="0" w:type="dxa"/>
            <w:right w:w="108" w:type="dxa"/>
          </w:tblCellMar>
        </w:tblPrEx>
        <w:trPr>
          <w:trHeight w:val="619" w:hRule="atLeast"/>
        </w:trPr>
        <w:tc>
          <w:tcPr>
            <w:tcW w:w="2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0F46A">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w:t>
            </w:r>
            <w:bookmarkStart w:id="131" w:name="OLE_LINK59"/>
            <w:bookmarkStart w:id="132" w:name="OLE_LINK60"/>
            <w:r>
              <w:rPr>
                <w:rFonts w:ascii="Courier New" w:hAnsi="Courier New" w:eastAsia="宋体" w:cs="Courier New"/>
                <w:color w:val="auto"/>
                <w:sz w:val="18"/>
                <w:szCs w:val="18"/>
              </w:rPr>
              <w:t>顾震</w:t>
            </w:r>
            <w:bookmarkEnd w:id="131"/>
            <w:bookmarkEnd w:id="132"/>
          </w:p>
        </w:tc>
        <w:tc>
          <w:tcPr>
            <w:tcW w:w="2548" w:type="pct"/>
            <w:gridSpan w:val="6"/>
            <w:tcBorders>
              <w:top w:val="single" w:color="000000" w:sz="4" w:space="0"/>
              <w:left w:val="nil"/>
              <w:bottom w:val="single" w:color="000000" w:sz="4" w:space="0"/>
              <w:right w:val="single" w:color="000000" w:sz="4" w:space="0"/>
            </w:tcBorders>
            <w:shd w:val="clear" w:color="auto" w:fill="auto"/>
            <w:vAlign w:val="center"/>
          </w:tcPr>
          <w:p w14:paraId="28CEB4A8">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53D605A1">
      <w:pPr>
        <w:pStyle w:val="2"/>
        <w:numPr>
          <w:ilvl w:val="0"/>
          <w:numId w:val="0"/>
        </w:numPr>
        <w:ind w:left="360" w:hanging="360"/>
      </w:pPr>
    </w:p>
    <w:p w14:paraId="4F7A9E9E">
      <w:pPr>
        <w:pStyle w:val="2"/>
        <w:numPr>
          <w:ilvl w:val="0"/>
          <w:numId w:val="0"/>
        </w:numPr>
        <w:ind w:left="360" w:hanging="360"/>
      </w:pPr>
    </w:p>
    <w:p w14:paraId="667C3D70">
      <w:pPr>
        <w:pStyle w:val="2"/>
        <w:numPr>
          <w:ilvl w:val="0"/>
          <w:numId w:val="0"/>
        </w:numPr>
        <w:ind w:left="360" w:hanging="360"/>
      </w:pPr>
    </w:p>
    <w:p w14:paraId="2854B36C">
      <w:pPr>
        <w:pStyle w:val="2"/>
        <w:numPr>
          <w:ilvl w:val="0"/>
          <w:numId w:val="0"/>
        </w:numPr>
        <w:ind w:left="360" w:hanging="360"/>
      </w:pPr>
    </w:p>
    <w:p w14:paraId="544D6A1E">
      <w:pPr>
        <w:pStyle w:val="2"/>
        <w:numPr>
          <w:ilvl w:val="0"/>
          <w:numId w:val="0"/>
        </w:numPr>
        <w:ind w:left="360" w:hanging="360"/>
      </w:pPr>
    </w:p>
    <w:p w14:paraId="4A44DB41">
      <w:pPr>
        <w:pStyle w:val="2"/>
        <w:numPr>
          <w:ilvl w:val="0"/>
          <w:numId w:val="0"/>
        </w:numPr>
        <w:ind w:left="360" w:hanging="360"/>
      </w:pPr>
    </w:p>
    <w:tbl>
      <w:tblPr>
        <w:tblStyle w:val="36"/>
        <w:tblW w:w="5000" w:type="pct"/>
        <w:tblInd w:w="0" w:type="dxa"/>
        <w:tblLayout w:type="autofit"/>
        <w:tblCellMar>
          <w:top w:w="0" w:type="dxa"/>
          <w:left w:w="108" w:type="dxa"/>
          <w:bottom w:w="0" w:type="dxa"/>
          <w:right w:w="108" w:type="dxa"/>
        </w:tblCellMar>
      </w:tblPr>
      <w:tblGrid>
        <w:gridCol w:w="576"/>
        <w:gridCol w:w="951"/>
        <w:gridCol w:w="821"/>
        <w:gridCol w:w="1225"/>
        <w:gridCol w:w="396"/>
        <w:gridCol w:w="963"/>
        <w:gridCol w:w="756"/>
        <w:gridCol w:w="666"/>
        <w:gridCol w:w="486"/>
        <w:gridCol w:w="666"/>
        <w:gridCol w:w="1736"/>
      </w:tblGrid>
      <w:tr w14:paraId="7566DB76">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9AFA5B0">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4CE3AAA5">
        <w:tblPrEx>
          <w:tblCellMar>
            <w:top w:w="0" w:type="dxa"/>
            <w:left w:w="108" w:type="dxa"/>
            <w:bottom w:w="0" w:type="dxa"/>
            <w:right w:w="108" w:type="dxa"/>
          </w:tblCellMar>
        </w:tblPrEx>
        <w:trPr>
          <w:trHeight w:val="559" w:hRule="atLeast"/>
        </w:trPr>
        <w:tc>
          <w:tcPr>
            <w:tcW w:w="801" w:type="pct"/>
            <w:gridSpan w:val="2"/>
            <w:tcBorders>
              <w:top w:val="nil"/>
              <w:left w:val="single" w:color="auto" w:sz="4" w:space="0"/>
              <w:bottom w:val="single" w:color="000000" w:sz="4" w:space="0"/>
              <w:right w:val="single" w:color="auto" w:sz="4" w:space="0"/>
            </w:tcBorders>
            <w:shd w:val="clear" w:color="auto" w:fill="auto"/>
            <w:vAlign w:val="center"/>
          </w:tcPr>
          <w:p w14:paraId="344B2C0F">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199" w:type="pct"/>
            <w:gridSpan w:val="9"/>
            <w:tcBorders>
              <w:top w:val="nil"/>
              <w:left w:val="nil"/>
              <w:bottom w:val="single" w:color="000000" w:sz="4" w:space="0"/>
              <w:right w:val="single" w:color="auto" w:sz="4" w:space="0"/>
            </w:tcBorders>
            <w:shd w:val="clear" w:color="auto" w:fill="auto"/>
            <w:vAlign w:val="center"/>
          </w:tcPr>
          <w:p w14:paraId="57852E59">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51090422T000000280590-五大调解及调解员调解案件补贴</w:t>
            </w:r>
          </w:p>
        </w:tc>
      </w:tr>
      <w:tr w14:paraId="715F5E63">
        <w:tblPrEx>
          <w:tblCellMar>
            <w:top w:w="0" w:type="dxa"/>
            <w:left w:w="108" w:type="dxa"/>
            <w:bottom w:w="0" w:type="dxa"/>
            <w:right w:w="108" w:type="dxa"/>
          </w:tblCellMar>
        </w:tblPrEx>
        <w:trPr>
          <w:trHeight w:val="514" w:hRule="atLeast"/>
        </w:trPr>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F6582">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316" w:type="pct"/>
            <w:gridSpan w:val="5"/>
            <w:tcBorders>
              <w:top w:val="single" w:color="000000" w:sz="4" w:space="0"/>
              <w:left w:val="nil"/>
              <w:bottom w:val="single" w:color="000000" w:sz="4" w:space="0"/>
              <w:right w:val="single" w:color="000000" w:sz="4" w:space="0"/>
            </w:tcBorders>
            <w:shd w:val="clear" w:color="auto" w:fill="auto"/>
            <w:vAlign w:val="center"/>
          </w:tcPr>
          <w:p w14:paraId="7E273E84">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402" w:type="pct"/>
            <w:tcBorders>
              <w:top w:val="nil"/>
              <w:left w:val="nil"/>
              <w:bottom w:val="nil"/>
              <w:right w:val="nil"/>
            </w:tcBorders>
            <w:shd w:val="clear" w:color="auto" w:fill="auto"/>
            <w:vAlign w:val="center"/>
          </w:tcPr>
          <w:p w14:paraId="1BBF1B6F">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B877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71C3542C">
        <w:tblPrEx>
          <w:tblCellMar>
            <w:top w:w="0" w:type="dxa"/>
            <w:left w:w="108" w:type="dxa"/>
            <w:bottom w:w="0" w:type="dxa"/>
            <w:right w:w="108" w:type="dxa"/>
          </w:tblCellMar>
        </w:tblPrEx>
        <w:trPr>
          <w:trHeight w:val="360"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250519A2">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590" w:type="pct"/>
            <w:vMerge w:val="restart"/>
            <w:tcBorders>
              <w:top w:val="nil"/>
              <w:left w:val="single" w:color="000000" w:sz="4" w:space="0"/>
              <w:bottom w:val="single" w:color="000000" w:sz="4" w:space="0"/>
              <w:right w:val="single" w:color="000000" w:sz="4" w:space="0"/>
            </w:tcBorders>
            <w:shd w:val="clear" w:color="auto" w:fill="auto"/>
            <w:vAlign w:val="center"/>
          </w:tcPr>
          <w:p w14:paraId="22B1978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316" w:type="pct"/>
            <w:gridSpan w:val="5"/>
            <w:tcBorders>
              <w:top w:val="single" w:color="000000" w:sz="4" w:space="0"/>
              <w:left w:val="nil"/>
              <w:bottom w:val="single" w:color="000000" w:sz="4" w:space="0"/>
              <w:right w:val="single" w:color="000000" w:sz="4" w:space="0"/>
            </w:tcBorders>
            <w:shd w:val="clear" w:color="auto" w:fill="auto"/>
            <w:vAlign w:val="center"/>
          </w:tcPr>
          <w:p w14:paraId="0C6AD74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882" w:type="pct"/>
            <w:gridSpan w:val="4"/>
            <w:tcBorders>
              <w:top w:val="single" w:color="000000" w:sz="4" w:space="0"/>
              <w:left w:val="nil"/>
              <w:bottom w:val="single" w:color="000000" w:sz="4" w:space="0"/>
              <w:right w:val="single" w:color="000000" w:sz="4" w:space="0"/>
            </w:tcBorders>
            <w:shd w:val="clear" w:color="auto" w:fill="auto"/>
            <w:vAlign w:val="center"/>
          </w:tcPr>
          <w:p w14:paraId="246D747F">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1CEE5E7D">
        <w:tblPrEx>
          <w:tblCellMar>
            <w:top w:w="0" w:type="dxa"/>
            <w:left w:w="108" w:type="dxa"/>
            <w:bottom w:w="0" w:type="dxa"/>
            <w:right w:w="108" w:type="dxa"/>
          </w:tblCellMar>
        </w:tblPrEx>
        <w:trPr>
          <w:trHeight w:val="2682" w:hRule="atLeast"/>
        </w:trPr>
        <w:tc>
          <w:tcPr>
            <w:tcW w:w="211" w:type="pct"/>
            <w:vMerge w:val="continue"/>
            <w:tcBorders>
              <w:top w:val="nil"/>
              <w:left w:val="single" w:color="000000" w:sz="4" w:space="0"/>
              <w:bottom w:val="single" w:color="000000" w:sz="4" w:space="0"/>
              <w:right w:val="single" w:color="000000" w:sz="4" w:space="0"/>
            </w:tcBorders>
            <w:vAlign w:val="center"/>
          </w:tcPr>
          <w:p w14:paraId="39AE3D07">
            <w:pPr>
              <w:widowControl/>
              <w:jc w:val="left"/>
              <w:rPr>
                <w:rFonts w:ascii="宋体" w:hAnsi="宋体" w:eastAsia="宋体" w:cs="宋体"/>
                <w:color w:val="000000"/>
                <w:sz w:val="18"/>
                <w:szCs w:val="18"/>
              </w:rPr>
            </w:pPr>
          </w:p>
        </w:tc>
        <w:tc>
          <w:tcPr>
            <w:tcW w:w="590" w:type="pct"/>
            <w:vMerge w:val="continue"/>
            <w:tcBorders>
              <w:top w:val="nil"/>
              <w:left w:val="single" w:color="000000" w:sz="4" w:space="0"/>
              <w:bottom w:val="single" w:color="000000" w:sz="4" w:space="0"/>
              <w:right w:val="single" w:color="000000" w:sz="4" w:space="0"/>
            </w:tcBorders>
            <w:vAlign w:val="center"/>
          </w:tcPr>
          <w:p w14:paraId="7E140E28">
            <w:pPr>
              <w:widowControl/>
              <w:jc w:val="left"/>
              <w:rPr>
                <w:rFonts w:ascii="宋体" w:hAnsi="宋体" w:eastAsia="宋体" w:cs="宋体"/>
                <w:color w:val="000000"/>
                <w:sz w:val="18"/>
                <w:szCs w:val="18"/>
              </w:rPr>
            </w:pPr>
          </w:p>
        </w:tc>
        <w:tc>
          <w:tcPr>
            <w:tcW w:w="2316" w:type="pct"/>
            <w:gridSpan w:val="5"/>
            <w:tcBorders>
              <w:top w:val="single" w:color="000000" w:sz="4" w:space="0"/>
              <w:left w:val="nil"/>
              <w:bottom w:val="single" w:color="000000" w:sz="4" w:space="0"/>
              <w:right w:val="single" w:color="000000" w:sz="4" w:space="0"/>
            </w:tcBorders>
            <w:shd w:val="clear" w:color="auto" w:fill="auto"/>
            <w:vAlign w:val="center"/>
          </w:tcPr>
          <w:p w14:paraId="00AF86BE">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根据</w:t>
            </w:r>
            <w:r>
              <w:rPr>
                <w:rFonts w:hint="eastAsia" w:ascii="宋体" w:hAnsi="宋体" w:eastAsia="宋体" w:cs="宋体"/>
                <w:color w:val="000000"/>
                <w:sz w:val="18"/>
                <w:szCs w:val="18"/>
                <w:lang w:eastAsia="zh-CN"/>
              </w:rPr>
              <w:t>《中华人民共和国人民调解法》</w:t>
            </w:r>
            <w:r>
              <w:rPr>
                <w:rFonts w:hint="eastAsia" w:ascii="宋体" w:hAnsi="宋体" w:eastAsia="宋体" w:cs="宋体"/>
                <w:color w:val="000000"/>
                <w:sz w:val="18"/>
                <w:szCs w:val="18"/>
              </w:rPr>
              <w:t>第一章第六条，县级以上地方人民政府对人民调解工作所需经费应当给予必要的支持和保障，对有突出贡献的人民调解委员会和人民调解员按照国家规定给予表彰奖励。经费主要用于开展全方位的矛盾纠纷排查调处活动；全面实施五大调解，充分利用公安、检察院、法院、司法局、信访局职能工作，有效整合诉调、公调、检调、访调、人调资源，共同做好矛盾纠纷化解工作，实现矛盾不上交，将矛盾化解在基层。</w:t>
            </w:r>
          </w:p>
        </w:tc>
        <w:tc>
          <w:tcPr>
            <w:tcW w:w="1882" w:type="pct"/>
            <w:gridSpan w:val="4"/>
            <w:tcBorders>
              <w:top w:val="single" w:color="000000" w:sz="4" w:space="0"/>
              <w:left w:val="nil"/>
              <w:bottom w:val="single" w:color="000000" w:sz="4" w:space="0"/>
              <w:right w:val="single" w:color="000000" w:sz="4" w:space="0"/>
            </w:tcBorders>
            <w:shd w:val="clear" w:color="auto" w:fill="auto"/>
            <w:vAlign w:val="center"/>
          </w:tcPr>
          <w:p w14:paraId="0320348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打造“枫桥经验”安居品牌。创建“黄诚调解室”“范杰调解室”2个个人品牌调解室，对全区16个行专专职调解员进行业务培训，助力基层治理提质增效，全年司法所成功调解各类矛盾纠纷890余件。</w:t>
            </w:r>
          </w:p>
        </w:tc>
      </w:tr>
      <w:tr w14:paraId="7660C656">
        <w:tblPrEx>
          <w:tblCellMar>
            <w:top w:w="0" w:type="dxa"/>
            <w:left w:w="108" w:type="dxa"/>
            <w:bottom w:w="0" w:type="dxa"/>
            <w:right w:w="108" w:type="dxa"/>
          </w:tblCellMar>
        </w:tblPrEx>
        <w:trPr>
          <w:trHeight w:val="1140" w:hRule="atLeast"/>
        </w:trPr>
        <w:tc>
          <w:tcPr>
            <w:tcW w:w="211" w:type="pct"/>
            <w:vMerge w:val="continue"/>
            <w:tcBorders>
              <w:top w:val="nil"/>
              <w:left w:val="single" w:color="000000" w:sz="4" w:space="0"/>
              <w:bottom w:val="single" w:color="000000" w:sz="4" w:space="0"/>
              <w:right w:val="single" w:color="000000" w:sz="4" w:space="0"/>
            </w:tcBorders>
            <w:vAlign w:val="center"/>
          </w:tcPr>
          <w:p w14:paraId="03B3508B">
            <w:pPr>
              <w:widowControl/>
              <w:jc w:val="left"/>
              <w:rPr>
                <w:rFonts w:ascii="宋体" w:hAnsi="宋体" w:eastAsia="宋体" w:cs="宋体"/>
                <w:color w:val="000000"/>
                <w:sz w:val="18"/>
                <w:szCs w:val="18"/>
              </w:rPr>
            </w:pPr>
          </w:p>
        </w:tc>
        <w:tc>
          <w:tcPr>
            <w:tcW w:w="590" w:type="pct"/>
            <w:tcBorders>
              <w:top w:val="nil"/>
              <w:left w:val="nil"/>
              <w:bottom w:val="single" w:color="000000" w:sz="4" w:space="0"/>
              <w:right w:val="single" w:color="000000" w:sz="4" w:space="0"/>
            </w:tcBorders>
            <w:shd w:val="clear" w:color="auto" w:fill="auto"/>
            <w:vAlign w:val="center"/>
          </w:tcPr>
          <w:p w14:paraId="107D8027">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199" w:type="pct"/>
            <w:gridSpan w:val="9"/>
            <w:tcBorders>
              <w:top w:val="single" w:color="000000" w:sz="4" w:space="0"/>
              <w:left w:val="nil"/>
              <w:bottom w:val="single" w:color="000000" w:sz="4" w:space="0"/>
              <w:right w:val="single" w:color="000000" w:sz="4" w:space="0"/>
            </w:tcBorders>
            <w:shd w:val="clear" w:color="auto" w:fill="auto"/>
            <w:vAlign w:val="center"/>
          </w:tcPr>
          <w:p w14:paraId="2D0D4EE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打造“枫桥经验”安居品牌。创建“黄诚调解室”“范杰调解室”2个个人品牌调解室，对全区16个行专专职调解员进行业务培训，助力基层治理提质增效，全年司法所成功调解各类矛盾纠纷890余件。</w:t>
            </w:r>
          </w:p>
        </w:tc>
      </w:tr>
      <w:tr w14:paraId="393F6A3A">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6D658EC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590" w:type="pct"/>
            <w:tcBorders>
              <w:top w:val="nil"/>
              <w:left w:val="nil"/>
              <w:bottom w:val="single" w:color="000000" w:sz="4" w:space="0"/>
              <w:right w:val="single" w:color="000000" w:sz="4" w:space="0"/>
            </w:tcBorders>
            <w:shd w:val="clear" w:color="auto" w:fill="auto"/>
            <w:vAlign w:val="center"/>
          </w:tcPr>
          <w:p w14:paraId="3D758E1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520" w:type="pct"/>
            <w:tcBorders>
              <w:top w:val="nil"/>
              <w:left w:val="nil"/>
              <w:bottom w:val="single" w:color="000000" w:sz="4" w:space="0"/>
              <w:right w:val="single" w:color="000000" w:sz="4" w:space="0"/>
            </w:tcBorders>
            <w:shd w:val="clear" w:color="auto" w:fill="auto"/>
            <w:vAlign w:val="center"/>
          </w:tcPr>
          <w:p w14:paraId="0BDF4AC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738" w:type="pct"/>
            <w:tcBorders>
              <w:top w:val="nil"/>
              <w:left w:val="nil"/>
              <w:bottom w:val="single" w:color="000000" w:sz="4" w:space="0"/>
              <w:right w:val="single" w:color="000000" w:sz="4" w:space="0"/>
            </w:tcBorders>
            <w:shd w:val="clear" w:color="auto" w:fill="auto"/>
            <w:vAlign w:val="center"/>
          </w:tcPr>
          <w:p w14:paraId="0767B6F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330182B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402" w:type="pct"/>
            <w:tcBorders>
              <w:top w:val="nil"/>
              <w:left w:val="nil"/>
              <w:bottom w:val="single" w:color="000000" w:sz="4" w:space="0"/>
              <w:right w:val="single" w:color="000000" w:sz="4" w:space="0"/>
            </w:tcBorders>
            <w:shd w:val="clear" w:color="auto" w:fill="auto"/>
            <w:vAlign w:val="center"/>
          </w:tcPr>
          <w:p w14:paraId="430566B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89" w:type="pct"/>
            <w:tcBorders>
              <w:top w:val="nil"/>
              <w:left w:val="nil"/>
              <w:bottom w:val="single" w:color="000000" w:sz="4" w:space="0"/>
              <w:right w:val="single" w:color="000000" w:sz="4" w:space="0"/>
            </w:tcBorders>
            <w:shd w:val="clear" w:color="auto" w:fill="auto"/>
            <w:vAlign w:val="center"/>
          </w:tcPr>
          <w:p w14:paraId="5AE77C8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43" w:type="pct"/>
            <w:tcBorders>
              <w:top w:val="nil"/>
              <w:left w:val="nil"/>
              <w:bottom w:val="single" w:color="000000" w:sz="4" w:space="0"/>
              <w:right w:val="single" w:color="000000" w:sz="4" w:space="0"/>
            </w:tcBorders>
            <w:shd w:val="clear" w:color="auto" w:fill="auto"/>
            <w:vAlign w:val="center"/>
          </w:tcPr>
          <w:p w14:paraId="7883C78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49" w:type="pct"/>
            <w:tcBorders>
              <w:top w:val="nil"/>
              <w:left w:val="nil"/>
              <w:bottom w:val="single" w:color="000000" w:sz="4" w:space="0"/>
              <w:right w:val="single" w:color="000000" w:sz="4" w:space="0"/>
            </w:tcBorders>
            <w:shd w:val="clear" w:color="auto" w:fill="auto"/>
            <w:vAlign w:val="center"/>
          </w:tcPr>
          <w:p w14:paraId="5C9A723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692ED983">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53B33B68">
            <w:pPr>
              <w:widowControl/>
              <w:jc w:val="left"/>
              <w:rPr>
                <w:rFonts w:ascii="宋体" w:hAnsi="宋体" w:eastAsia="宋体" w:cs="宋体"/>
                <w:color w:val="000000"/>
                <w:sz w:val="18"/>
                <w:szCs w:val="18"/>
              </w:rPr>
            </w:pPr>
          </w:p>
        </w:tc>
        <w:tc>
          <w:tcPr>
            <w:tcW w:w="590" w:type="pct"/>
            <w:tcBorders>
              <w:top w:val="nil"/>
              <w:left w:val="nil"/>
              <w:bottom w:val="single" w:color="000000" w:sz="4" w:space="0"/>
              <w:right w:val="single" w:color="000000" w:sz="4" w:space="0"/>
            </w:tcBorders>
            <w:shd w:val="clear" w:color="auto" w:fill="auto"/>
            <w:vAlign w:val="center"/>
          </w:tcPr>
          <w:p w14:paraId="23680BD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520" w:type="pct"/>
            <w:tcBorders>
              <w:top w:val="nil"/>
              <w:left w:val="nil"/>
              <w:bottom w:val="single" w:color="000000" w:sz="4" w:space="0"/>
              <w:right w:val="single" w:color="000000" w:sz="4" w:space="0"/>
            </w:tcBorders>
            <w:shd w:val="clear" w:color="auto" w:fill="auto"/>
            <w:vAlign w:val="center"/>
          </w:tcPr>
          <w:p w14:paraId="028789D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4.00</w:t>
            </w:r>
          </w:p>
        </w:tc>
        <w:tc>
          <w:tcPr>
            <w:tcW w:w="738" w:type="pct"/>
            <w:tcBorders>
              <w:top w:val="nil"/>
              <w:left w:val="nil"/>
              <w:bottom w:val="single" w:color="000000" w:sz="4" w:space="0"/>
              <w:right w:val="single" w:color="000000" w:sz="4" w:space="0"/>
            </w:tcBorders>
            <w:shd w:val="clear" w:color="auto" w:fill="auto"/>
            <w:vAlign w:val="center"/>
          </w:tcPr>
          <w:p w14:paraId="53F8069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0.23</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4062B40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0.23</w:t>
            </w:r>
          </w:p>
        </w:tc>
        <w:tc>
          <w:tcPr>
            <w:tcW w:w="402" w:type="pct"/>
            <w:tcBorders>
              <w:top w:val="nil"/>
              <w:left w:val="nil"/>
              <w:bottom w:val="single" w:color="000000" w:sz="4" w:space="0"/>
              <w:right w:val="single" w:color="000000" w:sz="4" w:space="0"/>
            </w:tcBorders>
            <w:shd w:val="clear" w:color="auto" w:fill="auto"/>
            <w:vAlign w:val="center"/>
          </w:tcPr>
          <w:p w14:paraId="75AB72B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5.75%</w:t>
            </w:r>
          </w:p>
        </w:tc>
        <w:tc>
          <w:tcPr>
            <w:tcW w:w="189" w:type="pct"/>
            <w:tcBorders>
              <w:top w:val="nil"/>
              <w:left w:val="nil"/>
              <w:bottom w:val="single" w:color="000000" w:sz="4" w:space="0"/>
              <w:right w:val="single" w:color="000000" w:sz="4" w:space="0"/>
            </w:tcBorders>
            <w:shd w:val="clear" w:color="auto" w:fill="auto"/>
            <w:vAlign w:val="center"/>
          </w:tcPr>
          <w:p w14:paraId="382DA32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43" w:type="pct"/>
            <w:tcBorders>
              <w:top w:val="nil"/>
              <w:left w:val="nil"/>
              <w:bottom w:val="single" w:color="000000" w:sz="4" w:space="0"/>
              <w:right w:val="single" w:color="000000" w:sz="4" w:space="0"/>
            </w:tcBorders>
            <w:shd w:val="clear" w:color="auto" w:fill="auto"/>
            <w:vAlign w:val="center"/>
          </w:tcPr>
          <w:p w14:paraId="2EDC6A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0.58</w:t>
            </w:r>
          </w:p>
        </w:tc>
        <w:tc>
          <w:tcPr>
            <w:tcW w:w="1049" w:type="pct"/>
            <w:vMerge w:val="restart"/>
            <w:tcBorders>
              <w:top w:val="nil"/>
              <w:left w:val="single" w:color="000000" w:sz="4" w:space="0"/>
              <w:bottom w:val="single" w:color="000000" w:sz="4" w:space="0"/>
              <w:right w:val="single" w:color="000000" w:sz="4" w:space="0"/>
            </w:tcBorders>
            <w:shd w:val="clear" w:color="auto" w:fill="auto"/>
            <w:vAlign w:val="center"/>
          </w:tcPr>
          <w:p w14:paraId="0E3DA076">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项目需经过多级审批，我区财政紧</w:t>
            </w:r>
            <w:r>
              <w:rPr>
                <w:rFonts w:ascii="Courier New" w:hAnsi="Courier New" w:eastAsia="宋体" w:cs="Courier New"/>
                <w:color w:val="000000"/>
                <w:sz w:val="16"/>
                <w:szCs w:val="16"/>
              </w:rPr>
              <w:br w:type="textWrapping"/>
            </w:r>
            <w:r>
              <w:rPr>
                <w:rFonts w:ascii="Courier New" w:hAnsi="Courier New" w:eastAsia="宋体" w:cs="Courier New"/>
                <w:color w:val="000000"/>
                <w:sz w:val="16"/>
                <w:szCs w:val="16"/>
              </w:rPr>
              <w:t>张，年底申请支付的财政未审批，导致执行率未达到100%。</w:t>
            </w:r>
          </w:p>
        </w:tc>
      </w:tr>
      <w:tr w14:paraId="07070B22">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39C278EE">
            <w:pPr>
              <w:widowControl/>
              <w:jc w:val="left"/>
              <w:rPr>
                <w:rFonts w:ascii="宋体" w:hAnsi="宋体" w:eastAsia="宋体" w:cs="宋体"/>
                <w:color w:val="000000"/>
                <w:sz w:val="18"/>
                <w:szCs w:val="18"/>
              </w:rPr>
            </w:pPr>
          </w:p>
        </w:tc>
        <w:tc>
          <w:tcPr>
            <w:tcW w:w="590" w:type="pct"/>
            <w:tcBorders>
              <w:top w:val="nil"/>
              <w:left w:val="nil"/>
              <w:bottom w:val="single" w:color="000000" w:sz="4" w:space="0"/>
              <w:right w:val="single" w:color="000000" w:sz="4" w:space="0"/>
            </w:tcBorders>
            <w:shd w:val="clear" w:color="auto" w:fill="auto"/>
            <w:vAlign w:val="center"/>
          </w:tcPr>
          <w:p w14:paraId="4823159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520" w:type="pct"/>
            <w:tcBorders>
              <w:top w:val="nil"/>
              <w:left w:val="nil"/>
              <w:bottom w:val="single" w:color="000000" w:sz="4" w:space="0"/>
              <w:right w:val="single" w:color="000000" w:sz="4" w:space="0"/>
            </w:tcBorders>
            <w:shd w:val="clear" w:color="auto" w:fill="auto"/>
            <w:vAlign w:val="center"/>
          </w:tcPr>
          <w:p w14:paraId="010872A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4.00</w:t>
            </w:r>
          </w:p>
        </w:tc>
        <w:tc>
          <w:tcPr>
            <w:tcW w:w="738" w:type="pct"/>
            <w:tcBorders>
              <w:top w:val="nil"/>
              <w:left w:val="nil"/>
              <w:bottom w:val="single" w:color="000000" w:sz="4" w:space="0"/>
              <w:right w:val="single" w:color="000000" w:sz="4" w:space="0"/>
            </w:tcBorders>
            <w:shd w:val="clear" w:color="auto" w:fill="auto"/>
            <w:vAlign w:val="center"/>
          </w:tcPr>
          <w:p w14:paraId="15FBB90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0.23</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6CBD57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0.23</w:t>
            </w:r>
          </w:p>
        </w:tc>
        <w:tc>
          <w:tcPr>
            <w:tcW w:w="402" w:type="pct"/>
            <w:tcBorders>
              <w:top w:val="nil"/>
              <w:left w:val="nil"/>
              <w:bottom w:val="single" w:color="000000" w:sz="4" w:space="0"/>
              <w:right w:val="single" w:color="000000" w:sz="4" w:space="0"/>
            </w:tcBorders>
            <w:shd w:val="clear" w:color="auto" w:fill="auto"/>
            <w:vAlign w:val="center"/>
          </w:tcPr>
          <w:p w14:paraId="00D78E2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5.75%</w:t>
            </w:r>
          </w:p>
        </w:tc>
        <w:tc>
          <w:tcPr>
            <w:tcW w:w="189" w:type="pct"/>
            <w:tcBorders>
              <w:top w:val="nil"/>
              <w:left w:val="nil"/>
              <w:bottom w:val="single" w:color="000000" w:sz="4" w:space="0"/>
              <w:right w:val="single" w:color="000000" w:sz="4" w:space="0"/>
            </w:tcBorders>
            <w:shd w:val="clear" w:color="auto" w:fill="auto"/>
            <w:vAlign w:val="center"/>
          </w:tcPr>
          <w:p w14:paraId="749DB9D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264777C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49" w:type="pct"/>
            <w:vMerge w:val="continue"/>
            <w:tcBorders>
              <w:top w:val="nil"/>
              <w:left w:val="single" w:color="000000" w:sz="4" w:space="0"/>
              <w:bottom w:val="single" w:color="000000" w:sz="4" w:space="0"/>
              <w:right w:val="single" w:color="000000" w:sz="4" w:space="0"/>
            </w:tcBorders>
            <w:vAlign w:val="center"/>
          </w:tcPr>
          <w:p w14:paraId="34950BDB">
            <w:pPr>
              <w:widowControl/>
              <w:jc w:val="left"/>
              <w:rPr>
                <w:rFonts w:ascii="Courier New" w:hAnsi="Courier New" w:eastAsia="宋体" w:cs="Courier New"/>
                <w:color w:val="000000"/>
                <w:sz w:val="16"/>
                <w:szCs w:val="16"/>
              </w:rPr>
            </w:pPr>
          </w:p>
        </w:tc>
      </w:tr>
      <w:tr w14:paraId="14930E14">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09DECBD9">
            <w:pPr>
              <w:widowControl/>
              <w:jc w:val="left"/>
              <w:rPr>
                <w:rFonts w:ascii="宋体" w:hAnsi="宋体" w:eastAsia="宋体" w:cs="宋体"/>
                <w:color w:val="000000"/>
                <w:sz w:val="18"/>
                <w:szCs w:val="18"/>
              </w:rPr>
            </w:pPr>
          </w:p>
        </w:tc>
        <w:tc>
          <w:tcPr>
            <w:tcW w:w="590" w:type="pct"/>
            <w:tcBorders>
              <w:top w:val="nil"/>
              <w:left w:val="nil"/>
              <w:bottom w:val="single" w:color="000000" w:sz="4" w:space="0"/>
              <w:right w:val="single" w:color="000000" w:sz="4" w:space="0"/>
            </w:tcBorders>
            <w:shd w:val="clear" w:color="auto" w:fill="auto"/>
            <w:vAlign w:val="center"/>
          </w:tcPr>
          <w:p w14:paraId="5BEB053B">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520" w:type="pct"/>
            <w:tcBorders>
              <w:top w:val="nil"/>
              <w:left w:val="nil"/>
              <w:bottom w:val="single" w:color="000000" w:sz="4" w:space="0"/>
              <w:right w:val="single" w:color="000000" w:sz="4" w:space="0"/>
            </w:tcBorders>
            <w:shd w:val="clear" w:color="auto" w:fill="auto"/>
            <w:vAlign w:val="center"/>
          </w:tcPr>
          <w:p w14:paraId="268D564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38" w:type="pct"/>
            <w:tcBorders>
              <w:top w:val="nil"/>
              <w:left w:val="nil"/>
              <w:bottom w:val="single" w:color="000000" w:sz="4" w:space="0"/>
              <w:right w:val="single" w:color="000000" w:sz="4" w:space="0"/>
            </w:tcBorders>
            <w:shd w:val="clear" w:color="auto" w:fill="auto"/>
            <w:vAlign w:val="center"/>
          </w:tcPr>
          <w:p w14:paraId="7936B2D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3FD6D51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2" w:type="pct"/>
            <w:tcBorders>
              <w:top w:val="nil"/>
              <w:left w:val="nil"/>
              <w:bottom w:val="single" w:color="000000" w:sz="4" w:space="0"/>
              <w:right w:val="single" w:color="000000" w:sz="4" w:space="0"/>
            </w:tcBorders>
            <w:shd w:val="clear" w:color="auto" w:fill="auto"/>
            <w:vAlign w:val="center"/>
          </w:tcPr>
          <w:p w14:paraId="33F5B7C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14:paraId="500D194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5E120EE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49" w:type="pct"/>
            <w:vMerge w:val="continue"/>
            <w:tcBorders>
              <w:top w:val="nil"/>
              <w:left w:val="single" w:color="000000" w:sz="4" w:space="0"/>
              <w:bottom w:val="single" w:color="000000" w:sz="4" w:space="0"/>
              <w:right w:val="single" w:color="000000" w:sz="4" w:space="0"/>
            </w:tcBorders>
            <w:vAlign w:val="center"/>
          </w:tcPr>
          <w:p w14:paraId="326CAE7C">
            <w:pPr>
              <w:widowControl/>
              <w:jc w:val="left"/>
              <w:rPr>
                <w:rFonts w:ascii="Courier New" w:hAnsi="Courier New" w:eastAsia="宋体" w:cs="Courier New"/>
                <w:color w:val="000000"/>
                <w:sz w:val="16"/>
                <w:szCs w:val="16"/>
              </w:rPr>
            </w:pPr>
          </w:p>
        </w:tc>
      </w:tr>
      <w:tr w14:paraId="15B21928">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6B2696FD">
            <w:pPr>
              <w:widowControl/>
              <w:jc w:val="left"/>
              <w:rPr>
                <w:rFonts w:ascii="宋体" w:hAnsi="宋体" w:eastAsia="宋体" w:cs="宋体"/>
                <w:color w:val="000000"/>
                <w:sz w:val="18"/>
                <w:szCs w:val="18"/>
              </w:rPr>
            </w:pPr>
          </w:p>
        </w:tc>
        <w:tc>
          <w:tcPr>
            <w:tcW w:w="590" w:type="pct"/>
            <w:tcBorders>
              <w:top w:val="nil"/>
              <w:left w:val="nil"/>
              <w:bottom w:val="single" w:color="000000" w:sz="4" w:space="0"/>
              <w:right w:val="single" w:color="000000" w:sz="4" w:space="0"/>
            </w:tcBorders>
            <w:shd w:val="clear" w:color="auto" w:fill="auto"/>
            <w:vAlign w:val="center"/>
          </w:tcPr>
          <w:p w14:paraId="2FE64C8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520" w:type="pct"/>
            <w:tcBorders>
              <w:top w:val="nil"/>
              <w:left w:val="nil"/>
              <w:bottom w:val="single" w:color="000000" w:sz="4" w:space="0"/>
              <w:right w:val="single" w:color="000000" w:sz="4" w:space="0"/>
            </w:tcBorders>
            <w:shd w:val="clear" w:color="auto" w:fill="auto"/>
            <w:vAlign w:val="center"/>
          </w:tcPr>
          <w:p w14:paraId="665917E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38" w:type="pct"/>
            <w:tcBorders>
              <w:top w:val="nil"/>
              <w:left w:val="nil"/>
              <w:bottom w:val="single" w:color="000000" w:sz="4" w:space="0"/>
              <w:right w:val="single" w:color="000000" w:sz="4" w:space="0"/>
            </w:tcBorders>
            <w:shd w:val="clear" w:color="auto" w:fill="auto"/>
            <w:vAlign w:val="center"/>
          </w:tcPr>
          <w:p w14:paraId="60ABAB3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144E437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2" w:type="pct"/>
            <w:tcBorders>
              <w:top w:val="nil"/>
              <w:left w:val="nil"/>
              <w:bottom w:val="single" w:color="000000" w:sz="4" w:space="0"/>
              <w:right w:val="single" w:color="000000" w:sz="4" w:space="0"/>
            </w:tcBorders>
            <w:shd w:val="clear" w:color="auto" w:fill="auto"/>
            <w:vAlign w:val="center"/>
          </w:tcPr>
          <w:p w14:paraId="79D83E2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14:paraId="0C6EFBA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36B9F7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49" w:type="pct"/>
            <w:vMerge w:val="continue"/>
            <w:tcBorders>
              <w:top w:val="nil"/>
              <w:left w:val="single" w:color="000000" w:sz="4" w:space="0"/>
              <w:bottom w:val="single" w:color="000000" w:sz="4" w:space="0"/>
              <w:right w:val="single" w:color="000000" w:sz="4" w:space="0"/>
            </w:tcBorders>
            <w:vAlign w:val="center"/>
          </w:tcPr>
          <w:p w14:paraId="7CF9D527">
            <w:pPr>
              <w:widowControl/>
              <w:jc w:val="left"/>
              <w:rPr>
                <w:rFonts w:ascii="Courier New" w:hAnsi="Courier New" w:eastAsia="宋体" w:cs="Courier New"/>
                <w:color w:val="000000"/>
                <w:sz w:val="16"/>
                <w:szCs w:val="16"/>
              </w:rPr>
            </w:pPr>
          </w:p>
        </w:tc>
      </w:tr>
      <w:tr w14:paraId="32DCFCA7">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07960FDA">
            <w:pPr>
              <w:widowControl/>
              <w:jc w:val="left"/>
              <w:rPr>
                <w:rFonts w:ascii="宋体" w:hAnsi="宋体" w:eastAsia="宋体" w:cs="宋体"/>
                <w:color w:val="000000"/>
                <w:sz w:val="18"/>
                <w:szCs w:val="18"/>
              </w:rPr>
            </w:pPr>
          </w:p>
        </w:tc>
        <w:tc>
          <w:tcPr>
            <w:tcW w:w="590" w:type="pct"/>
            <w:tcBorders>
              <w:top w:val="nil"/>
              <w:left w:val="nil"/>
              <w:bottom w:val="single" w:color="000000" w:sz="4" w:space="0"/>
              <w:right w:val="single" w:color="000000" w:sz="4" w:space="0"/>
            </w:tcBorders>
            <w:shd w:val="clear" w:color="auto" w:fill="auto"/>
            <w:vAlign w:val="center"/>
          </w:tcPr>
          <w:p w14:paraId="2254E76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520" w:type="pct"/>
            <w:tcBorders>
              <w:top w:val="nil"/>
              <w:left w:val="nil"/>
              <w:bottom w:val="single" w:color="000000" w:sz="4" w:space="0"/>
              <w:right w:val="single" w:color="000000" w:sz="4" w:space="0"/>
            </w:tcBorders>
            <w:shd w:val="clear" w:color="auto" w:fill="auto"/>
            <w:vAlign w:val="center"/>
          </w:tcPr>
          <w:p w14:paraId="0F924F3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738" w:type="pct"/>
            <w:tcBorders>
              <w:top w:val="nil"/>
              <w:left w:val="nil"/>
              <w:bottom w:val="single" w:color="000000" w:sz="4" w:space="0"/>
              <w:right w:val="single" w:color="000000" w:sz="4" w:space="0"/>
            </w:tcBorders>
            <w:shd w:val="clear" w:color="auto" w:fill="auto"/>
            <w:vAlign w:val="center"/>
          </w:tcPr>
          <w:p w14:paraId="6B62DAA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53AF5D41">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02" w:type="pct"/>
            <w:tcBorders>
              <w:top w:val="nil"/>
              <w:left w:val="nil"/>
              <w:bottom w:val="single" w:color="000000" w:sz="4" w:space="0"/>
              <w:right w:val="single" w:color="000000" w:sz="4" w:space="0"/>
            </w:tcBorders>
            <w:shd w:val="clear" w:color="auto" w:fill="auto"/>
            <w:vAlign w:val="center"/>
          </w:tcPr>
          <w:p w14:paraId="38BF906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89" w:type="pct"/>
            <w:tcBorders>
              <w:top w:val="nil"/>
              <w:left w:val="nil"/>
              <w:bottom w:val="single" w:color="000000" w:sz="4" w:space="0"/>
              <w:right w:val="single" w:color="000000" w:sz="4" w:space="0"/>
            </w:tcBorders>
            <w:shd w:val="clear" w:color="auto" w:fill="auto"/>
            <w:vAlign w:val="center"/>
          </w:tcPr>
          <w:p w14:paraId="57672DE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62D93E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49" w:type="pct"/>
            <w:vMerge w:val="continue"/>
            <w:tcBorders>
              <w:top w:val="nil"/>
              <w:left w:val="single" w:color="000000" w:sz="4" w:space="0"/>
              <w:bottom w:val="single" w:color="000000" w:sz="4" w:space="0"/>
              <w:right w:val="single" w:color="000000" w:sz="4" w:space="0"/>
            </w:tcBorders>
            <w:vAlign w:val="center"/>
          </w:tcPr>
          <w:p w14:paraId="4AC4575E">
            <w:pPr>
              <w:widowControl/>
              <w:jc w:val="left"/>
              <w:rPr>
                <w:rFonts w:ascii="Courier New" w:hAnsi="Courier New" w:eastAsia="宋体" w:cs="Courier New"/>
                <w:color w:val="000000"/>
                <w:sz w:val="16"/>
                <w:szCs w:val="16"/>
              </w:rPr>
            </w:pPr>
          </w:p>
        </w:tc>
      </w:tr>
      <w:tr w14:paraId="6EE418FC">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nil"/>
              <w:right w:val="single" w:color="000000" w:sz="4" w:space="0"/>
            </w:tcBorders>
            <w:shd w:val="clear" w:color="auto" w:fill="auto"/>
            <w:vAlign w:val="center"/>
          </w:tcPr>
          <w:p w14:paraId="7433EBF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590" w:type="pct"/>
            <w:tcBorders>
              <w:top w:val="nil"/>
              <w:left w:val="nil"/>
              <w:bottom w:val="single" w:color="000000" w:sz="4" w:space="0"/>
              <w:right w:val="single" w:color="000000" w:sz="4" w:space="0"/>
            </w:tcBorders>
            <w:shd w:val="clear" w:color="auto" w:fill="auto"/>
            <w:vAlign w:val="center"/>
          </w:tcPr>
          <w:p w14:paraId="03BCE81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520" w:type="pct"/>
            <w:tcBorders>
              <w:top w:val="nil"/>
              <w:left w:val="nil"/>
              <w:bottom w:val="single" w:color="000000" w:sz="4" w:space="0"/>
              <w:right w:val="single" w:color="000000" w:sz="4" w:space="0"/>
            </w:tcBorders>
            <w:shd w:val="clear" w:color="auto" w:fill="auto"/>
            <w:vAlign w:val="center"/>
          </w:tcPr>
          <w:p w14:paraId="2F2DDCB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738" w:type="pct"/>
            <w:tcBorders>
              <w:top w:val="nil"/>
              <w:left w:val="nil"/>
              <w:bottom w:val="single" w:color="000000" w:sz="4" w:space="0"/>
              <w:right w:val="single" w:color="000000" w:sz="4" w:space="0"/>
            </w:tcBorders>
            <w:shd w:val="clear" w:color="auto" w:fill="auto"/>
            <w:vAlign w:val="center"/>
          </w:tcPr>
          <w:p w14:paraId="1DC76D0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87" w:type="pct"/>
            <w:tcBorders>
              <w:top w:val="nil"/>
              <w:left w:val="nil"/>
              <w:bottom w:val="single" w:color="000000" w:sz="4" w:space="0"/>
              <w:right w:val="single" w:color="000000" w:sz="4" w:space="0"/>
            </w:tcBorders>
            <w:shd w:val="clear" w:color="auto" w:fill="auto"/>
            <w:vAlign w:val="center"/>
          </w:tcPr>
          <w:p w14:paraId="19A21A1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596" w:type="pct"/>
            <w:tcBorders>
              <w:top w:val="nil"/>
              <w:left w:val="nil"/>
              <w:bottom w:val="single" w:color="000000" w:sz="4" w:space="0"/>
              <w:right w:val="single" w:color="000000" w:sz="4" w:space="0"/>
            </w:tcBorders>
            <w:shd w:val="clear" w:color="auto" w:fill="auto"/>
            <w:vAlign w:val="center"/>
          </w:tcPr>
          <w:p w14:paraId="785A6CC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276" w:type="pct"/>
            <w:tcBorders>
              <w:top w:val="nil"/>
              <w:left w:val="nil"/>
              <w:bottom w:val="single" w:color="000000" w:sz="4" w:space="0"/>
              <w:right w:val="single" w:color="000000" w:sz="4" w:space="0"/>
            </w:tcBorders>
            <w:shd w:val="clear" w:color="auto" w:fill="auto"/>
            <w:vAlign w:val="center"/>
          </w:tcPr>
          <w:p w14:paraId="795B451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402" w:type="pct"/>
            <w:tcBorders>
              <w:top w:val="nil"/>
              <w:left w:val="nil"/>
              <w:bottom w:val="single" w:color="000000" w:sz="4" w:space="0"/>
              <w:right w:val="single" w:color="000000" w:sz="4" w:space="0"/>
            </w:tcBorders>
            <w:shd w:val="clear" w:color="auto" w:fill="auto"/>
            <w:vAlign w:val="center"/>
          </w:tcPr>
          <w:p w14:paraId="4DCDA51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89" w:type="pct"/>
            <w:tcBorders>
              <w:top w:val="nil"/>
              <w:left w:val="nil"/>
              <w:bottom w:val="single" w:color="000000" w:sz="4" w:space="0"/>
              <w:right w:val="single" w:color="000000" w:sz="4" w:space="0"/>
            </w:tcBorders>
            <w:shd w:val="clear" w:color="auto" w:fill="auto"/>
            <w:vAlign w:val="center"/>
          </w:tcPr>
          <w:p w14:paraId="01A5523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43" w:type="pct"/>
            <w:tcBorders>
              <w:top w:val="nil"/>
              <w:left w:val="nil"/>
              <w:bottom w:val="single" w:color="000000" w:sz="4" w:space="0"/>
              <w:right w:val="single" w:color="000000" w:sz="4" w:space="0"/>
            </w:tcBorders>
            <w:shd w:val="clear" w:color="auto" w:fill="auto"/>
            <w:vAlign w:val="center"/>
          </w:tcPr>
          <w:p w14:paraId="5576556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49" w:type="pct"/>
            <w:tcBorders>
              <w:top w:val="nil"/>
              <w:left w:val="nil"/>
              <w:bottom w:val="single" w:color="000000" w:sz="4" w:space="0"/>
              <w:right w:val="single" w:color="000000" w:sz="4" w:space="0"/>
            </w:tcBorders>
            <w:shd w:val="clear" w:color="auto" w:fill="auto"/>
            <w:vAlign w:val="center"/>
          </w:tcPr>
          <w:p w14:paraId="19E165F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53831082">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38E6175A">
            <w:pPr>
              <w:widowControl/>
              <w:jc w:val="left"/>
              <w:rPr>
                <w:rFonts w:ascii="宋体" w:hAnsi="宋体" w:eastAsia="宋体" w:cs="宋体"/>
                <w:color w:val="000000"/>
                <w:sz w:val="18"/>
                <w:szCs w:val="18"/>
              </w:rPr>
            </w:pPr>
          </w:p>
        </w:tc>
        <w:tc>
          <w:tcPr>
            <w:tcW w:w="590" w:type="pct"/>
            <w:vMerge w:val="restart"/>
            <w:tcBorders>
              <w:top w:val="nil"/>
              <w:left w:val="single" w:color="000000" w:sz="4" w:space="0"/>
              <w:bottom w:val="single" w:color="000000" w:sz="4" w:space="0"/>
              <w:right w:val="single" w:color="000000" w:sz="4" w:space="0"/>
            </w:tcBorders>
            <w:shd w:val="clear" w:color="auto" w:fill="auto"/>
            <w:vAlign w:val="center"/>
          </w:tcPr>
          <w:p w14:paraId="3B6B3C7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520" w:type="pct"/>
            <w:tcBorders>
              <w:top w:val="nil"/>
              <w:left w:val="nil"/>
              <w:bottom w:val="single" w:color="000000" w:sz="4" w:space="0"/>
              <w:right w:val="single" w:color="000000" w:sz="4" w:space="0"/>
            </w:tcBorders>
            <w:shd w:val="clear" w:color="auto" w:fill="auto"/>
            <w:vAlign w:val="center"/>
          </w:tcPr>
          <w:p w14:paraId="6114E80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738" w:type="pct"/>
            <w:tcBorders>
              <w:top w:val="nil"/>
              <w:left w:val="nil"/>
              <w:bottom w:val="single" w:color="000000" w:sz="4" w:space="0"/>
              <w:right w:val="single" w:color="000000" w:sz="4" w:space="0"/>
            </w:tcBorders>
            <w:shd w:val="clear" w:color="auto" w:fill="auto"/>
            <w:vAlign w:val="center"/>
          </w:tcPr>
          <w:p w14:paraId="0DA90BD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受理纠纷调解率</w:t>
            </w:r>
          </w:p>
        </w:tc>
        <w:tc>
          <w:tcPr>
            <w:tcW w:w="187" w:type="pct"/>
            <w:tcBorders>
              <w:top w:val="nil"/>
              <w:left w:val="nil"/>
              <w:bottom w:val="single" w:color="000000" w:sz="4" w:space="0"/>
              <w:right w:val="single" w:color="000000" w:sz="4" w:space="0"/>
            </w:tcBorders>
            <w:shd w:val="clear" w:color="auto" w:fill="auto"/>
            <w:vAlign w:val="center"/>
          </w:tcPr>
          <w:p w14:paraId="0C6257E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96" w:type="pct"/>
            <w:tcBorders>
              <w:top w:val="nil"/>
              <w:left w:val="nil"/>
              <w:bottom w:val="single" w:color="000000" w:sz="4" w:space="0"/>
              <w:right w:val="single" w:color="000000" w:sz="4" w:space="0"/>
            </w:tcBorders>
            <w:shd w:val="clear" w:color="auto" w:fill="auto"/>
            <w:vAlign w:val="center"/>
          </w:tcPr>
          <w:p w14:paraId="70920B0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76" w:type="pct"/>
            <w:tcBorders>
              <w:top w:val="nil"/>
              <w:left w:val="nil"/>
              <w:bottom w:val="single" w:color="000000" w:sz="4" w:space="0"/>
              <w:right w:val="single" w:color="000000" w:sz="4" w:space="0"/>
            </w:tcBorders>
            <w:shd w:val="clear" w:color="auto" w:fill="auto"/>
            <w:vAlign w:val="center"/>
          </w:tcPr>
          <w:p w14:paraId="6CB7142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2" w:type="pct"/>
            <w:tcBorders>
              <w:top w:val="nil"/>
              <w:left w:val="nil"/>
              <w:bottom w:val="single" w:color="000000" w:sz="4" w:space="0"/>
              <w:right w:val="single" w:color="000000" w:sz="4" w:space="0"/>
            </w:tcBorders>
            <w:shd w:val="clear" w:color="auto" w:fill="auto"/>
            <w:vAlign w:val="center"/>
          </w:tcPr>
          <w:p w14:paraId="54271A8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100</w:t>
            </w:r>
          </w:p>
        </w:tc>
        <w:tc>
          <w:tcPr>
            <w:tcW w:w="189" w:type="pct"/>
            <w:tcBorders>
              <w:top w:val="nil"/>
              <w:left w:val="nil"/>
              <w:bottom w:val="single" w:color="000000" w:sz="4" w:space="0"/>
              <w:right w:val="single" w:color="000000" w:sz="4" w:space="0"/>
            </w:tcBorders>
            <w:shd w:val="clear" w:color="auto" w:fill="auto"/>
            <w:vAlign w:val="center"/>
          </w:tcPr>
          <w:p w14:paraId="71ED81B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243" w:type="pct"/>
            <w:tcBorders>
              <w:top w:val="nil"/>
              <w:left w:val="nil"/>
              <w:bottom w:val="single" w:color="000000" w:sz="4" w:space="0"/>
              <w:right w:val="single" w:color="000000" w:sz="4" w:space="0"/>
            </w:tcBorders>
            <w:shd w:val="clear" w:color="auto" w:fill="auto"/>
            <w:vAlign w:val="center"/>
          </w:tcPr>
          <w:p w14:paraId="214D425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1049" w:type="pct"/>
            <w:tcBorders>
              <w:top w:val="nil"/>
              <w:left w:val="nil"/>
              <w:bottom w:val="single" w:color="000000" w:sz="4" w:space="0"/>
              <w:right w:val="single" w:color="000000" w:sz="4" w:space="0"/>
            </w:tcBorders>
            <w:shd w:val="clear" w:color="auto" w:fill="auto"/>
            <w:vAlign w:val="center"/>
          </w:tcPr>
          <w:p w14:paraId="05D93C0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349EF880">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09570385">
            <w:pPr>
              <w:widowControl/>
              <w:jc w:val="left"/>
              <w:rPr>
                <w:rFonts w:ascii="宋体" w:hAnsi="宋体" w:eastAsia="宋体" w:cs="宋体"/>
                <w:color w:val="000000"/>
                <w:sz w:val="18"/>
                <w:szCs w:val="18"/>
              </w:rPr>
            </w:pPr>
          </w:p>
        </w:tc>
        <w:tc>
          <w:tcPr>
            <w:tcW w:w="590" w:type="pct"/>
            <w:vMerge w:val="continue"/>
            <w:tcBorders>
              <w:top w:val="nil"/>
              <w:left w:val="single" w:color="000000" w:sz="4" w:space="0"/>
              <w:bottom w:val="single" w:color="000000" w:sz="4" w:space="0"/>
              <w:right w:val="single" w:color="000000" w:sz="4" w:space="0"/>
            </w:tcBorders>
            <w:vAlign w:val="center"/>
          </w:tcPr>
          <w:p w14:paraId="6C568D6D">
            <w:pPr>
              <w:widowControl/>
              <w:jc w:val="left"/>
              <w:rPr>
                <w:rFonts w:ascii="宋体" w:hAnsi="宋体" w:eastAsia="宋体" w:cs="宋体"/>
                <w:color w:val="000000"/>
                <w:sz w:val="18"/>
                <w:szCs w:val="18"/>
              </w:rPr>
            </w:pPr>
          </w:p>
        </w:tc>
        <w:tc>
          <w:tcPr>
            <w:tcW w:w="520" w:type="pct"/>
            <w:tcBorders>
              <w:top w:val="nil"/>
              <w:left w:val="nil"/>
              <w:bottom w:val="single" w:color="000000" w:sz="4" w:space="0"/>
              <w:right w:val="single" w:color="000000" w:sz="4" w:space="0"/>
            </w:tcBorders>
            <w:shd w:val="clear" w:color="auto" w:fill="auto"/>
            <w:vAlign w:val="center"/>
          </w:tcPr>
          <w:p w14:paraId="4DEFF85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738" w:type="pct"/>
            <w:tcBorders>
              <w:top w:val="nil"/>
              <w:left w:val="nil"/>
              <w:bottom w:val="single" w:color="000000" w:sz="4" w:space="0"/>
              <w:right w:val="single" w:color="000000" w:sz="4" w:space="0"/>
            </w:tcBorders>
            <w:shd w:val="clear" w:color="auto" w:fill="auto"/>
            <w:vAlign w:val="center"/>
          </w:tcPr>
          <w:p w14:paraId="7DED5E2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受理纠纷调解成功率</w:t>
            </w:r>
          </w:p>
        </w:tc>
        <w:tc>
          <w:tcPr>
            <w:tcW w:w="187" w:type="pct"/>
            <w:tcBorders>
              <w:top w:val="nil"/>
              <w:left w:val="nil"/>
              <w:bottom w:val="single" w:color="000000" w:sz="4" w:space="0"/>
              <w:right w:val="single" w:color="000000" w:sz="4" w:space="0"/>
            </w:tcBorders>
            <w:shd w:val="clear" w:color="auto" w:fill="auto"/>
            <w:vAlign w:val="center"/>
          </w:tcPr>
          <w:p w14:paraId="2A6630E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96" w:type="pct"/>
            <w:tcBorders>
              <w:top w:val="nil"/>
              <w:left w:val="nil"/>
              <w:bottom w:val="single" w:color="000000" w:sz="4" w:space="0"/>
              <w:right w:val="single" w:color="000000" w:sz="4" w:space="0"/>
            </w:tcBorders>
            <w:shd w:val="clear" w:color="auto" w:fill="auto"/>
            <w:vAlign w:val="center"/>
          </w:tcPr>
          <w:p w14:paraId="16F2C46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98</w:t>
            </w:r>
          </w:p>
        </w:tc>
        <w:tc>
          <w:tcPr>
            <w:tcW w:w="276" w:type="pct"/>
            <w:tcBorders>
              <w:top w:val="nil"/>
              <w:left w:val="nil"/>
              <w:bottom w:val="single" w:color="000000" w:sz="4" w:space="0"/>
              <w:right w:val="single" w:color="000000" w:sz="4" w:space="0"/>
            </w:tcBorders>
            <w:shd w:val="clear" w:color="auto" w:fill="auto"/>
            <w:vAlign w:val="center"/>
          </w:tcPr>
          <w:p w14:paraId="35B881D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2" w:type="pct"/>
            <w:tcBorders>
              <w:top w:val="nil"/>
              <w:left w:val="nil"/>
              <w:bottom w:val="single" w:color="000000" w:sz="4" w:space="0"/>
              <w:right w:val="single" w:color="000000" w:sz="4" w:space="0"/>
            </w:tcBorders>
            <w:shd w:val="clear" w:color="auto" w:fill="auto"/>
            <w:vAlign w:val="center"/>
          </w:tcPr>
          <w:p w14:paraId="2752F2D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98</w:t>
            </w:r>
          </w:p>
        </w:tc>
        <w:tc>
          <w:tcPr>
            <w:tcW w:w="189" w:type="pct"/>
            <w:tcBorders>
              <w:top w:val="nil"/>
              <w:left w:val="nil"/>
              <w:bottom w:val="single" w:color="000000" w:sz="4" w:space="0"/>
              <w:right w:val="single" w:color="000000" w:sz="4" w:space="0"/>
            </w:tcBorders>
            <w:shd w:val="clear" w:color="auto" w:fill="auto"/>
            <w:vAlign w:val="center"/>
          </w:tcPr>
          <w:p w14:paraId="1162DEB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243" w:type="pct"/>
            <w:tcBorders>
              <w:top w:val="nil"/>
              <w:left w:val="nil"/>
              <w:bottom w:val="single" w:color="000000" w:sz="4" w:space="0"/>
              <w:right w:val="single" w:color="000000" w:sz="4" w:space="0"/>
            </w:tcBorders>
            <w:shd w:val="clear" w:color="auto" w:fill="auto"/>
            <w:vAlign w:val="center"/>
          </w:tcPr>
          <w:p w14:paraId="61AF782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1049" w:type="pct"/>
            <w:tcBorders>
              <w:top w:val="nil"/>
              <w:left w:val="nil"/>
              <w:bottom w:val="single" w:color="000000" w:sz="4" w:space="0"/>
              <w:right w:val="single" w:color="000000" w:sz="4" w:space="0"/>
            </w:tcBorders>
            <w:shd w:val="clear" w:color="auto" w:fill="auto"/>
            <w:vAlign w:val="center"/>
          </w:tcPr>
          <w:p w14:paraId="30702E3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B871185">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25081F96">
            <w:pPr>
              <w:widowControl/>
              <w:jc w:val="left"/>
              <w:rPr>
                <w:rFonts w:ascii="宋体" w:hAnsi="宋体" w:eastAsia="宋体" w:cs="宋体"/>
                <w:color w:val="000000"/>
                <w:sz w:val="18"/>
                <w:szCs w:val="18"/>
              </w:rPr>
            </w:pPr>
          </w:p>
        </w:tc>
        <w:tc>
          <w:tcPr>
            <w:tcW w:w="590" w:type="pct"/>
            <w:vMerge w:val="continue"/>
            <w:tcBorders>
              <w:top w:val="nil"/>
              <w:left w:val="single" w:color="000000" w:sz="4" w:space="0"/>
              <w:bottom w:val="single" w:color="000000" w:sz="4" w:space="0"/>
              <w:right w:val="single" w:color="000000" w:sz="4" w:space="0"/>
            </w:tcBorders>
            <w:vAlign w:val="center"/>
          </w:tcPr>
          <w:p w14:paraId="3245631F">
            <w:pPr>
              <w:widowControl/>
              <w:jc w:val="left"/>
              <w:rPr>
                <w:rFonts w:ascii="宋体" w:hAnsi="宋体" w:eastAsia="宋体" w:cs="宋体"/>
                <w:color w:val="000000"/>
                <w:sz w:val="18"/>
                <w:szCs w:val="18"/>
              </w:rPr>
            </w:pPr>
          </w:p>
        </w:tc>
        <w:tc>
          <w:tcPr>
            <w:tcW w:w="520" w:type="pct"/>
            <w:tcBorders>
              <w:top w:val="nil"/>
              <w:left w:val="nil"/>
              <w:bottom w:val="single" w:color="000000" w:sz="4" w:space="0"/>
              <w:right w:val="single" w:color="000000" w:sz="4" w:space="0"/>
            </w:tcBorders>
            <w:shd w:val="clear" w:color="auto" w:fill="auto"/>
            <w:vAlign w:val="center"/>
          </w:tcPr>
          <w:p w14:paraId="06115C0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738" w:type="pct"/>
            <w:tcBorders>
              <w:top w:val="nil"/>
              <w:left w:val="nil"/>
              <w:bottom w:val="single" w:color="000000" w:sz="4" w:space="0"/>
              <w:right w:val="single" w:color="000000" w:sz="4" w:space="0"/>
            </w:tcBorders>
            <w:shd w:val="clear" w:color="auto" w:fill="auto"/>
            <w:vAlign w:val="center"/>
          </w:tcPr>
          <w:p w14:paraId="19D883F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纠纷调解时效</w:t>
            </w:r>
          </w:p>
        </w:tc>
        <w:tc>
          <w:tcPr>
            <w:tcW w:w="187" w:type="pct"/>
            <w:tcBorders>
              <w:top w:val="nil"/>
              <w:left w:val="nil"/>
              <w:bottom w:val="single" w:color="000000" w:sz="4" w:space="0"/>
              <w:right w:val="single" w:color="000000" w:sz="4" w:space="0"/>
            </w:tcBorders>
            <w:shd w:val="clear" w:color="auto" w:fill="auto"/>
            <w:vAlign w:val="center"/>
          </w:tcPr>
          <w:p w14:paraId="726F95F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96" w:type="pct"/>
            <w:tcBorders>
              <w:top w:val="nil"/>
              <w:left w:val="nil"/>
              <w:bottom w:val="single" w:color="000000" w:sz="4" w:space="0"/>
              <w:right w:val="single" w:color="000000" w:sz="4" w:space="0"/>
            </w:tcBorders>
            <w:shd w:val="clear" w:color="auto" w:fill="auto"/>
            <w:vAlign w:val="center"/>
          </w:tcPr>
          <w:p w14:paraId="66B7F93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276" w:type="pct"/>
            <w:tcBorders>
              <w:top w:val="nil"/>
              <w:left w:val="nil"/>
              <w:bottom w:val="single" w:color="000000" w:sz="4" w:space="0"/>
              <w:right w:val="single" w:color="000000" w:sz="4" w:space="0"/>
            </w:tcBorders>
            <w:shd w:val="clear" w:color="auto" w:fill="auto"/>
            <w:vAlign w:val="center"/>
          </w:tcPr>
          <w:p w14:paraId="73286B1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天</w:t>
            </w:r>
          </w:p>
        </w:tc>
        <w:tc>
          <w:tcPr>
            <w:tcW w:w="402" w:type="pct"/>
            <w:tcBorders>
              <w:top w:val="nil"/>
              <w:left w:val="nil"/>
              <w:bottom w:val="single" w:color="000000" w:sz="4" w:space="0"/>
              <w:right w:val="single" w:color="000000" w:sz="4" w:space="0"/>
            </w:tcBorders>
            <w:shd w:val="clear" w:color="auto" w:fill="auto"/>
            <w:vAlign w:val="center"/>
          </w:tcPr>
          <w:p w14:paraId="68766A8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3</w:t>
            </w:r>
          </w:p>
        </w:tc>
        <w:tc>
          <w:tcPr>
            <w:tcW w:w="189" w:type="pct"/>
            <w:tcBorders>
              <w:top w:val="nil"/>
              <w:left w:val="nil"/>
              <w:bottom w:val="single" w:color="000000" w:sz="4" w:space="0"/>
              <w:right w:val="single" w:color="000000" w:sz="4" w:space="0"/>
            </w:tcBorders>
            <w:shd w:val="clear" w:color="auto" w:fill="auto"/>
            <w:vAlign w:val="center"/>
          </w:tcPr>
          <w:p w14:paraId="21E5FB4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243" w:type="pct"/>
            <w:tcBorders>
              <w:top w:val="nil"/>
              <w:left w:val="nil"/>
              <w:bottom w:val="single" w:color="000000" w:sz="4" w:space="0"/>
              <w:right w:val="single" w:color="000000" w:sz="4" w:space="0"/>
            </w:tcBorders>
            <w:shd w:val="clear" w:color="auto" w:fill="auto"/>
            <w:vAlign w:val="center"/>
          </w:tcPr>
          <w:p w14:paraId="4204E9B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1049" w:type="pct"/>
            <w:tcBorders>
              <w:top w:val="nil"/>
              <w:left w:val="nil"/>
              <w:bottom w:val="single" w:color="000000" w:sz="4" w:space="0"/>
              <w:right w:val="single" w:color="000000" w:sz="4" w:space="0"/>
            </w:tcBorders>
            <w:shd w:val="clear" w:color="auto" w:fill="auto"/>
            <w:vAlign w:val="center"/>
          </w:tcPr>
          <w:p w14:paraId="08ECEC8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1AEAA82F">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54555C67">
            <w:pPr>
              <w:widowControl/>
              <w:jc w:val="left"/>
              <w:rPr>
                <w:rFonts w:ascii="宋体" w:hAnsi="宋体" w:eastAsia="宋体" w:cs="宋体"/>
                <w:color w:val="000000"/>
                <w:sz w:val="18"/>
                <w:szCs w:val="18"/>
              </w:rPr>
            </w:pPr>
          </w:p>
        </w:tc>
        <w:tc>
          <w:tcPr>
            <w:tcW w:w="590" w:type="pct"/>
            <w:tcBorders>
              <w:top w:val="nil"/>
              <w:left w:val="nil"/>
              <w:bottom w:val="single" w:color="000000" w:sz="4" w:space="0"/>
              <w:right w:val="single" w:color="000000" w:sz="4" w:space="0"/>
            </w:tcBorders>
            <w:shd w:val="clear" w:color="auto" w:fill="auto"/>
            <w:vAlign w:val="center"/>
          </w:tcPr>
          <w:p w14:paraId="52CB5B1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520" w:type="pct"/>
            <w:tcBorders>
              <w:top w:val="nil"/>
              <w:left w:val="nil"/>
              <w:bottom w:val="single" w:color="000000" w:sz="4" w:space="0"/>
              <w:right w:val="single" w:color="000000" w:sz="4" w:space="0"/>
            </w:tcBorders>
            <w:shd w:val="clear" w:color="auto" w:fill="auto"/>
            <w:vAlign w:val="center"/>
          </w:tcPr>
          <w:p w14:paraId="09A3033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738" w:type="pct"/>
            <w:tcBorders>
              <w:top w:val="nil"/>
              <w:left w:val="nil"/>
              <w:bottom w:val="single" w:color="000000" w:sz="4" w:space="0"/>
              <w:right w:val="single" w:color="000000" w:sz="4" w:space="0"/>
            </w:tcBorders>
            <w:shd w:val="clear" w:color="auto" w:fill="auto"/>
            <w:vAlign w:val="center"/>
          </w:tcPr>
          <w:p w14:paraId="2B11286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将矛盾纠纷化解在基层</w:t>
            </w:r>
          </w:p>
        </w:tc>
        <w:tc>
          <w:tcPr>
            <w:tcW w:w="187" w:type="pct"/>
            <w:tcBorders>
              <w:top w:val="nil"/>
              <w:left w:val="nil"/>
              <w:bottom w:val="single" w:color="000000" w:sz="4" w:space="0"/>
              <w:right w:val="single" w:color="000000" w:sz="4" w:space="0"/>
            </w:tcBorders>
            <w:shd w:val="clear" w:color="auto" w:fill="auto"/>
            <w:vAlign w:val="center"/>
          </w:tcPr>
          <w:p w14:paraId="4585CA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96" w:type="pct"/>
            <w:tcBorders>
              <w:top w:val="nil"/>
              <w:left w:val="nil"/>
              <w:bottom w:val="single" w:color="000000" w:sz="4" w:space="0"/>
              <w:right w:val="single" w:color="000000" w:sz="4" w:space="0"/>
            </w:tcBorders>
            <w:shd w:val="clear" w:color="auto" w:fill="auto"/>
            <w:vAlign w:val="center"/>
          </w:tcPr>
          <w:p w14:paraId="338CA6B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276" w:type="pct"/>
            <w:tcBorders>
              <w:top w:val="nil"/>
              <w:left w:val="nil"/>
              <w:bottom w:val="single" w:color="000000" w:sz="4" w:space="0"/>
              <w:right w:val="single" w:color="000000" w:sz="4" w:space="0"/>
            </w:tcBorders>
            <w:shd w:val="clear" w:color="auto" w:fill="auto"/>
            <w:vAlign w:val="center"/>
          </w:tcPr>
          <w:p w14:paraId="14B912D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2" w:type="pct"/>
            <w:tcBorders>
              <w:top w:val="nil"/>
              <w:left w:val="nil"/>
              <w:bottom w:val="single" w:color="000000" w:sz="4" w:space="0"/>
              <w:right w:val="single" w:color="000000" w:sz="4" w:space="0"/>
            </w:tcBorders>
            <w:shd w:val="clear" w:color="auto" w:fill="auto"/>
            <w:vAlign w:val="center"/>
          </w:tcPr>
          <w:p w14:paraId="7FD262E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89" w:type="pct"/>
            <w:tcBorders>
              <w:top w:val="nil"/>
              <w:left w:val="nil"/>
              <w:bottom w:val="single" w:color="000000" w:sz="4" w:space="0"/>
              <w:right w:val="single" w:color="000000" w:sz="4" w:space="0"/>
            </w:tcBorders>
            <w:shd w:val="clear" w:color="auto" w:fill="auto"/>
            <w:vAlign w:val="center"/>
          </w:tcPr>
          <w:p w14:paraId="1848B90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22</w:t>
            </w:r>
          </w:p>
        </w:tc>
        <w:tc>
          <w:tcPr>
            <w:tcW w:w="243" w:type="pct"/>
            <w:tcBorders>
              <w:top w:val="nil"/>
              <w:left w:val="nil"/>
              <w:bottom w:val="single" w:color="000000" w:sz="4" w:space="0"/>
              <w:right w:val="single" w:color="000000" w:sz="4" w:space="0"/>
            </w:tcBorders>
            <w:shd w:val="clear" w:color="auto" w:fill="auto"/>
            <w:vAlign w:val="center"/>
          </w:tcPr>
          <w:p w14:paraId="776E5D2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w:t>
            </w:r>
          </w:p>
        </w:tc>
        <w:tc>
          <w:tcPr>
            <w:tcW w:w="1049" w:type="pct"/>
            <w:tcBorders>
              <w:top w:val="nil"/>
              <w:left w:val="nil"/>
              <w:bottom w:val="single" w:color="000000" w:sz="4" w:space="0"/>
              <w:right w:val="single" w:color="000000" w:sz="4" w:space="0"/>
            </w:tcBorders>
            <w:shd w:val="clear" w:color="auto" w:fill="auto"/>
            <w:vAlign w:val="center"/>
          </w:tcPr>
          <w:p w14:paraId="3E88CB66">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35190CBA">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2C0F63AB">
            <w:pPr>
              <w:widowControl/>
              <w:jc w:val="left"/>
              <w:rPr>
                <w:rFonts w:ascii="宋体" w:hAnsi="宋体" w:eastAsia="宋体" w:cs="宋体"/>
                <w:color w:val="000000"/>
                <w:sz w:val="18"/>
                <w:szCs w:val="18"/>
              </w:rPr>
            </w:pPr>
          </w:p>
        </w:tc>
        <w:tc>
          <w:tcPr>
            <w:tcW w:w="590" w:type="pct"/>
            <w:tcBorders>
              <w:top w:val="nil"/>
              <w:left w:val="nil"/>
              <w:bottom w:val="single" w:color="000000" w:sz="4" w:space="0"/>
              <w:right w:val="single" w:color="000000" w:sz="4" w:space="0"/>
            </w:tcBorders>
            <w:shd w:val="clear" w:color="auto" w:fill="auto"/>
            <w:vAlign w:val="center"/>
          </w:tcPr>
          <w:p w14:paraId="6F37332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520" w:type="pct"/>
            <w:tcBorders>
              <w:top w:val="nil"/>
              <w:left w:val="nil"/>
              <w:bottom w:val="single" w:color="000000" w:sz="4" w:space="0"/>
              <w:right w:val="single" w:color="000000" w:sz="4" w:space="0"/>
            </w:tcBorders>
            <w:shd w:val="clear" w:color="auto" w:fill="auto"/>
            <w:vAlign w:val="center"/>
          </w:tcPr>
          <w:p w14:paraId="43027F5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738" w:type="pct"/>
            <w:tcBorders>
              <w:top w:val="nil"/>
              <w:left w:val="nil"/>
              <w:bottom w:val="single" w:color="000000" w:sz="4" w:space="0"/>
              <w:right w:val="single" w:color="000000" w:sz="4" w:space="0"/>
            </w:tcBorders>
            <w:shd w:val="clear" w:color="auto" w:fill="auto"/>
            <w:vAlign w:val="center"/>
          </w:tcPr>
          <w:p w14:paraId="1AD3996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187" w:type="pct"/>
            <w:tcBorders>
              <w:top w:val="nil"/>
              <w:left w:val="nil"/>
              <w:bottom w:val="single" w:color="000000" w:sz="4" w:space="0"/>
              <w:right w:val="single" w:color="000000" w:sz="4" w:space="0"/>
            </w:tcBorders>
            <w:shd w:val="clear" w:color="auto" w:fill="auto"/>
            <w:vAlign w:val="center"/>
          </w:tcPr>
          <w:p w14:paraId="5560C37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596" w:type="pct"/>
            <w:tcBorders>
              <w:top w:val="nil"/>
              <w:left w:val="nil"/>
              <w:bottom w:val="single" w:color="000000" w:sz="4" w:space="0"/>
              <w:right w:val="single" w:color="000000" w:sz="4" w:space="0"/>
            </w:tcBorders>
            <w:shd w:val="clear" w:color="auto" w:fill="auto"/>
            <w:vAlign w:val="center"/>
          </w:tcPr>
          <w:p w14:paraId="08428A1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276" w:type="pct"/>
            <w:tcBorders>
              <w:top w:val="nil"/>
              <w:left w:val="nil"/>
              <w:bottom w:val="single" w:color="000000" w:sz="4" w:space="0"/>
              <w:right w:val="single" w:color="000000" w:sz="4" w:space="0"/>
            </w:tcBorders>
            <w:shd w:val="clear" w:color="auto" w:fill="auto"/>
            <w:vAlign w:val="center"/>
          </w:tcPr>
          <w:p w14:paraId="128316B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2" w:type="pct"/>
            <w:tcBorders>
              <w:top w:val="nil"/>
              <w:left w:val="nil"/>
              <w:bottom w:val="single" w:color="000000" w:sz="4" w:space="0"/>
              <w:right w:val="single" w:color="000000" w:sz="4" w:space="0"/>
            </w:tcBorders>
            <w:shd w:val="clear" w:color="auto" w:fill="auto"/>
            <w:vAlign w:val="center"/>
          </w:tcPr>
          <w:p w14:paraId="6FB9CF7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89" w:type="pct"/>
            <w:tcBorders>
              <w:top w:val="nil"/>
              <w:left w:val="nil"/>
              <w:bottom w:val="single" w:color="000000" w:sz="4" w:space="0"/>
              <w:right w:val="single" w:color="000000" w:sz="4" w:space="0"/>
            </w:tcBorders>
            <w:shd w:val="clear" w:color="auto" w:fill="auto"/>
            <w:vAlign w:val="center"/>
          </w:tcPr>
          <w:p w14:paraId="61ECCF3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43" w:type="pct"/>
            <w:tcBorders>
              <w:top w:val="nil"/>
              <w:left w:val="nil"/>
              <w:bottom w:val="single" w:color="000000" w:sz="4" w:space="0"/>
              <w:right w:val="single" w:color="000000" w:sz="4" w:space="0"/>
            </w:tcBorders>
            <w:shd w:val="clear" w:color="auto" w:fill="auto"/>
            <w:vAlign w:val="center"/>
          </w:tcPr>
          <w:p w14:paraId="6D73279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49" w:type="pct"/>
            <w:tcBorders>
              <w:top w:val="nil"/>
              <w:left w:val="nil"/>
              <w:bottom w:val="single" w:color="000000" w:sz="4" w:space="0"/>
              <w:right w:val="single" w:color="000000" w:sz="4" w:space="0"/>
            </w:tcBorders>
            <w:shd w:val="clear" w:color="auto" w:fill="auto"/>
            <w:vAlign w:val="center"/>
          </w:tcPr>
          <w:p w14:paraId="3DB56C1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0610C79">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476AEE51">
            <w:pPr>
              <w:widowControl/>
              <w:jc w:val="left"/>
              <w:rPr>
                <w:rFonts w:ascii="宋体" w:hAnsi="宋体" w:eastAsia="宋体" w:cs="宋体"/>
                <w:color w:val="000000"/>
                <w:sz w:val="18"/>
                <w:szCs w:val="18"/>
              </w:rPr>
            </w:pPr>
          </w:p>
        </w:tc>
        <w:tc>
          <w:tcPr>
            <w:tcW w:w="590" w:type="pct"/>
            <w:tcBorders>
              <w:top w:val="nil"/>
              <w:left w:val="nil"/>
              <w:bottom w:val="single" w:color="000000" w:sz="4" w:space="0"/>
              <w:right w:val="single" w:color="000000" w:sz="4" w:space="0"/>
            </w:tcBorders>
            <w:shd w:val="clear" w:color="auto" w:fill="auto"/>
            <w:vAlign w:val="center"/>
          </w:tcPr>
          <w:p w14:paraId="7AE11A2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520" w:type="pct"/>
            <w:tcBorders>
              <w:top w:val="nil"/>
              <w:left w:val="nil"/>
              <w:bottom w:val="single" w:color="000000" w:sz="4" w:space="0"/>
              <w:right w:val="single" w:color="000000" w:sz="4" w:space="0"/>
            </w:tcBorders>
            <w:shd w:val="clear" w:color="auto" w:fill="auto"/>
            <w:vAlign w:val="center"/>
          </w:tcPr>
          <w:p w14:paraId="71A7F59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738" w:type="pct"/>
            <w:tcBorders>
              <w:top w:val="nil"/>
              <w:left w:val="nil"/>
              <w:bottom w:val="single" w:color="000000" w:sz="4" w:space="0"/>
              <w:right w:val="single" w:color="000000" w:sz="4" w:space="0"/>
            </w:tcBorders>
            <w:shd w:val="clear" w:color="auto" w:fill="auto"/>
            <w:vAlign w:val="center"/>
          </w:tcPr>
          <w:p w14:paraId="367BC56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调解案件补贴</w:t>
            </w:r>
          </w:p>
        </w:tc>
        <w:tc>
          <w:tcPr>
            <w:tcW w:w="187" w:type="pct"/>
            <w:tcBorders>
              <w:top w:val="nil"/>
              <w:left w:val="nil"/>
              <w:bottom w:val="single" w:color="000000" w:sz="4" w:space="0"/>
              <w:right w:val="single" w:color="000000" w:sz="4" w:space="0"/>
            </w:tcBorders>
            <w:shd w:val="clear" w:color="auto" w:fill="auto"/>
            <w:vAlign w:val="center"/>
          </w:tcPr>
          <w:p w14:paraId="3F09DD6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96" w:type="pct"/>
            <w:tcBorders>
              <w:top w:val="nil"/>
              <w:left w:val="nil"/>
              <w:bottom w:val="single" w:color="000000" w:sz="4" w:space="0"/>
              <w:right w:val="single" w:color="000000" w:sz="4" w:space="0"/>
            </w:tcBorders>
            <w:shd w:val="clear" w:color="auto" w:fill="auto"/>
            <w:vAlign w:val="center"/>
          </w:tcPr>
          <w:p w14:paraId="51B1287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76" w:type="pct"/>
            <w:tcBorders>
              <w:top w:val="nil"/>
              <w:left w:val="nil"/>
              <w:bottom w:val="single" w:color="000000" w:sz="4" w:space="0"/>
              <w:right w:val="single" w:color="000000" w:sz="4" w:space="0"/>
            </w:tcBorders>
            <w:shd w:val="clear" w:color="auto" w:fill="auto"/>
            <w:vAlign w:val="center"/>
          </w:tcPr>
          <w:p w14:paraId="350E17E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元/人·次</w:t>
            </w:r>
          </w:p>
        </w:tc>
        <w:tc>
          <w:tcPr>
            <w:tcW w:w="402" w:type="pct"/>
            <w:tcBorders>
              <w:top w:val="nil"/>
              <w:left w:val="nil"/>
              <w:bottom w:val="single" w:color="000000" w:sz="4" w:space="0"/>
              <w:right w:val="single" w:color="000000" w:sz="4" w:space="0"/>
            </w:tcBorders>
            <w:shd w:val="clear" w:color="auto" w:fill="auto"/>
            <w:vAlign w:val="center"/>
          </w:tcPr>
          <w:p w14:paraId="224BD93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100</w:t>
            </w:r>
          </w:p>
        </w:tc>
        <w:tc>
          <w:tcPr>
            <w:tcW w:w="189" w:type="pct"/>
            <w:tcBorders>
              <w:top w:val="nil"/>
              <w:left w:val="nil"/>
              <w:bottom w:val="single" w:color="000000" w:sz="4" w:space="0"/>
              <w:right w:val="single" w:color="000000" w:sz="4" w:space="0"/>
            </w:tcBorders>
            <w:shd w:val="clear" w:color="auto" w:fill="auto"/>
            <w:vAlign w:val="center"/>
          </w:tcPr>
          <w:p w14:paraId="4361788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18</w:t>
            </w:r>
          </w:p>
        </w:tc>
        <w:tc>
          <w:tcPr>
            <w:tcW w:w="243" w:type="pct"/>
            <w:tcBorders>
              <w:top w:val="nil"/>
              <w:left w:val="nil"/>
              <w:bottom w:val="single" w:color="000000" w:sz="4" w:space="0"/>
              <w:right w:val="single" w:color="000000" w:sz="4" w:space="0"/>
            </w:tcBorders>
            <w:shd w:val="clear" w:color="auto" w:fill="auto"/>
            <w:vAlign w:val="center"/>
          </w:tcPr>
          <w:p w14:paraId="231B95B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18</w:t>
            </w:r>
          </w:p>
        </w:tc>
        <w:tc>
          <w:tcPr>
            <w:tcW w:w="1049" w:type="pct"/>
            <w:tcBorders>
              <w:top w:val="nil"/>
              <w:left w:val="nil"/>
              <w:bottom w:val="single" w:color="000000" w:sz="4" w:space="0"/>
              <w:right w:val="single" w:color="000000" w:sz="4" w:space="0"/>
            </w:tcBorders>
            <w:shd w:val="clear" w:color="auto" w:fill="auto"/>
            <w:vAlign w:val="center"/>
          </w:tcPr>
          <w:p w14:paraId="2F47F516">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5C54E2C2">
        <w:tblPrEx>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DA1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590" w:type="pct"/>
            <w:tcBorders>
              <w:top w:val="nil"/>
              <w:left w:val="nil"/>
              <w:bottom w:val="single" w:color="000000" w:sz="4" w:space="0"/>
              <w:right w:val="single" w:color="000000" w:sz="4" w:space="0"/>
            </w:tcBorders>
            <w:shd w:val="clear" w:color="auto" w:fill="auto"/>
            <w:vAlign w:val="center"/>
          </w:tcPr>
          <w:p w14:paraId="130099F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20" w:type="pct"/>
            <w:tcBorders>
              <w:top w:val="nil"/>
              <w:left w:val="nil"/>
              <w:bottom w:val="single" w:color="000000" w:sz="4" w:space="0"/>
              <w:right w:val="single" w:color="000000" w:sz="4" w:space="0"/>
            </w:tcBorders>
            <w:shd w:val="clear" w:color="auto" w:fill="auto"/>
            <w:vAlign w:val="center"/>
          </w:tcPr>
          <w:p w14:paraId="6DB299C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38" w:type="pct"/>
            <w:tcBorders>
              <w:top w:val="nil"/>
              <w:left w:val="nil"/>
              <w:bottom w:val="single" w:color="000000" w:sz="4" w:space="0"/>
              <w:right w:val="single" w:color="000000" w:sz="4" w:space="0"/>
            </w:tcBorders>
            <w:shd w:val="clear" w:color="auto" w:fill="auto"/>
            <w:vAlign w:val="center"/>
          </w:tcPr>
          <w:p w14:paraId="07C92A5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7" w:type="pct"/>
            <w:tcBorders>
              <w:top w:val="nil"/>
              <w:left w:val="nil"/>
              <w:bottom w:val="single" w:color="000000" w:sz="4" w:space="0"/>
              <w:right w:val="single" w:color="000000" w:sz="4" w:space="0"/>
            </w:tcBorders>
            <w:shd w:val="clear" w:color="auto" w:fill="auto"/>
            <w:vAlign w:val="center"/>
          </w:tcPr>
          <w:p w14:paraId="7D1CD66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96" w:type="pct"/>
            <w:tcBorders>
              <w:top w:val="nil"/>
              <w:left w:val="nil"/>
              <w:bottom w:val="single" w:color="000000" w:sz="4" w:space="0"/>
              <w:right w:val="single" w:color="000000" w:sz="4" w:space="0"/>
            </w:tcBorders>
            <w:shd w:val="clear" w:color="auto" w:fill="auto"/>
            <w:vAlign w:val="center"/>
          </w:tcPr>
          <w:p w14:paraId="625EF04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76" w:type="pct"/>
            <w:tcBorders>
              <w:top w:val="nil"/>
              <w:left w:val="nil"/>
              <w:bottom w:val="single" w:color="000000" w:sz="4" w:space="0"/>
              <w:right w:val="single" w:color="000000" w:sz="4" w:space="0"/>
            </w:tcBorders>
            <w:shd w:val="clear" w:color="auto" w:fill="auto"/>
            <w:vAlign w:val="center"/>
          </w:tcPr>
          <w:p w14:paraId="4DE21DD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2" w:type="pct"/>
            <w:tcBorders>
              <w:top w:val="nil"/>
              <w:left w:val="nil"/>
              <w:bottom w:val="single" w:color="000000" w:sz="4" w:space="0"/>
              <w:right w:val="single" w:color="000000" w:sz="4" w:space="0"/>
            </w:tcBorders>
            <w:shd w:val="clear" w:color="auto" w:fill="auto"/>
            <w:vAlign w:val="center"/>
          </w:tcPr>
          <w:p w14:paraId="5257F8F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14:paraId="5FA36D7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43" w:type="pct"/>
            <w:tcBorders>
              <w:top w:val="nil"/>
              <w:left w:val="nil"/>
              <w:bottom w:val="single" w:color="000000" w:sz="4" w:space="0"/>
              <w:right w:val="single" w:color="000000" w:sz="4" w:space="0"/>
            </w:tcBorders>
            <w:shd w:val="clear" w:color="auto" w:fill="auto"/>
            <w:vAlign w:val="center"/>
          </w:tcPr>
          <w:p w14:paraId="1979498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88.58</w:t>
            </w:r>
          </w:p>
        </w:tc>
        <w:tc>
          <w:tcPr>
            <w:tcW w:w="1049" w:type="pct"/>
            <w:tcBorders>
              <w:top w:val="nil"/>
              <w:left w:val="nil"/>
              <w:bottom w:val="single" w:color="000000" w:sz="4" w:space="0"/>
              <w:right w:val="single" w:color="000000" w:sz="4" w:space="0"/>
            </w:tcBorders>
            <w:shd w:val="clear" w:color="auto" w:fill="auto"/>
            <w:vAlign w:val="center"/>
          </w:tcPr>
          <w:p w14:paraId="28FAD55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08A63DD7">
        <w:tblPrEx>
          <w:tblCellMar>
            <w:top w:w="0" w:type="dxa"/>
            <w:left w:w="108" w:type="dxa"/>
            <w:bottom w:w="0" w:type="dxa"/>
            <w:right w:w="108" w:type="dxa"/>
          </w:tblCellMar>
        </w:tblPrEx>
        <w:trPr>
          <w:trHeight w:val="60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14A5E88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34A286D4">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存在预算执行率较低的情况，绩效评价得分“88.58”，评价等级为“良”。</w:t>
            </w:r>
          </w:p>
        </w:tc>
      </w:tr>
      <w:tr w14:paraId="0AF79953">
        <w:tblPrEx>
          <w:tblCellMar>
            <w:top w:w="0" w:type="dxa"/>
            <w:left w:w="108" w:type="dxa"/>
            <w:bottom w:w="0" w:type="dxa"/>
            <w:right w:w="108" w:type="dxa"/>
          </w:tblCellMar>
        </w:tblPrEx>
        <w:trPr>
          <w:trHeight w:val="57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2503806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6331C1AB">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项目需经过多级审批，但我区财政紧张，年底申请支付的财政未审批，导致执行率未较低。</w:t>
            </w:r>
          </w:p>
        </w:tc>
      </w:tr>
      <w:tr w14:paraId="4849B8FD">
        <w:tblPrEx>
          <w:tblCellMar>
            <w:top w:w="0" w:type="dxa"/>
            <w:left w:w="108" w:type="dxa"/>
            <w:bottom w:w="0" w:type="dxa"/>
            <w:right w:w="108" w:type="dxa"/>
          </w:tblCellMar>
        </w:tblPrEx>
        <w:trPr>
          <w:trHeight w:val="63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7735576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17DE9EFB">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我局应对加强与财政部门的沟通协调，建立定期的信息交流机制，及时掌握财政资金的下达情况，确保资金及时支付。</w:t>
            </w:r>
          </w:p>
        </w:tc>
      </w:tr>
      <w:tr w14:paraId="0A8EA435">
        <w:tblPrEx>
          <w:tblCellMar>
            <w:top w:w="0" w:type="dxa"/>
            <w:left w:w="108" w:type="dxa"/>
            <w:bottom w:w="0" w:type="dxa"/>
            <w:right w:w="108" w:type="dxa"/>
          </w:tblCellMar>
        </w:tblPrEx>
        <w:trPr>
          <w:trHeight w:val="619" w:hRule="atLeast"/>
        </w:trPr>
        <w:tc>
          <w:tcPr>
            <w:tcW w:w="22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41FCD5">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w:t>
            </w:r>
            <w:bookmarkStart w:id="133" w:name="OLE_LINK62"/>
            <w:bookmarkStart w:id="134" w:name="OLE_LINK63"/>
            <w:r>
              <w:rPr>
                <w:rFonts w:ascii="Courier New" w:hAnsi="Courier New" w:eastAsia="宋体" w:cs="Courier New"/>
                <w:color w:val="auto"/>
                <w:sz w:val="18"/>
                <w:szCs w:val="18"/>
              </w:rPr>
              <w:t>：</w:t>
            </w:r>
            <w:bookmarkStart w:id="135" w:name="OLE_LINK64"/>
            <w:bookmarkStart w:id="136" w:name="OLE_LINK61"/>
            <w:r>
              <w:rPr>
                <w:rFonts w:ascii="Courier New" w:hAnsi="Courier New" w:eastAsia="宋体" w:cs="Courier New"/>
                <w:color w:val="auto"/>
                <w:sz w:val="18"/>
                <w:szCs w:val="18"/>
              </w:rPr>
              <w:t>顾</w:t>
            </w:r>
            <w:bookmarkEnd w:id="133"/>
            <w:bookmarkEnd w:id="134"/>
            <w:r>
              <w:rPr>
                <w:rFonts w:ascii="Courier New" w:hAnsi="Courier New" w:eastAsia="宋体" w:cs="Courier New"/>
                <w:color w:val="auto"/>
                <w:sz w:val="18"/>
                <w:szCs w:val="18"/>
              </w:rPr>
              <w:t>震</w:t>
            </w:r>
            <w:bookmarkEnd w:id="135"/>
            <w:bookmarkEnd w:id="136"/>
          </w:p>
        </w:tc>
        <w:tc>
          <w:tcPr>
            <w:tcW w:w="2754" w:type="pct"/>
            <w:gridSpan w:val="6"/>
            <w:tcBorders>
              <w:top w:val="single" w:color="000000" w:sz="4" w:space="0"/>
              <w:left w:val="nil"/>
              <w:bottom w:val="single" w:color="000000" w:sz="4" w:space="0"/>
              <w:right w:val="single" w:color="000000" w:sz="4" w:space="0"/>
            </w:tcBorders>
            <w:shd w:val="clear" w:color="auto" w:fill="auto"/>
            <w:vAlign w:val="center"/>
          </w:tcPr>
          <w:p w14:paraId="409BAE20">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40001216">
      <w:pPr>
        <w:pStyle w:val="2"/>
        <w:numPr>
          <w:ilvl w:val="0"/>
          <w:numId w:val="0"/>
        </w:numPr>
        <w:ind w:left="360" w:hanging="360"/>
      </w:pPr>
    </w:p>
    <w:p w14:paraId="61BF1270">
      <w:pPr>
        <w:pStyle w:val="2"/>
        <w:numPr>
          <w:ilvl w:val="0"/>
          <w:numId w:val="0"/>
        </w:numPr>
        <w:ind w:left="360" w:hanging="360"/>
      </w:pPr>
    </w:p>
    <w:p w14:paraId="6594D543">
      <w:pPr>
        <w:pStyle w:val="2"/>
        <w:numPr>
          <w:ilvl w:val="0"/>
          <w:numId w:val="0"/>
        </w:numPr>
        <w:ind w:left="360" w:hanging="360"/>
      </w:pPr>
    </w:p>
    <w:p w14:paraId="748EE346">
      <w:pPr>
        <w:pStyle w:val="2"/>
        <w:numPr>
          <w:ilvl w:val="0"/>
          <w:numId w:val="0"/>
        </w:numPr>
        <w:ind w:left="360" w:hanging="360"/>
      </w:pPr>
    </w:p>
    <w:p w14:paraId="6BA831A4">
      <w:pPr>
        <w:pStyle w:val="2"/>
        <w:numPr>
          <w:ilvl w:val="0"/>
          <w:numId w:val="0"/>
        </w:numPr>
        <w:ind w:left="360" w:hanging="360"/>
      </w:pPr>
    </w:p>
    <w:p w14:paraId="63BA7894">
      <w:pPr>
        <w:pStyle w:val="2"/>
        <w:numPr>
          <w:ilvl w:val="0"/>
          <w:numId w:val="0"/>
        </w:numPr>
        <w:ind w:left="360" w:hanging="360"/>
      </w:pPr>
    </w:p>
    <w:p w14:paraId="2749E4F5">
      <w:pPr>
        <w:pStyle w:val="2"/>
        <w:numPr>
          <w:ilvl w:val="0"/>
          <w:numId w:val="0"/>
        </w:numPr>
        <w:ind w:left="360" w:hanging="360"/>
      </w:pPr>
    </w:p>
    <w:p w14:paraId="7E8E7B46">
      <w:pPr>
        <w:pStyle w:val="2"/>
        <w:numPr>
          <w:ilvl w:val="0"/>
          <w:numId w:val="0"/>
        </w:numPr>
        <w:ind w:left="360" w:hanging="360"/>
      </w:pPr>
    </w:p>
    <w:p w14:paraId="6C6AA7F9">
      <w:pPr>
        <w:pStyle w:val="2"/>
        <w:numPr>
          <w:ilvl w:val="0"/>
          <w:numId w:val="0"/>
        </w:numPr>
        <w:ind w:left="360" w:hanging="360"/>
      </w:pPr>
    </w:p>
    <w:p w14:paraId="76F6AB13">
      <w:pPr>
        <w:pStyle w:val="2"/>
        <w:numPr>
          <w:ilvl w:val="0"/>
          <w:numId w:val="0"/>
        </w:numPr>
        <w:ind w:left="360" w:hanging="360"/>
      </w:pPr>
    </w:p>
    <w:p w14:paraId="3F64C66F">
      <w:pPr>
        <w:pStyle w:val="2"/>
        <w:numPr>
          <w:ilvl w:val="0"/>
          <w:numId w:val="0"/>
        </w:numPr>
        <w:ind w:left="360" w:hanging="360"/>
      </w:pPr>
    </w:p>
    <w:p w14:paraId="07957AEC">
      <w:pPr>
        <w:pStyle w:val="2"/>
        <w:numPr>
          <w:ilvl w:val="0"/>
          <w:numId w:val="0"/>
        </w:numPr>
        <w:ind w:left="360" w:hanging="360"/>
      </w:pPr>
    </w:p>
    <w:p w14:paraId="0A046B6B">
      <w:pPr>
        <w:pStyle w:val="2"/>
        <w:numPr>
          <w:ilvl w:val="0"/>
          <w:numId w:val="0"/>
        </w:numPr>
        <w:ind w:left="360" w:hanging="360"/>
      </w:pPr>
    </w:p>
    <w:p w14:paraId="69F5514A">
      <w:pPr>
        <w:pStyle w:val="2"/>
        <w:numPr>
          <w:ilvl w:val="0"/>
          <w:numId w:val="0"/>
        </w:numPr>
        <w:ind w:left="360" w:hanging="360"/>
      </w:pPr>
    </w:p>
    <w:p w14:paraId="324E6BBE">
      <w:pPr>
        <w:pStyle w:val="2"/>
        <w:numPr>
          <w:ilvl w:val="0"/>
          <w:numId w:val="0"/>
        </w:numPr>
        <w:ind w:left="360" w:hanging="360"/>
      </w:pPr>
    </w:p>
    <w:p w14:paraId="20FC455D">
      <w:pPr>
        <w:pStyle w:val="2"/>
        <w:numPr>
          <w:ilvl w:val="0"/>
          <w:numId w:val="0"/>
        </w:numPr>
        <w:ind w:left="360" w:hanging="360"/>
      </w:pPr>
    </w:p>
    <w:p w14:paraId="20294D42">
      <w:pPr>
        <w:pStyle w:val="2"/>
        <w:numPr>
          <w:ilvl w:val="0"/>
          <w:numId w:val="0"/>
        </w:numPr>
        <w:ind w:left="360" w:hanging="360"/>
      </w:pPr>
    </w:p>
    <w:p w14:paraId="3F4ECD38">
      <w:pPr>
        <w:pStyle w:val="2"/>
        <w:numPr>
          <w:ilvl w:val="0"/>
          <w:numId w:val="0"/>
        </w:numPr>
        <w:ind w:left="360" w:hanging="360"/>
      </w:pPr>
    </w:p>
    <w:p w14:paraId="2C76F015">
      <w:pPr>
        <w:pStyle w:val="2"/>
        <w:numPr>
          <w:ilvl w:val="0"/>
          <w:numId w:val="0"/>
        </w:numPr>
        <w:ind w:left="360" w:hanging="360"/>
      </w:pPr>
    </w:p>
    <w:p w14:paraId="167A8D00">
      <w:pPr>
        <w:pStyle w:val="2"/>
        <w:numPr>
          <w:ilvl w:val="0"/>
          <w:numId w:val="0"/>
        </w:numPr>
        <w:ind w:left="360" w:hanging="360"/>
      </w:pPr>
    </w:p>
    <w:tbl>
      <w:tblPr>
        <w:tblStyle w:val="36"/>
        <w:tblW w:w="5000" w:type="pct"/>
        <w:tblInd w:w="0" w:type="dxa"/>
        <w:tblLayout w:type="autofit"/>
        <w:tblCellMar>
          <w:top w:w="0" w:type="dxa"/>
          <w:left w:w="108" w:type="dxa"/>
          <w:bottom w:w="0" w:type="dxa"/>
          <w:right w:w="108" w:type="dxa"/>
        </w:tblCellMar>
      </w:tblPr>
      <w:tblGrid>
        <w:gridCol w:w="576"/>
        <w:gridCol w:w="988"/>
        <w:gridCol w:w="853"/>
        <w:gridCol w:w="1269"/>
        <w:gridCol w:w="396"/>
        <w:gridCol w:w="999"/>
        <w:gridCol w:w="396"/>
        <w:gridCol w:w="756"/>
        <w:gridCol w:w="486"/>
        <w:gridCol w:w="666"/>
        <w:gridCol w:w="1857"/>
      </w:tblGrid>
      <w:tr w14:paraId="7004DF87">
        <w:tblPrEx>
          <w:tblCellMar>
            <w:top w:w="0" w:type="dxa"/>
            <w:left w:w="108" w:type="dxa"/>
            <w:bottom w:w="0" w:type="dxa"/>
            <w:right w:w="108" w:type="dxa"/>
          </w:tblCellMar>
        </w:tblPrEx>
        <w:trPr>
          <w:trHeight w:val="904"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1636667">
            <w:pPr>
              <w:widowControl/>
              <w:jc w:val="center"/>
              <w:rPr>
                <w:rFonts w:ascii="宋体" w:hAnsi="宋体" w:eastAsia="宋体" w:cs="宋体"/>
                <w:b/>
                <w:bCs/>
                <w:color w:val="000000"/>
                <w:sz w:val="40"/>
                <w:szCs w:val="40"/>
              </w:rPr>
            </w:pPr>
            <w:r>
              <w:rPr>
                <w:rFonts w:hint="eastAsia" w:ascii="宋体" w:hAnsi="宋体" w:eastAsia="宋体" w:cs="宋体"/>
                <w:b/>
                <w:bCs/>
                <w:color w:val="000000"/>
                <w:sz w:val="40"/>
                <w:szCs w:val="40"/>
              </w:rPr>
              <w:t>部门预算项目支出绩效自评表</w:t>
            </w:r>
          </w:p>
        </w:tc>
      </w:tr>
      <w:tr w14:paraId="41B9C9E6">
        <w:tblPrEx>
          <w:tblCellMar>
            <w:top w:w="0" w:type="dxa"/>
            <w:left w:w="108" w:type="dxa"/>
            <w:bottom w:w="0" w:type="dxa"/>
            <w:right w:w="108" w:type="dxa"/>
          </w:tblCellMar>
        </w:tblPrEx>
        <w:trPr>
          <w:trHeight w:val="559" w:hRule="atLeast"/>
        </w:trPr>
        <w:tc>
          <w:tcPr>
            <w:tcW w:w="814" w:type="pct"/>
            <w:gridSpan w:val="2"/>
            <w:tcBorders>
              <w:top w:val="nil"/>
              <w:left w:val="single" w:color="auto" w:sz="4" w:space="0"/>
              <w:bottom w:val="single" w:color="000000" w:sz="4" w:space="0"/>
              <w:right w:val="single" w:color="auto" w:sz="4" w:space="0"/>
            </w:tcBorders>
            <w:shd w:val="clear" w:color="auto" w:fill="auto"/>
            <w:vAlign w:val="center"/>
          </w:tcPr>
          <w:p w14:paraId="1F59B177">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项目名称</w:t>
            </w:r>
          </w:p>
        </w:tc>
        <w:tc>
          <w:tcPr>
            <w:tcW w:w="4186" w:type="pct"/>
            <w:gridSpan w:val="9"/>
            <w:tcBorders>
              <w:top w:val="nil"/>
              <w:left w:val="nil"/>
              <w:bottom w:val="single" w:color="000000" w:sz="4" w:space="0"/>
              <w:right w:val="single" w:color="auto" w:sz="4" w:space="0"/>
            </w:tcBorders>
            <w:shd w:val="clear" w:color="auto" w:fill="auto"/>
            <w:vAlign w:val="center"/>
          </w:tcPr>
          <w:p w14:paraId="651D9D16">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51090422T000000378429-依法治区</w:t>
            </w:r>
          </w:p>
        </w:tc>
      </w:tr>
      <w:tr w14:paraId="4814AFFA">
        <w:tblPrEx>
          <w:tblCellMar>
            <w:top w:w="0" w:type="dxa"/>
            <w:left w:w="108" w:type="dxa"/>
            <w:bottom w:w="0" w:type="dxa"/>
            <w:right w:w="108" w:type="dxa"/>
          </w:tblCellMar>
        </w:tblPrEx>
        <w:trPr>
          <w:trHeight w:val="514" w:hRule="atLeast"/>
        </w:trPr>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E7791">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主管部门</w:t>
            </w:r>
          </w:p>
        </w:tc>
        <w:tc>
          <w:tcPr>
            <w:tcW w:w="2273" w:type="pct"/>
            <w:gridSpan w:val="5"/>
            <w:tcBorders>
              <w:top w:val="single" w:color="000000" w:sz="4" w:space="0"/>
              <w:left w:val="nil"/>
              <w:bottom w:val="single" w:color="000000" w:sz="4" w:space="0"/>
              <w:right w:val="single" w:color="000000" w:sz="4" w:space="0"/>
            </w:tcBorders>
            <w:shd w:val="clear" w:color="auto" w:fill="auto"/>
            <w:vAlign w:val="center"/>
          </w:tcPr>
          <w:p w14:paraId="17976D1F">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c>
          <w:tcPr>
            <w:tcW w:w="407" w:type="pct"/>
            <w:tcBorders>
              <w:top w:val="nil"/>
              <w:left w:val="nil"/>
              <w:bottom w:val="nil"/>
              <w:right w:val="nil"/>
            </w:tcBorders>
            <w:shd w:val="clear" w:color="auto" w:fill="auto"/>
            <w:vAlign w:val="center"/>
          </w:tcPr>
          <w:p w14:paraId="7DAEA29C">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 xml:space="preserve">实施单位 </w:t>
            </w:r>
          </w:p>
        </w:tc>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BC8A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遂宁市安居区司法局</w:t>
            </w:r>
          </w:p>
        </w:tc>
      </w:tr>
      <w:tr w14:paraId="7BB55FBE">
        <w:tblPrEx>
          <w:tblCellMar>
            <w:top w:w="0" w:type="dxa"/>
            <w:left w:w="108" w:type="dxa"/>
            <w:bottom w:w="0" w:type="dxa"/>
            <w:right w:w="108" w:type="dxa"/>
          </w:tblCellMar>
        </w:tblPrEx>
        <w:trPr>
          <w:trHeight w:val="360"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6D29EABB">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项目基本情况</w:t>
            </w:r>
          </w:p>
        </w:tc>
        <w:tc>
          <w:tcPr>
            <w:tcW w:w="602" w:type="pct"/>
            <w:vMerge w:val="restart"/>
            <w:tcBorders>
              <w:top w:val="nil"/>
              <w:left w:val="single" w:color="000000" w:sz="4" w:space="0"/>
              <w:bottom w:val="single" w:color="000000" w:sz="4" w:space="0"/>
              <w:right w:val="single" w:color="000000" w:sz="4" w:space="0"/>
            </w:tcBorders>
            <w:shd w:val="clear" w:color="auto" w:fill="auto"/>
            <w:vAlign w:val="center"/>
          </w:tcPr>
          <w:p w14:paraId="6441331B">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1.项目年度目标完成情况</w:t>
            </w:r>
          </w:p>
        </w:tc>
        <w:tc>
          <w:tcPr>
            <w:tcW w:w="2273" w:type="pct"/>
            <w:gridSpan w:val="5"/>
            <w:tcBorders>
              <w:top w:val="single" w:color="000000" w:sz="4" w:space="0"/>
              <w:left w:val="nil"/>
              <w:bottom w:val="single" w:color="000000" w:sz="4" w:space="0"/>
              <w:right w:val="single" w:color="000000" w:sz="4" w:space="0"/>
            </w:tcBorders>
            <w:shd w:val="clear" w:color="auto" w:fill="auto"/>
            <w:vAlign w:val="center"/>
          </w:tcPr>
          <w:p w14:paraId="2B6D133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项目年度目标</w:t>
            </w:r>
          </w:p>
        </w:tc>
        <w:tc>
          <w:tcPr>
            <w:tcW w:w="1914" w:type="pct"/>
            <w:gridSpan w:val="4"/>
            <w:tcBorders>
              <w:top w:val="single" w:color="000000" w:sz="4" w:space="0"/>
              <w:left w:val="nil"/>
              <w:bottom w:val="single" w:color="000000" w:sz="4" w:space="0"/>
              <w:right w:val="single" w:color="000000" w:sz="4" w:space="0"/>
            </w:tcBorders>
            <w:shd w:val="clear" w:color="auto" w:fill="auto"/>
            <w:vAlign w:val="center"/>
          </w:tcPr>
          <w:p w14:paraId="696F6BBE">
            <w:pPr>
              <w:widowControl/>
              <w:jc w:val="center"/>
              <w:rPr>
                <w:rFonts w:ascii="Courier New" w:hAnsi="Courier New" w:eastAsia="宋体" w:cs="Courier New"/>
                <w:color w:val="000000"/>
                <w:sz w:val="18"/>
                <w:szCs w:val="18"/>
              </w:rPr>
            </w:pPr>
            <w:r>
              <w:rPr>
                <w:rFonts w:ascii="Courier New" w:hAnsi="Courier New" w:eastAsia="宋体" w:cs="Courier New"/>
                <w:color w:val="000000"/>
                <w:sz w:val="18"/>
                <w:szCs w:val="18"/>
              </w:rPr>
              <w:t>年度目标完成情况</w:t>
            </w:r>
          </w:p>
        </w:tc>
      </w:tr>
      <w:tr w14:paraId="2C4564B6">
        <w:tblPrEx>
          <w:tblCellMar>
            <w:top w:w="0" w:type="dxa"/>
            <w:left w:w="108" w:type="dxa"/>
            <w:bottom w:w="0" w:type="dxa"/>
            <w:right w:w="108" w:type="dxa"/>
          </w:tblCellMar>
        </w:tblPrEx>
        <w:trPr>
          <w:trHeight w:val="2682" w:hRule="atLeast"/>
        </w:trPr>
        <w:tc>
          <w:tcPr>
            <w:tcW w:w="211" w:type="pct"/>
            <w:vMerge w:val="continue"/>
            <w:tcBorders>
              <w:top w:val="nil"/>
              <w:left w:val="single" w:color="000000" w:sz="4" w:space="0"/>
              <w:bottom w:val="single" w:color="000000" w:sz="4" w:space="0"/>
              <w:right w:val="single" w:color="000000" w:sz="4" w:space="0"/>
            </w:tcBorders>
            <w:vAlign w:val="center"/>
          </w:tcPr>
          <w:p w14:paraId="77B80E7D">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0C20E497">
            <w:pPr>
              <w:widowControl/>
              <w:jc w:val="left"/>
              <w:rPr>
                <w:rFonts w:ascii="宋体" w:hAnsi="宋体" w:eastAsia="宋体" w:cs="宋体"/>
                <w:color w:val="000000"/>
                <w:sz w:val="18"/>
                <w:szCs w:val="18"/>
              </w:rPr>
            </w:pPr>
          </w:p>
        </w:tc>
        <w:tc>
          <w:tcPr>
            <w:tcW w:w="2273" w:type="pct"/>
            <w:gridSpan w:val="5"/>
            <w:tcBorders>
              <w:top w:val="single" w:color="000000" w:sz="4" w:space="0"/>
              <w:left w:val="nil"/>
              <w:bottom w:val="single" w:color="000000" w:sz="4" w:space="0"/>
              <w:right w:val="single" w:color="000000" w:sz="4" w:space="0"/>
            </w:tcBorders>
            <w:shd w:val="clear" w:color="auto" w:fill="auto"/>
            <w:vAlign w:val="center"/>
          </w:tcPr>
          <w:p w14:paraId="0BC2FBA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根据《中共遂宁市安居区委全面依法治区委员会关于印发&lt;中共遂宁市安居区委全面依法治区委员会2021年工作要点&gt;的通知》（遂安法委发〔2021〕2号 ）文件进行预算，主要用于：1.全区法治氛围的营造；2.安居区法治示范点位打造（包括海龙村、金鸡村、三门村等乡村振兴示范村的打造）；3.安居区法治阵地、法治教育基地（包括和谐广场、凤舞琼花公园、七彩明珠）宣传内容的更新及设施的维护；4.法治安居公众号维护费用。</w:t>
            </w:r>
          </w:p>
        </w:tc>
        <w:tc>
          <w:tcPr>
            <w:tcW w:w="1914" w:type="pct"/>
            <w:gridSpan w:val="4"/>
            <w:tcBorders>
              <w:top w:val="single" w:color="000000" w:sz="4" w:space="0"/>
              <w:left w:val="nil"/>
              <w:bottom w:val="single" w:color="000000" w:sz="4" w:space="0"/>
              <w:right w:val="single" w:color="000000" w:sz="4" w:space="0"/>
            </w:tcBorders>
            <w:shd w:val="clear" w:color="auto" w:fill="auto"/>
            <w:vAlign w:val="center"/>
          </w:tcPr>
          <w:p w14:paraId="1A62DCE9">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一是纵深推进依法治区建设。组织召开五届区委全面依法治区委员会第三次（扩大）会议、起草并制发2024年工作要点，做好市区法治建设工作督察反馈问题整改。二是大力提升合法性审查效能。以更好服务政府依法决策为目标，切实发挥好法治参谋助手作用，全年共对309件政府重大事项进行了合法性审查，出具书面审查意见182份。</w:t>
            </w:r>
          </w:p>
        </w:tc>
      </w:tr>
      <w:tr w14:paraId="35AFF52F">
        <w:tblPrEx>
          <w:tblCellMar>
            <w:top w:w="0" w:type="dxa"/>
            <w:left w:w="108" w:type="dxa"/>
            <w:bottom w:w="0" w:type="dxa"/>
            <w:right w:w="108" w:type="dxa"/>
          </w:tblCellMar>
        </w:tblPrEx>
        <w:trPr>
          <w:trHeight w:val="1140" w:hRule="atLeast"/>
        </w:trPr>
        <w:tc>
          <w:tcPr>
            <w:tcW w:w="211" w:type="pct"/>
            <w:vMerge w:val="continue"/>
            <w:tcBorders>
              <w:top w:val="nil"/>
              <w:left w:val="single" w:color="000000" w:sz="4" w:space="0"/>
              <w:bottom w:val="single" w:color="000000" w:sz="4" w:space="0"/>
              <w:right w:val="single" w:color="000000" w:sz="4" w:space="0"/>
            </w:tcBorders>
            <w:vAlign w:val="center"/>
          </w:tcPr>
          <w:p w14:paraId="1A8C585E">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769282F5">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2.项目实施内容及过程概述</w:t>
            </w:r>
          </w:p>
        </w:tc>
        <w:tc>
          <w:tcPr>
            <w:tcW w:w="4186" w:type="pct"/>
            <w:gridSpan w:val="9"/>
            <w:tcBorders>
              <w:top w:val="single" w:color="000000" w:sz="4" w:space="0"/>
              <w:left w:val="nil"/>
              <w:bottom w:val="single" w:color="000000" w:sz="4" w:space="0"/>
              <w:right w:val="single" w:color="000000" w:sz="4" w:space="0"/>
            </w:tcBorders>
            <w:shd w:val="clear" w:color="auto" w:fill="auto"/>
            <w:vAlign w:val="center"/>
          </w:tcPr>
          <w:p w14:paraId="38216924">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一是纵深推进依法治区建设。组织召开五届区委全面依法治区委员会第三次（扩大）会议、起草并制发2024年工作要点，做好市区法治建设工作督察反馈问题整改。二是大力提升合法性审查效能。以更好服务政府依法决策为目标，切实发挥好法治参谋助手作用，全年共对309件政府重大事项进行了合法性审查，出具书面审查意见182份。</w:t>
            </w:r>
          </w:p>
        </w:tc>
      </w:tr>
      <w:tr w14:paraId="7206C6C1">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5C2DE41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预算执行情况（10分）</w:t>
            </w:r>
          </w:p>
        </w:tc>
        <w:tc>
          <w:tcPr>
            <w:tcW w:w="602" w:type="pct"/>
            <w:tcBorders>
              <w:top w:val="nil"/>
              <w:left w:val="nil"/>
              <w:bottom w:val="single" w:color="000000" w:sz="4" w:space="0"/>
              <w:right w:val="single" w:color="000000" w:sz="4" w:space="0"/>
            </w:tcBorders>
            <w:shd w:val="clear" w:color="auto" w:fill="auto"/>
            <w:vAlign w:val="center"/>
          </w:tcPr>
          <w:p w14:paraId="2E01CC9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年度预算数   （万元）</w:t>
            </w:r>
          </w:p>
        </w:tc>
        <w:tc>
          <w:tcPr>
            <w:tcW w:w="530" w:type="pct"/>
            <w:tcBorders>
              <w:top w:val="nil"/>
              <w:left w:val="nil"/>
              <w:bottom w:val="single" w:color="000000" w:sz="4" w:space="0"/>
              <w:right w:val="single" w:color="000000" w:sz="4" w:space="0"/>
            </w:tcBorders>
            <w:shd w:val="clear" w:color="auto" w:fill="auto"/>
            <w:vAlign w:val="center"/>
          </w:tcPr>
          <w:p w14:paraId="272F0B6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年初预算</w:t>
            </w:r>
          </w:p>
        </w:tc>
        <w:tc>
          <w:tcPr>
            <w:tcW w:w="755" w:type="pct"/>
            <w:tcBorders>
              <w:top w:val="nil"/>
              <w:left w:val="nil"/>
              <w:bottom w:val="single" w:color="000000" w:sz="4" w:space="0"/>
              <w:right w:val="single" w:color="000000" w:sz="4" w:space="0"/>
            </w:tcBorders>
            <w:shd w:val="clear" w:color="auto" w:fill="auto"/>
            <w:vAlign w:val="center"/>
          </w:tcPr>
          <w:p w14:paraId="4DFC437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调整后预算数</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1BB94D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预算执行数</w:t>
            </w:r>
          </w:p>
        </w:tc>
        <w:tc>
          <w:tcPr>
            <w:tcW w:w="407" w:type="pct"/>
            <w:tcBorders>
              <w:top w:val="nil"/>
              <w:left w:val="nil"/>
              <w:bottom w:val="single" w:color="000000" w:sz="4" w:space="0"/>
              <w:right w:val="single" w:color="000000" w:sz="4" w:space="0"/>
            </w:tcBorders>
            <w:shd w:val="clear" w:color="auto" w:fill="auto"/>
            <w:vAlign w:val="center"/>
          </w:tcPr>
          <w:p w14:paraId="42319A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预算执行率</w:t>
            </w:r>
          </w:p>
        </w:tc>
        <w:tc>
          <w:tcPr>
            <w:tcW w:w="190" w:type="pct"/>
            <w:tcBorders>
              <w:top w:val="nil"/>
              <w:left w:val="nil"/>
              <w:bottom w:val="single" w:color="000000" w:sz="4" w:space="0"/>
              <w:right w:val="single" w:color="000000" w:sz="4" w:space="0"/>
            </w:tcBorders>
            <w:shd w:val="clear" w:color="auto" w:fill="auto"/>
            <w:vAlign w:val="center"/>
          </w:tcPr>
          <w:p w14:paraId="7DE012C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43" w:type="pct"/>
            <w:tcBorders>
              <w:top w:val="nil"/>
              <w:left w:val="nil"/>
              <w:bottom w:val="single" w:color="000000" w:sz="4" w:space="0"/>
              <w:right w:val="single" w:color="000000" w:sz="4" w:space="0"/>
            </w:tcBorders>
            <w:shd w:val="clear" w:color="auto" w:fill="auto"/>
            <w:vAlign w:val="center"/>
          </w:tcPr>
          <w:p w14:paraId="1B679E9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74" w:type="pct"/>
            <w:tcBorders>
              <w:top w:val="nil"/>
              <w:left w:val="nil"/>
              <w:bottom w:val="single" w:color="000000" w:sz="4" w:space="0"/>
              <w:right w:val="single" w:color="000000" w:sz="4" w:space="0"/>
            </w:tcBorders>
            <w:shd w:val="clear" w:color="auto" w:fill="auto"/>
            <w:vAlign w:val="center"/>
          </w:tcPr>
          <w:p w14:paraId="0A6594A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原因</w:t>
            </w:r>
          </w:p>
        </w:tc>
      </w:tr>
      <w:tr w14:paraId="763B74EE">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3D082232">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71B0203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总额</w:t>
            </w:r>
          </w:p>
        </w:tc>
        <w:tc>
          <w:tcPr>
            <w:tcW w:w="530" w:type="pct"/>
            <w:tcBorders>
              <w:top w:val="nil"/>
              <w:left w:val="nil"/>
              <w:bottom w:val="single" w:color="000000" w:sz="4" w:space="0"/>
              <w:right w:val="single" w:color="000000" w:sz="4" w:space="0"/>
            </w:tcBorders>
            <w:shd w:val="clear" w:color="auto" w:fill="auto"/>
            <w:vAlign w:val="center"/>
          </w:tcPr>
          <w:p w14:paraId="7FCCFD3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5.00</w:t>
            </w:r>
          </w:p>
        </w:tc>
        <w:tc>
          <w:tcPr>
            <w:tcW w:w="755" w:type="pct"/>
            <w:tcBorders>
              <w:top w:val="nil"/>
              <w:left w:val="nil"/>
              <w:bottom w:val="single" w:color="000000" w:sz="4" w:space="0"/>
              <w:right w:val="single" w:color="000000" w:sz="4" w:space="0"/>
            </w:tcBorders>
            <w:shd w:val="clear" w:color="auto" w:fill="auto"/>
            <w:vAlign w:val="center"/>
          </w:tcPr>
          <w:p w14:paraId="78E1834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0.99</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6A648F9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0.99</w:t>
            </w:r>
          </w:p>
        </w:tc>
        <w:tc>
          <w:tcPr>
            <w:tcW w:w="407" w:type="pct"/>
            <w:tcBorders>
              <w:top w:val="nil"/>
              <w:left w:val="nil"/>
              <w:bottom w:val="single" w:color="000000" w:sz="4" w:space="0"/>
              <w:right w:val="single" w:color="000000" w:sz="4" w:space="0"/>
            </w:tcBorders>
            <w:shd w:val="clear" w:color="auto" w:fill="auto"/>
            <w:vAlign w:val="center"/>
          </w:tcPr>
          <w:p w14:paraId="46A4562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19.80%</w:t>
            </w:r>
          </w:p>
        </w:tc>
        <w:tc>
          <w:tcPr>
            <w:tcW w:w="190" w:type="pct"/>
            <w:tcBorders>
              <w:top w:val="nil"/>
              <w:left w:val="nil"/>
              <w:bottom w:val="single" w:color="000000" w:sz="4" w:space="0"/>
              <w:right w:val="single" w:color="000000" w:sz="4" w:space="0"/>
            </w:tcBorders>
            <w:shd w:val="clear" w:color="auto" w:fill="auto"/>
            <w:vAlign w:val="center"/>
          </w:tcPr>
          <w:p w14:paraId="3629981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43" w:type="pct"/>
            <w:tcBorders>
              <w:top w:val="nil"/>
              <w:left w:val="nil"/>
              <w:bottom w:val="single" w:color="000000" w:sz="4" w:space="0"/>
              <w:right w:val="single" w:color="000000" w:sz="4" w:space="0"/>
            </w:tcBorders>
            <w:shd w:val="clear" w:color="auto" w:fill="auto"/>
            <w:vAlign w:val="center"/>
          </w:tcPr>
          <w:p w14:paraId="7C480C9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1.98</w:t>
            </w:r>
          </w:p>
        </w:tc>
        <w:tc>
          <w:tcPr>
            <w:tcW w:w="1074" w:type="pct"/>
            <w:vMerge w:val="restart"/>
            <w:tcBorders>
              <w:top w:val="nil"/>
              <w:left w:val="single" w:color="000000" w:sz="4" w:space="0"/>
              <w:bottom w:val="single" w:color="000000" w:sz="4" w:space="0"/>
              <w:right w:val="single" w:color="000000" w:sz="4" w:space="0"/>
            </w:tcBorders>
            <w:shd w:val="clear" w:color="auto" w:fill="auto"/>
            <w:vAlign w:val="center"/>
          </w:tcPr>
          <w:p w14:paraId="1258A557">
            <w:pPr>
              <w:widowControl/>
              <w:jc w:val="left"/>
              <w:rPr>
                <w:rFonts w:ascii="Courier New" w:hAnsi="Courier New" w:eastAsia="宋体" w:cs="Courier New"/>
                <w:color w:val="000000"/>
                <w:sz w:val="16"/>
                <w:szCs w:val="16"/>
              </w:rPr>
            </w:pPr>
            <w:r>
              <w:rPr>
                <w:rFonts w:ascii="Courier New" w:hAnsi="Courier New" w:eastAsia="宋体" w:cs="Courier New"/>
                <w:color w:val="000000"/>
                <w:sz w:val="16"/>
                <w:szCs w:val="16"/>
              </w:rPr>
              <w:t>项目需经过多级审批，我区财政紧</w:t>
            </w:r>
            <w:r>
              <w:rPr>
                <w:rFonts w:ascii="Courier New" w:hAnsi="Courier New" w:eastAsia="宋体" w:cs="Courier New"/>
                <w:color w:val="000000"/>
                <w:sz w:val="16"/>
                <w:szCs w:val="16"/>
              </w:rPr>
              <w:br w:type="textWrapping"/>
            </w:r>
            <w:r>
              <w:rPr>
                <w:rFonts w:ascii="Courier New" w:hAnsi="Courier New" w:eastAsia="宋体" w:cs="Courier New"/>
                <w:color w:val="000000"/>
                <w:sz w:val="16"/>
                <w:szCs w:val="16"/>
              </w:rPr>
              <w:t>张，年底申请支付的财政未审批，导致执行率未达到100%。</w:t>
            </w:r>
          </w:p>
        </w:tc>
      </w:tr>
      <w:tr w14:paraId="703143FC">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4593F746">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1455775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其中：财政资金</w:t>
            </w:r>
          </w:p>
        </w:tc>
        <w:tc>
          <w:tcPr>
            <w:tcW w:w="530" w:type="pct"/>
            <w:tcBorders>
              <w:top w:val="nil"/>
              <w:left w:val="nil"/>
              <w:bottom w:val="single" w:color="000000" w:sz="4" w:space="0"/>
              <w:right w:val="single" w:color="000000" w:sz="4" w:space="0"/>
            </w:tcBorders>
            <w:shd w:val="clear" w:color="auto" w:fill="auto"/>
            <w:vAlign w:val="center"/>
          </w:tcPr>
          <w:p w14:paraId="15AD511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5.00</w:t>
            </w:r>
          </w:p>
        </w:tc>
        <w:tc>
          <w:tcPr>
            <w:tcW w:w="755" w:type="pct"/>
            <w:tcBorders>
              <w:top w:val="nil"/>
              <w:left w:val="nil"/>
              <w:bottom w:val="single" w:color="000000" w:sz="4" w:space="0"/>
              <w:right w:val="single" w:color="000000" w:sz="4" w:space="0"/>
            </w:tcBorders>
            <w:shd w:val="clear" w:color="auto" w:fill="auto"/>
            <w:vAlign w:val="center"/>
          </w:tcPr>
          <w:p w14:paraId="0477A6D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0.99</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38A722F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0.99</w:t>
            </w:r>
          </w:p>
        </w:tc>
        <w:tc>
          <w:tcPr>
            <w:tcW w:w="407" w:type="pct"/>
            <w:tcBorders>
              <w:top w:val="nil"/>
              <w:left w:val="nil"/>
              <w:bottom w:val="single" w:color="000000" w:sz="4" w:space="0"/>
              <w:right w:val="single" w:color="000000" w:sz="4" w:space="0"/>
            </w:tcBorders>
            <w:shd w:val="clear" w:color="auto" w:fill="auto"/>
            <w:vAlign w:val="center"/>
          </w:tcPr>
          <w:p w14:paraId="633C64D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19.80%</w:t>
            </w:r>
          </w:p>
        </w:tc>
        <w:tc>
          <w:tcPr>
            <w:tcW w:w="190" w:type="pct"/>
            <w:tcBorders>
              <w:top w:val="nil"/>
              <w:left w:val="nil"/>
              <w:bottom w:val="single" w:color="000000" w:sz="4" w:space="0"/>
              <w:right w:val="single" w:color="000000" w:sz="4" w:space="0"/>
            </w:tcBorders>
            <w:shd w:val="clear" w:color="auto" w:fill="auto"/>
            <w:vAlign w:val="center"/>
          </w:tcPr>
          <w:p w14:paraId="2CF0964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3C1AAA7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4" w:type="pct"/>
            <w:vMerge w:val="continue"/>
            <w:tcBorders>
              <w:top w:val="nil"/>
              <w:left w:val="single" w:color="000000" w:sz="4" w:space="0"/>
              <w:bottom w:val="single" w:color="000000" w:sz="4" w:space="0"/>
              <w:right w:val="single" w:color="000000" w:sz="4" w:space="0"/>
            </w:tcBorders>
            <w:vAlign w:val="center"/>
          </w:tcPr>
          <w:p w14:paraId="3448F593">
            <w:pPr>
              <w:widowControl/>
              <w:jc w:val="left"/>
              <w:rPr>
                <w:rFonts w:ascii="Courier New" w:hAnsi="Courier New" w:eastAsia="宋体" w:cs="Courier New"/>
                <w:color w:val="000000"/>
                <w:sz w:val="16"/>
                <w:szCs w:val="16"/>
              </w:rPr>
            </w:pPr>
          </w:p>
        </w:tc>
      </w:tr>
      <w:tr w14:paraId="73571CD6">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6F69147C">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0294909F">
            <w:pPr>
              <w:widowControl/>
              <w:jc w:val="center"/>
              <w:rPr>
                <w:rFonts w:ascii="宋体" w:hAnsi="宋体" w:eastAsia="宋体" w:cs="宋体"/>
                <w:color w:val="000000"/>
                <w:sz w:val="16"/>
                <w:szCs w:val="16"/>
              </w:rPr>
            </w:pPr>
            <w:r>
              <w:rPr>
                <w:rFonts w:hint="eastAsia" w:ascii="宋体" w:hAnsi="宋体" w:eastAsia="宋体" w:cs="宋体"/>
                <w:color w:val="000000"/>
                <w:sz w:val="16"/>
                <w:szCs w:val="16"/>
              </w:rPr>
              <w:t>财政专户管理资金</w:t>
            </w:r>
          </w:p>
        </w:tc>
        <w:tc>
          <w:tcPr>
            <w:tcW w:w="530" w:type="pct"/>
            <w:tcBorders>
              <w:top w:val="nil"/>
              <w:left w:val="nil"/>
              <w:bottom w:val="single" w:color="000000" w:sz="4" w:space="0"/>
              <w:right w:val="single" w:color="000000" w:sz="4" w:space="0"/>
            </w:tcBorders>
            <w:shd w:val="clear" w:color="auto" w:fill="auto"/>
            <w:vAlign w:val="center"/>
          </w:tcPr>
          <w:p w14:paraId="2879E43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5" w:type="pct"/>
            <w:tcBorders>
              <w:top w:val="nil"/>
              <w:left w:val="nil"/>
              <w:bottom w:val="single" w:color="000000" w:sz="4" w:space="0"/>
              <w:right w:val="single" w:color="000000" w:sz="4" w:space="0"/>
            </w:tcBorders>
            <w:shd w:val="clear" w:color="auto" w:fill="auto"/>
            <w:vAlign w:val="center"/>
          </w:tcPr>
          <w:p w14:paraId="6C46B3F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1D6B627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7" w:type="pct"/>
            <w:tcBorders>
              <w:top w:val="nil"/>
              <w:left w:val="nil"/>
              <w:bottom w:val="single" w:color="000000" w:sz="4" w:space="0"/>
              <w:right w:val="single" w:color="000000" w:sz="4" w:space="0"/>
            </w:tcBorders>
            <w:shd w:val="clear" w:color="auto" w:fill="auto"/>
            <w:vAlign w:val="center"/>
          </w:tcPr>
          <w:p w14:paraId="13C62F8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2F4741B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1A3ABD4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4" w:type="pct"/>
            <w:vMerge w:val="continue"/>
            <w:tcBorders>
              <w:top w:val="nil"/>
              <w:left w:val="single" w:color="000000" w:sz="4" w:space="0"/>
              <w:bottom w:val="single" w:color="000000" w:sz="4" w:space="0"/>
              <w:right w:val="single" w:color="000000" w:sz="4" w:space="0"/>
            </w:tcBorders>
            <w:vAlign w:val="center"/>
          </w:tcPr>
          <w:p w14:paraId="022D9499">
            <w:pPr>
              <w:widowControl/>
              <w:jc w:val="left"/>
              <w:rPr>
                <w:rFonts w:ascii="Courier New" w:hAnsi="Courier New" w:eastAsia="宋体" w:cs="Courier New"/>
                <w:color w:val="000000"/>
                <w:sz w:val="16"/>
                <w:szCs w:val="16"/>
              </w:rPr>
            </w:pPr>
          </w:p>
        </w:tc>
      </w:tr>
      <w:tr w14:paraId="69CCAFDA">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3275A350">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60FD11C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单位资金</w:t>
            </w:r>
          </w:p>
        </w:tc>
        <w:tc>
          <w:tcPr>
            <w:tcW w:w="530" w:type="pct"/>
            <w:tcBorders>
              <w:top w:val="nil"/>
              <w:left w:val="nil"/>
              <w:bottom w:val="single" w:color="000000" w:sz="4" w:space="0"/>
              <w:right w:val="single" w:color="000000" w:sz="4" w:space="0"/>
            </w:tcBorders>
            <w:shd w:val="clear" w:color="auto" w:fill="auto"/>
            <w:vAlign w:val="center"/>
          </w:tcPr>
          <w:p w14:paraId="526469F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5" w:type="pct"/>
            <w:tcBorders>
              <w:top w:val="nil"/>
              <w:left w:val="nil"/>
              <w:bottom w:val="single" w:color="000000" w:sz="4" w:space="0"/>
              <w:right w:val="single" w:color="000000" w:sz="4" w:space="0"/>
            </w:tcBorders>
            <w:shd w:val="clear" w:color="auto" w:fill="auto"/>
            <w:vAlign w:val="center"/>
          </w:tcPr>
          <w:p w14:paraId="2C3DA7E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4BB6811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7" w:type="pct"/>
            <w:tcBorders>
              <w:top w:val="nil"/>
              <w:left w:val="nil"/>
              <w:bottom w:val="single" w:color="000000" w:sz="4" w:space="0"/>
              <w:right w:val="single" w:color="000000" w:sz="4" w:space="0"/>
            </w:tcBorders>
            <w:shd w:val="clear" w:color="auto" w:fill="auto"/>
            <w:vAlign w:val="center"/>
          </w:tcPr>
          <w:p w14:paraId="5966717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7357378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7F16854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4" w:type="pct"/>
            <w:vMerge w:val="continue"/>
            <w:tcBorders>
              <w:top w:val="nil"/>
              <w:left w:val="single" w:color="000000" w:sz="4" w:space="0"/>
              <w:bottom w:val="single" w:color="000000" w:sz="4" w:space="0"/>
              <w:right w:val="single" w:color="000000" w:sz="4" w:space="0"/>
            </w:tcBorders>
            <w:vAlign w:val="center"/>
          </w:tcPr>
          <w:p w14:paraId="6EF22F36">
            <w:pPr>
              <w:widowControl/>
              <w:jc w:val="left"/>
              <w:rPr>
                <w:rFonts w:ascii="Courier New" w:hAnsi="Courier New" w:eastAsia="宋体" w:cs="Courier New"/>
                <w:color w:val="000000"/>
                <w:sz w:val="16"/>
                <w:szCs w:val="16"/>
              </w:rPr>
            </w:pPr>
          </w:p>
        </w:tc>
      </w:tr>
      <w:tr w14:paraId="17D80758">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single" w:color="000000" w:sz="4" w:space="0"/>
              <w:right w:val="single" w:color="000000" w:sz="4" w:space="0"/>
            </w:tcBorders>
            <w:vAlign w:val="center"/>
          </w:tcPr>
          <w:p w14:paraId="2CE22EB5">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0491A88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530" w:type="pct"/>
            <w:tcBorders>
              <w:top w:val="nil"/>
              <w:left w:val="nil"/>
              <w:bottom w:val="single" w:color="000000" w:sz="4" w:space="0"/>
              <w:right w:val="single" w:color="000000" w:sz="4" w:space="0"/>
            </w:tcBorders>
            <w:shd w:val="clear" w:color="auto" w:fill="auto"/>
            <w:vAlign w:val="center"/>
          </w:tcPr>
          <w:p w14:paraId="26C91F2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755" w:type="pct"/>
            <w:tcBorders>
              <w:top w:val="nil"/>
              <w:left w:val="nil"/>
              <w:bottom w:val="single" w:color="000000" w:sz="4" w:space="0"/>
              <w:right w:val="single" w:color="000000" w:sz="4" w:space="0"/>
            </w:tcBorders>
            <w:shd w:val="clear" w:color="auto" w:fill="auto"/>
            <w:vAlign w:val="center"/>
          </w:tcPr>
          <w:p w14:paraId="3E7F82D6">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88" w:type="pct"/>
            <w:gridSpan w:val="3"/>
            <w:tcBorders>
              <w:top w:val="single" w:color="000000" w:sz="4" w:space="0"/>
              <w:left w:val="nil"/>
              <w:bottom w:val="single" w:color="000000" w:sz="4" w:space="0"/>
              <w:right w:val="single" w:color="000000" w:sz="4" w:space="0"/>
            </w:tcBorders>
            <w:shd w:val="clear" w:color="auto" w:fill="auto"/>
            <w:vAlign w:val="center"/>
          </w:tcPr>
          <w:p w14:paraId="22611C97">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07" w:type="pct"/>
            <w:tcBorders>
              <w:top w:val="nil"/>
              <w:left w:val="nil"/>
              <w:bottom w:val="single" w:color="000000" w:sz="4" w:space="0"/>
              <w:right w:val="single" w:color="000000" w:sz="4" w:space="0"/>
            </w:tcBorders>
            <w:shd w:val="clear" w:color="auto" w:fill="auto"/>
            <w:vAlign w:val="center"/>
          </w:tcPr>
          <w:p w14:paraId="463B3ABF">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190" w:type="pct"/>
            <w:tcBorders>
              <w:top w:val="nil"/>
              <w:left w:val="nil"/>
              <w:bottom w:val="single" w:color="000000" w:sz="4" w:space="0"/>
              <w:right w:val="single" w:color="000000" w:sz="4" w:space="0"/>
            </w:tcBorders>
            <w:shd w:val="clear" w:color="auto" w:fill="auto"/>
            <w:vAlign w:val="center"/>
          </w:tcPr>
          <w:p w14:paraId="758AA06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1990892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074" w:type="pct"/>
            <w:vMerge w:val="continue"/>
            <w:tcBorders>
              <w:top w:val="nil"/>
              <w:left w:val="single" w:color="000000" w:sz="4" w:space="0"/>
              <w:bottom w:val="single" w:color="000000" w:sz="4" w:space="0"/>
              <w:right w:val="single" w:color="000000" w:sz="4" w:space="0"/>
            </w:tcBorders>
            <w:vAlign w:val="center"/>
          </w:tcPr>
          <w:p w14:paraId="6671D379">
            <w:pPr>
              <w:widowControl/>
              <w:jc w:val="left"/>
              <w:rPr>
                <w:rFonts w:ascii="Courier New" w:hAnsi="Courier New" w:eastAsia="宋体" w:cs="Courier New"/>
                <w:color w:val="000000"/>
                <w:sz w:val="16"/>
                <w:szCs w:val="16"/>
              </w:rPr>
            </w:pPr>
          </w:p>
        </w:tc>
      </w:tr>
      <w:tr w14:paraId="3323322D">
        <w:tblPrEx>
          <w:tblCellMar>
            <w:top w:w="0" w:type="dxa"/>
            <w:left w:w="108" w:type="dxa"/>
            <w:bottom w:w="0" w:type="dxa"/>
            <w:right w:w="108" w:type="dxa"/>
          </w:tblCellMar>
        </w:tblPrEx>
        <w:trPr>
          <w:trHeight w:val="619" w:hRule="atLeast"/>
        </w:trPr>
        <w:tc>
          <w:tcPr>
            <w:tcW w:w="211" w:type="pct"/>
            <w:vMerge w:val="restart"/>
            <w:tcBorders>
              <w:top w:val="nil"/>
              <w:left w:val="single" w:color="000000" w:sz="4" w:space="0"/>
              <w:bottom w:val="nil"/>
              <w:right w:val="single" w:color="000000" w:sz="4" w:space="0"/>
            </w:tcBorders>
            <w:shd w:val="clear" w:color="auto" w:fill="auto"/>
            <w:vAlign w:val="center"/>
          </w:tcPr>
          <w:p w14:paraId="28853E9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绩效指标（90分）</w:t>
            </w:r>
          </w:p>
        </w:tc>
        <w:tc>
          <w:tcPr>
            <w:tcW w:w="602" w:type="pct"/>
            <w:tcBorders>
              <w:top w:val="nil"/>
              <w:left w:val="nil"/>
              <w:bottom w:val="single" w:color="000000" w:sz="4" w:space="0"/>
              <w:right w:val="single" w:color="000000" w:sz="4" w:space="0"/>
            </w:tcBorders>
            <w:shd w:val="clear" w:color="auto" w:fill="auto"/>
            <w:vAlign w:val="center"/>
          </w:tcPr>
          <w:p w14:paraId="019BC1D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一级指标</w:t>
            </w:r>
          </w:p>
        </w:tc>
        <w:tc>
          <w:tcPr>
            <w:tcW w:w="530" w:type="pct"/>
            <w:tcBorders>
              <w:top w:val="nil"/>
              <w:left w:val="nil"/>
              <w:bottom w:val="single" w:color="000000" w:sz="4" w:space="0"/>
              <w:right w:val="single" w:color="000000" w:sz="4" w:space="0"/>
            </w:tcBorders>
            <w:shd w:val="clear" w:color="auto" w:fill="auto"/>
            <w:vAlign w:val="center"/>
          </w:tcPr>
          <w:p w14:paraId="260D7E5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755" w:type="pct"/>
            <w:tcBorders>
              <w:top w:val="nil"/>
              <w:left w:val="nil"/>
              <w:bottom w:val="single" w:color="000000" w:sz="4" w:space="0"/>
              <w:right w:val="single" w:color="000000" w:sz="4" w:space="0"/>
            </w:tcBorders>
            <w:shd w:val="clear" w:color="auto" w:fill="auto"/>
            <w:vAlign w:val="center"/>
          </w:tcPr>
          <w:p w14:paraId="2C830C5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89" w:type="pct"/>
            <w:tcBorders>
              <w:top w:val="nil"/>
              <w:left w:val="nil"/>
              <w:bottom w:val="single" w:color="000000" w:sz="4" w:space="0"/>
              <w:right w:val="single" w:color="000000" w:sz="4" w:space="0"/>
            </w:tcBorders>
            <w:shd w:val="clear" w:color="auto" w:fill="auto"/>
            <w:vAlign w:val="center"/>
          </w:tcPr>
          <w:p w14:paraId="56619E2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指标性质</w:t>
            </w:r>
          </w:p>
        </w:tc>
        <w:tc>
          <w:tcPr>
            <w:tcW w:w="609" w:type="pct"/>
            <w:tcBorders>
              <w:top w:val="nil"/>
              <w:left w:val="nil"/>
              <w:bottom w:val="single" w:color="000000" w:sz="4" w:space="0"/>
              <w:right w:val="single" w:color="000000" w:sz="4" w:space="0"/>
            </w:tcBorders>
            <w:shd w:val="clear" w:color="auto" w:fill="auto"/>
            <w:vAlign w:val="center"/>
          </w:tcPr>
          <w:p w14:paraId="47CD725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指标值</w:t>
            </w:r>
          </w:p>
        </w:tc>
        <w:tc>
          <w:tcPr>
            <w:tcW w:w="189" w:type="pct"/>
            <w:tcBorders>
              <w:top w:val="nil"/>
              <w:left w:val="nil"/>
              <w:bottom w:val="single" w:color="000000" w:sz="4" w:space="0"/>
              <w:right w:val="single" w:color="000000" w:sz="4" w:space="0"/>
            </w:tcBorders>
            <w:shd w:val="clear" w:color="auto" w:fill="auto"/>
            <w:vAlign w:val="center"/>
          </w:tcPr>
          <w:p w14:paraId="6AD88EF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度量单位</w:t>
            </w:r>
          </w:p>
        </w:tc>
        <w:tc>
          <w:tcPr>
            <w:tcW w:w="407" w:type="pct"/>
            <w:tcBorders>
              <w:top w:val="nil"/>
              <w:left w:val="nil"/>
              <w:bottom w:val="single" w:color="000000" w:sz="4" w:space="0"/>
              <w:right w:val="single" w:color="000000" w:sz="4" w:space="0"/>
            </w:tcBorders>
            <w:shd w:val="clear" w:color="auto" w:fill="auto"/>
            <w:vAlign w:val="center"/>
          </w:tcPr>
          <w:p w14:paraId="418E14D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完成值</w:t>
            </w:r>
          </w:p>
        </w:tc>
        <w:tc>
          <w:tcPr>
            <w:tcW w:w="190" w:type="pct"/>
            <w:tcBorders>
              <w:top w:val="nil"/>
              <w:left w:val="nil"/>
              <w:bottom w:val="single" w:color="000000" w:sz="4" w:space="0"/>
              <w:right w:val="single" w:color="000000" w:sz="4" w:space="0"/>
            </w:tcBorders>
            <w:shd w:val="clear" w:color="auto" w:fill="auto"/>
            <w:vAlign w:val="center"/>
          </w:tcPr>
          <w:p w14:paraId="3260ECA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权重</w:t>
            </w:r>
          </w:p>
        </w:tc>
        <w:tc>
          <w:tcPr>
            <w:tcW w:w="243" w:type="pct"/>
            <w:tcBorders>
              <w:top w:val="nil"/>
              <w:left w:val="nil"/>
              <w:bottom w:val="single" w:color="000000" w:sz="4" w:space="0"/>
              <w:right w:val="single" w:color="000000" w:sz="4" w:space="0"/>
            </w:tcBorders>
            <w:shd w:val="clear" w:color="auto" w:fill="auto"/>
            <w:vAlign w:val="center"/>
          </w:tcPr>
          <w:p w14:paraId="5691BDB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得分</w:t>
            </w:r>
          </w:p>
        </w:tc>
        <w:tc>
          <w:tcPr>
            <w:tcW w:w="1074" w:type="pct"/>
            <w:tcBorders>
              <w:top w:val="nil"/>
              <w:left w:val="nil"/>
              <w:bottom w:val="single" w:color="000000" w:sz="4" w:space="0"/>
              <w:right w:val="single" w:color="000000" w:sz="4" w:space="0"/>
            </w:tcBorders>
            <w:shd w:val="clear" w:color="auto" w:fill="auto"/>
            <w:vAlign w:val="center"/>
          </w:tcPr>
          <w:p w14:paraId="26887A3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未完成原因分析</w:t>
            </w:r>
          </w:p>
        </w:tc>
      </w:tr>
      <w:tr w14:paraId="32B01096">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72D20D3F">
            <w:pPr>
              <w:widowControl/>
              <w:jc w:val="left"/>
              <w:rPr>
                <w:rFonts w:ascii="宋体" w:hAnsi="宋体" w:eastAsia="宋体" w:cs="宋体"/>
                <w:color w:val="000000"/>
                <w:sz w:val="18"/>
                <w:szCs w:val="18"/>
              </w:rPr>
            </w:pPr>
          </w:p>
        </w:tc>
        <w:tc>
          <w:tcPr>
            <w:tcW w:w="602" w:type="pct"/>
            <w:vMerge w:val="restart"/>
            <w:tcBorders>
              <w:top w:val="nil"/>
              <w:left w:val="single" w:color="000000" w:sz="4" w:space="0"/>
              <w:bottom w:val="single" w:color="000000" w:sz="4" w:space="0"/>
              <w:right w:val="single" w:color="000000" w:sz="4" w:space="0"/>
            </w:tcBorders>
            <w:shd w:val="clear" w:color="auto" w:fill="auto"/>
            <w:vAlign w:val="center"/>
          </w:tcPr>
          <w:p w14:paraId="2839AEB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530" w:type="pct"/>
            <w:vMerge w:val="restart"/>
            <w:tcBorders>
              <w:top w:val="nil"/>
              <w:left w:val="single" w:color="000000" w:sz="4" w:space="0"/>
              <w:bottom w:val="single" w:color="000000" w:sz="4" w:space="0"/>
              <w:right w:val="single" w:color="000000" w:sz="4" w:space="0"/>
            </w:tcBorders>
            <w:shd w:val="clear" w:color="auto" w:fill="auto"/>
            <w:vAlign w:val="center"/>
          </w:tcPr>
          <w:p w14:paraId="10E3607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755" w:type="pct"/>
            <w:tcBorders>
              <w:top w:val="nil"/>
              <w:left w:val="nil"/>
              <w:bottom w:val="single" w:color="000000" w:sz="4" w:space="0"/>
              <w:right w:val="single" w:color="000000" w:sz="4" w:space="0"/>
            </w:tcBorders>
            <w:shd w:val="clear" w:color="auto" w:fill="auto"/>
            <w:vAlign w:val="center"/>
          </w:tcPr>
          <w:p w14:paraId="79328BF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法治安居公众号及网站维护</w:t>
            </w:r>
          </w:p>
        </w:tc>
        <w:tc>
          <w:tcPr>
            <w:tcW w:w="189" w:type="pct"/>
            <w:tcBorders>
              <w:top w:val="nil"/>
              <w:left w:val="nil"/>
              <w:bottom w:val="single" w:color="000000" w:sz="4" w:space="0"/>
              <w:right w:val="single" w:color="000000" w:sz="4" w:space="0"/>
            </w:tcBorders>
            <w:shd w:val="clear" w:color="auto" w:fill="auto"/>
            <w:vAlign w:val="center"/>
          </w:tcPr>
          <w:p w14:paraId="745B188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08DF61F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189" w:type="pct"/>
            <w:tcBorders>
              <w:top w:val="nil"/>
              <w:left w:val="nil"/>
              <w:bottom w:val="single" w:color="000000" w:sz="4" w:space="0"/>
              <w:right w:val="single" w:color="000000" w:sz="4" w:space="0"/>
            </w:tcBorders>
            <w:shd w:val="clear" w:color="auto" w:fill="auto"/>
            <w:vAlign w:val="center"/>
          </w:tcPr>
          <w:p w14:paraId="68F8F2E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个</w:t>
            </w:r>
          </w:p>
        </w:tc>
        <w:tc>
          <w:tcPr>
            <w:tcW w:w="407" w:type="pct"/>
            <w:tcBorders>
              <w:top w:val="nil"/>
              <w:left w:val="nil"/>
              <w:bottom w:val="single" w:color="000000" w:sz="4" w:space="0"/>
              <w:right w:val="single" w:color="000000" w:sz="4" w:space="0"/>
            </w:tcBorders>
            <w:shd w:val="clear" w:color="auto" w:fill="auto"/>
            <w:vAlign w:val="center"/>
          </w:tcPr>
          <w:p w14:paraId="26DE42E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2</w:t>
            </w:r>
          </w:p>
        </w:tc>
        <w:tc>
          <w:tcPr>
            <w:tcW w:w="190" w:type="pct"/>
            <w:tcBorders>
              <w:top w:val="nil"/>
              <w:left w:val="nil"/>
              <w:bottom w:val="single" w:color="000000" w:sz="4" w:space="0"/>
              <w:right w:val="single" w:color="000000" w:sz="4" w:space="0"/>
            </w:tcBorders>
            <w:shd w:val="clear" w:color="auto" w:fill="auto"/>
            <w:vAlign w:val="center"/>
          </w:tcPr>
          <w:p w14:paraId="6453264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43" w:type="pct"/>
            <w:tcBorders>
              <w:top w:val="nil"/>
              <w:left w:val="nil"/>
              <w:bottom w:val="single" w:color="000000" w:sz="4" w:space="0"/>
              <w:right w:val="single" w:color="000000" w:sz="4" w:space="0"/>
            </w:tcBorders>
            <w:shd w:val="clear" w:color="auto" w:fill="auto"/>
            <w:vAlign w:val="center"/>
          </w:tcPr>
          <w:p w14:paraId="101732F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74" w:type="pct"/>
            <w:tcBorders>
              <w:top w:val="nil"/>
              <w:left w:val="nil"/>
              <w:bottom w:val="single" w:color="000000" w:sz="4" w:space="0"/>
              <w:right w:val="single" w:color="000000" w:sz="4" w:space="0"/>
            </w:tcBorders>
            <w:shd w:val="clear" w:color="auto" w:fill="auto"/>
            <w:vAlign w:val="center"/>
          </w:tcPr>
          <w:p w14:paraId="32292F3B">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4E98E8D">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0F08D8CF">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0D2E8F27">
            <w:pPr>
              <w:widowControl/>
              <w:jc w:val="left"/>
              <w:rPr>
                <w:rFonts w:ascii="宋体" w:hAnsi="宋体" w:eastAsia="宋体" w:cs="宋体"/>
                <w:color w:val="000000"/>
                <w:sz w:val="18"/>
                <w:szCs w:val="18"/>
              </w:rPr>
            </w:pPr>
          </w:p>
        </w:tc>
        <w:tc>
          <w:tcPr>
            <w:tcW w:w="530" w:type="pct"/>
            <w:vMerge w:val="continue"/>
            <w:tcBorders>
              <w:top w:val="nil"/>
              <w:left w:val="single" w:color="000000" w:sz="4" w:space="0"/>
              <w:bottom w:val="single" w:color="000000" w:sz="4" w:space="0"/>
              <w:right w:val="single" w:color="000000" w:sz="4" w:space="0"/>
            </w:tcBorders>
            <w:vAlign w:val="center"/>
          </w:tcPr>
          <w:p w14:paraId="4542B806">
            <w:pPr>
              <w:widowControl/>
              <w:jc w:val="left"/>
              <w:rPr>
                <w:rFonts w:ascii="宋体" w:hAnsi="宋体" w:eastAsia="宋体" w:cs="宋体"/>
                <w:color w:val="000000"/>
                <w:sz w:val="18"/>
                <w:szCs w:val="18"/>
              </w:rPr>
            </w:pPr>
          </w:p>
        </w:tc>
        <w:tc>
          <w:tcPr>
            <w:tcW w:w="755" w:type="pct"/>
            <w:tcBorders>
              <w:top w:val="nil"/>
              <w:left w:val="nil"/>
              <w:bottom w:val="single" w:color="000000" w:sz="4" w:space="0"/>
              <w:right w:val="single" w:color="000000" w:sz="4" w:space="0"/>
            </w:tcBorders>
            <w:shd w:val="clear" w:color="auto" w:fill="auto"/>
            <w:vAlign w:val="center"/>
          </w:tcPr>
          <w:p w14:paraId="601762A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法治示范打造</w:t>
            </w:r>
          </w:p>
        </w:tc>
        <w:tc>
          <w:tcPr>
            <w:tcW w:w="189" w:type="pct"/>
            <w:tcBorders>
              <w:top w:val="nil"/>
              <w:left w:val="nil"/>
              <w:bottom w:val="single" w:color="000000" w:sz="4" w:space="0"/>
              <w:right w:val="single" w:color="000000" w:sz="4" w:space="0"/>
            </w:tcBorders>
            <w:shd w:val="clear" w:color="auto" w:fill="auto"/>
            <w:vAlign w:val="center"/>
          </w:tcPr>
          <w:p w14:paraId="4B2B00B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6CA7F26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189" w:type="pct"/>
            <w:tcBorders>
              <w:top w:val="nil"/>
              <w:left w:val="nil"/>
              <w:bottom w:val="single" w:color="000000" w:sz="4" w:space="0"/>
              <w:right w:val="single" w:color="000000" w:sz="4" w:space="0"/>
            </w:tcBorders>
            <w:shd w:val="clear" w:color="auto" w:fill="auto"/>
            <w:vAlign w:val="center"/>
          </w:tcPr>
          <w:p w14:paraId="2AE37CF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个</w:t>
            </w:r>
          </w:p>
        </w:tc>
        <w:tc>
          <w:tcPr>
            <w:tcW w:w="407" w:type="pct"/>
            <w:tcBorders>
              <w:top w:val="nil"/>
              <w:left w:val="nil"/>
              <w:bottom w:val="single" w:color="000000" w:sz="4" w:space="0"/>
              <w:right w:val="single" w:color="000000" w:sz="4" w:space="0"/>
            </w:tcBorders>
            <w:shd w:val="clear" w:color="auto" w:fill="auto"/>
            <w:vAlign w:val="center"/>
          </w:tcPr>
          <w:p w14:paraId="3FDE5C9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3</w:t>
            </w:r>
          </w:p>
        </w:tc>
        <w:tc>
          <w:tcPr>
            <w:tcW w:w="190" w:type="pct"/>
            <w:tcBorders>
              <w:top w:val="nil"/>
              <w:left w:val="nil"/>
              <w:bottom w:val="single" w:color="000000" w:sz="4" w:space="0"/>
              <w:right w:val="single" w:color="000000" w:sz="4" w:space="0"/>
            </w:tcBorders>
            <w:shd w:val="clear" w:color="auto" w:fill="auto"/>
            <w:vAlign w:val="center"/>
          </w:tcPr>
          <w:p w14:paraId="7562585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43" w:type="pct"/>
            <w:tcBorders>
              <w:top w:val="nil"/>
              <w:left w:val="nil"/>
              <w:bottom w:val="single" w:color="000000" w:sz="4" w:space="0"/>
              <w:right w:val="single" w:color="000000" w:sz="4" w:space="0"/>
            </w:tcBorders>
            <w:shd w:val="clear" w:color="auto" w:fill="auto"/>
            <w:vAlign w:val="center"/>
          </w:tcPr>
          <w:p w14:paraId="046C0D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74" w:type="pct"/>
            <w:tcBorders>
              <w:top w:val="nil"/>
              <w:left w:val="nil"/>
              <w:bottom w:val="single" w:color="000000" w:sz="4" w:space="0"/>
              <w:right w:val="single" w:color="000000" w:sz="4" w:space="0"/>
            </w:tcBorders>
            <w:shd w:val="clear" w:color="auto" w:fill="auto"/>
            <w:vAlign w:val="center"/>
          </w:tcPr>
          <w:p w14:paraId="0A05CA99">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7992B286">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5B8B3E65">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4950394F">
            <w:pPr>
              <w:widowControl/>
              <w:jc w:val="left"/>
              <w:rPr>
                <w:rFonts w:ascii="宋体" w:hAnsi="宋体" w:eastAsia="宋体" w:cs="宋体"/>
                <w:color w:val="000000"/>
                <w:sz w:val="18"/>
                <w:szCs w:val="18"/>
              </w:rPr>
            </w:pPr>
          </w:p>
        </w:tc>
        <w:tc>
          <w:tcPr>
            <w:tcW w:w="530" w:type="pct"/>
            <w:vMerge w:val="restart"/>
            <w:tcBorders>
              <w:top w:val="nil"/>
              <w:left w:val="single" w:color="000000" w:sz="4" w:space="0"/>
              <w:bottom w:val="single" w:color="000000" w:sz="4" w:space="0"/>
              <w:right w:val="single" w:color="000000" w:sz="4" w:space="0"/>
            </w:tcBorders>
            <w:shd w:val="clear" w:color="auto" w:fill="auto"/>
            <w:vAlign w:val="center"/>
          </w:tcPr>
          <w:p w14:paraId="64BFFD0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755" w:type="pct"/>
            <w:tcBorders>
              <w:top w:val="nil"/>
              <w:left w:val="nil"/>
              <w:bottom w:val="single" w:color="000000" w:sz="4" w:space="0"/>
              <w:right w:val="single" w:color="000000" w:sz="4" w:space="0"/>
            </w:tcBorders>
            <w:shd w:val="clear" w:color="auto" w:fill="auto"/>
            <w:vAlign w:val="center"/>
          </w:tcPr>
          <w:p w14:paraId="58D78E3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法治氛围营造</w:t>
            </w:r>
          </w:p>
        </w:tc>
        <w:tc>
          <w:tcPr>
            <w:tcW w:w="189" w:type="pct"/>
            <w:tcBorders>
              <w:top w:val="nil"/>
              <w:left w:val="nil"/>
              <w:bottom w:val="single" w:color="000000" w:sz="4" w:space="0"/>
              <w:right w:val="single" w:color="000000" w:sz="4" w:space="0"/>
            </w:tcBorders>
            <w:shd w:val="clear" w:color="auto" w:fill="auto"/>
            <w:vAlign w:val="center"/>
          </w:tcPr>
          <w:p w14:paraId="2F9D883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09" w:type="pct"/>
            <w:tcBorders>
              <w:top w:val="nil"/>
              <w:left w:val="nil"/>
              <w:bottom w:val="single" w:color="000000" w:sz="4" w:space="0"/>
              <w:right w:val="single" w:color="000000" w:sz="4" w:space="0"/>
            </w:tcBorders>
            <w:shd w:val="clear" w:color="auto" w:fill="auto"/>
            <w:vAlign w:val="center"/>
          </w:tcPr>
          <w:p w14:paraId="3C65BB8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89" w:type="pct"/>
            <w:tcBorders>
              <w:top w:val="nil"/>
              <w:left w:val="nil"/>
              <w:bottom w:val="single" w:color="000000" w:sz="4" w:space="0"/>
              <w:right w:val="single" w:color="000000" w:sz="4" w:space="0"/>
            </w:tcBorders>
            <w:shd w:val="clear" w:color="auto" w:fill="auto"/>
            <w:vAlign w:val="center"/>
          </w:tcPr>
          <w:p w14:paraId="3ADE561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7" w:type="pct"/>
            <w:tcBorders>
              <w:top w:val="nil"/>
              <w:left w:val="nil"/>
              <w:bottom w:val="single" w:color="000000" w:sz="4" w:space="0"/>
              <w:right w:val="single" w:color="000000" w:sz="4" w:space="0"/>
            </w:tcBorders>
            <w:shd w:val="clear" w:color="auto" w:fill="auto"/>
            <w:vAlign w:val="center"/>
          </w:tcPr>
          <w:p w14:paraId="4643157B">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90" w:type="pct"/>
            <w:tcBorders>
              <w:top w:val="nil"/>
              <w:left w:val="nil"/>
              <w:bottom w:val="single" w:color="000000" w:sz="4" w:space="0"/>
              <w:right w:val="single" w:color="000000" w:sz="4" w:space="0"/>
            </w:tcBorders>
            <w:shd w:val="clear" w:color="auto" w:fill="auto"/>
            <w:vAlign w:val="center"/>
          </w:tcPr>
          <w:p w14:paraId="795161D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43" w:type="pct"/>
            <w:tcBorders>
              <w:top w:val="nil"/>
              <w:left w:val="nil"/>
              <w:bottom w:val="single" w:color="000000" w:sz="4" w:space="0"/>
              <w:right w:val="single" w:color="000000" w:sz="4" w:space="0"/>
            </w:tcBorders>
            <w:shd w:val="clear" w:color="auto" w:fill="auto"/>
            <w:vAlign w:val="center"/>
          </w:tcPr>
          <w:p w14:paraId="6CA0C9E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74" w:type="pct"/>
            <w:tcBorders>
              <w:top w:val="nil"/>
              <w:left w:val="nil"/>
              <w:bottom w:val="single" w:color="000000" w:sz="4" w:space="0"/>
              <w:right w:val="single" w:color="000000" w:sz="4" w:space="0"/>
            </w:tcBorders>
            <w:shd w:val="clear" w:color="auto" w:fill="auto"/>
            <w:vAlign w:val="center"/>
          </w:tcPr>
          <w:p w14:paraId="2781BC52">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243B043D">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2D38998F">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717A2786">
            <w:pPr>
              <w:widowControl/>
              <w:jc w:val="left"/>
              <w:rPr>
                <w:rFonts w:ascii="宋体" w:hAnsi="宋体" w:eastAsia="宋体" w:cs="宋体"/>
                <w:color w:val="000000"/>
                <w:sz w:val="18"/>
                <w:szCs w:val="18"/>
              </w:rPr>
            </w:pPr>
          </w:p>
        </w:tc>
        <w:tc>
          <w:tcPr>
            <w:tcW w:w="530" w:type="pct"/>
            <w:vMerge w:val="continue"/>
            <w:tcBorders>
              <w:top w:val="nil"/>
              <w:left w:val="single" w:color="000000" w:sz="4" w:space="0"/>
              <w:bottom w:val="single" w:color="000000" w:sz="4" w:space="0"/>
              <w:right w:val="single" w:color="000000" w:sz="4" w:space="0"/>
            </w:tcBorders>
            <w:vAlign w:val="center"/>
          </w:tcPr>
          <w:p w14:paraId="4B72627D">
            <w:pPr>
              <w:widowControl/>
              <w:jc w:val="left"/>
              <w:rPr>
                <w:rFonts w:ascii="宋体" w:hAnsi="宋体" w:eastAsia="宋体" w:cs="宋体"/>
                <w:color w:val="000000"/>
                <w:sz w:val="18"/>
                <w:szCs w:val="18"/>
              </w:rPr>
            </w:pPr>
          </w:p>
        </w:tc>
        <w:tc>
          <w:tcPr>
            <w:tcW w:w="755" w:type="pct"/>
            <w:tcBorders>
              <w:top w:val="nil"/>
              <w:left w:val="nil"/>
              <w:bottom w:val="single" w:color="000000" w:sz="4" w:space="0"/>
              <w:right w:val="single" w:color="000000" w:sz="4" w:space="0"/>
            </w:tcBorders>
            <w:shd w:val="clear" w:color="auto" w:fill="auto"/>
            <w:vAlign w:val="center"/>
          </w:tcPr>
          <w:p w14:paraId="5115CBA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网站运转率</w:t>
            </w:r>
          </w:p>
        </w:tc>
        <w:tc>
          <w:tcPr>
            <w:tcW w:w="189" w:type="pct"/>
            <w:tcBorders>
              <w:top w:val="nil"/>
              <w:left w:val="nil"/>
              <w:bottom w:val="single" w:color="000000" w:sz="4" w:space="0"/>
              <w:right w:val="single" w:color="000000" w:sz="4" w:space="0"/>
            </w:tcBorders>
            <w:shd w:val="clear" w:color="auto" w:fill="auto"/>
            <w:vAlign w:val="center"/>
          </w:tcPr>
          <w:p w14:paraId="484BED2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6DD50C6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189" w:type="pct"/>
            <w:tcBorders>
              <w:top w:val="nil"/>
              <w:left w:val="nil"/>
              <w:bottom w:val="single" w:color="000000" w:sz="4" w:space="0"/>
              <w:right w:val="single" w:color="000000" w:sz="4" w:space="0"/>
            </w:tcBorders>
            <w:shd w:val="clear" w:color="auto" w:fill="auto"/>
            <w:vAlign w:val="center"/>
          </w:tcPr>
          <w:p w14:paraId="3AAC6AF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407" w:type="pct"/>
            <w:tcBorders>
              <w:top w:val="nil"/>
              <w:left w:val="nil"/>
              <w:bottom w:val="single" w:color="000000" w:sz="4" w:space="0"/>
              <w:right w:val="single" w:color="000000" w:sz="4" w:space="0"/>
            </w:tcBorders>
            <w:shd w:val="clear" w:color="auto" w:fill="auto"/>
            <w:vAlign w:val="center"/>
          </w:tcPr>
          <w:p w14:paraId="7AED5BFE">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98</w:t>
            </w:r>
          </w:p>
        </w:tc>
        <w:tc>
          <w:tcPr>
            <w:tcW w:w="190" w:type="pct"/>
            <w:tcBorders>
              <w:top w:val="nil"/>
              <w:left w:val="nil"/>
              <w:bottom w:val="single" w:color="000000" w:sz="4" w:space="0"/>
              <w:right w:val="single" w:color="000000" w:sz="4" w:space="0"/>
            </w:tcBorders>
            <w:shd w:val="clear" w:color="auto" w:fill="auto"/>
            <w:vAlign w:val="center"/>
          </w:tcPr>
          <w:p w14:paraId="7FCE979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43" w:type="pct"/>
            <w:tcBorders>
              <w:top w:val="nil"/>
              <w:left w:val="nil"/>
              <w:bottom w:val="single" w:color="000000" w:sz="4" w:space="0"/>
              <w:right w:val="single" w:color="000000" w:sz="4" w:space="0"/>
            </w:tcBorders>
            <w:shd w:val="clear" w:color="auto" w:fill="auto"/>
            <w:vAlign w:val="center"/>
          </w:tcPr>
          <w:p w14:paraId="66D48B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74" w:type="pct"/>
            <w:tcBorders>
              <w:top w:val="nil"/>
              <w:left w:val="nil"/>
              <w:bottom w:val="single" w:color="000000" w:sz="4" w:space="0"/>
              <w:right w:val="single" w:color="000000" w:sz="4" w:space="0"/>
            </w:tcBorders>
            <w:shd w:val="clear" w:color="auto" w:fill="auto"/>
            <w:vAlign w:val="center"/>
          </w:tcPr>
          <w:p w14:paraId="5EBEE54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A0E9A4D">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7CF5C2E4">
            <w:pPr>
              <w:widowControl/>
              <w:jc w:val="left"/>
              <w:rPr>
                <w:rFonts w:ascii="宋体" w:hAnsi="宋体" w:eastAsia="宋体" w:cs="宋体"/>
                <w:color w:val="000000"/>
                <w:sz w:val="18"/>
                <w:szCs w:val="18"/>
              </w:rPr>
            </w:pPr>
          </w:p>
        </w:tc>
        <w:tc>
          <w:tcPr>
            <w:tcW w:w="602" w:type="pct"/>
            <w:vMerge w:val="continue"/>
            <w:tcBorders>
              <w:top w:val="nil"/>
              <w:left w:val="single" w:color="000000" w:sz="4" w:space="0"/>
              <w:bottom w:val="single" w:color="000000" w:sz="4" w:space="0"/>
              <w:right w:val="single" w:color="000000" w:sz="4" w:space="0"/>
            </w:tcBorders>
            <w:vAlign w:val="center"/>
          </w:tcPr>
          <w:p w14:paraId="19390F37">
            <w:pPr>
              <w:widowControl/>
              <w:jc w:val="left"/>
              <w:rPr>
                <w:rFonts w:ascii="宋体" w:hAnsi="宋体" w:eastAsia="宋体" w:cs="宋体"/>
                <w:color w:val="000000"/>
                <w:sz w:val="18"/>
                <w:szCs w:val="18"/>
              </w:rPr>
            </w:pPr>
          </w:p>
        </w:tc>
        <w:tc>
          <w:tcPr>
            <w:tcW w:w="530" w:type="pct"/>
            <w:tcBorders>
              <w:top w:val="nil"/>
              <w:left w:val="nil"/>
              <w:bottom w:val="single" w:color="000000" w:sz="4" w:space="0"/>
              <w:right w:val="single" w:color="000000" w:sz="4" w:space="0"/>
            </w:tcBorders>
            <w:shd w:val="clear" w:color="auto" w:fill="auto"/>
            <w:vAlign w:val="center"/>
          </w:tcPr>
          <w:p w14:paraId="1CDA1E7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755" w:type="pct"/>
            <w:tcBorders>
              <w:top w:val="nil"/>
              <w:left w:val="nil"/>
              <w:bottom w:val="single" w:color="000000" w:sz="4" w:space="0"/>
              <w:right w:val="single" w:color="000000" w:sz="4" w:space="0"/>
            </w:tcBorders>
            <w:shd w:val="clear" w:color="auto" w:fill="auto"/>
            <w:vAlign w:val="center"/>
          </w:tcPr>
          <w:p w14:paraId="1FE2F94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持续营造依法治区的法治氛围</w:t>
            </w:r>
          </w:p>
        </w:tc>
        <w:tc>
          <w:tcPr>
            <w:tcW w:w="189" w:type="pct"/>
            <w:tcBorders>
              <w:top w:val="nil"/>
              <w:left w:val="nil"/>
              <w:bottom w:val="single" w:color="000000" w:sz="4" w:space="0"/>
              <w:right w:val="single" w:color="000000" w:sz="4" w:space="0"/>
            </w:tcBorders>
            <w:shd w:val="clear" w:color="auto" w:fill="auto"/>
            <w:vAlign w:val="center"/>
          </w:tcPr>
          <w:p w14:paraId="5865408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2251F52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189" w:type="pct"/>
            <w:tcBorders>
              <w:top w:val="nil"/>
              <w:left w:val="nil"/>
              <w:bottom w:val="single" w:color="000000" w:sz="4" w:space="0"/>
              <w:right w:val="single" w:color="000000" w:sz="4" w:space="0"/>
            </w:tcBorders>
            <w:shd w:val="clear" w:color="auto" w:fill="auto"/>
            <w:vAlign w:val="center"/>
          </w:tcPr>
          <w:p w14:paraId="363C3C6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w:t>
            </w:r>
          </w:p>
        </w:tc>
        <w:tc>
          <w:tcPr>
            <w:tcW w:w="407" w:type="pct"/>
            <w:tcBorders>
              <w:top w:val="nil"/>
              <w:left w:val="nil"/>
              <w:bottom w:val="single" w:color="000000" w:sz="4" w:space="0"/>
              <w:right w:val="single" w:color="000000" w:sz="4" w:space="0"/>
            </w:tcBorders>
            <w:shd w:val="clear" w:color="auto" w:fill="auto"/>
            <w:vAlign w:val="center"/>
          </w:tcPr>
          <w:p w14:paraId="775D1B8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w:t>
            </w:r>
          </w:p>
        </w:tc>
        <w:tc>
          <w:tcPr>
            <w:tcW w:w="190" w:type="pct"/>
            <w:tcBorders>
              <w:top w:val="nil"/>
              <w:left w:val="nil"/>
              <w:bottom w:val="single" w:color="000000" w:sz="4" w:space="0"/>
              <w:right w:val="single" w:color="000000" w:sz="4" w:space="0"/>
            </w:tcBorders>
            <w:shd w:val="clear" w:color="auto" w:fill="auto"/>
            <w:vAlign w:val="center"/>
          </w:tcPr>
          <w:p w14:paraId="186D08C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43" w:type="pct"/>
            <w:tcBorders>
              <w:top w:val="nil"/>
              <w:left w:val="nil"/>
              <w:bottom w:val="single" w:color="000000" w:sz="4" w:space="0"/>
              <w:right w:val="single" w:color="000000" w:sz="4" w:space="0"/>
            </w:tcBorders>
            <w:shd w:val="clear" w:color="auto" w:fill="auto"/>
            <w:vAlign w:val="center"/>
          </w:tcPr>
          <w:p w14:paraId="17DAE43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1074" w:type="pct"/>
            <w:tcBorders>
              <w:top w:val="nil"/>
              <w:left w:val="nil"/>
              <w:bottom w:val="single" w:color="000000" w:sz="4" w:space="0"/>
              <w:right w:val="single" w:color="000000" w:sz="4" w:space="0"/>
            </w:tcBorders>
            <w:shd w:val="clear" w:color="auto" w:fill="auto"/>
            <w:vAlign w:val="center"/>
          </w:tcPr>
          <w:p w14:paraId="2B70531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244BB8C">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294B0316">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792BB38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效益指标</w:t>
            </w:r>
          </w:p>
        </w:tc>
        <w:tc>
          <w:tcPr>
            <w:tcW w:w="530" w:type="pct"/>
            <w:tcBorders>
              <w:top w:val="nil"/>
              <w:left w:val="nil"/>
              <w:bottom w:val="single" w:color="000000" w:sz="4" w:space="0"/>
              <w:right w:val="single" w:color="000000" w:sz="4" w:space="0"/>
            </w:tcBorders>
            <w:shd w:val="clear" w:color="auto" w:fill="auto"/>
            <w:vAlign w:val="center"/>
          </w:tcPr>
          <w:p w14:paraId="5705A65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可持续影响指标</w:t>
            </w:r>
          </w:p>
        </w:tc>
        <w:tc>
          <w:tcPr>
            <w:tcW w:w="755" w:type="pct"/>
            <w:tcBorders>
              <w:top w:val="nil"/>
              <w:left w:val="nil"/>
              <w:bottom w:val="single" w:color="000000" w:sz="4" w:space="0"/>
              <w:right w:val="single" w:color="000000" w:sz="4" w:space="0"/>
            </w:tcBorders>
            <w:shd w:val="clear" w:color="auto" w:fill="auto"/>
            <w:vAlign w:val="center"/>
          </w:tcPr>
          <w:p w14:paraId="53C80BC3">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强化群众法治意识</w:t>
            </w:r>
          </w:p>
        </w:tc>
        <w:tc>
          <w:tcPr>
            <w:tcW w:w="189" w:type="pct"/>
            <w:tcBorders>
              <w:top w:val="nil"/>
              <w:left w:val="nil"/>
              <w:bottom w:val="single" w:color="000000" w:sz="4" w:space="0"/>
              <w:right w:val="single" w:color="000000" w:sz="4" w:space="0"/>
            </w:tcBorders>
            <w:shd w:val="clear" w:color="auto" w:fill="auto"/>
            <w:vAlign w:val="center"/>
          </w:tcPr>
          <w:p w14:paraId="1C056F2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09" w:type="pct"/>
            <w:tcBorders>
              <w:top w:val="nil"/>
              <w:left w:val="nil"/>
              <w:bottom w:val="single" w:color="000000" w:sz="4" w:space="0"/>
              <w:right w:val="single" w:color="000000" w:sz="4" w:space="0"/>
            </w:tcBorders>
            <w:shd w:val="clear" w:color="auto" w:fill="auto"/>
            <w:vAlign w:val="center"/>
          </w:tcPr>
          <w:p w14:paraId="58A29B6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89" w:type="pct"/>
            <w:tcBorders>
              <w:top w:val="nil"/>
              <w:left w:val="nil"/>
              <w:bottom w:val="single" w:color="000000" w:sz="4" w:space="0"/>
              <w:right w:val="single" w:color="000000" w:sz="4" w:space="0"/>
            </w:tcBorders>
            <w:shd w:val="clear" w:color="auto" w:fill="auto"/>
            <w:vAlign w:val="center"/>
          </w:tcPr>
          <w:p w14:paraId="1E86208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7" w:type="pct"/>
            <w:tcBorders>
              <w:top w:val="nil"/>
              <w:left w:val="nil"/>
              <w:bottom w:val="single" w:color="000000" w:sz="4" w:space="0"/>
              <w:right w:val="single" w:color="000000" w:sz="4" w:space="0"/>
            </w:tcBorders>
            <w:shd w:val="clear" w:color="auto" w:fill="auto"/>
            <w:vAlign w:val="center"/>
          </w:tcPr>
          <w:p w14:paraId="792A3AF5">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90" w:type="pct"/>
            <w:tcBorders>
              <w:top w:val="nil"/>
              <w:left w:val="nil"/>
              <w:bottom w:val="single" w:color="000000" w:sz="4" w:space="0"/>
              <w:right w:val="single" w:color="000000" w:sz="4" w:space="0"/>
            </w:tcBorders>
            <w:shd w:val="clear" w:color="auto" w:fill="auto"/>
            <w:vAlign w:val="center"/>
          </w:tcPr>
          <w:p w14:paraId="1C365D6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22</w:t>
            </w:r>
          </w:p>
        </w:tc>
        <w:tc>
          <w:tcPr>
            <w:tcW w:w="243" w:type="pct"/>
            <w:tcBorders>
              <w:top w:val="nil"/>
              <w:left w:val="nil"/>
              <w:bottom w:val="single" w:color="000000" w:sz="4" w:space="0"/>
              <w:right w:val="single" w:color="000000" w:sz="4" w:space="0"/>
            </w:tcBorders>
            <w:shd w:val="clear" w:color="auto" w:fill="auto"/>
            <w:vAlign w:val="center"/>
          </w:tcPr>
          <w:p w14:paraId="4693301D">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20</w:t>
            </w:r>
          </w:p>
        </w:tc>
        <w:tc>
          <w:tcPr>
            <w:tcW w:w="1074" w:type="pct"/>
            <w:tcBorders>
              <w:top w:val="nil"/>
              <w:left w:val="nil"/>
              <w:bottom w:val="single" w:color="000000" w:sz="4" w:space="0"/>
              <w:right w:val="single" w:color="000000" w:sz="4" w:space="0"/>
            </w:tcBorders>
            <w:shd w:val="clear" w:color="auto" w:fill="auto"/>
            <w:vAlign w:val="center"/>
          </w:tcPr>
          <w:p w14:paraId="75998A93">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1167977">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2CC497B8">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7BC2E4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530" w:type="pct"/>
            <w:tcBorders>
              <w:top w:val="nil"/>
              <w:left w:val="nil"/>
              <w:bottom w:val="single" w:color="000000" w:sz="4" w:space="0"/>
              <w:right w:val="single" w:color="000000" w:sz="4" w:space="0"/>
            </w:tcBorders>
            <w:shd w:val="clear" w:color="auto" w:fill="auto"/>
            <w:vAlign w:val="center"/>
          </w:tcPr>
          <w:p w14:paraId="2C13BBE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服务对象满意度指标</w:t>
            </w:r>
          </w:p>
        </w:tc>
        <w:tc>
          <w:tcPr>
            <w:tcW w:w="755" w:type="pct"/>
            <w:tcBorders>
              <w:top w:val="nil"/>
              <w:left w:val="nil"/>
              <w:bottom w:val="single" w:color="000000" w:sz="4" w:space="0"/>
              <w:right w:val="single" w:color="000000" w:sz="4" w:space="0"/>
            </w:tcBorders>
            <w:shd w:val="clear" w:color="auto" w:fill="auto"/>
            <w:vAlign w:val="center"/>
          </w:tcPr>
          <w:p w14:paraId="5132C75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189" w:type="pct"/>
            <w:tcBorders>
              <w:top w:val="nil"/>
              <w:left w:val="nil"/>
              <w:bottom w:val="single" w:color="000000" w:sz="4" w:space="0"/>
              <w:right w:val="single" w:color="000000" w:sz="4" w:space="0"/>
            </w:tcBorders>
            <w:shd w:val="clear" w:color="auto" w:fill="auto"/>
            <w:vAlign w:val="center"/>
          </w:tcPr>
          <w:p w14:paraId="40F604F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定性</w:t>
            </w:r>
          </w:p>
        </w:tc>
        <w:tc>
          <w:tcPr>
            <w:tcW w:w="609" w:type="pct"/>
            <w:tcBorders>
              <w:top w:val="nil"/>
              <w:left w:val="nil"/>
              <w:bottom w:val="single" w:color="000000" w:sz="4" w:space="0"/>
              <w:right w:val="single" w:color="000000" w:sz="4" w:space="0"/>
            </w:tcBorders>
            <w:shd w:val="clear" w:color="auto" w:fill="auto"/>
            <w:vAlign w:val="center"/>
          </w:tcPr>
          <w:p w14:paraId="5477E8C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优良</w:t>
            </w:r>
          </w:p>
        </w:tc>
        <w:tc>
          <w:tcPr>
            <w:tcW w:w="189" w:type="pct"/>
            <w:tcBorders>
              <w:top w:val="nil"/>
              <w:left w:val="nil"/>
              <w:bottom w:val="single" w:color="000000" w:sz="4" w:space="0"/>
              <w:right w:val="single" w:color="000000" w:sz="4" w:space="0"/>
            </w:tcBorders>
            <w:shd w:val="clear" w:color="auto" w:fill="auto"/>
            <w:vAlign w:val="center"/>
          </w:tcPr>
          <w:p w14:paraId="326C647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其他</w:t>
            </w:r>
          </w:p>
        </w:tc>
        <w:tc>
          <w:tcPr>
            <w:tcW w:w="407" w:type="pct"/>
            <w:tcBorders>
              <w:top w:val="nil"/>
              <w:left w:val="nil"/>
              <w:bottom w:val="single" w:color="000000" w:sz="4" w:space="0"/>
              <w:right w:val="single" w:color="000000" w:sz="4" w:space="0"/>
            </w:tcBorders>
            <w:shd w:val="clear" w:color="auto" w:fill="auto"/>
            <w:vAlign w:val="center"/>
          </w:tcPr>
          <w:p w14:paraId="6872DA74">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优</w:t>
            </w:r>
          </w:p>
        </w:tc>
        <w:tc>
          <w:tcPr>
            <w:tcW w:w="190" w:type="pct"/>
            <w:tcBorders>
              <w:top w:val="nil"/>
              <w:left w:val="nil"/>
              <w:bottom w:val="single" w:color="000000" w:sz="4" w:space="0"/>
              <w:right w:val="single" w:color="000000" w:sz="4" w:space="0"/>
            </w:tcBorders>
            <w:shd w:val="clear" w:color="auto" w:fill="auto"/>
            <w:vAlign w:val="center"/>
          </w:tcPr>
          <w:p w14:paraId="68C5185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43" w:type="pct"/>
            <w:tcBorders>
              <w:top w:val="nil"/>
              <w:left w:val="nil"/>
              <w:bottom w:val="single" w:color="000000" w:sz="4" w:space="0"/>
              <w:right w:val="single" w:color="000000" w:sz="4" w:space="0"/>
            </w:tcBorders>
            <w:shd w:val="clear" w:color="auto" w:fill="auto"/>
            <w:vAlign w:val="center"/>
          </w:tcPr>
          <w:p w14:paraId="3909B5C1">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1074" w:type="pct"/>
            <w:tcBorders>
              <w:top w:val="nil"/>
              <w:left w:val="nil"/>
              <w:bottom w:val="single" w:color="000000" w:sz="4" w:space="0"/>
              <w:right w:val="single" w:color="000000" w:sz="4" w:space="0"/>
            </w:tcBorders>
            <w:shd w:val="clear" w:color="auto" w:fill="auto"/>
            <w:vAlign w:val="center"/>
          </w:tcPr>
          <w:p w14:paraId="516B64C8">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6CF40742">
        <w:tblPrEx>
          <w:tblCellMar>
            <w:top w:w="0" w:type="dxa"/>
            <w:left w:w="108" w:type="dxa"/>
            <w:bottom w:w="0" w:type="dxa"/>
            <w:right w:w="108" w:type="dxa"/>
          </w:tblCellMar>
        </w:tblPrEx>
        <w:trPr>
          <w:trHeight w:val="402" w:hRule="atLeast"/>
        </w:trPr>
        <w:tc>
          <w:tcPr>
            <w:tcW w:w="211" w:type="pct"/>
            <w:vMerge w:val="continue"/>
            <w:tcBorders>
              <w:top w:val="nil"/>
              <w:left w:val="single" w:color="000000" w:sz="4" w:space="0"/>
              <w:bottom w:val="nil"/>
              <w:right w:val="single" w:color="000000" w:sz="4" w:space="0"/>
            </w:tcBorders>
            <w:vAlign w:val="center"/>
          </w:tcPr>
          <w:p w14:paraId="68C792B0">
            <w:pPr>
              <w:widowControl/>
              <w:jc w:val="left"/>
              <w:rPr>
                <w:rFonts w:ascii="宋体" w:hAnsi="宋体" w:eastAsia="宋体" w:cs="宋体"/>
                <w:color w:val="000000"/>
                <w:sz w:val="18"/>
                <w:szCs w:val="18"/>
              </w:rPr>
            </w:pPr>
          </w:p>
        </w:tc>
        <w:tc>
          <w:tcPr>
            <w:tcW w:w="602" w:type="pct"/>
            <w:tcBorders>
              <w:top w:val="nil"/>
              <w:left w:val="nil"/>
              <w:bottom w:val="single" w:color="000000" w:sz="4" w:space="0"/>
              <w:right w:val="single" w:color="000000" w:sz="4" w:space="0"/>
            </w:tcBorders>
            <w:shd w:val="clear" w:color="auto" w:fill="auto"/>
            <w:vAlign w:val="center"/>
          </w:tcPr>
          <w:p w14:paraId="272444A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530" w:type="pct"/>
            <w:tcBorders>
              <w:top w:val="nil"/>
              <w:left w:val="nil"/>
              <w:bottom w:val="single" w:color="000000" w:sz="4" w:space="0"/>
              <w:right w:val="single" w:color="000000" w:sz="4" w:space="0"/>
            </w:tcBorders>
            <w:shd w:val="clear" w:color="auto" w:fill="auto"/>
            <w:vAlign w:val="center"/>
          </w:tcPr>
          <w:p w14:paraId="7FB88817">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755" w:type="pct"/>
            <w:tcBorders>
              <w:top w:val="nil"/>
              <w:left w:val="nil"/>
              <w:bottom w:val="single" w:color="000000" w:sz="4" w:space="0"/>
              <w:right w:val="single" w:color="000000" w:sz="4" w:space="0"/>
            </w:tcBorders>
            <w:shd w:val="clear" w:color="auto" w:fill="auto"/>
            <w:vAlign w:val="center"/>
          </w:tcPr>
          <w:p w14:paraId="28CE75E6">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法治氛围 营造、法治网站维护</w:t>
            </w:r>
          </w:p>
        </w:tc>
        <w:tc>
          <w:tcPr>
            <w:tcW w:w="189" w:type="pct"/>
            <w:tcBorders>
              <w:top w:val="nil"/>
              <w:left w:val="nil"/>
              <w:bottom w:val="single" w:color="000000" w:sz="4" w:space="0"/>
              <w:right w:val="single" w:color="000000" w:sz="4" w:space="0"/>
            </w:tcBorders>
            <w:shd w:val="clear" w:color="auto" w:fill="auto"/>
            <w:vAlign w:val="center"/>
          </w:tcPr>
          <w:p w14:paraId="0520740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09" w:type="pct"/>
            <w:tcBorders>
              <w:top w:val="nil"/>
              <w:left w:val="nil"/>
              <w:bottom w:val="single" w:color="000000" w:sz="4" w:space="0"/>
              <w:right w:val="single" w:color="000000" w:sz="4" w:space="0"/>
            </w:tcBorders>
            <w:shd w:val="clear" w:color="auto" w:fill="auto"/>
            <w:vAlign w:val="center"/>
          </w:tcPr>
          <w:p w14:paraId="78FBD60A">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189" w:type="pct"/>
            <w:tcBorders>
              <w:top w:val="nil"/>
              <w:left w:val="nil"/>
              <w:bottom w:val="single" w:color="000000" w:sz="4" w:space="0"/>
              <w:right w:val="single" w:color="000000" w:sz="4" w:space="0"/>
            </w:tcBorders>
            <w:shd w:val="clear" w:color="auto" w:fill="auto"/>
            <w:vAlign w:val="center"/>
          </w:tcPr>
          <w:p w14:paraId="4BC3A4D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年</w:t>
            </w:r>
          </w:p>
        </w:tc>
        <w:tc>
          <w:tcPr>
            <w:tcW w:w="407" w:type="pct"/>
            <w:tcBorders>
              <w:top w:val="nil"/>
              <w:left w:val="nil"/>
              <w:bottom w:val="single" w:color="000000" w:sz="4" w:space="0"/>
              <w:right w:val="single" w:color="000000" w:sz="4" w:space="0"/>
            </w:tcBorders>
            <w:shd w:val="clear" w:color="auto" w:fill="auto"/>
            <w:vAlign w:val="center"/>
          </w:tcPr>
          <w:p w14:paraId="1A0F472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1</w:t>
            </w:r>
          </w:p>
        </w:tc>
        <w:tc>
          <w:tcPr>
            <w:tcW w:w="190" w:type="pct"/>
            <w:tcBorders>
              <w:top w:val="nil"/>
              <w:left w:val="nil"/>
              <w:bottom w:val="single" w:color="000000" w:sz="4" w:space="0"/>
              <w:right w:val="single" w:color="000000" w:sz="4" w:space="0"/>
            </w:tcBorders>
            <w:shd w:val="clear" w:color="auto" w:fill="auto"/>
            <w:vAlign w:val="center"/>
          </w:tcPr>
          <w:p w14:paraId="217CF39C">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243" w:type="pct"/>
            <w:tcBorders>
              <w:top w:val="nil"/>
              <w:left w:val="nil"/>
              <w:bottom w:val="single" w:color="000000" w:sz="4" w:space="0"/>
              <w:right w:val="single" w:color="000000" w:sz="4" w:space="0"/>
            </w:tcBorders>
            <w:shd w:val="clear" w:color="auto" w:fill="auto"/>
            <w:vAlign w:val="center"/>
          </w:tcPr>
          <w:p w14:paraId="5ECC9D8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1074" w:type="pct"/>
            <w:tcBorders>
              <w:top w:val="nil"/>
              <w:left w:val="nil"/>
              <w:bottom w:val="single" w:color="000000" w:sz="4" w:space="0"/>
              <w:right w:val="single" w:color="000000" w:sz="4" w:space="0"/>
            </w:tcBorders>
            <w:shd w:val="clear" w:color="auto" w:fill="auto"/>
            <w:vAlign w:val="center"/>
          </w:tcPr>
          <w:p w14:paraId="3C9E41E0">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14:paraId="06EF67DD">
        <w:tblPrEx>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081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602" w:type="pct"/>
            <w:tcBorders>
              <w:top w:val="nil"/>
              <w:left w:val="nil"/>
              <w:bottom w:val="single" w:color="000000" w:sz="4" w:space="0"/>
              <w:right w:val="single" w:color="000000" w:sz="4" w:space="0"/>
            </w:tcBorders>
            <w:shd w:val="clear" w:color="auto" w:fill="auto"/>
            <w:vAlign w:val="center"/>
          </w:tcPr>
          <w:p w14:paraId="2F934A82">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530" w:type="pct"/>
            <w:tcBorders>
              <w:top w:val="nil"/>
              <w:left w:val="nil"/>
              <w:bottom w:val="single" w:color="000000" w:sz="4" w:space="0"/>
              <w:right w:val="single" w:color="000000" w:sz="4" w:space="0"/>
            </w:tcBorders>
            <w:shd w:val="clear" w:color="auto" w:fill="auto"/>
            <w:vAlign w:val="center"/>
          </w:tcPr>
          <w:p w14:paraId="7B603CF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755" w:type="pct"/>
            <w:tcBorders>
              <w:top w:val="nil"/>
              <w:left w:val="nil"/>
              <w:bottom w:val="single" w:color="000000" w:sz="4" w:space="0"/>
              <w:right w:val="single" w:color="000000" w:sz="4" w:space="0"/>
            </w:tcBorders>
            <w:shd w:val="clear" w:color="auto" w:fill="auto"/>
            <w:vAlign w:val="center"/>
          </w:tcPr>
          <w:p w14:paraId="6922647F">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14:paraId="1D2797A9">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609" w:type="pct"/>
            <w:tcBorders>
              <w:top w:val="nil"/>
              <w:left w:val="nil"/>
              <w:bottom w:val="single" w:color="000000" w:sz="4" w:space="0"/>
              <w:right w:val="single" w:color="000000" w:sz="4" w:space="0"/>
            </w:tcBorders>
            <w:shd w:val="clear" w:color="auto" w:fill="auto"/>
            <w:vAlign w:val="center"/>
          </w:tcPr>
          <w:p w14:paraId="1635584E">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14:paraId="1289EA3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407" w:type="pct"/>
            <w:tcBorders>
              <w:top w:val="nil"/>
              <w:left w:val="nil"/>
              <w:bottom w:val="single" w:color="000000" w:sz="4" w:space="0"/>
              <w:right w:val="single" w:color="000000" w:sz="4" w:space="0"/>
            </w:tcBorders>
            <w:shd w:val="clear" w:color="auto" w:fill="auto"/>
            <w:vAlign w:val="center"/>
          </w:tcPr>
          <w:p w14:paraId="5913A9C0">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　</w:t>
            </w:r>
          </w:p>
        </w:tc>
        <w:tc>
          <w:tcPr>
            <w:tcW w:w="190" w:type="pct"/>
            <w:tcBorders>
              <w:top w:val="nil"/>
              <w:left w:val="nil"/>
              <w:bottom w:val="single" w:color="000000" w:sz="4" w:space="0"/>
              <w:right w:val="single" w:color="000000" w:sz="4" w:space="0"/>
            </w:tcBorders>
            <w:shd w:val="clear" w:color="auto" w:fill="auto"/>
            <w:vAlign w:val="center"/>
          </w:tcPr>
          <w:p w14:paraId="4BC46535">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43" w:type="pct"/>
            <w:tcBorders>
              <w:top w:val="nil"/>
              <w:left w:val="nil"/>
              <w:bottom w:val="single" w:color="000000" w:sz="4" w:space="0"/>
              <w:right w:val="single" w:color="000000" w:sz="4" w:space="0"/>
            </w:tcBorders>
            <w:shd w:val="clear" w:color="auto" w:fill="auto"/>
            <w:vAlign w:val="center"/>
          </w:tcPr>
          <w:p w14:paraId="381536EB">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89.98</w:t>
            </w:r>
          </w:p>
        </w:tc>
        <w:tc>
          <w:tcPr>
            <w:tcW w:w="1074" w:type="pct"/>
            <w:tcBorders>
              <w:top w:val="nil"/>
              <w:left w:val="nil"/>
              <w:bottom w:val="single" w:color="000000" w:sz="4" w:space="0"/>
              <w:right w:val="single" w:color="000000" w:sz="4" w:space="0"/>
            </w:tcBorders>
            <w:shd w:val="clear" w:color="auto" w:fill="auto"/>
            <w:vAlign w:val="center"/>
          </w:tcPr>
          <w:p w14:paraId="24ECEA22">
            <w:pPr>
              <w:widowControl/>
              <w:jc w:val="left"/>
              <w:rPr>
                <w:rFonts w:ascii="宋体" w:hAnsi="宋体" w:eastAsia="宋体" w:cs="宋体"/>
                <w:color w:val="000000"/>
                <w:sz w:val="18"/>
                <w:szCs w:val="18"/>
              </w:rPr>
            </w:pPr>
            <w:r>
              <w:rPr>
                <w:rFonts w:hint="eastAsia" w:ascii="宋体" w:hAnsi="宋体" w:eastAsia="宋体" w:cs="宋体"/>
                <w:color w:val="000000"/>
                <w:sz w:val="18"/>
                <w:szCs w:val="18"/>
              </w:rPr>
              <w:t>　</w:t>
            </w:r>
          </w:p>
        </w:tc>
      </w:tr>
      <w:tr w14:paraId="2455FB4D">
        <w:tblPrEx>
          <w:tblCellMar>
            <w:top w:w="0" w:type="dxa"/>
            <w:left w:w="108" w:type="dxa"/>
            <w:bottom w:w="0" w:type="dxa"/>
            <w:right w:w="108" w:type="dxa"/>
          </w:tblCellMar>
        </w:tblPrEx>
        <w:trPr>
          <w:trHeight w:val="60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526662A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评价结论</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151D0337">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该项目总体上立项程序严密、规划合理；项目实施制度较为完备、资金使用合规、项目执行有效；项目资金使用审批审核到位，资金发放准确、及时；项目绩效目标完成及时、无违规记录；但存在预算执行率较低的情况，绩效评价得分“89.98”，评价等级为“良”。</w:t>
            </w:r>
          </w:p>
        </w:tc>
      </w:tr>
      <w:tr w14:paraId="0F5DCEBF">
        <w:tblPrEx>
          <w:tblCellMar>
            <w:top w:w="0" w:type="dxa"/>
            <w:left w:w="108" w:type="dxa"/>
            <w:bottom w:w="0" w:type="dxa"/>
            <w:right w:w="108" w:type="dxa"/>
          </w:tblCellMar>
        </w:tblPrEx>
        <w:trPr>
          <w:trHeight w:val="57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767DE1B4">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存在问题</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51D2A5E1">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项目需经过多级审批，但我区财政紧张，年底申请支付的财政未审批，导致执行率未较低。</w:t>
            </w:r>
          </w:p>
        </w:tc>
      </w:tr>
      <w:tr w14:paraId="459441E1">
        <w:tblPrEx>
          <w:tblCellMar>
            <w:top w:w="0" w:type="dxa"/>
            <w:left w:w="108" w:type="dxa"/>
            <w:bottom w:w="0" w:type="dxa"/>
            <w:right w:w="108" w:type="dxa"/>
          </w:tblCellMar>
        </w:tblPrEx>
        <w:trPr>
          <w:trHeight w:val="634"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06650148">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改进措施</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21F4FAC3">
            <w:pPr>
              <w:widowControl/>
              <w:jc w:val="left"/>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我局应对加强与财政部门的沟通协调，建立定期的信息交流机制，及时掌握财政资金的下达情况，确保资金及时支付。</w:t>
            </w:r>
          </w:p>
        </w:tc>
      </w:tr>
      <w:tr w14:paraId="64540D48">
        <w:tblPrEx>
          <w:tblCellMar>
            <w:top w:w="0" w:type="dxa"/>
            <w:left w:w="108" w:type="dxa"/>
            <w:bottom w:w="0" w:type="dxa"/>
            <w:right w:w="108" w:type="dxa"/>
          </w:tblCellMar>
        </w:tblPrEx>
        <w:trPr>
          <w:trHeight w:val="619" w:hRule="atLeast"/>
        </w:trPr>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5ED15">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项目负责人：顾震</w:t>
            </w:r>
          </w:p>
        </w:tc>
        <w:tc>
          <w:tcPr>
            <w:tcW w:w="2712" w:type="pct"/>
            <w:gridSpan w:val="6"/>
            <w:tcBorders>
              <w:top w:val="single" w:color="000000" w:sz="4" w:space="0"/>
              <w:left w:val="nil"/>
              <w:bottom w:val="single" w:color="000000" w:sz="4" w:space="0"/>
              <w:right w:val="single" w:color="000000" w:sz="4" w:space="0"/>
            </w:tcBorders>
            <w:shd w:val="clear" w:color="auto" w:fill="auto"/>
            <w:vAlign w:val="center"/>
          </w:tcPr>
          <w:p w14:paraId="71139414">
            <w:pPr>
              <w:widowControl/>
              <w:jc w:val="left"/>
              <w:rPr>
                <w:rFonts w:ascii="Courier New" w:hAnsi="Courier New" w:eastAsia="宋体" w:cs="Courier New"/>
                <w:color w:val="auto"/>
                <w:sz w:val="18"/>
                <w:szCs w:val="18"/>
              </w:rPr>
            </w:pPr>
            <w:r>
              <w:rPr>
                <w:rFonts w:ascii="Courier New" w:hAnsi="Courier New" w:eastAsia="宋体" w:cs="Courier New"/>
                <w:color w:val="auto"/>
                <w:sz w:val="18"/>
                <w:szCs w:val="18"/>
              </w:rPr>
              <w:t>财务负责人：杨光辉</w:t>
            </w:r>
          </w:p>
        </w:tc>
      </w:tr>
    </w:tbl>
    <w:p w14:paraId="7C904A93">
      <w:pPr>
        <w:pStyle w:val="4"/>
        <w:rPr>
          <w:rFonts w:eastAsia="方正小标宋简体"/>
          <w:sz w:val="44"/>
          <w:szCs w:val="44"/>
        </w:rPr>
      </w:pPr>
    </w:p>
    <w:p w14:paraId="621549B3">
      <w:pPr>
        <w:rPr>
          <w:rFonts w:eastAsia="方正小标宋简体"/>
          <w:sz w:val="44"/>
          <w:szCs w:val="44"/>
        </w:rPr>
      </w:pPr>
    </w:p>
    <w:p w14:paraId="4562612D">
      <w:pPr>
        <w:pStyle w:val="2"/>
        <w:widowControl w:val="0"/>
        <w:numPr>
          <w:ilvl w:val="0"/>
          <w:numId w:val="0"/>
        </w:numPr>
        <w:jc w:val="both"/>
        <w:rPr>
          <w:rFonts w:eastAsia="方正小标宋简体"/>
          <w:sz w:val="44"/>
          <w:szCs w:val="44"/>
        </w:rPr>
      </w:pPr>
    </w:p>
    <w:p w14:paraId="6EDDA399">
      <w:pPr>
        <w:pStyle w:val="2"/>
        <w:widowControl w:val="0"/>
        <w:numPr>
          <w:ilvl w:val="0"/>
          <w:numId w:val="0"/>
        </w:numPr>
        <w:jc w:val="both"/>
        <w:rPr>
          <w:rFonts w:eastAsia="方正小标宋简体"/>
          <w:sz w:val="44"/>
          <w:szCs w:val="44"/>
        </w:rPr>
      </w:pPr>
    </w:p>
    <w:p w14:paraId="560FB193">
      <w:pPr>
        <w:pStyle w:val="2"/>
        <w:widowControl w:val="0"/>
        <w:numPr>
          <w:ilvl w:val="0"/>
          <w:numId w:val="0"/>
        </w:numPr>
        <w:jc w:val="both"/>
        <w:rPr>
          <w:rFonts w:eastAsia="方正小标宋简体"/>
          <w:sz w:val="44"/>
          <w:szCs w:val="44"/>
        </w:rPr>
      </w:pPr>
    </w:p>
    <w:p w14:paraId="59277019">
      <w:pPr>
        <w:pStyle w:val="2"/>
        <w:widowControl w:val="0"/>
        <w:numPr>
          <w:ilvl w:val="0"/>
          <w:numId w:val="0"/>
        </w:numPr>
        <w:jc w:val="both"/>
        <w:rPr>
          <w:rFonts w:eastAsia="方正小标宋简体"/>
          <w:sz w:val="44"/>
          <w:szCs w:val="44"/>
        </w:rPr>
      </w:pPr>
    </w:p>
    <w:p w14:paraId="0753EA21">
      <w:pPr>
        <w:pStyle w:val="2"/>
        <w:widowControl w:val="0"/>
        <w:numPr>
          <w:ilvl w:val="0"/>
          <w:numId w:val="0"/>
        </w:numPr>
        <w:jc w:val="both"/>
        <w:rPr>
          <w:rFonts w:eastAsia="方正小标宋简体"/>
          <w:sz w:val="44"/>
          <w:szCs w:val="44"/>
        </w:rPr>
      </w:pPr>
    </w:p>
    <w:p w14:paraId="026C2E6F">
      <w:pPr>
        <w:pStyle w:val="2"/>
        <w:widowControl w:val="0"/>
        <w:numPr>
          <w:ilvl w:val="0"/>
          <w:numId w:val="0"/>
        </w:numPr>
        <w:jc w:val="both"/>
        <w:rPr>
          <w:rFonts w:eastAsia="方正小标宋简体"/>
          <w:sz w:val="44"/>
          <w:szCs w:val="44"/>
        </w:rPr>
      </w:pPr>
    </w:p>
    <w:p w14:paraId="54C2EB68">
      <w:pPr>
        <w:pStyle w:val="2"/>
        <w:widowControl w:val="0"/>
        <w:numPr>
          <w:ilvl w:val="0"/>
          <w:numId w:val="0"/>
        </w:numPr>
        <w:jc w:val="both"/>
        <w:rPr>
          <w:rFonts w:eastAsia="方正小标宋简体"/>
          <w:sz w:val="44"/>
          <w:szCs w:val="44"/>
        </w:rPr>
      </w:pPr>
    </w:p>
    <w:p w14:paraId="08B4E374">
      <w:pPr>
        <w:spacing w:line="560" w:lineRule="exact"/>
        <w:jc w:val="both"/>
        <w:outlineLvl w:val="0"/>
        <w:rPr>
          <w:rFonts w:eastAsia="方正小标宋简体"/>
          <w:sz w:val="44"/>
          <w:szCs w:val="44"/>
        </w:rPr>
      </w:pPr>
    </w:p>
    <w:p w14:paraId="2DEDFE61">
      <w:pPr>
        <w:spacing w:line="560" w:lineRule="exact"/>
        <w:jc w:val="center"/>
        <w:outlineLvl w:val="0"/>
        <w:rPr>
          <w:rFonts w:eastAsia="方正小标宋简体"/>
          <w:sz w:val="44"/>
          <w:szCs w:val="44"/>
        </w:rPr>
      </w:pPr>
    </w:p>
    <w:p w14:paraId="53D1276E">
      <w:pPr>
        <w:spacing w:line="560" w:lineRule="exact"/>
        <w:jc w:val="center"/>
        <w:outlineLvl w:val="0"/>
        <w:rPr>
          <w:rFonts w:eastAsia="方正小标宋简体"/>
        </w:rPr>
      </w:pPr>
      <w:r>
        <w:rPr>
          <w:rFonts w:eastAsia="方正小标宋简体"/>
          <w:sz w:val="44"/>
          <w:szCs w:val="44"/>
        </w:rPr>
        <w:t>第</w:t>
      </w:r>
      <w:r>
        <w:rPr>
          <w:rStyle w:val="198"/>
          <w:rFonts w:eastAsia="方正小标宋简体"/>
          <w:b w:val="0"/>
          <w:bCs w:val="0"/>
        </w:rPr>
        <w:t>五部分 附表</w:t>
      </w:r>
      <w:bookmarkEnd w:id="101"/>
      <w:bookmarkEnd w:id="104"/>
      <w:bookmarkEnd w:id="107"/>
    </w:p>
    <w:p w14:paraId="3E93F308">
      <w:pPr>
        <w:pStyle w:val="192"/>
        <w:spacing w:before="0" w:after="0" w:line="560" w:lineRule="exact"/>
        <w:outlineLvl w:val="9"/>
        <w:rPr>
          <w:rFonts w:ascii="Times New Roman" w:hAnsi="Times New Roman"/>
          <w:b w:val="0"/>
          <w:i w:val="0"/>
        </w:rPr>
      </w:pPr>
    </w:p>
    <w:p w14:paraId="18ED9882">
      <w:pPr>
        <w:pStyle w:val="192"/>
        <w:spacing w:before="0" w:after="0" w:line="560" w:lineRule="exact"/>
        <w:rPr>
          <w:rFonts w:ascii="Times New Roman" w:hAnsi="Times New Roman"/>
          <w:b w:val="0"/>
          <w:i w:val="0"/>
        </w:rPr>
      </w:pPr>
      <w:bookmarkStart w:id="137" w:name="_Toc12137"/>
      <w:r>
        <w:rPr>
          <w:rFonts w:ascii="Times New Roman" w:hAnsi="Times New Roman"/>
          <w:b w:val="0"/>
          <w:i w:val="0"/>
        </w:rPr>
        <w:t>一、收</w:t>
      </w:r>
      <w:r>
        <w:rPr>
          <w:rStyle w:val="199"/>
          <w:rFonts w:ascii="Times New Roman" w:hAnsi="Times New Roman"/>
          <w:b w:val="0"/>
          <w:i w:val="0"/>
        </w:rPr>
        <w:t>入支出决算总表</w:t>
      </w:r>
      <w:bookmarkEnd w:id="137"/>
    </w:p>
    <w:p w14:paraId="380C1BCD">
      <w:pPr>
        <w:pStyle w:val="192"/>
        <w:spacing w:before="0" w:after="0" w:line="560" w:lineRule="exact"/>
        <w:rPr>
          <w:rFonts w:ascii="Times New Roman" w:hAnsi="Times New Roman"/>
          <w:b w:val="0"/>
          <w:i w:val="0"/>
        </w:rPr>
      </w:pPr>
      <w:bookmarkStart w:id="138" w:name="_Toc1841"/>
      <w:r>
        <w:rPr>
          <w:rFonts w:ascii="Times New Roman" w:hAnsi="Times New Roman"/>
          <w:b w:val="0"/>
          <w:i w:val="0"/>
        </w:rPr>
        <w:t>二、收</w:t>
      </w:r>
      <w:r>
        <w:rPr>
          <w:rStyle w:val="199"/>
          <w:rFonts w:ascii="Times New Roman" w:hAnsi="Times New Roman"/>
          <w:b w:val="0"/>
          <w:i w:val="0"/>
        </w:rPr>
        <w:t>入决算表</w:t>
      </w:r>
      <w:bookmarkEnd w:id="138"/>
    </w:p>
    <w:p w14:paraId="362E0E13">
      <w:pPr>
        <w:pStyle w:val="192"/>
        <w:spacing w:before="0" w:after="0" w:line="560" w:lineRule="exact"/>
        <w:rPr>
          <w:rFonts w:ascii="Times New Roman" w:hAnsi="Times New Roman"/>
          <w:b w:val="0"/>
          <w:i w:val="0"/>
        </w:rPr>
      </w:pPr>
      <w:bookmarkStart w:id="139" w:name="_Toc10180"/>
      <w:r>
        <w:rPr>
          <w:rStyle w:val="199"/>
          <w:rFonts w:ascii="Times New Roman" w:hAnsi="Times New Roman"/>
          <w:b w:val="0"/>
          <w:i w:val="0"/>
        </w:rPr>
        <w:t>三、</w:t>
      </w:r>
      <w:r>
        <w:rPr>
          <w:rFonts w:ascii="Times New Roman" w:hAnsi="Times New Roman"/>
          <w:b w:val="0"/>
          <w:i w:val="0"/>
        </w:rPr>
        <w:t>支</w:t>
      </w:r>
      <w:r>
        <w:rPr>
          <w:rStyle w:val="199"/>
          <w:rFonts w:ascii="Times New Roman" w:hAnsi="Times New Roman"/>
          <w:b w:val="0"/>
          <w:i w:val="0"/>
        </w:rPr>
        <w:t>出决算表</w:t>
      </w:r>
      <w:bookmarkEnd w:id="139"/>
    </w:p>
    <w:p w14:paraId="4EA81A8D">
      <w:pPr>
        <w:pStyle w:val="192"/>
        <w:spacing w:before="0" w:after="0" w:line="560" w:lineRule="exact"/>
        <w:rPr>
          <w:rFonts w:ascii="Times New Roman" w:hAnsi="Times New Roman"/>
          <w:b w:val="0"/>
          <w:i w:val="0"/>
        </w:rPr>
      </w:pPr>
      <w:bookmarkStart w:id="140" w:name="_Toc32314"/>
      <w:r>
        <w:rPr>
          <w:rStyle w:val="199"/>
          <w:rFonts w:ascii="Times New Roman" w:hAnsi="Times New Roman"/>
          <w:b w:val="0"/>
          <w:i w:val="0"/>
        </w:rPr>
        <w:t>四、</w:t>
      </w:r>
      <w:r>
        <w:rPr>
          <w:rFonts w:ascii="Times New Roman" w:hAnsi="Times New Roman"/>
          <w:b w:val="0"/>
          <w:i w:val="0"/>
        </w:rPr>
        <w:t>财</w:t>
      </w:r>
      <w:r>
        <w:rPr>
          <w:rStyle w:val="199"/>
          <w:rFonts w:ascii="Times New Roman" w:hAnsi="Times New Roman"/>
          <w:b w:val="0"/>
          <w:i w:val="0"/>
        </w:rPr>
        <w:t>政拨款收入支出决算总表</w:t>
      </w:r>
      <w:bookmarkEnd w:id="140"/>
    </w:p>
    <w:p w14:paraId="412CFEDA">
      <w:pPr>
        <w:pStyle w:val="192"/>
        <w:spacing w:before="0" w:after="0" w:line="560" w:lineRule="exact"/>
        <w:rPr>
          <w:rStyle w:val="199"/>
          <w:rFonts w:ascii="Times New Roman" w:hAnsi="Times New Roman"/>
          <w:b w:val="0"/>
          <w:i w:val="0"/>
        </w:rPr>
      </w:pPr>
      <w:bookmarkStart w:id="141" w:name="_Toc637"/>
      <w:r>
        <w:rPr>
          <w:rStyle w:val="199"/>
          <w:rFonts w:ascii="Times New Roman" w:hAnsi="Times New Roman"/>
          <w:b w:val="0"/>
          <w:i w:val="0"/>
        </w:rPr>
        <w:t>五、</w:t>
      </w:r>
      <w:r>
        <w:rPr>
          <w:rFonts w:ascii="Times New Roman" w:hAnsi="Times New Roman"/>
          <w:b w:val="0"/>
          <w:i w:val="0"/>
        </w:rPr>
        <w:t>财</w:t>
      </w:r>
      <w:r>
        <w:rPr>
          <w:rStyle w:val="199"/>
          <w:rFonts w:ascii="Times New Roman" w:hAnsi="Times New Roman"/>
          <w:b w:val="0"/>
          <w:i w:val="0"/>
        </w:rPr>
        <w:t>政拨款支出决算明细表</w:t>
      </w:r>
      <w:bookmarkEnd w:id="141"/>
    </w:p>
    <w:p w14:paraId="5742C644">
      <w:pPr>
        <w:pStyle w:val="192"/>
        <w:spacing w:before="0" w:after="0" w:line="560" w:lineRule="exact"/>
        <w:rPr>
          <w:rFonts w:ascii="Times New Roman" w:hAnsi="Times New Roman"/>
          <w:b w:val="0"/>
          <w:i w:val="0"/>
        </w:rPr>
      </w:pPr>
      <w:bookmarkStart w:id="142" w:name="_Toc3636"/>
      <w:r>
        <w:rPr>
          <w:rStyle w:val="199"/>
          <w:rFonts w:ascii="Times New Roman" w:hAnsi="Times New Roman"/>
          <w:b w:val="0"/>
          <w:i w:val="0"/>
        </w:rPr>
        <w:t>六、</w:t>
      </w:r>
      <w:r>
        <w:rPr>
          <w:rFonts w:ascii="Times New Roman" w:hAnsi="Times New Roman"/>
          <w:b w:val="0"/>
          <w:i w:val="0"/>
        </w:rPr>
        <w:t>一</w:t>
      </w:r>
      <w:r>
        <w:rPr>
          <w:rStyle w:val="199"/>
          <w:rFonts w:ascii="Times New Roman" w:hAnsi="Times New Roman"/>
          <w:b w:val="0"/>
          <w:i w:val="0"/>
        </w:rPr>
        <w:t>般公共预算财政拨款支出决算表</w:t>
      </w:r>
      <w:bookmarkEnd w:id="142"/>
    </w:p>
    <w:p w14:paraId="33467B3D">
      <w:pPr>
        <w:pStyle w:val="192"/>
        <w:spacing w:before="0" w:after="0" w:line="560" w:lineRule="exact"/>
        <w:rPr>
          <w:rFonts w:ascii="Times New Roman" w:hAnsi="Times New Roman"/>
          <w:b w:val="0"/>
          <w:i w:val="0"/>
        </w:rPr>
      </w:pPr>
      <w:bookmarkStart w:id="143" w:name="_Toc21307"/>
      <w:r>
        <w:rPr>
          <w:rStyle w:val="199"/>
          <w:rFonts w:ascii="Times New Roman" w:hAnsi="Times New Roman"/>
          <w:b w:val="0"/>
          <w:i w:val="0"/>
        </w:rPr>
        <w:t>七、</w:t>
      </w:r>
      <w:r>
        <w:rPr>
          <w:rFonts w:ascii="Times New Roman" w:hAnsi="Times New Roman"/>
          <w:b w:val="0"/>
          <w:i w:val="0"/>
        </w:rPr>
        <w:t>一</w:t>
      </w:r>
      <w:r>
        <w:rPr>
          <w:rStyle w:val="199"/>
          <w:rFonts w:ascii="Times New Roman" w:hAnsi="Times New Roman"/>
          <w:b w:val="0"/>
          <w:i w:val="0"/>
        </w:rPr>
        <w:t>般公共预算财政拨款支出决算明细表</w:t>
      </w:r>
      <w:bookmarkEnd w:id="143"/>
    </w:p>
    <w:p w14:paraId="2C01225E">
      <w:pPr>
        <w:pStyle w:val="192"/>
        <w:spacing w:before="0" w:after="0" w:line="560" w:lineRule="exact"/>
        <w:rPr>
          <w:rFonts w:ascii="Times New Roman" w:hAnsi="Times New Roman"/>
          <w:b w:val="0"/>
          <w:i w:val="0"/>
        </w:rPr>
      </w:pPr>
      <w:bookmarkStart w:id="144" w:name="_Toc30350"/>
      <w:r>
        <w:rPr>
          <w:rStyle w:val="199"/>
          <w:rFonts w:ascii="Times New Roman" w:hAnsi="Times New Roman"/>
          <w:b w:val="0"/>
          <w:i w:val="0"/>
        </w:rPr>
        <w:t>八、</w:t>
      </w:r>
      <w:r>
        <w:rPr>
          <w:rFonts w:ascii="Times New Roman" w:hAnsi="Times New Roman"/>
          <w:b w:val="0"/>
          <w:i w:val="0"/>
        </w:rPr>
        <w:t>一</w:t>
      </w:r>
      <w:r>
        <w:rPr>
          <w:rStyle w:val="199"/>
          <w:rFonts w:ascii="Times New Roman" w:hAnsi="Times New Roman"/>
          <w:b w:val="0"/>
          <w:i w:val="0"/>
        </w:rPr>
        <w:t>般公共预算财政拨款基本支出决算表</w:t>
      </w:r>
      <w:bookmarkEnd w:id="144"/>
    </w:p>
    <w:p w14:paraId="3F7B7252">
      <w:pPr>
        <w:pStyle w:val="192"/>
        <w:spacing w:before="0" w:after="0" w:line="560" w:lineRule="exact"/>
        <w:rPr>
          <w:rFonts w:ascii="Times New Roman" w:hAnsi="Times New Roman"/>
          <w:b w:val="0"/>
          <w:i w:val="0"/>
        </w:rPr>
      </w:pPr>
      <w:bookmarkStart w:id="145" w:name="_Toc29843"/>
      <w:r>
        <w:rPr>
          <w:rStyle w:val="199"/>
          <w:rFonts w:ascii="Times New Roman" w:hAnsi="Times New Roman"/>
          <w:b w:val="0"/>
          <w:i w:val="0"/>
        </w:rPr>
        <w:t>九、</w:t>
      </w:r>
      <w:r>
        <w:rPr>
          <w:rFonts w:ascii="Times New Roman" w:hAnsi="Times New Roman"/>
          <w:b w:val="0"/>
          <w:i w:val="0"/>
        </w:rPr>
        <w:t>一</w:t>
      </w:r>
      <w:r>
        <w:rPr>
          <w:rStyle w:val="199"/>
          <w:rFonts w:ascii="Times New Roman" w:hAnsi="Times New Roman"/>
          <w:b w:val="0"/>
          <w:i w:val="0"/>
        </w:rPr>
        <w:t>般公共预算财政拨款项目支出决算表</w:t>
      </w:r>
      <w:bookmarkEnd w:id="145"/>
    </w:p>
    <w:p w14:paraId="6FD92EE8">
      <w:pPr>
        <w:pStyle w:val="192"/>
        <w:spacing w:before="0" w:after="0" w:line="560" w:lineRule="exact"/>
        <w:rPr>
          <w:rFonts w:ascii="Times New Roman" w:hAnsi="Times New Roman"/>
          <w:b w:val="0"/>
          <w:i w:val="0"/>
        </w:rPr>
      </w:pPr>
      <w:bookmarkStart w:id="146" w:name="_Toc17657"/>
      <w:r>
        <w:rPr>
          <w:rStyle w:val="199"/>
          <w:rFonts w:ascii="Times New Roman" w:hAnsi="Times New Roman"/>
          <w:b w:val="0"/>
          <w:i w:val="0"/>
        </w:rPr>
        <w:t>十、</w:t>
      </w:r>
      <w:r>
        <w:rPr>
          <w:rFonts w:ascii="Times New Roman" w:hAnsi="Times New Roman"/>
          <w:b w:val="0"/>
          <w:i w:val="0"/>
        </w:rPr>
        <w:t>政</w:t>
      </w:r>
      <w:r>
        <w:rPr>
          <w:rStyle w:val="199"/>
          <w:rFonts w:ascii="Times New Roman" w:hAnsi="Times New Roman"/>
          <w:b w:val="0"/>
          <w:i w:val="0"/>
        </w:rPr>
        <w:t>府性基金预算财政拨款收入支出决算表</w:t>
      </w:r>
      <w:bookmarkEnd w:id="146"/>
    </w:p>
    <w:p w14:paraId="5279DD2F">
      <w:pPr>
        <w:pStyle w:val="192"/>
        <w:spacing w:before="0" w:after="0" w:line="560" w:lineRule="exact"/>
        <w:rPr>
          <w:rFonts w:ascii="Times New Roman" w:hAnsi="Times New Roman"/>
          <w:b w:val="0"/>
          <w:i w:val="0"/>
        </w:rPr>
      </w:pPr>
      <w:bookmarkStart w:id="147" w:name="_Toc11540"/>
      <w:r>
        <w:rPr>
          <w:rStyle w:val="199"/>
          <w:rFonts w:ascii="Times New Roman" w:hAnsi="Times New Roman"/>
          <w:b w:val="0"/>
          <w:i w:val="0"/>
        </w:rPr>
        <w:t>十一、</w:t>
      </w:r>
      <w:r>
        <w:rPr>
          <w:rFonts w:ascii="Times New Roman" w:hAnsi="Times New Roman"/>
          <w:b w:val="0"/>
          <w:i w:val="0"/>
        </w:rPr>
        <w:t>国</w:t>
      </w:r>
      <w:r>
        <w:rPr>
          <w:rStyle w:val="199"/>
          <w:rFonts w:ascii="Times New Roman" w:hAnsi="Times New Roman"/>
          <w:b w:val="0"/>
          <w:i w:val="0"/>
        </w:rPr>
        <w:t>有资本经营预算财政拨款收入支出决算表</w:t>
      </w:r>
      <w:bookmarkEnd w:id="147"/>
    </w:p>
    <w:p w14:paraId="5A9418B7">
      <w:pPr>
        <w:pStyle w:val="192"/>
        <w:spacing w:before="0" w:after="0" w:line="560" w:lineRule="exact"/>
        <w:rPr>
          <w:rFonts w:ascii="Times New Roman" w:hAnsi="Times New Roman"/>
          <w:b w:val="0"/>
          <w:i w:val="0"/>
        </w:rPr>
      </w:pPr>
      <w:bookmarkStart w:id="148" w:name="_Toc32462"/>
      <w:r>
        <w:rPr>
          <w:rStyle w:val="199"/>
          <w:rFonts w:ascii="Times New Roman" w:hAnsi="Times New Roman"/>
          <w:b w:val="0"/>
          <w:i w:val="0"/>
        </w:rPr>
        <w:t>十二、国有资本经营预算财政拨款支出决算表</w:t>
      </w:r>
      <w:bookmarkEnd w:id="148"/>
    </w:p>
    <w:p w14:paraId="5FC99CAD">
      <w:pPr>
        <w:pStyle w:val="192"/>
        <w:spacing w:before="0" w:after="0" w:line="560" w:lineRule="exact"/>
        <w:rPr>
          <w:rStyle w:val="199"/>
          <w:rFonts w:ascii="Times New Roman" w:hAnsi="Times New Roman"/>
          <w:b w:val="0"/>
          <w:i w:val="0"/>
        </w:rPr>
      </w:pPr>
      <w:bookmarkStart w:id="149" w:name="_Toc27058"/>
      <w:r>
        <w:rPr>
          <w:rStyle w:val="199"/>
          <w:rFonts w:ascii="Times New Roman" w:hAnsi="Times New Roman"/>
          <w:b w:val="0"/>
          <w:i w:val="0"/>
        </w:rPr>
        <w:t>十三、财政拨款“三公”经费支出决算表</w:t>
      </w:r>
      <w:bookmarkEnd w:id="149"/>
    </w:p>
    <w:p w14:paraId="2533F6FE">
      <w:pPr>
        <w:spacing w:line="540" w:lineRule="exact"/>
      </w:pPr>
    </w:p>
    <w:p w14:paraId="1138846E">
      <w:pPr>
        <w:tabs>
          <w:tab w:val="left" w:pos="970"/>
        </w:tabs>
        <w:spacing w:line="20" w:lineRule="exact"/>
        <w:jc w:val="left"/>
      </w:pPr>
      <w:r>
        <w:tab/>
      </w:r>
    </w:p>
    <w:p w14:paraId="5557A9C4">
      <w:pPr>
        <w:spacing w:line="20" w:lineRule="exact"/>
        <w:jc w:val="left"/>
      </w:pPr>
    </w:p>
    <w:sectPr>
      <w:pgSz w:w="11906" w:h="16838" w:orient="landscape"/>
      <w:pgMar w:top="1803" w:right="1440" w:bottom="1803" w:left="1440" w:header="851" w:footer="1701"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C109">
    <w:pPr>
      <w:pStyle w:val="20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9794">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215"/>
      <w:docPartObj>
        <w:docPartGallery w:val="autotext"/>
      </w:docPartObj>
    </w:sdtPr>
    <w:sdtContent>
      <w:p w14:paraId="1F5A349C">
        <w:pPr>
          <w:pStyle w:val="25"/>
          <w:jc w:val="center"/>
        </w:pPr>
        <w:r>
          <w:fldChar w:fldCharType="begin"/>
        </w:r>
        <w:r>
          <w:instrText xml:space="preserve">PAGE   \* MERGEFORMAT</w:instrText>
        </w:r>
        <w:r>
          <w:fldChar w:fldCharType="separate"/>
        </w:r>
        <w:r>
          <w:rPr>
            <w:lang w:val="zh-CN"/>
          </w:rPr>
          <w:t>1</w:t>
        </w:r>
        <w:r>
          <w:fldChar w:fldCharType="end"/>
        </w:r>
      </w:p>
    </w:sdtContent>
  </w:sdt>
  <w:p w14:paraId="48354A89">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4ED9C">
    <w:pPr>
      <w:pStyle w:val="207"/>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D36DF"/>
    <w:multiLevelType w:val="multilevel"/>
    <w:tmpl w:val="9A0D36DF"/>
    <w:lvl w:ilvl="0" w:tentative="0">
      <w:start w:val="1"/>
      <w:numFmt w:val="decimal"/>
      <w:pStyle w:val="2"/>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A9BCE6CE"/>
    <w:multiLevelType w:val="multilevel"/>
    <w:tmpl w:val="A9BCE6C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D770A2E"/>
    <w:multiLevelType w:val="multilevel"/>
    <w:tmpl w:val="CD770A2E"/>
    <w:lvl w:ilvl="0" w:tentative="0">
      <w:start w:val="9"/>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E03F740E"/>
    <w:multiLevelType w:val="multilevel"/>
    <w:tmpl w:val="E03F740E"/>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EF72B36D"/>
    <w:multiLevelType w:val="singleLevel"/>
    <w:tmpl w:val="EF72B36D"/>
    <w:lvl w:ilvl="0" w:tentative="0">
      <w:start w:val="1"/>
      <w:numFmt w:val="decimal"/>
      <w:pStyle w:val="13"/>
      <w:lvlText w:val="%1."/>
      <w:lvlJc w:val="left"/>
      <w:pPr>
        <w:tabs>
          <w:tab w:val="left" w:pos="360"/>
        </w:tabs>
        <w:ind w:left="360" w:hanging="360"/>
      </w:pPr>
    </w:lvl>
  </w:abstractNum>
  <w:abstractNum w:abstractNumId="5">
    <w:nsid w:val="099922BD"/>
    <w:multiLevelType w:val="singleLevel"/>
    <w:tmpl w:val="099922BD"/>
    <w:lvl w:ilvl="0" w:tentative="0">
      <w:start w:val="1"/>
      <w:numFmt w:val="decimal"/>
      <w:suff w:val="nothing"/>
      <w:lvlText w:val="%1、"/>
      <w:lvlJc w:val="left"/>
    </w:lvl>
  </w:abstractNum>
  <w:abstractNum w:abstractNumId="6">
    <w:nsid w:val="0E8A7001"/>
    <w:multiLevelType w:val="multilevel"/>
    <w:tmpl w:val="0E8A7001"/>
    <w:lvl w:ilvl="0" w:tentative="0">
      <w:start w:val="1"/>
      <w:numFmt w:val="japaneseCounting"/>
      <w:lvlText w:val="（%1）"/>
      <w:lvlJc w:val="left"/>
      <w:pPr>
        <w:ind w:left="1712" w:hanging="1080"/>
      </w:pPr>
      <w:rPr>
        <w:rFonts w:hint="default"/>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7">
    <w:nsid w:val="0E9B3723"/>
    <w:multiLevelType w:val="multilevel"/>
    <w:tmpl w:val="0E9B3723"/>
    <w:lvl w:ilvl="0" w:tentative="0">
      <w:start w:val="1"/>
      <w:numFmt w:val="japaneseCounting"/>
      <w:suff w:val="space"/>
      <w:lvlText w:val="%1、"/>
      <w:lvlJc w:val="left"/>
      <w:pPr>
        <w:ind w:left="1360" w:hanging="720"/>
      </w:pPr>
      <w:rPr>
        <w:b w:val="0"/>
      </w:r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num w:numId="1">
    <w:abstractNumId w:val="0"/>
  </w:num>
  <w:num w:numId="2">
    <w:abstractNumId w:val="4"/>
  </w:num>
  <w:num w:numId="3">
    <w:abstractNumId w:val="1"/>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1"/>
  <w:bordersDoNotSurroundHeader w:val="1"/>
  <w:bordersDoNotSurroundFooter w:val="1"/>
  <w:documentProtection w:enforcement="0"/>
  <w:defaultTabStop w:val="420"/>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1E"/>
    <w:rsid w:val="00035412"/>
    <w:rsid w:val="000E2AB1"/>
    <w:rsid w:val="0014637F"/>
    <w:rsid w:val="0016243D"/>
    <w:rsid w:val="001719C4"/>
    <w:rsid w:val="0018276F"/>
    <w:rsid w:val="001B1203"/>
    <w:rsid w:val="002552ED"/>
    <w:rsid w:val="0026323F"/>
    <w:rsid w:val="002E6413"/>
    <w:rsid w:val="00317B79"/>
    <w:rsid w:val="00321D40"/>
    <w:rsid w:val="00332C72"/>
    <w:rsid w:val="003838F3"/>
    <w:rsid w:val="003E3178"/>
    <w:rsid w:val="004562FB"/>
    <w:rsid w:val="004A5490"/>
    <w:rsid w:val="004B02A9"/>
    <w:rsid w:val="004B3696"/>
    <w:rsid w:val="004E2F3D"/>
    <w:rsid w:val="00526BFB"/>
    <w:rsid w:val="00530ED8"/>
    <w:rsid w:val="005A2C02"/>
    <w:rsid w:val="005E481C"/>
    <w:rsid w:val="00617487"/>
    <w:rsid w:val="006A6A8B"/>
    <w:rsid w:val="006C5AE1"/>
    <w:rsid w:val="007A49D9"/>
    <w:rsid w:val="007C27F6"/>
    <w:rsid w:val="007F3C49"/>
    <w:rsid w:val="00813CD9"/>
    <w:rsid w:val="00840F0D"/>
    <w:rsid w:val="00847B33"/>
    <w:rsid w:val="008518FB"/>
    <w:rsid w:val="008C5385"/>
    <w:rsid w:val="00946699"/>
    <w:rsid w:val="00964BAB"/>
    <w:rsid w:val="009C32C8"/>
    <w:rsid w:val="009E2A1E"/>
    <w:rsid w:val="00AA5C37"/>
    <w:rsid w:val="00AD0D63"/>
    <w:rsid w:val="00AD26F5"/>
    <w:rsid w:val="00AE32FC"/>
    <w:rsid w:val="00B252A6"/>
    <w:rsid w:val="00B774B1"/>
    <w:rsid w:val="00BE0B3E"/>
    <w:rsid w:val="00C2519A"/>
    <w:rsid w:val="00C2793E"/>
    <w:rsid w:val="00C41C33"/>
    <w:rsid w:val="00CA16F1"/>
    <w:rsid w:val="00CC6E00"/>
    <w:rsid w:val="00D02B44"/>
    <w:rsid w:val="00D809B4"/>
    <w:rsid w:val="00D836FC"/>
    <w:rsid w:val="00E44325"/>
    <w:rsid w:val="00E84F2C"/>
    <w:rsid w:val="00EA7C6B"/>
    <w:rsid w:val="00EB53B0"/>
    <w:rsid w:val="00F057DA"/>
    <w:rsid w:val="00F26249"/>
    <w:rsid w:val="00F57C79"/>
    <w:rsid w:val="00F927CC"/>
    <w:rsid w:val="00FA7376"/>
    <w:rsid w:val="00FE6DFE"/>
    <w:rsid w:val="00FF0D88"/>
    <w:rsid w:val="0BC84275"/>
    <w:rsid w:val="0E7B2B5B"/>
    <w:rsid w:val="0E81442C"/>
    <w:rsid w:val="10B9457A"/>
    <w:rsid w:val="120B6FE3"/>
    <w:rsid w:val="13BB36C2"/>
    <w:rsid w:val="16276078"/>
    <w:rsid w:val="176533C3"/>
    <w:rsid w:val="1B1A532F"/>
    <w:rsid w:val="1B1F17ED"/>
    <w:rsid w:val="1DE71614"/>
    <w:rsid w:val="218A1207"/>
    <w:rsid w:val="22280ABD"/>
    <w:rsid w:val="22325497"/>
    <w:rsid w:val="23053632"/>
    <w:rsid w:val="25732771"/>
    <w:rsid w:val="257C4A29"/>
    <w:rsid w:val="272B405F"/>
    <w:rsid w:val="2B2A3B5F"/>
    <w:rsid w:val="3598340C"/>
    <w:rsid w:val="38401273"/>
    <w:rsid w:val="3BC4379A"/>
    <w:rsid w:val="3BFD221A"/>
    <w:rsid w:val="407C7288"/>
    <w:rsid w:val="422F00CF"/>
    <w:rsid w:val="431651A0"/>
    <w:rsid w:val="4660751E"/>
    <w:rsid w:val="47327449"/>
    <w:rsid w:val="49DE7B2F"/>
    <w:rsid w:val="4E367CCE"/>
    <w:rsid w:val="53E0C1DC"/>
    <w:rsid w:val="56C17EFE"/>
    <w:rsid w:val="5D705170"/>
    <w:rsid w:val="61224C20"/>
    <w:rsid w:val="61C80A51"/>
    <w:rsid w:val="63F867DB"/>
    <w:rsid w:val="640046FE"/>
    <w:rsid w:val="6DE64A13"/>
    <w:rsid w:val="713C4FB8"/>
    <w:rsid w:val="71F60B5D"/>
    <w:rsid w:val="795F4AD0"/>
    <w:rsid w:val="7A446566"/>
    <w:rsid w:val="7ABE2CD8"/>
    <w:rsid w:val="7F082813"/>
    <w:rsid w:val="7FE15F24"/>
    <w:rsid w:val="FD7F8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sz w:val="32"/>
      <w:szCs w:val="24"/>
      <w:lang w:val="en-US" w:eastAsia="zh-CN" w:bidi="ar-SA"/>
    </w:rPr>
  </w:style>
  <w:style w:type="paragraph" w:styleId="3">
    <w:name w:val="heading 1"/>
    <w:basedOn w:val="1"/>
    <w:next w:val="1"/>
    <w:link w:val="43"/>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44"/>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45"/>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46"/>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7"/>
    <w:unhideWhenUsed/>
    <w:qFormat/>
    <w:uiPriority w:val="9"/>
    <w:pPr>
      <w:keepNext/>
      <w:keepLines/>
      <w:spacing w:before="320" w:after="200"/>
      <w:outlineLvl w:val="4"/>
    </w:pPr>
    <w:rPr>
      <w:rFonts w:ascii="等线" w:hAnsi="等线" w:eastAsia="等线" w:cs="等线"/>
      <w:b/>
      <w:bCs/>
      <w:sz w:val="24"/>
    </w:rPr>
  </w:style>
  <w:style w:type="paragraph" w:styleId="8">
    <w:name w:val="heading 6"/>
    <w:basedOn w:val="1"/>
    <w:next w:val="1"/>
    <w:link w:val="48"/>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9"/>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50"/>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51"/>
    <w:unhideWhenUsed/>
    <w:qFormat/>
    <w:uiPriority w:val="9"/>
    <w:pPr>
      <w:keepNext/>
      <w:keepLines/>
      <w:spacing w:before="320" w:after="200"/>
      <w:outlineLvl w:val="8"/>
    </w:pPr>
    <w:rPr>
      <w:rFonts w:ascii="等线" w:hAnsi="等线" w:eastAsia="等线" w:cs="等线"/>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列表编号1"/>
    <w:basedOn w:val="1"/>
    <w:qFormat/>
    <w:uiPriority w:val="0"/>
    <w:pPr>
      <w:numPr>
        <w:ilvl w:val="0"/>
        <w:numId w:val="1"/>
      </w:numPr>
    </w:pPr>
  </w:style>
  <w:style w:type="paragraph" w:styleId="12">
    <w:name w:val="toc 7"/>
    <w:basedOn w:val="1"/>
    <w:next w:val="1"/>
    <w:unhideWhenUsed/>
    <w:qFormat/>
    <w:uiPriority w:val="39"/>
    <w:pPr>
      <w:spacing w:after="57"/>
      <w:ind w:left="1701"/>
    </w:pPr>
  </w:style>
  <w:style w:type="paragraph" w:styleId="13">
    <w:name w:val="List Number"/>
    <w:basedOn w:val="1"/>
    <w:semiHidden/>
    <w:unhideWhenUsed/>
    <w:qFormat/>
    <w:uiPriority w:val="99"/>
    <w:pPr>
      <w:numPr>
        <w:ilvl w:val="0"/>
        <w:numId w:val="2"/>
      </w:numPr>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semiHidden/>
    <w:unhideWhenUsed/>
    <w:qFormat/>
    <w:uiPriority w:val="99"/>
    <w:pPr>
      <w:jc w:val="left"/>
    </w:pPr>
  </w:style>
  <w:style w:type="paragraph" w:styleId="16">
    <w:name w:val="Body Text"/>
    <w:basedOn w:val="1"/>
    <w:link w:val="228"/>
    <w:unhideWhenUsed/>
    <w:qFormat/>
    <w:uiPriority w:val="99"/>
    <w:pPr>
      <w:spacing w:after="120"/>
    </w:pPr>
  </w:style>
  <w:style w:type="paragraph" w:styleId="17">
    <w:name w:val="Body Text Indent"/>
    <w:basedOn w:val="1"/>
    <w:next w:val="18"/>
    <w:qFormat/>
    <w:uiPriority w:val="0"/>
    <w:pPr>
      <w:spacing w:after="120"/>
      <w:ind w:left="200" w:leftChars="200"/>
    </w:pPr>
    <w:rPr>
      <w:rFonts w:ascii="仿宋_GB2312"/>
      <w:szCs w:val="32"/>
    </w:rPr>
  </w:style>
  <w:style w:type="paragraph" w:styleId="18">
    <w:name w:val="Body Text First Indent 2"/>
    <w:basedOn w:val="17"/>
    <w:unhideWhenUsed/>
    <w:qFormat/>
    <w:uiPriority w:val="99"/>
    <w:pPr>
      <w:ind w:firstLine="420" w:firstLineChars="200"/>
    </w:p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next w:val="19"/>
    <w:link w:val="229"/>
    <w:qFormat/>
    <w:uiPriority w:val="99"/>
    <w:rPr>
      <w:rFonts w:ascii="宋体" w:hAnsi="Courier New"/>
      <w:sz w:val="20"/>
      <w:szCs w:val="21"/>
    </w:rPr>
  </w:style>
  <w:style w:type="paragraph" w:styleId="22">
    <w:name w:val="toc 8"/>
    <w:basedOn w:val="1"/>
    <w:next w:val="1"/>
    <w:unhideWhenUsed/>
    <w:qFormat/>
    <w:uiPriority w:val="39"/>
    <w:pPr>
      <w:spacing w:after="57"/>
      <w:ind w:left="1984"/>
    </w:pPr>
  </w:style>
  <w:style w:type="paragraph" w:styleId="23">
    <w:name w:val="endnote text"/>
    <w:basedOn w:val="1"/>
    <w:link w:val="189"/>
    <w:semiHidden/>
    <w:unhideWhenUsed/>
    <w:qFormat/>
    <w:uiPriority w:val="99"/>
    <w:rPr>
      <w:sz w:val="20"/>
    </w:rPr>
  </w:style>
  <w:style w:type="paragraph" w:styleId="24">
    <w:name w:val="Balloon Text"/>
    <w:basedOn w:val="1"/>
    <w:link w:val="227"/>
    <w:semiHidden/>
    <w:unhideWhenUsed/>
    <w:qFormat/>
    <w:uiPriority w:val="99"/>
    <w:rPr>
      <w:sz w:val="18"/>
      <w:szCs w:val="18"/>
    </w:rPr>
  </w:style>
  <w:style w:type="paragraph" w:styleId="25">
    <w:name w:val="footer"/>
    <w:basedOn w:val="1"/>
    <w:next w:val="1"/>
    <w:link w:val="62"/>
    <w:unhideWhenUsed/>
    <w:qFormat/>
    <w:uiPriority w:val="99"/>
    <w:pPr>
      <w:tabs>
        <w:tab w:val="center" w:pos="7143"/>
        <w:tab w:val="right" w:pos="14287"/>
      </w:tabs>
    </w:pPr>
  </w:style>
  <w:style w:type="paragraph" w:styleId="26">
    <w:name w:val="header"/>
    <w:basedOn w:val="1"/>
    <w:link w:val="60"/>
    <w:unhideWhenUsed/>
    <w:qFormat/>
    <w:uiPriority w:val="99"/>
    <w:pPr>
      <w:tabs>
        <w:tab w:val="center" w:pos="7143"/>
        <w:tab w:val="right" w:pos="14287"/>
      </w:tabs>
    </w:pPr>
  </w:style>
  <w:style w:type="paragraph" w:styleId="27">
    <w:name w:val="toc 1"/>
    <w:basedOn w:val="1"/>
    <w:next w:val="1"/>
    <w:unhideWhenUsed/>
    <w:qFormat/>
    <w:uiPriority w:val="39"/>
    <w:pPr>
      <w:spacing w:after="57"/>
    </w:pPr>
  </w:style>
  <w:style w:type="paragraph" w:styleId="28">
    <w:name w:val="toc 4"/>
    <w:basedOn w:val="1"/>
    <w:next w:val="1"/>
    <w:unhideWhenUsed/>
    <w:qFormat/>
    <w:uiPriority w:val="39"/>
    <w:pPr>
      <w:spacing w:after="57"/>
      <w:ind w:left="850"/>
    </w:pPr>
  </w:style>
  <w:style w:type="paragraph" w:styleId="29">
    <w:name w:val="Subtitle"/>
    <w:basedOn w:val="1"/>
    <w:next w:val="1"/>
    <w:link w:val="55"/>
    <w:qFormat/>
    <w:uiPriority w:val="11"/>
    <w:pPr>
      <w:spacing w:before="200" w:after="200"/>
    </w:pPr>
    <w:rPr>
      <w:sz w:val="24"/>
    </w:rPr>
  </w:style>
  <w:style w:type="paragraph" w:styleId="30">
    <w:name w:val="footnote text"/>
    <w:basedOn w:val="1"/>
    <w:next w:val="18"/>
    <w:link w:val="188"/>
    <w:unhideWhenUsed/>
    <w:qFormat/>
    <w:uiPriority w:val="99"/>
    <w:pPr>
      <w:spacing w:after="40"/>
    </w:pPr>
    <w:rPr>
      <w:sz w:val="18"/>
    </w:rPr>
  </w:style>
  <w:style w:type="paragraph" w:styleId="31">
    <w:name w:val="toc 6"/>
    <w:basedOn w:val="1"/>
    <w:next w:val="1"/>
    <w:unhideWhenUsed/>
    <w:qFormat/>
    <w:uiPriority w:val="39"/>
    <w:pPr>
      <w:spacing w:after="57"/>
      <w:ind w:left="1417"/>
    </w:pPr>
  </w:style>
  <w:style w:type="paragraph" w:styleId="32">
    <w:name w:val="table of figures"/>
    <w:basedOn w:val="1"/>
    <w:next w:val="1"/>
    <w:unhideWhenUsed/>
    <w:qFormat/>
    <w:uiPriority w:val="99"/>
  </w:style>
  <w:style w:type="paragraph" w:styleId="33">
    <w:name w:val="toc 2"/>
    <w:basedOn w:val="1"/>
    <w:next w:val="1"/>
    <w:unhideWhenUsed/>
    <w:qFormat/>
    <w:uiPriority w:val="39"/>
    <w:pPr>
      <w:spacing w:after="57"/>
      <w:ind w:left="283"/>
    </w:pPr>
  </w:style>
  <w:style w:type="paragraph" w:styleId="34">
    <w:name w:val="toc 9"/>
    <w:basedOn w:val="1"/>
    <w:next w:val="1"/>
    <w:unhideWhenUsed/>
    <w:qFormat/>
    <w:uiPriority w:val="39"/>
    <w:pPr>
      <w:spacing w:after="57"/>
      <w:ind w:left="2268"/>
    </w:pPr>
  </w:style>
  <w:style w:type="paragraph" w:styleId="35">
    <w:name w:val="Title"/>
    <w:basedOn w:val="1"/>
    <w:next w:val="1"/>
    <w:link w:val="54"/>
    <w:qFormat/>
    <w:uiPriority w:val="10"/>
    <w:pPr>
      <w:spacing w:before="300" w:after="200"/>
      <w:contextualSpacing/>
    </w:pPr>
    <w:rPr>
      <w:sz w:val="48"/>
      <w:szCs w:val="48"/>
    </w:rPr>
  </w:style>
  <w:style w:type="table" w:styleId="37">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basedOn w:val="38"/>
    <w:qFormat/>
    <w:uiPriority w:val="0"/>
    <w:rPr>
      <w:b/>
      <w:bCs/>
    </w:rPr>
  </w:style>
  <w:style w:type="character" w:styleId="40">
    <w:name w:val="endnote reference"/>
    <w:semiHidden/>
    <w:unhideWhenUsed/>
    <w:qFormat/>
    <w:uiPriority w:val="99"/>
    <w:rPr>
      <w:vertAlign w:val="superscript"/>
    </w:rPr>
  </w:style>
  <w:style w:type="character" w:styleId="41">
    <w:name w:val="Hyperlink"/>
    <w:unhideWhenUsed/>
    <w:qFormat/>
    <w:uiPriority w:val="99"/>
    <w:rPr>
      <w:color w:val="0000FF" w:themeColor="hyperlink"/>
      <w:u w:val="single"/>
      <w14:textFill>
        <w14:solidFill>
          <w14:schemeClr w14:val="hlink"/>
        </w14:solidFill>
      </w14:textFill>
    </w:rPr>
  </w:style>
  <w:style w:type="character" w:styleId="42">
    <w:name w:val="footnote reference"/>
    <w:unhideWhenUsed/>
    <w:qFormat/>
    <w:uiPriority w:val="99"/>
    <w:rPr>
      <w:vertAlign w:val="superscript"/>
    </w:rPr>
  </w:style>
  <w:style w:type="character" w:customStyle="1" w:styleId="43">
    <w:name w:val="标题 1 Char"/>
    <w:link w:val="3"/>
    <w:qFormat/>
    <w:uiPriority w:val="9"/>
    <w:rPr>
      <w:rFonts w:ascii="等线" w:hAnsi="等线" w:eastAsia="等线" w:cs="等线"/>
      <w:sz w:val="40"/>
      <w:szCs w:val="40"/>
    </w:rPr>
  </w:style>
  <w:style w:type="character" w:customStyle="1" w:styleId="44">
    <w:name w:val="标题 2 Char"/>
    <w:link w:val="4"/>
    <w:qFormat/>
    <w:uiPriority w:val="9"/>
    <w:rPr>
      <w:rFonts w:ascii="等线" w:hAnsi="等线" w:eastAsia="等线" w:cs="等线"/>
      <w:sz w:val="34"/>
    </w:rPr>
  </w:style>
  <w:style w:type="character" w:customStyle="1" w:styleId="45">
    <w:name w:val="标题 3 Char"/>
    <w:link w:val="5"/>
    <w:qFormat/>
    <w:uiPriority w:val="9"/>
    <w:rPr>
      <w:rFonts w:ascii="等线" w:hAnsi="等线" w:eastAsia="等线" w:cs="等线"/>
      <w:sz w:val="30"/>
      <w:szCs w:val="30"/>
    </w:rPr>
  </w:style>
  <w:style w:type="character" w:customStyle="1" w:styleId="46">
    <w:name w:val="标题 4 Char"/>
    <w:link w:val="6"/>
    <w:qFormat/>
    <w:uiPriority w:val="9"/>
    <w:rPr>
      <w:rFonts w:ascii="等线" w:hAnsi="等线" w:eastAsia="等线" w:cs="等线"/>
      <w:b/>
      <w:bCs/>
      <w:sz w:val="26"/>
      <w:szCs w:val="26"/>
    </w:rPr>
  </w:style>
  <w:style w:type="character" w:customStyle="1" w:styleId="47">
    <w:name w:val="标题 5 Char"/>
    <w:link w:val="7"/>
    <w:qFormat/>
    <w:uiPriority w:val="9"/>
    <w:rPr>
      <w:rFonts w:ascii="等线" w:hAnsi="等线" w:eastAsia="等线" w:cs="等线"/>
      <w:b/>
      <w:bCs/>
      <w:sz w:val="24"/>
      <w:szCs w:val="24"/>
    </w:rPr>
  </w:style>
  <w:style w:type="character" w:customStyle="1" w:styleId="48">
    <w:name w:val="标题 6 Char"/>
    <w:link w:val="8"/>
    <w:qFormat/>
    <w:uiPriority w:val="9"/>
    <w:rPr>
      <w:rFonts w:ascii="等线" w:hAnsi="等线" w:eastAsia="等线" w:cs="等线"/>
      <w:b/>
      <w:bCs/>
      <w:sz w:val="22"/>
      <w:szCs w:val="22"/>
    </w:rPr>
  </w:style>
  <w:style w:type="character" w:customStyle="1" w:styleId="49">
    <w:name w:val="标题 7 Char"/>
    <w:link w:val="9"/>
    <w:qFormat/>
    <w:uiPriority w:val="9"/>
    <w:rPr>
      <w:rFonts w:ascii="等线" w:hAnsi="等线" w:eastAsia="等线" w:cs="等线"/>
      <w:b/>
      <w:bCs/>
      <w:i/>
      <w:iCs/>
      <w:sz w:val="22"/>
      <w:szCs w:val="22"/>
    </w:rPr>
  </w:style>
  <w:style w:type="character" w:customStyle="1" w:styleId="50">
    <w:name w:val="标题 8 Char"/>
    <w:link w:val="10"/>
    <w:qFormat/>
    <w:uiPriority w:val="9"/>
    <w:rPr>
      <w:rFonts w:ascii="等线" w:hAnsi="等线" w:eastAsia="等线" w:cs="等线"/>
      <w:i/>
      <w:iCs/>
      <w:sz w:val="22"/>
      <w:szCs w:val="22"/>
    </w:rPr>
  </w:style>
  <w:style w:type="character" w:customStyle="1" w:styleId="51">
    <w:name w:val="标题 9 Char"/>
    <w:link w:val="11"/>
    <w:qFormat/>
    <w:uiPriority w:val="9"/>
    <w:rPr>
      <w:rFonts w:ascii="等线" w:hAnsi="等线" w:eastAsia="等线" w:cs="等线"/>
      <w:i/>
      <w:iCs/>
      <w:sz w:val="21"/>
      <w:szCs w:val="21"/>
    </w:rPr>
  </w:style>
  <w:style w:type="paragraph" w:styleId="52">
    <w:name w:val="List Paragraph"/>
    <w:basedOn w:val="1"/>
    <w:qFormat/>
    <w:uiPriority w:val="34"/>
    <w:pPr>
      <w:ind w:left="720"/>
      <w:contextualSpacing/>
    </w:pPr>
  </w:style>
  <w:style w:type="paragraph" w:styleId="53">
    <w:name w:val="No Spacing"/>
    <w:qFormat/>
    <w:uiPriority w:val="1"/>
    <w:rPr>
      <w:rFonts w:ascii="Calibri" w:hAnsi="Calibri" w:eastAsia="宋体" w:cs="Times New Roman"/>
      <w:lang w:val="en-US" w:eastAsia="zh-CN" w:bidi="ar-SA"/>
    </w:rPr>
  </w:style>
  <w:style w:type="character" w:customStyle="1" w:styleId="54">
    <w:name w:val="标题 Char"/>
    <w:link w:val="35"/>
    <w:qFormat/>
    <w:uiPriority w:val="10"/>
    <w:rPr>
      <w:sz w:val="48"/>
      <w:szCs w:val="48"/>
    </w:rPr>
  </w:style>
  <w:style w:type="character" w:customStyle="1" w:styleId="55">
    <w:name w:val="副标题 Char"/>
    <w:link w:val="29"/>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引用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9">
    <w:name w:val="明显引用 Char"/>
    <w:link w:val="58"/>
    <w:qFormat/>
    <w:uiPriority w:val="30"/>
    <w:rPr>
      <w:i/>
    </w:rPr>
  </w:style>
  <w:style w:type="character" w:customStyle="1" w:styleId="60">
    <w:name w:val="页眉 Char"/>
    <w:link w:val="26"/>
    <w:qFormat/>
    <w:uiPriority w:val="99"/>
  </w:style>
  <w:style w:type="character" w:customStyle="1" w:styleId="61">
    <w:name w:val="Footer Char"/>
    <w:qFormat/>
    <w:uiPriority w:val="99"/>
  </w:style>
  <w:style w:type="character" w:customStyle="1" w:styleId="62">
    <w:name w:val="页脚 Char"/>
    <w:link w:val="25"/>
    <w:qFormat/>
    <w:uiPriority w:val="99"/>
  </w:style>
  <w:style w:type="table" w:customStyle="1" w:styleId="63">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8">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5">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脚注文本 Char"/>
    <w:link w:val="30"/>
    <w:qFormat/>
    <w:uiPriority w:val="99"/>
    <w:rPr>
      <w:sz w:val="18"/>
    </w:rPr>
  </w:style>
  <w:style w:type="character" w:customStyle="1" w:styleId="189">
    <w:name w:val="尾注文本 Char"/>
    <w:link w:val="23"/>
    <w:qFormat/>
    <w:uiPriority w:val="99"/>
    <w:rPr>
      <w:sz w:val="20"/>
    </w:rPr>
  </w:style>
  <w:style w:type="paragraph" w:customStyle="1" w:styleId="190">
    <w:name w:val="TOC 标题1"/>
    <w:unhideWhenUsed/>
    <w:qFormat/>
    <w:uiPriority w:val="39"/>
    <w:rPr>
      <w:rFonts w:ascii="Calibri" w:hAnsi="Calibri" w:eastAsia="宋体" w:cs="Times New Roman"/>
      <w:lang w:val="en-US" w:eastAsia="zh-CN" w:bidi="ar-SA"/>
    </w:rPr>
  </w:style>
  <w:style w:type="paragraph" w:customStyle="1" w:styleId="191">
    <w:name w:val="标题 11"/>
    <w:basedOn w:val="1"/>
    <w:next w:val="1"/>
    <w:link w:val="198"/>
    <w:qFormat/>
    <w:uiPriority w:val="0"/>
    <w:pPr>
      <w:keepNext/>
      <w:keepLines/>
      <w:spacing w:before="340" w:after="330" w:line="578" w:lineRule="auto"/>
      <w:outlineLvl w:val="0"/>
    </w:pPr>
    <w:rPr>
      <w:b/>
      <w:bCs/>
      <w:sz w:val="44"/>
      <w:szCs w:val="44"/>
    </w:rPr>
  </w:style>
  <w:style w:type="paragraph" w:customStyle="1" w:styleId="192">
    <w:name w:val="标题 21"/>
    <w:basedOn w:val="1"/>
    <w:next w:val="1"/>
    <w:link w:val="199"/>
    <w:qFormat/>
    <w:uiPriority w:val="0"/>
    <w:pPr>
      <w:keepNext/>
      <w:spacing w:before="240" w:after="60"/>
      <w:outlineLvl w:val="1"/>
    </w:pPr>
    <w:rPr>
      <w:rFonts w:ascii="Arial" w:hAnsi="Arial"/>
      <w:b/>
      <w:i/>
    </w:rPr>
  </w:style>
  <w:style w:type="character" w:customStyle="1" w:styleId="193">
    <w:name w:val="默认段落字体1"/>
    <w:semiHidden/>
    <w:qFormat/>
    <w:uiPriority w:val="0"/>
  </w:style>
  <w:style w:type="table" w:customStyle="1" w:styleId="194">
    <w:name w:val="普通表格1"/>
    <w:semiHidden/>
    <w:qFormat/>
    <w:uiPriority w:val="0"/>
    <w:tblPr>
      <w:tblCellMar>
        <w:top w:w="0" w:type="dxa"/>
        <w:left w:w="0" w:type="dxa"/>
        <w:bottom w:w="0" w:type="dxa"/>
        <w:right w:w="0" w:type="dxa"/>
      </w:tblCellMar>
    </w:tblPr>
  </w:style>
  <w:style w:type="paragraph" w:customStyle="1" w:styleId="195">
    <w:name w:val="脚注文本1"/>
    <w:basedOn w:val="1"/>
    <w:next w:val="196"/>
    <w:semiHidden/>
    <w:qFormat/>
    <w:uiPriority w:val="0"/>
    <w:pPr>
      <w:jc w:val="left"/>
    </w:pPr>
    <w:rPr>
      <w:sz w:val="18"/>
      <w:szCs w:val="18"/>
    </w:rPr>
  </w:style>
  <w:style w:type="paragraph" w:customStyle="1" w:styleId="196">
    <w:name w:val="正文首行缩进 21"/>
    <w:basedOn w:val="197"/>
    <w:unhideWhenUsed/>
    <w:qFormat/>
    <w:uiPriority w:val="99"/>
    <w:pPr>
      <w:ind w:firstLine="420"/>
    </w:pPr>
  </w:style>
  <w:style w:type="paragraph" w:customStyle="1" w:styleId="197">
    <w:name w:val="正文文本缩进1"/>
    <w:basedOn w:val="1"/>
    <w:next w:val="196"/>
    <w:qFormat/>
    <w:uiPriority w:val="0"/>
    <w:pPr>
      <w:spacing w:after="120"/>
    </w:pPr>
    <w:rPr>
      <w:rFonts w:ascii="仿宋_GB2312"/>
      <w:szCs w:val="32"/>
    </w:rPr>
  </w:style>
  <w:style w:type="character" w:customStyle="1" w:styleId="198">
    <w:name w:val="标题 1 字符"/>
    <w:link w:val="191"/>
    <w:qFormat/>
    <w:uiPriority w:val="9"/>
    <w:rPr>
      <w:b/>
      <w:bCs/>
      <w:sz w:val="44"/>
      <w:szCs w:val="44"/>
    </w:rPr>
  </w:style>
  <w:style w:type="character" w:customStyle="1" w:styleId="199">
    <w:name w:val="标题 2 字符"/>
    <w:link w:val="192"/>
    <w:qFormat/>
    <w:uiPriority w:val="9"/>
    <w:rPr>
      <w:rFonts w:ascii="Arial" w:hAnsi="Arial"/>
      <w:b/>
      <w:i/>
    </w:rPr>
  </w:style>
  <w:style w:type="paragraph" w:customStyle="1" w:styleId="200">
    <w:name w:val="批注文字1"/>
    <w:basedOn w:val="1"/>
    <w:link w:val="201"/>
    <w:qFormat/>
    <w:uiPriority w:val="0"/>
    <w:pPr>
      <w:jc w:val="left"/>
    </w:pPr>
  </w:style>
  <w:style w:type="character" w:customStyle="1" w:styleId="201">
    <w:name w:val="批注文字 字符"/>
    <w:link w:val="200"/>
    <w:qFormat/>
    <w:uiPriority w:val="0"/>
    <w:rPr>
      <w:rFonts w:eastAsia="仿宋_GB2312"/>
      <w:sz w:val="32"/>
      <w:szCs w:val="24"/>
    </w:rPr>
  </w:style>
  <w:style w:type="paragraph" w:customStyle="1" w:styleId="202">
    <w:name w:val="正文文本1"/>
    <w:basedOn w:val="1"/>
    <w:qFormat/>
    <w:uiPriority w:val="0"/>
    <w:pPr>
      <w:spacing w:before="93"/>
    </w:pPr>
    <w:rPr>
      <w:rFonts w:ascii="仿宋_GB2312"/>
      <w:sz w:val="30"/>
    </w:rPr>
  </w:style>
  <w:style w:type="paragraph" w:customStyle="1" w:styleId="203">
    <w:name w:val="日期1"/>
    <w:basedOn w:val="1"/>
    <w:next w:val="1"/>
    <w:qFormat/>
    <w:uiPriority w:val="0"/>
    <w:pPr>
      <w:ind w:left="100"/>
    </w:pPr>
  </w:style>
  <w:style w:type="paragraph" w:customStyle="1" w:styleId="204">
    <w:name w:val="正文文本缩进 21"/>
    <w:basedOn w:val="1"/>
    <w:qFormat/>
    <w:uiPriority w:val="0"/>
    <w:pPr>
      <w:spacing w:line="360" w:lineRule="auto"/>
      <w:ind w:firstLine="630"/>
    </w:pPr>
    <w:rPr>
      <w:rFonts w:ascii="楷体_GB2312" w:eastAsia="楷体_GB2312"/>
      <w:sz w:val="30"/>
    </w:rPr>
  </w:style>
  <w:style w:type="paragraph" w:customStyle="1" w:styleId="205">
    <w:name w:val="批注框文本1"/>
    <w:basedOn w:val="1"/>
    <w:semiHidden/>
    <w:qFormat/>
    <w:uiPriority w:val="0"/>
    <w:rPr>
      <w:sz w:val="18"/>
      <w:szCs w:val="18"/>
    </w:rPr>
  </w:style>
  <w:style w:type="paragraph" w:customStyle="1" w:styleId="206">
    <w:name w:val="页脚1"/>
    <w:basedOn w:val="1"/>
    <w:qFormat/>
    <w:uiPriority w:val="0"/>
    <w:pPr>
      <w:tabs>
        <w:tab w:val="center" w:pos="4153"/>
        <w:tab w:val="right" w:pos="8306"/>
      </w:tabs>
      <w:jc w:val="left"/>
    </w:pPr>
    <w:rPr>
      <w:sz w:val="18"/>
      <w:szCs w:val="18"/>
    </w:rPr>
  </w:style>
  <w:style w:type="paragraph" w:customStyle="1" w:styleId="20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08">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9">
    <w:name w:val="目录 21"/>
    <w:basedOn w:val="1"/>
    <w:next w:val="1"/>
    <w:unhideWhenUsed/>
    <w:qFormat/>
    <w:uiPriority w:val="39"/>
    <w:pPr>
      <w:tabs>
        <w:tab w:val="right" w:leader="dot" w:pos="8296"/>
      </w:tabs>
      <w:ind w:left="420"/>
    </w:pPr>
  </w:style>
  <w:style w:type="paragraph" w:customStyle="1" w:styleId="210">
    <w:name w:val="批注主题1"/>
    <w:basedOn w:val="200"/>
    <w:next w:val="200"/>
    <w:link w:val="211"/>
    <w:qFormat/>
    <w:uiPriority w:val="0"/>
    <w:rPr>
      <w:b/>
      <w:bCs/>
    </w:rPr>
  </w:style>
  <w:style w:type="character" w:customStyle="1" w:styleId="211">
    <w:name w:val="批注主题 字符"/>
    <w:link w:val="210"/>
    <w:qFormat/>
    <w:uiPriority w:val="0"/>
    <w:rPr>
      <w:rFonts w:eastAsia="仿宋_GB2312"/>
      <w:b/>
      <w:bCs/>
      <w:sz w:val="32"/>
      <w:szCs w:val="24"/>
    </w:rPr>
  </w:style>
  <w:style w:type="table" w:customStyle="1" w:styleId="212">
    <w:name w:val="网格型1"/>
    <w:basedOn w:val="194"/>
    <w:qFormat/>
    <w:uiPriority w:val="0"/>
    <w:pPr>
      <w:widowControl w:val="0"/>
      <w:jc w:val="both"/>
    </w:pPr>
    <w:tblPr>
      <w:tblCellMar>
        <w:top w:w="0" w:type="dxa"/>
        <w:left w:w="0" w:type="dxa"/>
        <w:bottom w:w="0" w:type="dxa"/>
        <w:right w:w="0" w:type="dxa"/>
      </w:tblCellMar>
    </w:tblPr>
  </w:style>
  <w:style w:type="character" w:customStyle="1" w:styleId="213">
    <w:name w:val="要点1"/>
    <w:qFormat/>
    <w:uiPriority w:val="0"/>
    <w:rPr>
      <w:b/>
      <w:bCs/>
    </w:rPr>
  </w:style>
  <w:style w:type="character" w:customStyle="1" w:styleId="214">
    <w:name w:val="页码1"/>
    <w:qFormat/>
    <w:uiPriority w:val="0"/>
  </w:style>
  <w:style w:type="character" w:customStyle="1" w:styleId="215">
    <w:name w:val="超链接1"/>
    <w:unhideWhenUsed/>
    <w:qFormat/>
    <w:uiPriority w:val="99"/>
    <w:rPr>
      <w:color w:val="0000FF"/>
      <w:u w:val="single"/>
    </w:rPr>
  </w:style>
  <w:style w:type="character" w:customStyle="1" w:styleId="216">
    <w:name w:val="批注引用1"/>
    <w:qFormat/>
    <w:uiPriority w:val="0"/>
    <w:rPr>
      <w:sz w:val="21"/>
      <w:szCs w:val="21"/>
    </w:rPr>
  </w:style>
  <w:style w:type="paragraph" w:customStyle="1" w:styleId="217">
    <w:name w:val="章标题"/>
    <w:basedOn w:val="1"/>
    <w:next w:val="218"/>
    <w:qFormat/>
    <w:uiPriority w:val="0"/>
    <w:pPr>
      <w:widowControl/>
      <w:spacing w:before="158" w:after="153" w:line="323" w:lineRule="atLeast"/>
      <w:ind w:right="-120"/>
      <w:jc w:val="center"/>
    </w:pPr>
    <w:rPr>
      <w:color w:val="FF0000"/>
      <w:sz w:val="18"/>
      <w:szCs w:val="18"/>
    </w:rPr>
  </w:style>
  <w:style w:type="paragraph" w:customStyle="1" w:styleId="218">
    <w:name w:val="节标题"/>
    <w:basedOn w:val="1"/>
    <w:next w:val="1"/>
    <w:qFormat/>
    <w:uiPriority w:val="0"/>
    <w:pPr>
      <w:widowControl/>
      <w:spacing w:line="289" w:lineRule="atLeast"/>
      <w:jc w:val="center"/>
    </w:pPr>
    <w:rPr>
      <w:color w:val="000000"/>
      <w:sz w:val="28"/>
      <w:szCs w:val="28"/>
    </w:rPr>
  </w:style>
  <w:style w:type="paragraph" w:customStyle="1" w:styleId="219">
    <w:name w:val="Char Char3 Char Char Char Char Char Char Char Char"/>
    <w:basedOn w:val="1"/>
    <w:next w:val="1"/>
    <w:qFormat/>
    <w:uiPriority w:val="0"/>
    <w:pPr>
      <w:spacing w:line="240" w:lineRule="atLeast"/>
      <w:ind w:left="420" w:firstLine="420"/>
      <w:jc w:val="left"/>
    </w:pPr>
    <w:rPr>
      <w:rFonts w:eastAsia="宋体"/>
      <w:sz w:val="21"/>
      <w:szCs w:val="21"/>
    </w:rPr>
  </w:style>
  <w:style w:type="paragraph" w:customStyle="1" w:styleId="220">
    <w:name w:val="列表段落"/>
    <w:basedOn w:val="1"/>
    <w:qFormat/>
    <w:uiPriority w:val="34"/>
    <w:pPr>
      <w:ind w:firstLine="420"/>
    </w:pPr>
  </w:style>
  <w:style w:type="paragraph" w:customStyle="1" w:styleId="221">
    <w:name w:val="Default"/>
    <w:qFormat/>
    <w:uiPriority w:val="0"/>
    <w:pPr>
      <w:widowControl w:val="0"/>
    </w:pPr>
    <w:rPr>
      <w:rFonts w:ascii="仿宋" w:hAnsi="Calibri" w:eastAsia="仿宋" w:cs="仿宋"/>
      <w:color w:val="000000"/>
      <w:sz w:val="24"/>
      <w:szCs w:val="24"/>
      <w:lang w:val="en-US" w:eastAsia="zh-CN" w:bidi="ar-SA"/>
    </w:rPr>
  </w:style>
  <w:style w:type="paragraph" w:customStyle="1" w:styleId="222">
    <w:name w:val="四号正文"/>
    <w:basedOn w:val="1"/>
    <w:qFormat/>
    <w:uiPriority w:val="0"/>
    <w:pPr>
      <w:spacing w:line="360" w:lineRule="auto"/>
    </w:pPr>
    <w:rPr>
      <w:rFonts w:ascii="??" w:hAnsi="??" w:eastAsia="宋体"/>
      <w:color w:val="000000"/>
      <w:sz w:val="28"/>
      <w:szCs w:val="21"/>
      <w:lang w:val="zh-CN"/>
    </w:rPr>
  </w:style>
  <w:style w:type="paragraph" w:customStyle="1" w:styleId="223">
    <w:name w:val="修订1"/>
    <w:unhideWhenUsed/>
    <w:qFormat/>
    <w:uiPriority w:val="99"/>
    <w:rPr>
      <w:rFonts w:ascii="Calibri" w:hAnsi="Calibri" w:eastAsia="仿宋_GB2312" w:cs="Times New Roman"/>
      <w:sz w:val="32"/>
      <w:szCs w:val="24"/>
      <w:lang w:val="en-US" w:eastAsia="zh-CN" w:bidi="ar-SA"/>
    </w:rPr>
  </w:style>
  <w:style w:type="paragraph" w:customStyle="1" w:styleId="224">
    <w:name w:val="WPSOffice手动目录 1"/>
    <w:qFormat/>
    <w:uiPriority w:val="0"/>
    <w:rPr>
      <w:rFonts w:asciiTheme="minorHAnsi" w:hAnsiTheme="minorHAnsi" w:eastAsiaTheme="minorEastAsia" w:cstheme="minorBidi"/>
      <w:lang w:val="en-US" w:eastAsia="zh-CN" w:bidi="ar-SA"/>
    </w:rPr>
  </w:style>
  <w:style w:type="paragraph" w:customStyle="1" w:styleId="22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2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27">
    <w:name w:val="批注框文本 Char"/>
    <w:basedOn w:val="38"/>
    <w:link w:val="24"/>
    <w:semiHidden/>
    <w:qFormat/>
    <w:uiPriority w:val="99"/>
    <w:rPr>
      <w:rFonts w:ascii="Calibri" w:hAnsi="Calibri" w:eastAsia="仿宋_GB2312" w:cs="Times New Roman"/>
      <w:sz w:val="18"/>
      <w:szCs w:val="18"/>
    </w:rPr>
  </w:style>
  <w:style w:type="character" w:customStyle="1" w:styleId="228">
    <w:name w:val="正文文本 Char"/>
    <w:basedOn w:val="38"/>
    <w:link w:val="16"/>
    <w:qFormat/>
    <w:uiPriority w:val="99"/>
    <w:rPr>
      <w:rFonts w:ascii="Calibri" w:hAnsi="Calibri" w:eastAsia="仿宋_GB2312" w:cs="Times New Roman"/>
      <w:sz w:val="32"/>
      <w:szCs w:val="24"/>
    </w:rPr>
  </w:style>
  <w:style w:type="character" w:customStyle="1" w:styleId="229">
    <w:name w:val="纯文本 Char"/>
    <w:basedOn w:val="38"/>
    <w:link w:val="21"/>
    <w:qFormat/>
    <w:uiPriority w:val="99"/>
    <w:rPr>
      <w:rFonts w:ascii="宋体" w:hAnsi="Courier New" w:eastAsia="仿宋_GB2312" w:cs="Times New Roman"/>
      <w:szCs w:val="21"/>
    </w:rPr>
  </w:style>
  <w:style w:type="character" w:customStyle="1" w:styleId="230">
    <w:name w:val="NormalCharacter"/>
    <w:qFormat/>
    <w:uiPriority w:val="0"/>
  </w:style>
  <w:style w:type="character" w:customStyle="1" w:styleId="231">
    <w:name w:val="font01"/>
    <w:basedOn w:val="38"/>
    <w:qFormat/>
    <w:uiPriority w:val="0"/>
    <w:rPr>
      <w:rFonts w:hint="eastAsia" w:ascii="宋体" w:hAnsi="宋体" w:eastAsia="宋体" w:cs="宋体"/>
      <w:color w:val="000000"/>
      <w:sz w:val="22"/>
      <w:szCs w:val="22"/>
      <w:u w:val="none"/>
    </w:rPr>
  </w:style>
  <w:style w:type="character" w:customStyle="1" w:styleId="232">
    <w:name w:val="font21"/>
    <w:basedOn w:val="38"/>
    <w:qFormat/>
    <w:uiPriority w:val="0"/>
    <w:rPr>
      <w:rFonts w:hint="eastAsia" w:ascii="宋体" w:hAnsi="宋体" w:eastAsia="宋体" w:cs="宋体"/>
      <w:color w:val="FF0000"/>
      <w:sz w:val="22"/>
      <w:szCs w:val="22"/>
      <w:u w:val="none"/>
    </w:rPr>
  </w:style>
  <w:style w:type="paragraph" w:customStyle="1" w:styleId="233">
    <w:name w:val="常用样式（方正仿宋简）"/>
    <w:next w:val="25"/>
    <w:qFormat/>
    <w:uiPriority w:val="99"/>
    <w:pPr>
      <w:widowControl w:val="0"/>
      <w:spacing w:line="560" w:lineRule="exact"/>
      <w:ind w:firstLine="200" w:firstLineChars="200"/>
      <w:jc w:val="both"/>
    </w:pPr>
    <w:rPr>
      <w:rFonts w:ascii="Times New Roman" w:hAnsi="Times New Roman" w:eastAsia="方正仿宋简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收、支决算总计变动情况表</a:t>
            </a:r>
            <a:endParaRPr lang="zh-CN" altLang="en-US"/>
          </a:p>
        </c:rich>
      </c:tx>
      <c:layout/>
      <c:overlay val="0"/>
      <c:spPr>
        <a:noFill/>
        <a:ln>
          <a:noFill/>
        </a:ln>
        <a:effectLst/>
      </c:spPr>
    </c:title>
    <c:autoTitleDeleted val="0"/>
    <c:plotArea>
      <c:layout>
        <c:manualLayout>
          <c:layoutTarget val="inner"/>
          <c:xMode val="edge"/>
          <c:yMode val="edge"/>
          <c:x val="0.0707"/>
          <c:y val="0.122"/>
          <c:w val="0.9018"/>
          <c:h val="0.717233333333333"/>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收入（万元）</c:v>
                </c:pt>
                <c:pt idx="1">
                  <c:v>支出（万元）</c:v>
                </c:pt>
              </c:strCache>
            </c:strRef>
          </c:cat>
          <c:val>
            <c:numRef>
              <c:f>Sheet1!$B$2:$B$5</c:f>
              <c:numCache>
                <c:formatCode>General</c:formatCode>
                <c:ptCount val="4"/>
                <c:pt idx="0">
                  <c:v>1234.61</c:v>
                </c:pt>
                <c:pt idx="1">
                  <c:v>1234.61</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收入（万元）</c:v>
                </c:pt>
                <c:pt idx="1">
                  <c:v>支出（万元）</c:v>
                </c:pt>
              </c:strCache>
            </c:strRef>
          </c:cat>
          <c:val>
            <c:numRef>
              <c:f>Sheet1!$C$2:$C$5</c:f>
              <c:numCache>
                <c:formatCode>General</c:formatCode>
                <c:ptCount val="4"/>
                <c:pt idx="0">
                  <c:v>1163.82</c:v>
                </c:pt>
                <c:pt idx="1">
                  <c:v>1163.82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收入（万元）</c:v>
                </c:pt>
                <c:pt idx="1">
                  <c:v>支出（万元）</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54381184"/>
        <c:axId val="55009664"/>
      </c:barChart>
      <c:catAx>
        <c:axId val="543811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09664"/>
        <c:crosses val="autoZero"/>
        <c:auto val="1"/>
        <c:lblAlgn val="ctr"/>
        <c:lblOffset val="100"/>
        <c:noMultiLvlLbl val="0"/>
      </c:catAx>
      <c:valAx>
        <c:axId val="55009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811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482bc1-f84a-4dd5-bf73-96ac211950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99.93</a:t>
                    </a:r>
                    <a:r>
                      <a:rPr lang="zh-CN" altLang="en-US"/>
                      <a:t> </a:t>
                    </a:r>
                    <a:r>
                      <a:rPr lang="en-US" altLang="zh-CN"/>
                      <a:t>%</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0.07%</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一般公共预算财政拨款收入</c:v>
                </c:pt>
                <c:pt idx="1">
                  <c:v>政府性基金预算财政拨款收入</c:v>
                </c:pt>
              </c:strCache>
            </c:strRef>
          </c:cat>
          <c:val>
            <c:numRef>
              <c:f>Sheet1!$B$2:$B$5</c:f>
              <c:numCache>
                <c:formatCode>General</c:formatCode>
                <c:ptCount val="4"/>
                <c:pt idx="0">
                  <c:v>1233.71</c:v>
                </c:pt>
                <c:pt idx="1">
                  <c:v>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65eccf-5e9e-4f89-970a-910357ca4e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26113691679185"/>
                  <c:y val="-0.13077144155625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73.62%</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26.38</a:t>
                    </a:r>
                    <a:r>
                      <a:rPr lang="zh-CN" altLang="en-US"/>
                      <a:t> </a:t>
                    </a:r>
                    <a:r>
                      <a:rPr lang="en-US" altLang="zh-CN"/>
                      <a:t>%</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73.62</c:v>
                </c:pt>
                <c:pt idx="1">
                  <c:v>26.38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7cb135-e9ae-4ee2-bc87-67f84fa1591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收入（万元）</c:v>
                </c:pt>
                <c:pt idx="1">
                  <c:v>支出（万元）</c:v>
                </c:pt>
              </c:strCache>
            </c:strRef>
          </c:cat>
          <c:val>
            <c:numRef>
              <c:f>Sheet1!$B$2:$B$6</c:f>
              <c:numCache>
                <c:formatCode>General</c:formatCode>
                <c:ptCount val="5"/>
                <c:pt idx="0">
                  <c:v>1234.61</c:v>
                </c:pt>
                <c:pt idx="1">
                  <c:v>1234.61</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收入（万元）</c:v>
                </c:pt>
                <c:pt idx="1">
                  <c:v>支出（万元）</c:v>
                </c:pt>
              </c:strCache>
            </c:strRef>
          </c:cat>
          <c:val>
            <c:numRef>
              <c:f>Sheet1!$C$2:$C$6</c:f>
              <c:numCache>
                <c:formatCode>General</c:formatCode>
                <c:ptCount val="5"/>
                <c:pt idx="0">
                  <c:v>1163.82</c:v>
                </c:pt>
                <c:pt idx="1">
                  <c:v>1163.82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Sheet1!$A$2:$A$6</c:f>
              <c:strCache>
                <c:ptCount val="5"/>
                <c:pt idx="0">
                  <c:v>收入（万元）</c:v>
                </c:pt>
                <c:pt idx="1">
                  <c:v>支出（万元）</c:v>
                </c:pt>
              </c:strCache>
            </c:strRef>
          </c:cat>
          <c:val>
            <c:numRef>
              <c:f>Sheet1!$D$2:$D$6</c:f>
              <c:numCache>
                <c:formatCode>General</c:formatCode>
                <c:ptCount val="5"/>
              </c:numCache>
            </c:numRef>
          </c:val>
        </c:ser>
        <c:dLbls>
          <c:showLegendKey val="0"/>
          <c:showVal val="1"/>
          <c:showCatName val="0"/>
          <c:showSerName val="0"/>
          <c:showPercent val="0"/>
          <c:showBubbleSize val="0"/>
        </c:dLbls>
        <c:gapWidth val="219"/>
        <c:overlap val="-27"/>
        <c:axId val="145627008"/>
        <c:axId val="147075840"/>
      </c:barChart>
      <c:catAx>
        <c:axId val="14562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75840"/>
        <c:crosses val="autoZero"/>
        <c:auto val="1"/>
        <c:lblAlgn val="ctr"/>
        <c:lblOffset val="100"/>
        <c:noMultiLvlLbl val="0"/>
      </c:catAx>
      <c:valAx>
        <c:axId val="147075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5627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3632e4-0664-4ef7-ae4d-76f566c68664}"/>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1233.71</c:v>
                </c:pt>
                <c:pt idx="1">
                  <c:v>1163.82</c:v>
                </c:pt>
              </c:numCache>
            </c:numRef>
          </c:val>
        </c:ser>
        <c:dLbls>
          <c:showLegendKey val="0"/>
          <c:showVal val="0"/>
          <c:showCatName val="0"/>
          <c:showSerName val="0"/>
          <c:showPercent val="0"/>
          <c:showBubbleSize val="0"/>
        </c:dLbls>
        <c:gapWidth val="219"/>
        <c:overlap val="-27"/>
        <c:axId val="148178816"/>
        <c:axId val="148193280"/>
      </c:barChart>
      <c:catAx>
        <c:axId val="14817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193280"/>
        <c:crosses val="autoZero"/>
        <c:auto val="1"/>
        <c:lblAlgn val="ctr"/>
        <c:lblOffset val="100"/>
        <c:noMultiLvlLbl val="0"/>
      </c:catAx>
      <c:valAx>
        <c:axId val="148193280"/>
        <c:scaling>
          <c:orientation val="minMax"/>
        </c:scaling>
        <c:delete val="0"/>
        <c:axPos val="l"/>
        <c:majorGridlines>
          <c:spPr>
            <a:ln w="9525" cap="flat" cmpd="sng" algn="ctr">
              <a:solidFill>
                <a:schemeClr val="tx1">
                  <a:lumMod val="15000"/>
                  <a:lumOff val="85000"/>
                </a:schemeClr>
              </a:solidFill>
              <a:round/>
            </a:ln>
            <a:effectLst/>
          </c:spPr>
        </c:majorGridlines>
        <c:numFmt formatCode="#,##0_ &quot;万&quot;&quot;元&quot;" sourceLinked="0"/>
        <c:majorTickMark val="none"/>
        <c:minorTickMark val="none"/>
        <c:tickLblPos val="nextTo"/>
        <c:spPr>
          <a:noFill/>
          <a:ln w="9525">
            <a:no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178816"/>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3cfebf-bc42-4a3e-82da-86366a9972bd}"/>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7.92%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7.95%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2.72%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4.93%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76.48%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住房保障支出</c:v>
                </c:pt>
                <c:pt idx="4">
                  <c:v>公共安全支出</c:v>
                </c:pt>
              </c:strCache>
            </c:strRef>
          </c:cat>
          <c:val>
            <c:numRef>
              <c:f>Sheet1!$B$2:$B$6</c:f>
              <c:numCache>
                <c:formatCode>General</c:formatCode>
                <c:ptCount val="5"/>
                <c:pt idx="0">
                  <c:v>7.92</c:v>
                </c:pt>
                <c:pt idx="1">
                  <c:v>7.95</c:v>
                </c:pt>
                <c:pt idx="2">
                  <c:v>2.72</c:v>
                </c:pt>
                <c:pt idx="3">
                  <c:v>4.93</c:v>
                </c:pt>
                <c:pt idx="4">
                  <c:v>76.48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50450e2-ae79-4dd3-8677-2444a66474fd}"/>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0939254721797"/>
          <c:y val="0.0492148602068173"/>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5"/>
          <c:y val="0.177449122945223"/>
          <c:w val="0.570625"/>
          <c:h val="0.760833333333333"/>
        </c:manualLayout>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layout>
                <c:manualLayout>
                  <c:x val="0.0365426247580991"/>
                  <c:y val="-0.14251958816423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100 %</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delete val="1"/>
            </c:dLbl>
            <c:numFmt formatCode="#,##0_ &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1</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018f1d-fa42-46c9-98db-335109fac4ca}"/>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A77686-D988-42A9-B177-7184239195E6}">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70</Pages>
  <Words>14454</Words>
  <Characters>15696</Characters>
  <Lines>275</Lines>
  <Paragraphs>77</Paragraphs>
  <TotalTime>46</TotalTime>
  <ScaleCrop>false</ScaleCrop>
  <LinksUpToDate>false</LinksUpToDate>
  <CharactersWithSpaces>15882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2015-09-12T02:15:00Z</dcterms:created>
  <dc:creator>Lenovo</dc:creator>
  <cp:lastModifiedBy>Administrator</cp:lastModifiedBy>
  <dcterms:modified xsi:type="dcterms:W3CDTF">2025-09-19T02:21:07Z</dcterms:modified>
  <dc:title>遂宁市</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eyJoZGlkIjoiMjcwYjc0NzEyMzZlNTZmOWU5MGU4MTc5MzFmMjczNTkifQ==</vt:lpwstr>
  </property>
  <property fmtid="{D5CDD505-2E9C-101B-9397-08002B2CF9AE}" pid="4" name="ICV">
    <vt:lpwstr>DC4647CE41E94C26A4FFD1891821BA71_13</vt:lpwstr>
  </property>
</Properties>
</file>